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7A633" w14:textId="77777777" w:rsidR="001D782C" w:rsidRPr="00401789" w:rsidRDefault="001D782C" w:rsidP="008A57E3">
      <w:pPr>
        <w:pStyle w:val="ab"/>
        <w:tabs>
          <w:tab w:val="left" w:pos="1276"/>
        </w:tabs>
        <w:rPr>
          <w:rFonts w:ascii="Times New Roman" w:eastAsia="標楷體" w:hAnsi="Times New Roman"/>
          <w:szCs w:val="24"/>
        </w:rPr>
      </w:pPr>
      <w:r w:rsidRPr="00401789">
        <w:rPr>
          <w:rFonts w:ascii="Times New Roman" w:eastAsia="標楷體" w:hAnsi="Times New Roman"/>
          <w:szCs w:val="24"/>
        </w:rPr>
        <w:t>Case No. D13</w:t>
      </w:r>
      <w:r w:rsidRPr="00401789">
        <w:rPr>
          <w:rFonts w:ascii="Times New Roman" w:eastAsia="標楷體" w:hAnsi="Times New Roman"/>
          <w:szCs w:val="24"/>
          <w:lang w:eastAsia="zh-HK"/>
        </w:rPr>
        <w:t>/20</w:t>
      </w:r>
    </w:p>
    <w:p w14:paraId="194FA482" w14:textId="77777777" w:rsidR="001D782C" w:rsidRPr="00401789" w:rsidRDefault="001D782C" w:rsidP="008A57E3">
      <w:pPr>
        <w:tabs>
          <w:tab w:val="left" w:pos="1276"/>
        </w:tabs>
        <w:jc w:val="both"/>
        <w:rPr>
          <w:rFonts w:eastAsia="標楷體"/>
          <w:sz w:val="24"/>
          <w:szCs w:val="24"/>
        </w:rPr>
      </w:pPr>
    </w:p>
    <w:p w14:paraId="1F66C8A0" w14:textId="26F89949" w:rsidR="001D782C" w:rsidRDefault="001D782C" w:rsidP="008A57E3">
      <w:pPr>
        <w:tabs>
          <w:tab w:val="left" w:pos="1276"/>
        </w:tabs>
        <w:jc w:val="both"/>
        <w:rPr>
          <w:rFonts w:eastAsia="標楷體"/>
          <w:sz w:val="24"/>
          <w:szCs w:val="24"/>
          <w:lang w:val="en-US"/>
        </w:rPr>
      </w:pPr>
    </w:p>
    <w:p w14:paraId="2A1D47FC" w14:textId="405F4672" w:rsidR="009E7A33" w:rsidRDefault="009E7A33" w:rsidP="008A57E3">
      <w:pPr>
        <w:tabs>
          <w:tab w:val="left" w:pos="1276"/>
        </w:tabs>
        <w:jc w:val="both"/>
        <w:rPr>
          <w:rFonts w:eastAsia="標楷體"/>
          <w:sz w:val="24"/>
          <w:szCs w:val="24"/>
          <w:lang w:val="en-US"/>
        </w:rPr>
      </w:pPr>
    </w:p>
    <w:p w14:paraId="221E4A39" w14:textId="77777777" w:rsidR="009E7A33" w:rsidRPr="00401789" w:rsidRDefault="009E7A33" w:rsidP="008A57E3">
      <w:pPr>
        <w:tabs>
          <w:tab w:val="left" w:pos="1276"/>
        </w:tabs>
        <w:jc w:val="both"/>
        <w:rPr>
          <w:rFonts w:eastAsia="標楷體"/>
          <w:sz w:val="24"/>
          <w:szCs w:val="24"/>
          <w:lang w:val="en-US"/>
        </w:rPr>
      </w:pPr>
    </w:p>
    <w:p w14:paraId="452B5AD9" w14:textId="0D723E2F" w:rsidR="001D782C" w:rsidRPr="00401789" w:rsidRDefault="009E7A33" w:rsidP="008A57E3">
      <w:pPr>
        <w:tabs>
          <w:tab w:val="left" w:pos="1276"/>
        </w:tabs>
        <w:jc w:val="both"/>
        <w:rPr>
          <w:rFonts w:eastAsia="標楷體"/>
          <w:sz w:val="24"/>
          <w:szCs w:val="24"/>
        </w:rPr>
      </w:pPr>
      <w:r w:rsidRPr="009E7A33">
        <w:rPr>
          <w:rFonts w:eastAsia="標楷體"/>
          <w:b/>
          <w:sz w:val="24"/>
          <w:szCs w:val="24"/>
        </w:rPr>
        <w:t>Salaries tax</w:t>
      </w:r>
      <w:r w:rsidRPr="009E7A33">
        <w:rPr>
          <w:rFonts w:eastAsia="標楷體"/>
          <w:sz w:val="24"/>
          <w:szCs w:val="24"/>
        </w:rPr>
        <w:t xml:space="preserve"> – appeal out of time – whether the relevant expenses were incurred while performing his duties – documentary proof for the relevant expenses – sections 12(1)(a), 66 and 68(4) o</w:t>
      </w:r>
      <w:r>
        <w:rPr>
          <w:rFonts w:eastAsia="標楷體"/>
          <w:sz w:val="24"/>
          <w:szCs w:val="24"/>
        </w:rPr>
        <w:t>f the Inland Revenue Ordinance [Decision in Chinese]</w:t>
      </w:r>
    </w:p>
    <w:p w14:paraId="2B48FD91" w14:textId="77777777" w:rsidR="001D782C" w:rsidRPr="00401789" w:rsidRDefault="001D782C" w:rsidP="008A57E3">
      <w:pPr>
        <w:tabs>
          <w:tab w:val="left" w:pos="1276"/>
        </w:tabs>
        <w:jc w:val="both"/>
        <w:rPr>
          <w:rFonts w:eastAsia="標楷體"/>
          <w:sz w:val="24"/>
          <w:szCs w:val="24"/>
        </w:rPr>
      </w:pPr>
    </w:p>
    <w:p w14:paraId="2A346923" w14:textId="77777777" w:rsidR="001D782C" w:rsidRPr="00401789" w:rsidRDefault="001D782C" w:rsidP="008A57E3">
      <w:pPr>
        <w:tabs>
          <w:tab w:val="left" w:pos="840"/>
          <w:tab w:val="left" w:pos="1276"/>
        </w:tabs>
        <w:ind w:left="720" w:hangingChars="300" w:hanging="720"/>
        <w:jc w:val="both"/>
        <w:rPr>
          <w:rFonts w:eastAsia="標楷體"/>
          <w:sz w:val="24"/>
          <w:szCs w:val="24"/>
        </w:rPr>
      </w:pPr>
      <w:r w:rsidRPr="00401789">
        <w:rPr>
          <w:rFonts w:eastAsia="標楷體"/>
          <w:sz w:val="24"/>
          <w:szCs w:val="24"/>
        </w:rPr>
        <w:t xml:space="preserve">Panel: </w:t>
      </w:r>
      <w:r w:rsidRPr="00401789">
        <w:rPr>
          <w:rFonts w:eastAsia="標楷體"/>
          <w:sz w:val="24"/>
          <w:szCs w:val="24"/>
          <w:lang w:eastAsia="zh-HK"/>
        </w:rPr>
        <w:t>Anita H K Yip SC</w:t>
      </w:r>
      <w:r w:rsidRPr="00401789">
        <w:rPr>
          <w:rFonts w:eastAsia="標楷體"/>
          <w:sz w:val="24"/>
          <w:szCs w:val="24"/>
        </w:rPr>
        <w:t xml:space="preserve"> (chairm</w:t>
      </w:r>
      <w:r w:rsidRPr="00401789">
        <w:rPr>
          <w:rFonts w:eastAsia="標楷體"/>
          <w:sz w:val="24"/>
          <w:szCs w:val="24"/>
          <w:lang w:eastAsia="zh-HK"/>
        </w:rPr>
        <w:t>an), Cheng Chung Leung and Lai Sze Wai Alex.</w:t>
      </w:r>
    </w:p>
    <w:p w14:paraId="37B225CD" w14:textId="77777777" w:rsidR="001D782C" w:rsidRPr="00401789" w:rsidRDefault="001D782C" w:rsidP="008A57E3">
      <w:pPr>
        <w:tabs>
          <w:tab w:val="left" w:pos="840"/>
          <w:tab w:val="left" w:pos="1276"/>
        </w:tabs>
        <w:jc w:val="both"/>
        <w:rPr>
          <w:rFonts w:eastAsia="標楷體"/>
          <w:sz w:val="24"/>
          <w:szCs w:val="24"/>
        </w:rPr>
      </w:pPr>
    </w:p>
    <w:p w14:paraId="48610B41" w14:textId="77777777" w:rsidR="001D782C" w:rsidRPr="00401789" w:rsidRDefault="001D782C" w:rsidP="008A57E3">
      <w:pPr>
        <w:tabs>
          <w:tab w:val="left" w:pos="840"/>
          <w:tab w:val="left" w:pos="1276"/>
        </w:tabs>
        <w:jc w:val="both"/>
        <w:rPr>
          <w:rFonts w:eastAsia="標楷體"/>
          <w:sz w:val="24"/>
          <w:szCs w:val="24"/>
        </w:rPr>
      </w:pPr>
      <w:r w:rsidRPr="00401789">
        <w:rPr>
          <w:rFonts w:eastAsia="標楷體"/>
          <w:sz w:val="24"/>
          <w:szCs w:val="24"/>
        </w:rPr>
        <w:t>Date of hearing: 8 September 2020.</w:t>
      </w:r>
    </w:p>
    <w:p w14:paraId="4DF99806" w14:textId="77777777" w:rsidR="001D782C" w:rsidRPr="00401789" w:rsidRDefault="001D782C" w:rsidP="008A57E3">
      <w:pPr>
        <w:tabs>
          <w:tab w:val="left" w:pos="840"/>
          <w:tab w:val="left" w:pos="1276"/>
        </w:tabs>
        <w:jc w:val="both"/>
        <w:rPr>
          <w:rFonts w:eastAsia="標楷體"/>
          <w:sz w:val="24"/>
          <w:szCs w:val="24"/>
        </w:rPr>
      </w:pPr>
      <w:r w:rsidRPr="00401789">
        <w:rPr>
          <w:rFonts w:eastAsia="標楷體"/>
          <w:sz w:val="24"/>
          <w:szCs w:val="24"/>
        </w:rPr>
        <w:t>Date of decision: 4 December 2020.</w:t>
      </w:r>
    </w:p>
    <w:p w14:paraId="7B4A0F18" w14:textId="77777777" w:rsidR="001D782C" w:rsidRPr="00401789" w:rsidRDefault="001D782C" w:rsidP="009E7A33">
      <w:pPr>
        <w:tabs>
          <w:tab w:val="left" w:pos="840"/>
          <w:tab w:val="left" w:pos="1276"/>
        </w:tabs>
        <w:jc w:val="both"/>
        <w:rPr>
          <w:rFonts w:eastAsia="標楷體"/>
          <w:sz w:val="24"/>
          <w:szCs w:val="24"/>
          <w:lang w:eastAsia="zh-HK"/>
        </w:rPr>
      </w:pPr>
    </w:p>
    <w:p w14:paraId="633201A7" w14:textId="77777777" w:rsidR="001D782C" w:rsidRPr="009E7A33" w:rsidRDefault="001D782C" w:rsidP="009E7A33">
      <w:pPr>
        <w:tabs>
          <w:tab w:val="left" w:pos="840"/>
          <w:tab w:val="left" w:pos="1276"/>
        </w:tabs>
        <w:jc w:val="both"/>
        <w:rPr>
          <w:rFonts w:eastAsia="標楷體"/>
          <w:sz w:val="24"/>
          <w:szCs w:val="24"/>
          <w:lang w:eastAsia="zh-HK"/>
        </w:rPr>
      </w:pPr>
    </w:p>
    <w:p w14:paraId="0F943857" w14:textId="13E0D1CD" w:rsidR="009E7A33" w:rsidRPr="009E7A33" w:rsidRDefault="009E7A33" w:rsidP="00B122A3">
      <w:pPr>
        <w:ind w:firstLineChars="373" w:firstLine="895"/>
        <w:jc w:val="both"/>
        <w:rPr>
          <w:color w:val="000000" w:themeColor="text1"/>
          <w:sz w:val="24"/>
          <w:szCs w:val="24"/>
        </w:rPr>
      </w:pPr>
      <w:r w:rsidRPr="009E7A33">
        <w:rPr>
          <w:color w:val="000000" w:themeColor="text1"/>
          <w:sz w:val="24"/>
          <w:szCs w:val="24"/>
        </w:rPr>
        <w:t>The Appellant is a personal subcontractor for construction project.  For the relevant tax year, the Appellant claimed deductions for expenses and expenses including labour, contracting, workshop rent, and transportation related expenses in total sum of $9,500,000 (2015/16) and $11,625,000 (2016/17).  The Inland Revenue Department inquired about the relevant expenses and requested the Appellant to provide all relevant supporting documents.  The Appellant claimed that he had never had the time and ability to make records, and because the time has passed by 4 to 5 years and there has been no detailed records, the Appellant has no way to sort out his bank records and submit relevant documents.</w:t>
      </w:r>
    </w:p>
    <w:p w14:paraId="44421036" w14:textId="77777777" w:rsidR="009E7A33" w:rsidRPr="009E7A33" w:rsidRDefault="009E7A33" w:rsidP="00B122A3">
      <w:pPr>
        <w:ind w:firstLineChars="373" w:firstLine="895"/>
        <w:jc w:val="both"/>
        <w:rPr>
          <w:color w:val="000000" w:themeColor="text1"/>
          <w:sz w:val="24"/>
          <w:szCs w:val="24"/>
        </w:rPr>
      </w:pPr>
      <w:bookmarkStart w:id="0" w:name="_GoBack"/>
      <w:bookmarkEnd w:id="0"/>
    </w:p>
    <w:p w14:paraId="3574C0B5" w14:textId="37AF9593" w:rsidR="009E7A33" w:rsidRPr="009E7A33" w:rsidRDefault="009E7A33" w:rsidP="00B122A3">
      <w:pPr>
        <w:ind w:firstLineChars="373" w:firstLine="895"/>
        <w:jc w:val="both"/>
        <w:rPr>
          <w:color w:val="000000" w:themeColor="text1"/>
          <w:sz w:val="24"/>
          <w:szCs w:val="24"/>
        </w:rPr>
      </w:pPr>
      <w:r w:rsidRPr="009E7A33">
        <w:rPr>
          <w:color w:val="000000" w:themeColor="text1"/>
          <w:sz w:val="24"/>
          <w:szCs w:val="24"/>
        </w:rPr>
        <w:t>In the absence of relevant documents, the Inland Revenue Department exercised its discretion to use 20% of the Appellant’s total income as his profit to calculate the salaries tax.  On 2 April 2020, the Inland Revenue Department mailed the basic tax assessment decision (</w:t>
      </w:r>
      <w:r w:rsidR="00BC3C02">
        <w:rPr>
          <w:color w:val="000000" w:themeColor="text1"/>
          <w:sz w:val="24"/>
          <w:szCs w:val="24"/>
        </w:rPr>
        <w:t>‘</w:t>
      </w:r>
      <w:r w:rsidRPr="009E7A33">
        <w:rPr>
          <w:color w:val="000000" w:themeColor="text1"/>
          <w:sz w:val="24"/>
          <w:szCs w:val="24"/>
        </w:rPr>
        <w:t>the Decision</w:t>
      </w:r>
      <w:r w:rsidR="00BC3C02">
        <w:rPr>
          <w:color w:val="000000" w:themeColor="text1"/>
          <w:sz w:val="24"/>
          <w:szCs w:val="24"/>
        </w:rPr>
        <w:t>’</w:t>
      </w:r>
      <w:r w:rsidRPr="009E7A33">
        <w:rPr>
          <w:color w:val="000000" w:themeColor="text1"/>
          <w:sz w:val="24"/>
          <w:szCs w:val="24"/>
        </w:rPr>
        <w:t>) and the documents related to the appeal to the Appellant</w:t>
      </w:r>
      <w:r w:rsidR="00BC3C02">
        <w:rPr>
          <w:color w:val="000000" w:themeColor="text1"/>
          <w:sz w:val="24"/>
          <w:szCs w:val="24"/>
        </w:rPr>
        <w:t>’</w:t>
      </w:r>
      <w:r w:rsidRPr="009E7A33">
        <w:rPr>
          <w:color w:val="000000" w:themeColor="text1"/>
          <w:sz w:val="24"/>
          <w:szCs w:val="24"/>
        </w:rPr>
        <w:t>s correspondence address.  On 9 April 2020, the Appellant signed the decision letter and related documents. Due to an earlier misunderstanding of the appeal procedure, and after learning of the correct appeal procedure, the Appellant wrote to the Inland Revenue Department on 13 May to notify the Department of his appeal application.</w:t>
      </w:r>
    </w:p>
    <w:p w14:paraId="5B11B878" w14:textId="77777777" w:rsidR="009E7A33" w:rsidRPr="009E7A33" w:rsidRDefault="009E7A33" w:rsidP="00B122A3">
      <w:pPr>
        <w:ind w:firstLineChars="373" w:firstLine="895"/>
        <w:jc w:val="both"/>
        <w:rPr>
          <w:color w:val="000000" w:themeColor="text1"/>
          <w:sz w:val="24"/>
          <w:szCs w:val="24"/>
        </w:rPr>
      </w:pPr>
    </w:p>
    <w:p w14:paraId="51DEAFD4" w14:textId="3CF50D3C" w:rsidR="009E7A33" w:rsidRPr="009E7A33" w:rsidRDefault="009E7A33" w:rsidP="00B122A3">
      <w:pPr>
        <w:ind w:firstLineChars="373" w:firstLine="895"/>
        <w:jc w:val="both"/>
        <w:rPr>
          <w:color w:val="000000" w:themeColor="text1"/>
          <w:sz w:val="24"/>
          <w:szCs w:val="24"/>
        </w:rPr>
      </w:pPr>
      <w:r w:rsidRPr="009E7A33">
        <w:rPr>
          <w:color w:val="000000" w:themeColor="text1"/>
          <w:sz w:val="24"/>
          <w:szCs w:val="24"/>
        </w:rPr>
        <w:t>The Appellant stated that a notice of appeal was sent immediately after receiving the Decision. The Appellant also stated that he</w:t>
      </w:r>
      <w:r w:rsidRPr="009E7A33">
        <w:rPr>
          <w:rFonts w:hint="eastAsia"/>
          <w:color w:val="000000" w:themeColor="text1"/>
          <w:sz w:val="24"/>
          <w:szCs w:val="24"/>
        </w:rPr>
        <w:t xml:space="preserve"> </w:t>
      </w:r>
      <w:r w:rsidRPr="009E7A33">
        <w:rPr>
          <w:color w:val="000000" w:themeColor="text1"/>
          <w:sz w:val="24"/>
          <w:szCs w:val="24"/>
        </w:rPr>
        <w:t>failed to meet the requirements simply because he did not understand the procedures. After learning of the error, the Appellant said he tried his best to correct it. The Appellant</w:t>
      </w:r>
      <w:r w:rsidR="00BC3C02">
        <w:rPr>
          <w:color w:val="000000" w:themeColor="text1"/>
          <w:sz w:val="24"/>
          <w:szCs w:val="24"/>
        </w:rPr>
        <w:t>’</w:t>
      </w:r>
      <w:r w:rsidRPr="009E7A33">
        <w:rPr>
          <w:color w:val="000000" w:themeColor="text1"/>
          <w:sz w:val="24"/>
          <w:szCs w:val="24"/>
        </w:rPr>
        <w:t>s case is that his actual income was much lower than the appraisal.</w:t>
      </w:r>
    </w:p>
    <w:p w14:paraId="670C48DB" w14:textId="1C7E7C08" w:rsidR="009E7A33" w:rsidRDefault="009E7A33" w:rsidP="009E7A33">
      <w:pPr>
        <w:jc w:val="both"/>
        <w:rPr>
          <w:color w:val="000000" w:themeColor="text1"/>
          <w:sz w:val="24"/>
          <w:szCs w:val="24"/>
        </w:rPr>
      </w:pPr>
    </w:p>
    <w:p w14:paraId="3B68F694" w14:textId="77777777" w:rsidR="009E7A33" w:rsidRPr="009E7A33" w:rsidRDefault="009E7A33" w:rsidP="009E7A33">
      <w:pPr>
        <w:jc w:val="both"/>
        <w:rPr>
          <w:color w:val="000000" w:themeColor="text1"/>
          <w:sz w:val="24"/>
          <w:szCs w:val="24"/>
        </w:rPr>
      </w:pPr>
    </w:p>
    <w:p w14:paraId="5D53E887" w14:textId="77777777" w:rsidR="009E7A33" w:rsidRPr="009E7A33" w:rsidRDefault="009E7A33" w:rsidP="009E7A33">
      <w:pPr>
        <w:ind w:leftChars="450" w:left="900"/>
        <w:jc w:val="both"/>
        <w:rPr>
          <w:b/>
          <w:bCs/>
          <w:color w:val="000000" w:themeColor="text1"/>
          <w:sz w:val="24"/>
          <w:szCs w:val="24"/>
        </w:rPr>
      </w:pPr>
      <w:r w:rsidRPr="009E7A33">
        <w:rPr>
          <w:b/>
          <w:bCs/>
          <w:color w:val="000000" w:themeColor="text1"/>
          <w:sz w:val="24"/>
          <w:szCs w:val="24"/>
        </w:rPr>
        <w:t>Held:</w:t>
      </w:r>
    </w:p>
    <w:p w14:paraId="770C5D41" w14:textId="77777777" w:rsidR="009E7A33" w:rsidRPr="009E7A33" w:rsidRDefault="009E7A33" w:rsidP="009E7A33">
      <w:pPr>
        <w:jc w:val="both"/>
        <w:rPr>
          <w:color w:val="000000" w:themeColor="text1"/>
          <w:sz w:val="24"/>
          <w:szCs w:val="24"/>
        </w:rPr>
      </w:pPr>
    </w:p>
    <w:p w14:paraId="30627B21" w14:textId="0D76DBFA" w:rsidR="009E7A33" w:rsidRDefault="009E7A33" w:rsidP="009E7A33">
      <w:pPr>
        <w:ind w:leftChars="450" w:left="900"/>
        <w:jc w:val="both"/>
        <w:rPr>
          <w:color w:val="000000" w:themeColor="text1"/>
          <w:sz w:val="24"/>
          <w:szCs w:val="24"/>
          <w:u w:val="single"/>
        </w:rPr>
      </w:pPr>
      <w:r w:rsidRPr="009E7A33">
        <w:rPr>
          <w:color w:val="000000" w:themeColor="text1"/>
          <w:sz w:val="24"/>
          <w:szCs w:val="24"/>
          <w:u w:val="single"/>
        </w:rPr>
        <w:t xml:space="preserve">Appeal out of time </w:t>
      </w:r>
    </w:p>
    <w:p w14:paraId="23E1C1B1" w14:textId="77777777" w:rsidR="009E7A33" w:rsidRPr="009E7A33" w:rsidRDefault="009E7A33" w:rsidP="009E7A33">
      <w:pPr>
        <w:jc w:val="both"/>
        <w:rPr>
          <w:color w:val="000000" w:themeColor="text1"/>
          <w:sz w:val="24"/>
          <w:szCs w:val="24"/>
          <w:u w:val="single"/>
        </w:rPr>
      </w:pPr>
    </w:p>
    <w:p w14:paraId="4D1A65D9" w14:textId="143C287F" w:rsidR="009E7A33" w:rsidRPr="009E7A33" w:rsidRDefault="009E7A33" w:rsidP="009E7A33">
      <w:pPr>
        <w:pStyle w:val="aff"/>
        <w:numPr>
          <w:ilvl w:val="0"/>
          <w:numId w:val="23"/>
        </w:numPr>
        <w:tabs>
          <w:tab w:val="left" w:pos="1300"/>
        </w:tabs>
        <w:ind w:leftChars="450" w:left="1308" w:hangingChars="170" w:hanging="408"/>
        <w:jc w:val="both"/>
        <w:textAlignment w:val="auto"/>
        <w:rPr>
          <w:color w:val="000000" w:themeColor="text1"/>
          <w:sz w:val="24"/>
          <w:szCs w:val="24"/>
        </w:rPr>
      </w:pPr>
      <w:r w:rsidRPr="009E7A33">
        <w:rPr>
          <w:color w:val="000000" w:themeColor="text1"/>
          <w:sz w:val="24"/>
          <w:szCs w:val="24"/>
        </w:rPr>
        <w:t>When reviewing whether the appeal is out of time, the starting point is section 66 of the Inland Revenue Ordinance (C</w:t>
      </w:r>
      <w:r w:rsidR="00BC3C02">
        <w:rPr>
          <w:rFonts w:hint="eastAsia"/>
          <w:color w:val="000000" w:themeColor="text1"/>
          <w:sz w:val="24"/>
          <w:szCs w:val="24"/>
        </w:rPr>
        <w:t>h</w:t>
      </w:r>
      <w:r w:rsidRPr="009E7A33">
        <w:rPr>
          <w:color w:val="000000" w:themeColor="text1"/>
          <w:sz w:val="24"/>
          <w:szCs w:val="24"/>
        </w:rPr>
        <w:t>ap</w:t>
      </w:r>
      <w:r w:rsidR="00BC3C02">
        <w:rPr>
          <w:color w:val="000000" w:themeColor="text1"/>
          <w:sz w:val="24"/>
          <w:szCs w:val="24"/>
        </w:rPr>
        <w:t>ter</w:t>
      </w:r>
      <w:r w:rsidRPr="009E7A33">
        <w:rPr>
          <w:color w:val="000000" w:themeColor="text1"/>
          <w:sz w:val="24"/>
          <w:szCs w:val="24"/>
        </w:rPr>
        <w:t xml:space="preserve"> 112). In </w:t>
      </w:r>
      <w:r w:rsidRPr="00BC3C02">
        <w:rPr>
          <w:iCs/>
          <w:color w:val="000000" w:themeColor="text1"/>
          <w:sz w:val="24"/>
          <w:szCs w:val="24"/>
          <w:u w:val="single"/>
        </w:rPr>
        <w:t xml:space="preserve">Chow Kwong Fai v </w:t>
      </w:r>
      <w:r w:rsidRPr="00BC3C02">
        <w:rPr>
          <w:iCs/>
          <w:color w:val="000000" w:themeColor="text1"/>
          <w:sz w:val="24"/>
          <w:szCs w:val="24"/>
          <w:u w:val="single"/>
        </w:rPr>
        <w:lastRenderedPageBreak/>
        <w:t>Commissioner of Inland Revenue</w:t>
      </w:r>
      <w:r w:rsidRPr="009E7A33">
        <w:rPr>
          <w:color w:val="000000" w:themeColor="text1"/>
          <w:sz w:val="24"/>
          <w:szCs w:val="24"/>
        </w:rPr>
        <w:t xml:space="preserve"> [2005] 4 HKLRD 687, the Court of Appeal made a relevant interpretation of Section 6 of the Tax Regulations. Among them, with regard to Section 66 (1A), the Court of Appeal pointed out that the term </w:t>
      </w:r>
      <w:r w:rsidR="00BC3C02">
        <w:rPr>
          <w:color w:val="000000" w:themeColor="text1"/>
          <w:sz w:val="24"/>
          <w:szCs w:val="24"/>
        </w:rPr>
        <w:t>‘</w:t>
      </w:r>
      <w:r w:rsidRPr="009E7A33">
        <w:rPr>
          <w:color w:val="000000" w:themeColor="text1"/>
          <w:sz w:val="24"/>
          <w:szCs w:val="24"/>
        </w:rPr>
        <w:t>failure</w:t>
      </w:r>
      <w:r w:rsidR="00BC3C02">
        <w:rPr>
          <w:color w:val="000000" w:themeColor="text1"/>
          <w:sz w:val="24"/>
          <w:szCs w:val="24"/>
        </w:rPr>
        <w:t>’</w:t>
      </w:r>
      <w:r w:rsidRPr="009E7A33">
        <w:rPr>
          <w:color w:val="000000" w:themeColor="text1"/>
          <w:sz w:val="24"/>
          <w:szCs w:val="24"/>
        </w:rPr>
        <w:t xml:space="preserve"> clearly stated that the threshold must be higher than pure excuses. In addition, the Court of Appeal pointed out that the Appellant’s own misunderstanding, ignorance and unreasonable reading of the articles of association did not constitute a reasonable cause. Although the committee sympathized with and understood that the Appellant was not intentionally delayed, the committee could not accept the Appellant's reason to appeal out of time </w:t>
      </w:r>
      <w:r w:rsidRPr="009E7A33">
        <w:rPr>
          <w:rFonts w:hint="eastAsia"/>
          <w:color w:val="000000" w:themeColor="text1"/>
          <w:sz w:val="24"/>
          <w:szCs w:val="24"/>
        </w:rPr>
        <w:t>a</w:t>
      </w:r>
      <w:r w:rsidRPr="009E7A33">
        <w:rPr>
          <w:color w:val="000000" w:themeColor="text1"/>
          <w:sz w:val="24"/>
          <w:szCs w:val="24"/>
        </w:rPr>
        <w:t xml:space="preserve">s a </w:t>
      </w:r>
      <w:r w:rsidR="00BC3C02">
        <w:rPr>
          <w:color w:val="000000" w:themeColor="text1"/>
          <w:sz w:val="24"/>
          <w:szCs w:val="24"/>
        </w:rPr>
        <w:t>‘</w:t>
      </w:r>
      <w:r w:rsidRPr="009E7A33">
        <w:rPr>
          <w:color w:val="000000" w:themeColor="text1"/>
          <w:sz w:val="24"/>
          <w:szCs w:val="24"/>
        </w:rPr>
        <w:t>reasonable cause</w:t>
      </w:r>
      <w:r w:rsidR="00BC3C02">
        <w:rPr>
          <w:color w:val="000000" w:themeColor="text1"/>
          <w:sz w:val="24"/>
          <w:szCs w:val="24"/>
        </w:rPr>
        <w:t>’</w:t>
      </w:r>
      <w:r w:rsidRPr="009E7A33">
        <w:rPr>
          <w:color w:val="000000" w:themeColor="text1"/>
          <w:sz w:val="24"/>
          <w:szCs w:val="24"/>
        </w:rPr>
        <w:t>.</w:t>
      </w:r>
    </w:p>
    <w:p w14:paraId="08C20CE7" w14:textId="77777777" w:rsidR="009E7A33" w:rsidRPr="009E7A33" w:rsidRDefault="009E7A33" w:rsidP="009E7A33">
      <w:pPr>
        <w:jc w:val="both"/>
        <w:rPr>
          <w:color w:val="000000" w:themeColor="text1"/>
          <w:sz w:val="24"/>
          <w:szCs w:val="24"/>
        </w:rPr>
      </w:pPr>
    </w:p>
    <w:p w14:paraId="1775AFF2" w14:textId="26D05BCC" w:rsidR="009E7A33" w:rsidRDefault="009E7A33" w:rsidP="009E7A33">
      <w:pPr>
        <w:ind w:leftChars="450" w:left="900"/>
        <w:jc w:val="both"/>
        <w:rPr>
          <w:color w:val="000000" w:themeColor="text1"/>
          <w:sz w:val="24"/>
          <w:szCs w:val="24"/>
          <w:u w:val="single"/>
        </w:rPr>
      </w:pPr>
      <w:r w:rsidRPr="009E7A33">
        <w:rPr>
          <w:color w:val="000000" w:themeColor="text1"/>
          <w:sz w:val="24"/>
          <w:szCs w:val="24"/>
          <w:u w:val="single"/>
        </w:rPr>
        <w:t>Salaries Tax</w:t>
      </w:r>
    </w:p>
    <w:p w14:paraId="225E794D" w14:textId="77777777" w:rsidR="009E7A33" w:rsidRPr="009E7A33" w:rsidRDefault="009E7A33" w:rsidP="009E7A33">
      <w:pPr>
        <w:jc w:val="both"/>
        <w:rPr>
          <w:color w:val="000000" w:themeColor="text1"/>
          <w:sz w:val="24"/>
          <w:szCs w:val="24"/>
          <w:u w:val="single"/>
        </w:rPr>
      </w:pPr>
    </w:p>
    <w:p w14:paraId="18EB88F8" w14:textId="77777777" w:rsidR="009E7A33" w:rsidRPr="009E7A33" w:rsidRDefault="009E7A33" w:rsidP="009E7A33">
      <w:pPr>
        <w:pStyle w:val="aff"/>
        <w:numPr>
          <w:ilvl w:val="0"/>
          <w:numId w:val="23"/>
        </w:numPr>
        <w:tabs>
          <w:tab w:val="left" w:pos="1300"/>
        </w:tabs>
        <w:ind w:leftChars="450" w:left="1308" w:hangingChars="170" w:hanging="408"/>
        <w:jc w:val="both"/>
        <w:textAlignment w:val="auto"/>
        <w:rPr>
          <w:color w:val="000000" w:themeColor="text1"/>
          <w:sz w:val="24"/>
          <w:szCs w:val="24"/>
        </w:rPr>
      </w:pPr>
      <w:r w:rsidRPr="009E7A33">
        <w:rPr>
          <w:color w:val="000000" w:themeColor="text1"/>
          <w:sz w:val="24"/>
          <w:szCs w:val="24"/>
        </w:rPr>
        <w:t>In order to comply with the deduction requirements in Section 12(1)(a) of the Inland Revenue Ordinance, the Appellant must make clear that: (i) he does have relevant expenses; (ii) the relevant expenses were incurred while performing his duties; and (iii) The relevant expenses are completely, purely and must be incurred for generating the assessable income (</w:t>
      </w:r>
      <w:r w:rsidRPr="00BC3C02">
        <w:rPr>
          <w:color w:val="000000" w:themeColor="text1"/>
          <w:sz w:val="24"/>
          <w:szCs w:val="24"/>
          <w:u w:val="single"/>
        </w:rPr>
        <w:t>D36/90</w:t>
      </w:r>
      <w:r w:rsidRPr="009E7A33">
        <w:rPr>
          <w:color w:val="000000" w:themeColor="text1"/>
          <w:sz w:val="24"/>
          <w:szCs w:val="24"/>
        </w:rPr>
        <w:t xml:space="preserve">, IRBRD, vol 5, 295). According to Section 68(4) of the Inland Revenue Ordinance, the burden of proof lies with the Appellant. However, the Appellant failed to provide evidence and records of the relevant expenditures and was unable to fulfil the requirements of the burden of proof. Therefore, the committee was unable to confirm the allegedly incurred and accuracy of the relevant expenditures. </w:t>
      </w:r>
    </w:p>
    <w:p w14:paraId="48622F0B" w14:textId="77777777" w:rsidR="001D782C" w:rsidRPr="009E7A33" w:rsidRDefault="001D782C" w:rsidP="009E7A33">
      <w:pPr>
        <w:tabs>
          <w:tab w:val="left" w:pos="840"/>
          <w:tab w:val="left" w:pos="1276"/>
        </w:tabs>
        <w:jc w:val="both"/>
        <w:rPr>
          <w:rFonts w:eastAsia="標楷體"/>
          <w:sz w:val="24"/>
          <w:szCs w:val="24"/>
          <w:lang w:eastAsia="zh-HK"/>
        </w:rPr>
      </w:pPr>
    </w:p>
    <w:p w14:paraId="79B3A2F1" w14:textId="77777777" w:rsidR="001D782C" w:rsidRPr="009E7A33" w:rsidRDefault="001D782C" w:rsidP="009E7A33">
      <w:pPr>
        <w:tabs>
          <w:tab w:val="left" w:pos="840"/>
          <w:tab w:val="left" w:pos="1276"/>
        </w:tabs>
        <w:jc w:val="both"/>
        <w:rPr>
          <w:rFonts w:eastAsia="標楷體"/>
          <w:sz w:val="24"/>
          <w:szCs w:val="24"/>
          <w:lang w:eastAsia="zh-HK"/>
        </w:rPr>
      </w:pPr>
    </w:p>
    <w:p w14:paraId="7B7EF19B" w14:textId="77777777" w:rsidR="001D782C" w:rsidRPr="00401789" w:rsidRDefault="001D782C" w:rsidP="009E7A33">
      <w:pPr>
        <w:tabs>
          <w:tab w:val="left" w:pos="1276"/>
        </w:tabs>
        <w:jc w:val="both"/>
        <w:rPr>
          <w:rFonts w:eastAsia="標楷體"/>
          <w:b/>
          <w:sz w:val="24"/>
          <w:szCs w:val="24"/>
          <w:lang w:val="en-US" w:eastAsia="zh-HK"/>
        </w:rPr>
      </w:pPr>
      <w:r w:rsidRPr="00401789">
        <w:rPr>
          <w:rFonts w:eastAsia="標楷體"/>
          <w:b/>
          <w:sz w:val="24"/>
          <w:szCs w:val="24"/>
          <w:lang w:val="en-US" w:eastAsia="zh-HK"/>
        </w:rPr>
        <w:t>Appeal dismissed.</w:t>
      </w:r>
    </w:p>
    <w:p w14:paraId="5007C377" w14:textId="77777777" w:rsidR="001D782C" w:rsidRPr="00401789" w:rsidRDefault="001D782C" w:rsidP="008A57E3">
      <w:pPr>
        <w:tabs>
          <w:tab w:val="left" w:pos="1276"/>
        </w:tabs>
        <w:jc w:val="both"/>
        <w:rPr>
          <w:rFonts w:eastAsia="標楷體"/>
          <w:sz w:val="24"/>
          <w:szCs w:val="24"/>
          <w:lang w:val="en-US" w:eastAsia="zh-HK"/>
        </w:rPr>
      </w:pPr>
    </w:p>
    <w:p w14:paraId="54E28552" w14:textId="77777777" w:rsidR="001D782C" w:rsidRPr="00401789" w:rsidRDefault="001D782C" w:rsidP="008A57E3">
      <w:pPr>
        <w:tabs>
          <w:tab w:val="left" w:pos="1276"/>
        </w:tabs>
        <w:jc w:val="both"/>
        <w:rPr>
          <w:rFonts w:eastAsia="標楷體"/>
          <w:sz w:val="24"/>
          <w:szCs w:val="24"/>
          <w:lang w:val="en-US" w:eastAsia="zh-HK"/>
        </w:rPr>
      </w:pPr>
      <w:r w:rsidRPr="00401789">
        <w:rPr>
          <w:rFonts w:eastAsia="標楷體"/>
          <w:sz w:val="24"/>
          <w:szCs w:val="24"/>
          <w:lang w:val="en-US" w:eastAsia="zh-HK"/>
        </w:rPr>
        <w:t>Cases referred to:</w:t>
      </w:r>
    </w:p>
    <w:p w14:paraId="11217382" w14:textId="77777777" w:rsidR="001D782C" w:rsidRPr="00401789" w:rsidRDefault="001D782C" w:rsidP="008A57E3">
      <w:pPr>
        <w:tabs>
          <w:tab w:val="left" w:pos="1276"/>
        </w:tabs>
        <w:jc w:val="both"/>
        <w:rPr>
          <w:rFonts w:eastAsia="標楷體"/>
          <w:sz w:val="24"/>
          <w:szCs w:val="24"/>
          <w:lang w:val="en-US" w:eastAsia="zh-HK"/>
        </w:rPr>
      </w:pPr>
    </w:p>
    <w:p w14:paraId="4B58F81A"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Chow Kwong Fai v Commissioner of Inland Revenue [2005] 4 HKLRD 687</w:t>
      </w:r>
    </w:p>
    <w:p w14:paraId="2F32C7ED"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D2/04, IRBRD, vol 19, 76</w:t>
      </w:r>
    </w:p>
    <w:p w14:paraId="4A2C97B4"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D24/16, (2017-18) IRBRD, vol 32, 319</w:t>
      </w:r>
    </w:p>
    <w:p w14:paraId="2BC4AE9B"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D41/05, (2005-06) IRBRD, vol 20, 590</w:t>
      </w:r>
    </w:p>
    <w:p w14:paraId="336B3E76"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D139/00, IRBRD, vol 16, 24</w:t>
      </w:r>
    </w:p>
    <w:p w14:paraId="3447F9A7"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D36/90, IRBRD, vol 5, 295</w:t>
      </w:r>
    </w:p>
    <w:p w14:paraId="48414BC4" w14:textId="77777777" w:rsidR="001D782C" w:rsidRPr="00401789" w:rsidRDefault="001D782C" w:rsidP="008A57E3">
      <w:pPr>
        <w:tabs>
          <w:tab w:val="left" w:pos="1276"/>
        </w:tabs>
        <w:ind w:leftChars="425" w:left="850"/>
        <w:jc w:val="both"/>
        <w:rPr>
          <w:rFonts w:eastAsia="標楷體"/>
          <w:sz w:val="24"/>
          <w:szCs w:val="24"/>
          <w:lang w:val="en-US" w:eastAsia="zh-HK"/>
        </w:rPr>
      </w:pPr>
    </w:p>
    <w:p w14:paraId="0C047EB7" w14:textId="77777777" w:rsidR="001D782C" w:rsidRPr="00401789" w:rsidRDefault="001D782C" w:rsidP="008A57E3">
      <w:pPr>
        <w:tabs>
          <w:tab w:val="left" w:pos="1276"/>
        </w:tabs>
        <w:jc w:val="both"/>
        <w:rPr>
          <w:rFonts w:eastAsia="標楷體"/>
          <w:sz w:val="24"/>
          <w:szCs w:val="24"/>
          <w:lang w:val="en-US" w:eastAsia="zh-HK"/>
        </w:rPr>
      </w:pPr>
      <w:r w:rsidRPr="00401789">
        <w:rPr>
          <w:rFonts w:eastAsia="標楷體"/>
          <w:sz w:val="24"/>
          <w:szCs w:val="24"/>
          <w:lang w:val="en-US" w:eastAsia="zh-HK"/>
        </w:rPr>
        <w:t xml:space="preserve">Appellant in person. </w:t>
      </w:r>
    </w:p>
    <w:p w14:paraId="237DE429" w14:textId="77777777" w:rsidR="001D782C" w:rsidRPr="00401789" w:rsidRDefault="001D782C" w:rsidP="008A57E3">
      <w:pPr>
        <w:tabs>
          <w:tab w:val="left" w:pos="1276"/>
        </w:tabs>
        <w:ind w:left="240" w:hangingChars="100" w:hanging="240"/>
        <w:jc w:val="both"/>
        <w:rPr>
          <w:rFonts w:eastAsia="標楷體"/>
          <w:sz w:val="24"/>
          <w:szCs w:val="24"/>
          <w:lang w:eastAsia="zh-HK"/>
        </w:rPr>
      </w:pPr>
      <w:r w:rsidRPr="00401789">
        <w:rPr>
          <w:rFonts w:eastAsia="標楷體"/>
          <w:sz w:val="24"/>
          <w:szCs w:val="24"/>
          <w:lang w:val="en-US" w:eastAsia="zh-HK"/>
        </w:rPr>
        <w:t xml:space="preserve">Cheng Po Fung and Ho Lut Him, for the </w:t>
      </w:r>
      <w:r w:rsidRPr="00401789">
        <w:rPr>
          <w:rFonts w:eastAsia="標楷體"/>
          <w:sz w:val="24"/>
          <w:szCs w:val="24"/>
          <w:lang w:eastAsia="zh-HK"/>
        </w:rPr>
        <w:t>Commissioner of Inland Revenue.</w:t>
      </w:r>
    </w:p>
    <w:p w14:paraId="2FA6BCC8" w14:textId="77777777" w:rsidR="001D782C" w:rsidRPr="00401789" w:rsidRDefault="001D782C" w:rsidP="008A57E3">
      <w:pPr>
        <w:tabs>
          <w:tab w:val="left" w:pos="1276"/>
        </w:tabs>
        <w:jc w:val="both"/>
        <w:rPr>
          <w:rFonts w:eastAsia="標楷體"/>
          <w:sz w:val="24"/>
          <w:szCs w:val="24"/>
          <w:lang w:eastAsia="zh-HK"/>
        </w:rPr>
      </w:pPr>
    </w:p>
    <w:p w14:paraId="2AA50DDD" w14:textId="77777777" w:rsidR="001D782C" w:rsidRPr="00401789" w:rsidRDefault="001D782C" w:rsidP="008A57E3">
      <w:pPr>
        <w:tabs>
          <w:tab w:val="left" w:pos="1276"/>
        </w:tabs>
        <w:jc w:val="both"/>
        <w:rPr>
          <w:rFonts w:eastAsia="標楷體"/>
          <w:sz w:val="24"/>
          <w:szCs w:val="24"/>
          <w:lang w:val="en-US" w:eastAsia="zh-HK"/>
        </w:rPr>
      </w:pPr>
    </w:p>
    <w:p w14:paraId="19119C86" w14:textId="77777777" w:rsidR="001D782C" w:rsidRPr="00401789" w:rsidRDefault="001D782C" w:rsidP="008A57E3">
      <w:pPr>
        <w:tabs>
          <w:tab w:val="left" w:pos="1276"/>
        </w:tabs>
        <w:jc w:val="both"/>
        <w:rPr>
          <w:rFonts w:eastAsia="標楷體"/>
          <w:sz w:val="24"/>
          <w:szCs w:val="24"/>
          <w:lang w:val="en-US" w:eastAsia="zh-HK"/>
        </w:rPr>
      </w:pPr>
    </w:p>
    <w:p w14:paraId="4EB6905C" w14:textId="58DEA330" w:rsidR="001D782C" w:rsidRPr="00401789" w:rsidRDefault="001D782C" w:rsidP="008A57E3">
      <w:pPr>
        <w:tabs>
          <w:tab w:val="left" w:pos="1276"/>
        </w:tabs>
        <w:jc w:val="both"/>
        <w:rPr>
          <w:rFonts w:eastAsia="標楷體"/>
          <w:sz w:val="24"/>
          <w:szCs w:val="24"/>
          <w:lang w:val="en-US" w:eastAsia="zh-HK"/>
        </w:rPr>
      </w:pPr>
    </w:p>
    <w:p w14:paraId="4CCCE9E5" w14:textId="77777777" w:rsidR="001D782C" w:rsidRPr="00401789" w:rsidRDefault="001D782C" w:rsidP="008A57E3">
      <w:pPr>
        <w:tabs>
          <w:tab w:val="left" w:pos="1276"/>
        </w:tabs>
        <w:jc w:val="both"/>
        <w:rPr>
          <w:rFonts w:eastAsia="標楷體"/>
          <w:sz w:val="24"/>
          <w:szCs w:val="24"/>
          <w:lang w:val="en-US" w:eastAsia="zh-HK"/>
        </w:rPr>
      </w:pPr>
      <w:r w:rsidRPr="00401789">
        <w:rPr>
          <w:rFonts w:eastAsia="標楷體"/>
          <w:sz w:val="24"/>
          <w:szCs w:val="24"/>
          <w:lang w:val="en-US" w:eastAsia="zh-HK"/>
        </w:rPr>
        <w:br w:type="page"/>
      </w:r>
    </w:p>
    <w:p w14:paraId="6C35D32D" w14:textId="77777777" w:rsidR="001D782C" w:rsidRPr="00401789" w:rsidRDefault="001D782C" w:rsidP="008A57E3">
      <w:pPr>
        <w:tabs>
          <w:tab w:val="left" w:pos="1276"/>
        </w:tabs>
        <w:jc w:val="center"/>
        <w:rPr>
          <w:rFonts w:eastAsia="標楷體"/>
          <w:b/>
          <w:sz w:val="28"/>
          <w:szCs w:val="28"/>
          <w:lang w:val="en-US"/>
        </w:rPr>
      </w:pPr>
      <w:r w:rsidRPr="00401789">
        <w:rPr>
          <w:rFonts w:eastAsia="標楷體"/>
          <w:b/>
          <w:sz w:val="28"/>
          <w:szCs w:val="28"/>
          <w:lang w:val="en-US"/>
        </w:rPr>
        <w:lastRenderedPageBreak/>
        <w:t>案件編號</w:t>
      </w:r>
      <w:r w:rsidRPr="00401789">
        <w:rPr>
          <w:rFonts w:eastAsia="標楷體"/>
          <w:b/>
          <w:sz w:val="28"/>
          <w:szCs w:val="28"/>
          <w:lang w:val="en-US"/>
        </w:rPr>
        <w:t xml:space="preserve"> D13/20</w:t>
      </w:r>
    </w:p>
    <w:p w14:paraId="67F34F25" w14:textId="77777777" w:rsidR="001D782C" w:rsidRPr="00401789" w:rsidRDefault="001D782C" w:rsidP="008A57E3">
      <w:pPr>
        <w:tabs>
          <w:tab w:val="left" w:pos="1276"/>
        </w:tabs>
        <w:jc w:val="both"/>
        <w:rPr>
          <w:rFonts w:eastAsia="標楷體"/>
          <w:color w:val="FF0000"/>
          <w:sz w:val="24"/>
          <w:szCs w:val="24"/>
          <w:lang w:val="en-US"/>
        </w:rPr>
      </w:pPr>
    </w:p>
    <w:p w14:paraId="7C302A8F" w14:textId="6457DF4D" w:rsidR="001D782C" w:rsidRDefault="001D782C" w:rsidP="008A57E3">
      <w:pPr>
        <w:tabs>
          <w:tab w:val="left" w:pos="1276"/>
        </w:tabs>
        <w:jc w:val="both"/>
        <w:rPr>
          <w:rFonts w:eastAsia="標楷體"/>
          <w:color w:val="FF0000"/>
          <w:sz w:val="24"/>
          <w:szCs w:val="24"/>
        </w:rPr>
      </w:pPr>
    </w:p>
    <w:p w14:paraId="1A1E689D" w14:textId="77777777" w:rsidR="00BC3C02" w:rsidRDefault="00BC3C02" w:rsidP="008A57E3">
      <w:pPr>
        <w:tabs>
          <w:tab w:val="left" w:pos="1276"/>
        </w:tabs>
        <w:jc w:val="both"/>
        <w:rPr>
          <w:rFonts w:eastAsia="標楷體"/>
          <w:color w:val="FF0000"/>
          <w:sz w:val="24"/>
          <w:szCs w:val="24"/>
        </w:rPr>
      </w:pPr>
    </w:p>
    <w:p w14:paraId="558FAFE5" w14:textId="77777777" w:rsidR="00401789" w:rsidRPr="00401789" w:rsidRDefault="00401789" w:rsidP="008A57E3">
      <w:pPr>
        <w:tabs>
          <w:tab w:val="left" w:pos="1276"/>
        </w:tabs>
        <w:jc w:val="both"/>
        <w:rPr>
          <w:rFonts w:eastAsia="標楷體"/>
          <w:color w:val="FF0000"/>
          <w:sz w:val="24"/>
          <w:szCs w:val="24"/>
        </w:rPr>
      </w:pPr>
    </w:p>
    <w:p w14:paraId="5EDDB445" w14:textId="45891280" w:rsidR="001D782C" w:rsidRPr="009E7A33" w:rsidRDefault="009E7A33" w:rsidP="008A57E3">
      <w:pPr>
        <w:tabs>
          <w:tab w:val="left" w:pos="1276"/>
        </w:tabs>
        <w:jc w:val="both"/>
        <w:rPr>
          <w:rFonts w:eastAsia="標楷體"/>
          <w:sz w:val="24"/>
          <w:szCs w:val="24"/>
        </w:rPr>
      </w:pPr>
      <w:r w:rsidRPr="009E7A33">
        <w:rPr>
          <w:rFonts w:eastAsia="標楷體" w:hint="eastAsia"/>
          <w:b/>
          <w:sz w:val="28"/>
          <w:szCs w:val="28"/>
        </w:rPr>
        <w:t>薪俸稅</w:t>
      </w:r>
      <w:r w:rsidRPr="009E7A33">
        <w:rPr>
          <w:rFonts w:eastAsia="標楷體" w:hint="eastAsia"/>
          <w:sz w:val="24"/>
          <w:szCs w:val="24"/>
        </w:rPr>
        <w:t>–逾期上訴–有關開支是否在履行職責時產生–有關開支的文件證明–《稅務條例》第</w:t>
      </w:r>
      <w:r w:rsidRPr="009E7A33">
        <w:rPr>
          <w:rFonts w:eastAsia="標楷體" w:hint="eastAsia"/>
          <w:sz w:val="24"/>
          <w:szCs w:val="24"/>
        </w:rPr>
        <w:t>12(1)(a)</w:t>
      </w:r>
      <w:r w:rsidRPr="009E7A33">
        <w:rPr>
          <w:rFonts w:eastAsia="標楷體" w:hint="eastAsia"/>
          <w:sz w:val="24"/>
          <w:szCs w:val="24"/>
        </w:rPr>
        <w:t>、</w:t>
      </w:r>
      <w:r w:rsidRPr="009E7A33">
        <w:rPr>
          <w:rFonts w:eastAsia="標楷體" w:hint="eastAsia"/>
          <w:sz w:val="24"/>
          <w:szCs w:val="24"/>
        </w:rPr>
        <w:t>66</w:t>
      </w:r>
      <w:r w:rsidRPr="009E7A33">
        <w:rPr>
          <w:rFonts w:eastAsia="標楷體" w:hint="eastAsia"/>
          <w:sz w:val="24"/>
          <w:szCs w:val="24"/>
        </w:rPr>
        <w:t>及</w:t>
      </w:r>
      <w:r w:rsidRPr="009E7A33">
        <w:rPr>
          <w:rFonts w:eastAsia="標楷體" w:hint="eastAsia"/>
          <w:sz w:val="24"/>
          <w:szCs w:val="24"/>
        </w:rPr>
        <w:t>68(4)</w:t>
      </w:r>
      <w:r w:rsidRPr="009E7A33">
        <w:rPr>
          <w:rFonts w:eastAsia="標楷體" w:hint="eastAsia"/>
          <w:sz w:val="24"/>
          <w:szCs w:val="24"/>
        </w:rPr>
        <w:t>條</w:t>
      </w:r>
    </w:p>
    <w:p w14:paraId="3C37E4A5" w14:textId="77777777" w:rsidR="009E7A33" w:rsidRPr="00401789" w:rsidRDefault="009E7A33" w:rsidP="008A57E3">
      <w:pPr>
        <w:tabs>
          <w:tab w:val="left" w:pos="1276"/>
        </w:tabs>
        <w:jc w:val="both"/>
        <w:rPr>
          <w:rFonts w:eastAsia="標楷體"/>
          <w:color w:val="FF0000"/>
          <w:sz w:val="24"/>
          <w:szCs w:val="24"/>
        </w:rPr>
      </w:pPr>
    </w:p>
    <w:p w14:paraId="7A59B2E0" w14:textId="77777777" w:rsidR="001D782C" w:rsidRPr="00401789" w:rsidRDefault="001D782C" w:rsidP="008A57E3">
      <w:pPr>
        <w:tabs>
          <w:tab w:val="left" w:pos="840"/>
          <w:tab w:val="left" w:pos="1276"/>
        </w:tabs>
        <w:jc w:val="both"/>
        <w:rPr>
          <w:rFonts w:eastAsia="標楷體"/>
          <w:sz w:val="24"/>
          <w:szCs w:val="24"/>
          <w:lang w:eastAsia="zh-HK"/>
        </w:rPr>
      </w:pPr>
      <w:r w:rsidRPr="00401789">
        <w:rPr>
          <w:rFonts w:eastAsia="標楷體"/>
          <w:sz w:val="24"/>
          <w:szCs w:val="24"/>
        </w:rPr>
        <w:t>委員會：葉巧琦資深大律師（主席）、鄭仲良及黎斯維</w:t>
      </w:r>
    </w:p>
    <w:p w14:paraId="5E302639" w14:textId="77777777" w:rsidR="001D782C" w:rsidRPr="00401789" w:rsidRDefault="001D782C" w:rsidP="008A57E3">
      <w:pPr>
        <w:tabs>
          <w:tab w:val="left" w:pos="840"/>
          <w:tab w:val="left" w:pos="1276"/>
        </w:tabs>
        <w:jc w:val="both"/>
        <w:rPr>
          <w:rFonts w:eastAsia="標楷體"/>
          <w:sz w:val="24"/>
          <w:szCs w:val="24"/>
          <w:lang w:eastAsia="zh-HK"/>
        </w:rPr>
      </w:pPr>
    </w:p>
    <w:p w14:paraId="78373371" w14:textId="77777777" w:rsidR="001D782C" w:rsidRPr="00401789" w:rsidRDefault="001D782C" w:rsidP="008A57E3">
      <w:pPr>
        <w:tabs>
          <w:tab w:val="left" w:pos="840"/>
          <w:tab w:val="left" w:pos="1276"/>
        </w:tabs>
        <w:rPr>
          <w:rFonts w:eastAsia="標楷體"/>
          <w:sz w:val="24"/>
          <w:szCs w:val="24"/>
        </w:rPr>
      </w:pPr>
      <w:r w:rsidRPr="00401789">
        <w:rPr>
          <w:rFonts w:eastAsia="標楷體"/>
          <w:sz w:val="24"/>
          <w:szCs w:val="24"/>
        </w:rPr>
        <w:t>聆訊日期：</w:t>
      </w:r>
      <w:r w:rsidRPr="00401789">
        <w:rPr>
          <w:rFonts w:eastAsia="標楷體"/>
          <w:sz w:val="24"/>
          <w:szCs w:val="24"/>
        </w:rPr>
        <w:t>2020</w:t>
      </w:r>
      <w:r w:rsidRPr="00401789">
        <w:rPr>
          <w:rFonts w:eastAsia="標楷體"/>
          <w:sz w:val="24"/>
          <w:szCs w:val="24"/>
        </w:rPr>
        <w:t>年</w:t>
      </w:r>
      <w:r w:rsidRPr="00401789">
        <w:rPr>
          <w:rFonts w:eastAsia="標楷體"/>
          <w:sz w:val="24"/>
          <w:szCs w:val="24"/>
        </w:rPr>
        <w:t>9</w:t>
      </w:r>
      <w:r w:rsidRPr="00401789">
        <w:rPr>
          <w:rFonts w:eastAsia="標楷體"/>
          <w:sz w:val="24"/>
          <w:szCs w:val="24"/>
        </w:rPr>
        <w:t>月</w:t>
      </w:r>
      <w:r w:rsidRPr="00401789">
        <w:rPr>
          <w:rFonts w:eastAsia="標楷體"/>
          <w:sz w:val="24"/>
          <w:szCs w:val="24"/>
        </w:rPr>
        <w:t>8</w:t>
      </w:r>
      <w:r w:rsidRPr="00401789">
        <w:rPr>
          <w:rFonts w:eastAsia="標楷體"/>
          <w:sz w:val="24"/>
          <w:szCs w:val="24"/>
        </w:rPr>
        <w:t>日</w:t>
      </w:r>
    </w:p>
    <w:p w14:paraId="78BD74FA" w14:textId="77777777" w:rsidR="001D782C" w:rsidRPr="00401789" w:rsidRDefault="001D782C" w:rsidP="008A57E3">
      <w:pPr>
        <w:tabs>
          <w:tab w:val="left" w:pos="840"/>
          <w:tab w:val="left" w:pos="1276"/>
        </w:tabs>
        <w:rPr>
          <w:rFonts w:eastAsia="標楷體"/>
          <w:sz w:val="24"/>
          <w:szCs w:val="24"/>
        </w:rPr>
      </w:pPr>
      <w:r w:rsidRPr="00401789">
        <w:rPr>
          <w:rFonts w:eastAsia="標楷體"/>
          <w:sz w:val="24"/>
          <w:szCs w:val="24"/>
        </w:rPr>
        <w:t>裁決日期：</w:t>
      </w:r>
      <w:r w:rsidRPr="00401789">
        <w:rPr>
          <w:rFonts w:eastAsia="標楷體"/>
          <w:sz w:val="24"/>
          <w:szCs w:val="24"/>
        </w:rPr>
        <w:t>2020</w:t>
      </w:r>
      <w:r w:rsidRPr="00401789">
        <w:rPr>
          <w:rFonts w:eastAsia="標楷體"/>
          <w:sz w:val="24"/>
          <w:szCs w:val="24"/>
        </w:rPr>
        <w:t>年</w:t>
      </w:r>
      <w:r w:rsidRPr="00401789">
        <w:rPr>
          <w:rFonts w:eastAsia="標楷體"/>
          <w:sz w:val="24"/>
          <w:szCs w:val="24"/>
        </w:rPr>
        <w:t>12</w:t>
      </w:r>
      <w:r w:rsidRPr="00401789">
        <w:rPr>
          <w:rFonts w:eastAsia="標楷體"/>
          <w:sz w:val="24"/>
          <w:szCs w:val="24"/>
        </w:rPr>
        <w:t>月</w:t>
      </w:r>
      <w:r w:rsidRPr="00401789">
        <w:rPr>
          <w:rFonts w:eastAsia="標楷體"/>
          <w:sz w:val="24"/>
          <w:szCs w:val="24"/>
        </w:rPr>
        <w:t>4</w:t>
      </w:r>
      <w:r w:rsidRPr="00401789">
        <w:rPr>
          <w:rFonts w:eastAsia="標楷體"/>
          <w:sz w:val="24"/>
          <w:szCs w:val="24"/>
        </w:rPr>
        <w:t>日</w:t>
      </w:r>
    </w:p>
    <w:p w14:paraId="173D8FA3" w14:textId="77777777" w:rsidR="001D782C" w:rsidRPr="00401789" w:rsidRDefault="001D782C" w:rsidP="008A57E3">
      <w:pPr>
        <w:tabs>
          <w:tab w:val="left" w:pos="840"/>
          <w:tab w:val="left" w:pos="1276"/>
        </w:tabs>
        <w:jc w:val="both"/>
        <w:rPr>
          <w:rFonts w:eastAsia="標楷體"/>
          <w:sz w:val="24"/>
          <w:szCs w:val="24"/>
          <w:lang w:eastAsia="zh-HK"/>
        </w:rPr>
      </w:pPr>
    </w:p>
    <w:p w14:paraId="2FBC1A96" w14:textId="77777777" w:rsidR="001D782C" w:rsidRPr="009E7A33" w:rsidRDefault="001D782C" w:rsidP="009E7A33">
      <w:pPr>
        <w:tabs>
          <w:tab w:val="left" w:pos="840"/>
          <w:tab w:val="left" w:pos="1276"/>
        </w:tabs>
        <w:jc w:val="both"/>
        <w:rPr>
          <w:rFonts w:eastAsia="標楷體"/>
          <w:color w:val="FF0000"/>
          <w:sz w:val="24"/>
          <w:szCs w:val="24"/>
          <w:lang w:eastAsia="zh-HK"/>
        </w:rPr>
      </w:pPr>
    </w:p>
    <w:p w14:paraId="151891B5" w14:textId="04D9D50C" w:rsidR="009E7A33" w:rsidRPr="009E7A33" w:rsidRDefault="009E7A33" w:rsidP="00F15BF2">
      <w:pPr>
        <w:ind w:firstLineChars="373" w:firstLine="895"/>
        <w:jc w:val="both"/>
        <w:rPr>
          <w:rFonts w:eastAsia="標楷體"/>
          <w:color w:val="000000" w:themeColor="text1"/>
          <w:sz w:val="24"/>
          <w:szCs w:val="24"/>
        </w:rPr>
      </w:pPr>
      <w:r w:rsidRPr="009E7A33">
        <w:rPr>
          <w:rFonts w:eastAsia="標楷體"/>
          <w:color w:val="000000" w:themeColor="text1"/>
          <w:sz w:val="24"/>
          <w:szCs w:val="24"/>
        </w:rPr>
        <w:t>上訴人為個人建築工程分判商。就有關課稅年度，</w:t>
      </w:r>
      <w:r w:rsidR="008E7FE3">
        <w:rPr>
          <w:rFonts w:eastAsia="標楷體"/>
          <w:color w:val="000000" w:themeColor="text1"/>
          <w:sz w:val="24"/>
          <w:szCs w:val="24"/>
        </w:rPr>
        <w:t>上訴人申索扣除支出及開支包括人工，判工，工場租金，交通相關開支</w:t>
      </w:r>
      <w:r w:rsidRPr="009E7A33">
        <w:rPr>
          <w:rFonts w:eastAsia="標楷體"/>
          <w:color w:val="000000" w:themeColor="text1"/>
          <w:sz w:val="24"/>
          <w:szCs w:val="24"/>
        </w:rPr>
        <w:t>合共</w:t>
      </w:r>
      <w:r>
        <w:rPr>
          <w:rFonts w:eastAsia="標楷體" w:hint="eastAsia"/>
          <w:color w:val="000000" w:themeColor="text1"/>
          <w:sz w:val="24"/>
          <w:szCs w:val="24"/>
        </w:rPr>
        <w:t>$</w:t>
      </w:r>
      <w:r>
        <w:rPr>
          <w:rFonts w:eastAsia="標楷體"/>
          <w:color w:val="000000" w:themeColor="text1"/>
          <w:sz w:val="24"/>
          <w:szCs w:val="24"/>
        </w:rPr>
        <w:t>9,500,000 (2015/16</w:t>
      </w:r>
      <w:r w:rsidRPr="009E7A33">
        <w:rPr>
          <w:rFonts w:eastAsia="標楷體"/>
          <w:color w:val="000000" w:themeColor="text1"/>
          <w:sz w:val="24"/>
          <w:szCs w:val="24"/>
        </w:rPr>
        <w:t>年度</w:t>
      </w:r>
      <w:r>
        <w:rPr>
          <w:rFonts w:eastAsia="標楷體" w:hint="eastAsia"/>
          <w:color w:val="000000" w:themeColor="text1"/>
          <w:sz w:val="24"/>
          <w:szCs w:val="24"/>
        </w:rPr>
        <w:t>)</w:t>
      </w:r>
      <w:r w:rsidRPr="009E7A33">
        <w:rPr>
          <w:rFonts w:eastAsia="標楷體"/>
          <w:color w:val="000000" w:themeColor="text1"/>
          <w:sz w:val="24"/>
          <w:szCs w:val="24"/>
        </w:rPr>
        <w:t>及</w:t>
      </w:r>
      <w:r>
        <w:rPr>
          <w:rFonts w:eastAsia="標楷體" w:hint="eastAsia"/>
          <w:color w:val="000000" w:themeColor="text1"/>
          <w:sz w:val="24"/>
          <w:szCs w:val="24"/>
        </w:rPr>
        <w:t>$</w:t>
      </w:r>
      <w:r>
        <w:rPr>
          <w:rFonts w:eastAsia="標楷體"/>
          <w:color w:val="000000" w:themeColor="text1"/>
          <w:sz w:val="24"/>
          <w:szCs w:val="24"/>
        </w:rPr>
        <w:t>11,625,000 (2016/17</w:t>
      </w:r>
      <w:r w:rsidRPr="009E7A33">
        <w:rPr>
          <w:rFonts w:eastAsia="標楷體"/>
          <w:color w:val="000000" w:themeColor="text1"/>
          <w:sz w:val="24"/>
          <w:szCs w:val="24"/>
        </w:rPr>
        <w:t>年度</w:t>
      </w:r>
      <w:r>
        <w:rPr>
          <w:rFonts w:eastAsia="標楷體" w:hint="eastAsia"/>
          <w:color w:val="000000" w:themeColor="text1"/>
          <w:sz w:val="24"/>
          <w:szCs w:val="24"/>
        </w:rPr>
        <w:t>)</w:t>
      </w:r>
      <w:r w:rsidRPr="009E7A33">
        <w:rPr>
          <w:rFonts w:eastAsia="標楷體"/>
          <w:color w:val="000000" w:themeColor="text1"/>
          <w:sz w:val="24"/>
          <w:szCs w:val="24"/>
        </w:rPr>
        <w:t>。稅務局就相關開支向上訴人查詢及要求上訴人提供所有有關的支持文件。上訴人聲稱一直沒有時間和能力做好紀錄，亦因為時間已相隔有</w:t>
      </w:r>
      <w:r>
        <w:rPr>
          <w:rFonts w:eastAsia="標楷體"/>
          <w:color w:val="000000" w:themeColor="text1"/>
          <w:sz w:val="24"/>
          <w:szCs w:val="24"/>
        </w:rPr>
        <w:t>4</w:t>
      </w:r>
      <w:r w:rsidRPr="009E7A33">
        <w:rPr>
          <w:rFonts w:eastAsia="標楷體"/>
          <w:color w:val="000000" w:themeColor="text1"/>
          <w:sz w:val="24"/>
          <w:szCs w:val="24"/>
        </w:rPr>
        <w:t>至</w:t>
      </w:r>
      <w:r>
        <w:rPr>
          <w:rFonts w:eastAsia="標楷體"/>
          <w:color w:val="000000" w:themeColor="text1"/>
          <w:sz w:val="24"/>
          <w:szCs w:val="24"/>
        </w:rPr>
        <w:t>5</w:t>
      </w:r>
      <w:r w:rsidRPr="009E7A33">
        <w:rPr>
          <w:rFonts w:eastAsia="標楷體"/>
          <w:color w:val="000000" w:themeColor="text1"/>
          <w:sz w:val="24"/>
          <w:szCs w:val="24"/>
        </w:rPr>
        <w:t>年而且一直沒有詳細紀錄，上訴人現在沒有辦法整理好他的銀行紀錄和提交有關文件。</w:t>
      </w:r>
    </w:p>
    <w:p w14:paraId="6A9A8F5D" w14:textId="77777777" w:rsidR="009E7A33" w:rsidRPr="009E7A33" w:rsidRDefault="009E7A33" w:rsidP="00F15BF2">
      <w:pPr>
        <w:ind w:firstLineChars="373" w:firstLine="895"/>
        <w:jc w:val="both"/>
        <w:rPr>
          <w:rFonts w:eastAsia="標楷體"/>
          <w:color w:val="000000" w:themeColor="text1"/>
          <w:sz w:val="24"/>
          <w:szCs w:val="24"/>
        </w:rPr>
      </w:pPr>
    </w:p>
    <w:p w14:paraId="467ACEFB" w14:textId="2CE80475" w:rsidR="009E7A33" w:rsidRPr="009E7A33" w:rsidRDefault="009E7A33" w:rsidP="00F15BF2">
      <w:pPr>
        <w:ind w:firstLineChars="373" w:firstLine="895"/>
        <w:jc w:val="both"/>
        <w:rPr>
          <w:rFonts w:eastAsia="標楷體"/>
          <w:color w:val="000000" w:themeColor="text1"/>
          <w:sz w:val="24"/>
          <w:szCs w:val="24"/>
        </w:rPr>
      </w:pPr>
      <w:r w:rsidRPr="009E7A33">
        <w:rPr>
          <w:rFonts w:eastAsia="標楷體"/>
          <w:color w:val="000000" w:themeColor="text1"/>
          <w:sz w:val="24"/>
          <w:szCs w:val="24"/>
        </w:rPr>
        <w:t>在未能提供有關文件的情況下，稅務局行使酌情權以上訴人總入息之</w:t>
      </w:r>
      <w:r w:rsidRPr="009E7A33">
        <w:rPr>
          <w:rFonts w:eastAsia="標楷體"/>
          <w:color w:val="000000" w:themeColor="text1"/>
          <w:sz w:val="24"/>
          <w:szCs w:val="24"/>
        </w:rPr>
        <w:t>20</w:t>
      </w:r>
      <w:r>
        <w:rPr>
          <w:rFonts w:eastAsia="標楷體" w:hint="eastAsia"/>
          <w:color w:val="000000" w:themeColor="text1"/>
          <w:sz w:val="24"/>
          <w:szCs w:val="24"/>
        </w:rPr>
        <w:t>%</w:t>
      </w:r>
      <w:r w:rsidRPr="009E7A33">
        <w:rPr>
          <w:rFonts w:eastAsia="標楷體"/>
          <w:color w:val="000000" w:themeColor="text1"/>
          <w:sz w:val="24"/>
          <w:szCs w:val="24"/>
        </w:rPr>
        <w:t>作為他的利潤去計算他的稅款。於</w:t>
      </w:r>
      <w:r>
        <w:rPr>
          <w:rFonts w:eastAsia="標楷體"/>
          <w:color w:val="000000" w:themeColor="text1"/>
          <w:sz w:val="24"/>
          <w:szCs w:val="24"/>
        </w:rPr>
        <w:t>2020</w:t>
      </w:r>
      <w:r w:rsidRPr="009E7A33">
        <w:rPr>
          <w:rFonts w:eastAsia="標楷體"/>
          <w:color w:val="000000" w:themeColor="text1"/>
          <w:sz w:val="24"/>
          <w:szCs w:val="24"/>
        </w:rPr>
        <w:t>年</w:t>
      </w:r>
      <w:r>
        <w:rPr>
          <w:rFonts w:eastAsia="標楷體"/>
          <w:color w:val="000000" w:themeColor="text1"/>
          <w:sz w:val="24"/>
          <w:szCs w:val="24"/>
        </w:rPr>
        <w:t>4</w:t>
      </w:r>
      <w:r w:rsidRPr="009E7A33">
        <w:rPr>
          <w:rFonts w:eastAsia="標楷體"/>
          <w:color w:val="000000" w:themeColor="text1"/>
          <w:sz w:val="24"/>
          <w:szCs w:val="24"/>
        </w:rPr>
        <w:t>月</w:t>
      </w:r>
      <w:r>
        <w:rPr>
          <w:rFonts w:eastAsia="標楷體"/>
          <w:color w:val="000000" w:themeColor="text1"/>
          <w:sz w:val="24"/>
          <w:szCs w:val="24"/>
        </w:rPr>
        <w:t>2</w:t>
      </w:r>
      <w:r w:rsidRPr="009E7A33">
        <w:rPr>
          <w:rFonts w:eastAsia="標楷體"/>
          <w:color w:val="000000" w:themeColor="text1"/>
          <w:sz w:val="24"/>
          <w:szCs w:val="24"/>
        </w:rPr>
        <w:t>日，税務局將評稅基礎決定書和有關上訴的文件寄往上訴人的通信地址。於</w:t>
      </w:r>
      <w:r>
        <w:rPr>
          <w:rFonts w:eastAsia="標楷體"/>
          <w:color w:val="000000" w:themeColor="text1"/>
          <w:sz w:val="24"/>
          <w:szCs w:val="24"/>
        </w:rPr>
        <w:t>2020</w:t>
      </w:r>
      <w:r w:rsidRPr="009E7A33">
        <w:rPr>
          <w:rFonts w:eastAsia="標楷體"/>
          <w:color w:val="000000" w:themeColor="text1"/>
          <w:sz w:val="24"/>
          <w:szCs w:val="24"/>
        </w:rPr>
        <w:t>年</w:t>
      </w:r>
      <w:r>
        <w:rPr>
          <w:rFonts w:eastAsia="標楷體"/>
          <w:color w:val="000000" w:themeColor="text1"/>
          <w:sz w:val="24"/>
          <w:szCs w:val="24"/>
        </w:rPr>
        <w:t>4</w:t>
      </w:r>
      <w:r w:rsidRPr="009E7A33">
        <w:rPr>
          <w:rFonts w:eastAsia="標楷體"/>
          <w:color w:val="000000" w:themeColor="text1"/>
          <w:sz w:val="24"/>
          <w:szCs w:val="24"/>
        </w:rPr>
        <w:t>月</w:t>
      </w:r>
      <w:r>
        <w:rPr>
          <w:rFonts w:eastAsia="標楷體"/>
          <w:color w:val="000000" w:themeColor="text1"/>
          <w:sz w:val="24"/>
          <w:szCs w:val="24"/>
        </w:rPr>
        <w:t>9</w:t>
      </w:r>
      <w:r w:rsidRPr="009E7A33">
        <w:rPr>
          <w:rFonts w:eastAsia="標楷體"/>
          <w:color w:val="000000" w:themeColor="text1"/>
          <w:sz w:val="24"/>
          <w:szCs w:val="24"/>
        </w:rPr>
        <w:t>日，上訴人簽收決定書和其有關文件。因早前誤解上訴程序，並在得知正確的上訴程序後，上訴人於</w:t>
      </w:r>
      <w:r>
        <w:rPr>
          <w:rFonts w:eastAsia="標楷體"/>
          <w:color w:val="000000" w:themeColor="text1"/>
          <w:sz w:val="24"/>
          <w:szCs w:val="24"/>
        </w:rPr>
        <w:t>5</w:t>
      </w:r>
      <w:r w:rsidRPr="009E7A33">
        <w:rPr>
          <w:rFonts w:eastAsia="標楷體"/>
          <w:color w:val="000000" w:themeColor="text1"/>
          <w:sz w:val="24"/>
          <w:szCs w:val="24"/>
        </w:rPr>
        <w:t>月</w:t>
      </w:r>
      <w:r>
        <w:rPr>
          <w:rFonts w:eastAsia="標楷體"/>
          <w:color w:val="000000" w:themeColor="text1"/>
          <w:sz w:val="24"/>
          <w:szCs w:val="24"/>
        </w:rPr>
        <w:t>13</w:t>
      </w:r>
      <w:r w:rsidRPr="009E7A33">
        <w:rPr>
          <w:rFonts w:eastAsia="標楷體"/>
          <w:color w:val="000000" w:themeColor="text1"/>
          <w:sz w:val="24"/>
          <w:szCs w:val="24"/>
        </w:rPr>
        <w:t>日去信稅務委員會通知其上訴申請。</w:t>
      </w:r>
    </w:p>
    <w:p w14:paraId="7063581C" w14:textId="77777777" w:rsidR="009E7A33" w:rsidRPr="009E7A33" w:rsidRDefault="009E7A33" w:rsidP="00F15BF2">
      <w:pPr>
        <w:ind w:firstLineChars="373" w:firstLine="895"/>
        <w:rPr>
          <w:rFonts w:eastAsia="標楷體"/>
          <w:color w:val="000000" w:themeColor="text1"/>
          <w:sz w:val="24"/>
          <w:szCs w:val="24"/>
        </w:rPr>
      </w:pPr>
    </w:p>
    <w:p w14:paraId="2E381DB6" w14:textId="6097B172" w:rsidR="009E7A33" w:rsidRPr="009E7A33" w:rsidRDefault="009E7A33" w:rsidP="00F15BF2">
      <w:pPr>
        <w:ind w:firstLineChars="373" w:firstLine="895"/>
        <w:rPr>
          <w:rFonts w:eastAsia="標楷體"/>
          <w:color w:val="000000" w:themeColor="text1"/>
          <w:sz w:val="24"/>
          <w:szCs w:val="24"/>
        </w:rPr>
      </w:pPr>
      <w:r w:rsidRPr="009E7A33">
        <w:rPr>
          <w:rFonts w:eastAsia="標楷體"/>
          <w:color w:val="000000" w:themeColor="text1"/>
          <w:sz w:val="24"/>
          <w:szCs w:val="24"/>
        </w:rPr>
        <w:t>上訴人指在收到決定書的數日後，已經立刻寄出上訴通知。上訴人亦指只是因為對程序不了解，所以未能符合要求。當得悉錯誤後，上訴人亦盡力去更正。上訴人亦指實質入息遠比所評核的要低。</w:t>
      </w:r>
    </w:p>
    <w:p w14:paraId="39D8AC8E" w14:textId="77777777" w:rsidR="009E7A33" w:rsidRPr="009E7A33" w:rsidRDefault="009E7A33" w:rsidP="009E7A33">
      <w:pPr>
        <w:rPr>
          <w:rFonts w:eastAsia="標楷體"/>
          <w:color w:val="000000" w:themeColor="text1"/>
          <w:sz w:val="24"/>
          <w:szCs w:val="24"/>
        </w:rPr>
      </w:pPr>
    </w:p>
    <w:p w14:paraId="48608A78" w14:textId="77777777" w:rsidR="009E7A33" w:rsidRPr="009E7A33" w:rsidRDefault="009E7A33" w:rsidP="009E7A33">
      <w:pPr>
        <w:rPr>
          <w:rFonts w:eastAsia="標楷體"/>
          <w:color w:val="000000" w:themeColor="text1"/>
          <w:sz w:val="24"/>
          <w:szCs w:val="24"/>
        </w:rPr>
      </w:pPr>
    </w:p>
    <w:p w14:paraId="3AACF0FD" w14:textId="77777777" w:rsidR="009E7A33" w:rsidRPr="00BC3C02" w:rsidRDefault="009E7A33" w:rsidP="00BC3C02">
      <w:pPr>
        <w:ind w:leftChars="450" w:left="900"/>
        <w:rPr>
          <w:rFonts w:eastAsia="標楷體"/>
          <w:b/>
          <w:color w:val="000000" w:themeColor="text1"/>
          <w:sz w:val="28"/>
          <w:szCs w:val="28"/>
        </w:rPr>
      </w:pPr>
      <w:r w:rsidRPr="00BC3C02">
        <w:rPr>
          <w:rFonts w:eastAsia="標楷體"/>
          <w:b/>
          <w:color w:val="000000" w:themeColor="text1"/>
          <w:sz w:val="28"/>
          <w:szCs w:val="28"/>
        </w:rPr>
        <w:t>裁決</w:t>
      </w:r>
      <w:r w:rsidRPr="00BC3C02">
        <w:rPr>
          <w:rFonts w:eastAsia="標楷體"/>
          <w:b/>
          <w:color w:val="000000" w:themeColor="text1"/>
          <w:sz w:val="28"/>
          <w:szCs w:val="28"/>
        </w:rPr>
        <w:t>:</w:t>
      </w:r>
    </w:p>
    <w:p w14:paraId="17A5FA1F" w14:textId="77777777" w:rsidR="009E7A33" w:rsidRPr="009E7A33" w:rsidRDefault="009E7A33" w:rsidP="00BC3C02">
      <w:pPr>
        <w:ind w:leftChars="450" w:left="900"/>
        <w:rPr>
          <w:rFonts w:eastAsia="標楷體"/>
          <w:color w:val="000000" w:themeColor="text1"/>
          <w:sz w:val="24"/>
          <w:szCs w:val="24"/>
          <w:u w:val="single"/>
        </w:rPr>
      </w:pPr>
    </w:p>
    <w:p w14:paraId="5579336E" w14:textId="71314C2A" w:rsidR="009E7A33" w:rsidRPr="00BC3C02" w:rsidRDefault="009E7A33" w:rsidP="00BC3C02">
      <w:pPr>
        <w:ind w:leftChars="450" w:left="900"/>
        <w:rPr>
          <w:rFonts w:eastAsia="標楷體"/>
          <w:color w:val="000000" w:themeColor="text1"/>
          <w:sz w:val="28"/>
          <w:szCs w:val="28"/>
          <w:u w:val="single"/>
        </w:rPr>
      </w:pPr>
      <w:r w:rsidRPr="00BC3C02">
        <w:rPr>
          <w:rFonts w:eastAsia="標楷體"/>
          <w:color w:val="000000" w:themeColor="text1"/>
          <w:sz w:val="28"/>
          <w:szCs w:val="28"/>
          <w:u w:val="single"/>
        </w:rPr>
        <w:t>上訴逾期</w:t>
      </w:r>
    </w:p>
    <w:p w14:paraId="0B43CF09" w14:textId="77777777" w:rsidR="009E7A33" w:rsidRPr="009E7A33" w:rsidRDefault="009E7A33" w:rsidP="009E7A33">
      <w:pPr>
        <w:rPr>
          <w:rFonts w:eastAsia="標楷體"/>
          <w:color w:val="000000" w:themeColor="text1"/>
          <w:sz w:val="24"/>
          <w:szCs w:val="24"/>
          <w:u w:val="single"/>
        </w:rPr>
      </w:pPr>
    </w:p>
    <w:p w14:paraId="25B6D755" w14:textId="08E38958" w:rsidR="009E7A33" w:rsidRPr="009E7A33" w:rsidRDefault="009E7A33" w:rsidP="00BC3C02">
      <w:pPr>
        <w:pStyle w:val="aff"/>
        <w:numPr>
          <w:ilvl w:val="0"/>
          <w:numId w:val="24"/>
        </w:numPr>
        <w:tabs>
          <w:tab w:val="left" w:pos="1300"/>
        </w:tabs>
        <w:ind w:leftChars="450" w:left="1308" w:hangingChars="170" w:hanging="408"/>
        <w:jc w:val="both"/>
        <w:textAlignment w:val="auto"/>
        <w:rPr>
          <w:rFonts w:eastAsia="標楷體"/>
          <w:color w:val="000000" w:themeColor="text1"/>
          <w:sz w:val="24"/>
          <w:szCs w:val="24"/>
        </w:rPr>
      </w:pPr>
      <w:r w:rsidRPr="009E7A33">
        <w:rPr>
          <w:rFonts w:eastAsia="標楷體"/>
          <w:color w:val="000000" w:themeColor="text1"/>
          <w:sz w:val="24"/>
          <w:szCs w:val="24"/>
        </w:rPr>
        <w:t>在審核上訴是否逾期時，起點是第</w:t>
      </w:r>
      <w:r w:rsidRPr="009E7A33">
        <w:rPr>
          <w:rFonts w:eastAsia="標楷體"/>
          <w:color w:val="000000" w:themeColor="text1"/>
          <w:sz w:val="24"/>
          <w:szCs w:val="24"/>
        </w:rPr>
        <w:t>112</w:t>
      </w:r>
      <w:r w:rsidRPr="009E7A33">
        <w:rPr>
          <w:rFonts w:eastAsia="標楷體"/>
          <w:color w:val="000000" w:themeColor="text1"/>
          <w:sz w:val="24"/>
          <w:szCs w:val="24"/>
        </w:rPr>
        <w:t>章《稅務條例》「</w:t>
      </w:r>
      <w:r>
        <w:rPr>
          <w:rFonts w:eastAsia="標楷體" w:hint="eastAsia"/>
          <w:color w:val="000000" w:themeColor="text1"/>
          <w:sz w:val="24"/>
          <w:szCs w:val="24"/>
        </w:rPr>
        <w:t>(</w:t>
      </w:r>
      <w:r w:rsidRPr="009E7A33">
        <w:rPr>
          <w:rFonts w:eastAsia="標楷體"/>
          <w:color w:val="000000" w:themeColor="text1"/>
          <w:sz w:val="24"/>
          <w:szCs w:val="24"/>
        </w:rPr>
        <w:t>稅例</w:t>
      </w:r>
      <w:r>
        <w:rPr>
          <w:rFonts w:eastAsia="標楷體" w:hint="eastAsia"/>
          <w:color w:val="000000" w:themeColor="text1"/>
          <w:sz w:val="24"/>
          <w:szCs w:val="24"/>
        </w:rPr>
        <w:t>)</w:t>
      </w:r>
      <w:r w:rsidRPr="009E7A33">
        <w:rPr>
          <w:rFonts w:eastAsia="標楷體"/>
          <w:color w:val="000000" w:themeColor="text1"/>
          <w:sz w:val="24"/>
          <w:szCs w:val="24"/>
        </w:rPr>
        <w:t>」第</w:t>
      </w:r>
      <w:r w:rsidRPr="009E7A33">
        <w:rPr>
          <w:rFonts w:eastAsia="標楷體"/>
          <w:color w:val="000000" w:themeColor="text1"/>
          <w:sz w:val="24"/>
          <w:szCs w:val="24"/>
        </w:rPr>
        <w:t>66</w:t>
      </w:r>
      <w:r w:rsidRPr="009E7A33">
        <w:rPr>
          <w:rFonts w:eastAsia="標楷體"/>
          <w:color w:val="000000" w:themeColor="text1"/>
          <w:sz w:val="24"/>
          <w:szCs w:val="24"/>
        </w:rPr>
        <w:t>條。上訴庭在</w:t>
      </w:r>
      <w:r w:rsidRPr="009E7A33">
        <w:rPr>
          <w:rFonts w:eastAsia="標楷體"/>
          <w:color w:val="000000" w:themeColor="text1"/>
          <w:sz w:val="24"/>
          <w:szCs w:val="24"/>
          <w:u w:val="single"/>
        </w:rPr>
        <w:t>Chow Kwong Fai v Commissioner of Inland Revenue</w:t>
      </w:r>
      <w:r w:rsidRPr="009E7A33">
        <w:rPr>
          <w:rFonts w:eastAsia="標楷體"/>
          <w:color w:val="000000" w:themeColor="text1"/>
          <w:sz w:val="24"/>
          <w:szCs w:val="24"/>
        </w:rPr>
        <w:t xml:space="preserve"> [2005] 4 HKLRD 687 </w:t>
      </w:r>
      <w:r w:rsidRPr="009E7A33">
        <w:rPr>
          <w:rFonts w:eastAsia="標楷體"/>
          <w:color w:val="000000" w:themeColor="text1"/>
          <w:sz w:val="24"/>
          <w:szCs w:val="24"/>
        </w:rPr>
        <w:t>對稅例第</w:t>
      </w:r>
      <w:r w:rsidRPr="009E7A33">
        <w:rPr>
          <w:rFonts w:eastAsia="標楷體"/>
          <w:color w:val="000000" w:themeColor="text1"/>
          <w:sz w:val="24"/>
          <w:szCs w:val="24"/>
        </w:rPr>
        <w:t>6</w:t>
      </w:r>
      <w:r w:rsidRPr="009E7A33">
        <w:rPr>
          <w:rFonts w:eastAsia="標楷體"/>
          <w:color w:val="000000" w:themeColor="text1"/>
          <w:sz w:val="24"/>
          <w:szCs w:val="24"/>
        </w:rPr>
        <w:t>條作出了相關解讀。其中，對</w:t>
      </w:r>
      <w:r w:rsidRPr="009E7A33">
        <w:rPr>
          <w:rFonts w:eastAsia="標楷體"/>
          <w:color w:val="000000" w:themeColor="text1"/>
          <w:sz w:val="24"/>
          <w:szCs w:val="24"/>
        </w:rPr>
        <w:t>66</w:t>
      </w:r>
      <w:r w:rsidRPr="009E7A33">
        <w:rPr>
          <w:rFonts w:eastAsia="標楷體"/>
          <w:color w:val="000000" w:themeColor="text1"/>
          <w:sz w:val="24"/>
          <w:szCs w:val="24"/>
        </w:rPr>
        <w:t>條</w:t>
      </w:r>
      <w:r w:rsidRPr="009E7A33">
        <w:rPr>
          <w:rFonts w:eastAsia="標楷體"/>
          <w:color w:val="000000" w:themeColor="text1"/>
          <w:sz w:val="24"/>
          <w:szCs w:val="24"/>
        </w:rPr>
        <w:t>(</w:t>
      </w:r>
      <w:r>
        <w:rPr>
          <w:rFonts w:eastAsia="標楷體" w:hint="eastAsia"/>
          <w:color w:val="000000" w:themeColor="text1"/>
          <w:sz w:val="24"/>
          <w:szCs w:val="24"/>
        </w:rPr>
        <w:t>1</w:t>
      </w:r>
      <w:r w:rsidRPr="009E7A33">
        <w:rPr>
          <w:rFonts w:eastAsia="標楷體"/>
          <w:color w:val="000000" w:themeColor="text1"/>
          <w:sz w:val="24"/>
          <w:szCs w:val="24"/>
        </w:rPr>
        <w:t>A)</w:t>
      </w:r>
      <w:r w:rsidRPr="009E7A33">
        <w:rPr>
          <w:rFonts w:eastAsia="標楷體"/>
          <w:color w:val="000000" w:themeColor="text1"/>
          <w:sz w:val="24"/>
          <w:szCs w:val="24"/>
        </w:rPr>
        <w:t>，上訴庭指出就「未能」一詞清楚地指出要滿足這個門檻，一定要比純粹藉口要高。此外上訴庭指出上訴人單方面誤解，無知及不合理地閱讀章</w:t>
      </w:r>
      <w:r w:rsidRPr="009E7A33">
        <w:rPr>
          <w:rFonts w:eastAsia="標楷體"/>
          <w:color w:val="000000" w:themeColor="text1"/>
          <w:sz w:val="24"/>
          <w:szCs w:val="24"/>
        </w:rPr>
        <w:lastRenderedPageBreak/>
        <w:t>程並不構成合理因由。委員會雖然同情及理解上訴人並不是有意耽誤，但委員會不能接納上訴人逾期的理由為「合理因由」。</w:t>
      </w:r>
    </w:p>
    <w:p w14:paraId="726F9F95" w14:textId="77777777" w:rsidR="009E7A33" w:rsidRPr="009E7A33" w:rsidRDefault="009E7A33" w:rsidP="009E7A33">
      <w:pPr>
        <w:jc w:val="both"/>
        <w:rPr>
          <w:rFonts w:eastAsia="標楷體"/>
          <w:color w:val="000000" w:themeColor="text1"/>
          <w:sz w:val="24"/>
          <w:szCs w:val="24"/>
        </w:rPr>
      </w:pPr>
    </w:p>
    <w:p w14:paraId="3F4A10D0" w14:textId="24221030" w:rsidR="009E7A33" w:rsidRPr="00BC3C02" w:rsidRDefault="009E7A33" w:rsidP="00BC3C02">
      <w:pPr>
        <w:ind w:leftChars="450" w:left="900"/>
        <w:rPr>
          <w:rFonts w:eastAsia="標楷體"/>
          <w:color w:val="000000" w:themeColor="text1"/>
          <w:sz w:val="28"/>
          <w:szCs w:val="28"/>
          <w:u w:val="single"/>
        </w:rPr>
      </w:pPr>
      <w:r w:rsidRPr="00BC3C02">
        <w:rPr>
          <w:rFonts w:eastAsia="標楷體"/>
          <w:color w:val="000000" w:themeColor="text1"/>
          <w:sz w:val="28"/>
          <w:szCs w:val="28"/>
          <w:u w:val="single"/>
        </w:rPr>
        <w:t>薪</w:t>
      </w:r>
      <w:r w:rsidRPr="00BC3C02">
        <w:rPr>
          <w:rFonts w:eastAsia="標楷體" w:hint="eastAsia"/>
          <w:color w:val="000000" w:themeColor="text1"/>
          <w:sz w:val="28"/>
          <w:szCs w:val="28"/>
          <w:u w:val="single"/>
        </w:rPr>
        <w:t>俸</w:t>
      </w:r>
      <w:r w:rsidRPr="00BC3C02">
        <w:rPr>
          <w:rFonts w:eastAsia="標楷體"/>
          <w:color w:val="000000" w:themeColor="text1"/>
          <w:sz w:val="28"/>
          <w:szCs w:val="28"/>
          <w:u w:val="single"/>
        </w:rPr>
        <w:t>稅</w:t>
      </w:r>
    </w:p>
    <w:p w14:paraId="50DAB3D1" w14:textId="77777777" w:rsidR="009E7A33" w:rsidRPr="009E7A33" w:rsidRDefault="009E7A33" w:rsidP="009E7A33">
      <w:pPr>
        <w:jc w:val="both"/>
        <w:rPr>
          <w:rFonts w:eastAsia="標楷體"/>
          <w:color w:val="000000" w:themeColor="text1"/>
          <w:sz w:val="24"/>
          <w:szCs w:val="24"/>
          <w:u w:val="single"/>
        </w:rPr>
      </w:pPr>
    </w:p>
    <w:p w14:paraId="1773D4CE" w14:textId="25644F79" w:rsidR="009E7A33" w:rsidRPr="009E7A33" w:rsidRDefault="009E7A33" w:rsidP="00BC3C02">
      <w:pPr>
        <w:pStyle w:val="aff"/>
        <w:numPr>
          <w:ilvl w:val="0"/>
          <w:numId w:val="24"/>
        </w:numPr>
        <w:tabs>
          <w:tab w:val="left" w:pos="1300"/>
        </w:tabs>
        <w:ind w:leftChars="450" w:left="1308" w:hangingChars="170" w:hanging="408"/>
        <w:jc w:val="both"/>
        <w:textAlignment w:val="auto"/>
        <w:rPr>
          <w:rFonts w:eastAsia="標楷體"/>
          <w:color w:val="000000" w:themeColor="text1"/>
          <w:sz w:val="24"/>
          <w:szCs w:val="24"/>
        </w:rPr>
      </w:pPr>
      <w:r w:rsidRPr="009E7A33">
        <w:rPr>
          <w:rFonts w:eastAsia="標楷體"/>
          <w:color w:val="000000" w:themeColor="text1"/>
          <w:sz w:val="24"/>
          <w:szCs w:val="24"/>
        </w:rPr>
        <w:t>要符合《稅例》第</w:t>
      </w:r>
      <w:r w:rsidRPr="009E7A33">
        <w:rPr>
          <w:rFonts w:eastAsia="標楷體"/>
          <w:color w:val="000000" w:themeColor="text1"/>
          <w:sz w:val="24"/>
          <w:szCs w:val="24"/>
        </w:rPr>
        <w:t>12(1)(a)</w:t>
      </w:r>
      <w:r w:rsidRPr="009E7A33">
        <w:rPr>
          <w:rFonts w:eastAsia="標楷體"/>
          <w:color w:val="000000" w:themeColor="text1"/>
          <w:sz w:val="24"/>
          <w:szCs w:val="24"/>
        </w:rPr>
        <w:t>條的扣減規定，上訴人必須證明：</w:t>
      </w:r>
      <w:r w:rsidRPr="009E7A33">
        <w:rPr>
          <w:rFonts w:eastAsia="標楷體"/>
          <w:color w:val="000000" w:themeColor="text1"/>
          <w:sz w:val="24"/>
          <w:szCs w:val="24"/>
        </w:rPr>
        <w:t>(i)</w:t>
      </w:r>
      <w:r w:rsidRPr="009E7A33">
        <w:rPr>
          <w:rFonts w:eastAsia="標楷體"/>
          <w:color w:val="000000" w:themeColor="text1"/>
          <w:sz w:val="24"/>
          <w:szCs w:val="24"/>
        </w:rPr>
        <w:t>他確實有支出相關開支；</w:t>
      </w:r>
      <w:r w:rsidRPr="009E7A33">
        <w:rPr>
          <w:rFonts w:eastAsia="標楷體"/>
          <w:color w:val="000000" w:themeColor="text1"/>
          <w:sz w:val="24"/>
          <w:szCs w:val="24"/>
        </w:rPr>
        <w:t>(ii)</w:t>
      </w:r>
      <w:r w:rsidRPr="009E7A33">
        <w:rPr>
          <w:rFonts w:eastAsia="標楷體"/>
          <w:color w:val="000000" w:themeColor="text1"/>
          <w:sz w:val="24"/>
          <w:szCs w:val="24"/>
        </w:rPr>
        <w:t>有關開支是在執行職務時招致的；和</w:t>
      </w:r>
      <w:r w:rsidRPr="009E7A33">
        <w:rPr>
          <w:rFonts w:eastAsia="標楷體"/>
          <w:color w:val="000000" w:themeColor="text1"/>
          <w:sz w:val="24"/>
          <w:szCs w:val="24"/>
        </w:rPr>
        <w:t>(iii)</w:t>
      </w:r>
      <w:r w:rsidRPr="009E7A33">
        <w:rPr>
          <w:rFonts w:eastAsia="標楷體"/>
          <w:color w:val="000000" w:themeColor="text1"/>
          <w:sz w:val="24"/>
          <w:szCs w:val="24"/>
        </w:rPr>
        <w:t>有關開支是完全、純粹及必須為產生該應評就入息而招致的</w:t>
      </w:r>
      <w:r w:rsidRPr="009E7A33">
        <w:rPr>
          <w:rFonts w:eastAsia="標楷體"/>
          <w:color w:val="000000" w:themeColor="text1"/>
          <w:sz w:val="24"/>
          <w:szCs w:val="24"/>
        </w:rPr>
        <w:t>(</w:t>
      </w:r>
      <w:r w:rsidRPr="009E7A33">
        <w:rPr>
          <w:rFonts w:eastAsia="標楷體"/>
          <w:color w:val="000000" w:themeColor="text1"/>
          <w:sz w:val="24"/>
          <w:szCs w:val="24"/>
          <w:u w:val="single"/>
        </w:rPr>
        <w:t>D36/90</w:t>
      </w:r>
      <w:r w:rsidRPr="009E7A33">
        <w:rPr>
          <w:rFonts w:eastAsia="標楷體"/>
          <w:color w:val="000000" w:themeColor="text1"/>
          <w:sz w:val="24"/>
          <w:szCs w:val="24"/>
        </w:rPr>
        <w:t>, IRBRD, vol 5, 295)</w:t>
      </w:r>
      <w:r w:rsidRPr="009E7A33">
        <w:rPr>
          <w:rFonts w:eastAsia="標楷體"/>
          <w:color w:val="000000" w:themeColor="text1"/>
          <w:sz w:val="24"/>
          <w:szCs w:val="24"/>
        </w:rPr>
        <w:t>。根據《</w:t>
      </w:r>
      <w:r>
        <w:rPr>
          <w:rFonts w:eastAsia="標楷體" w:hint="eastAsia"/>
          <w:color w:val="000000" w:themeColor="text1"/>
          <w:sz w:val="24"/>
          <w:szCs w:val="24"/>
          <w:lang w:eastAsia="zh-HK"/>
        </w:rPr>
        <w:t>稅</w:t>
      </w:r>
      <w:r w:rsidRPr="009E7A33">
        <w:rPr>
          <w:rFonts w:eastAsia="標楷體"/>
          <w:color w:val="000000" w:themeColor="text1"/>
          <w:sz w:val="24"/>
          <w:szCs w:val="24"/>
        </w:rPr>
        <w:t>例》第</w:t>
      </w:r>
      <w:r w:rsidRPr="009E7A33">
        <w:rPr>
          <w:rFonts w:eastAsia="標楷體"/>
          <w:color w:val="000000" w:themeColor="text1"/>
          <w:sz w:val="24"/>
          <w:szCs w:val="24"/>
        </w:rPr>
        <w:t>68(4)</w:t>
      </w:r>
      <w:r w:rsidRPr="009E7A33">
        <w:rPr>
          <w:rFonts w:eastAsia="標楷體"/>
          <w:color w:val="000000" w:themeColor="text1"/>
          <w:sz w:val="24"/>
          <w:szCs w:val="24"/>
        </w:rPr>
        <w:t>條，舉證責任在於上訴人。而上訴人因未能提供有關支出的憑據及記錄，無法履行舉證責任的要求，因此委員會無法確證有關開支的招致及其準確性。</w:t>
      </w:r>
    </w:p>
    <w:p w14:paraId="279AD2BE" w14:textId="77777777" w:rsidR="001D782C" w:rsidRPr="009E7A33" w:rsidRDefault="001D782C" w:rsidP="009E7A33">
      <w:pPr>
        <w:tabs>
          <w:tab w:val="left" w:pos="840"/>
          <w:tab w:val="left" w:pos="1276"/>
        </w:tabs>
        <w:jc w:val="both"/>
        <w:rPr>
          <w:rFonts w:eastAsia="標楷體"/>
          <w:color w:val="FF0000"/>
          <w:sz w:val="24"/>
          <w:szCs w:val="24"/>
          <w:lang w:eastAsia="zh-HK"/>
        </w:rPr>
      </w:pPr>
    </w:p>
    <w:p w14:paraId="79938ED9" w14:textId="77777777" w:rsidR="001D782C" w:rsidRPr="00401789" w:rsidRDefault="001D782C" w:rsidP="008A57E3">
      <w:pPr>
        <w:tabs>
          <w:tab w:val="left" w:pos="840"/>
          <w:tab w:val="left" w:pos="1276"/>
        </w:tabs>
        <w:jc w:val="both"/>
        <w:rPr>
          <w:rFonts w:eastAsia="標楷體"/>
          <w:color w:val="FF0000"/>
          <w:sz w:val="24"/>
          <w:szCs w:val="24"/>
          <w:lang w:eastAsia="zh-HK"/>
        </w:rPr>
      </w:pPr>
    </w:p>
    <w:p w14:paraId="2CDC1424" w14:textId="77777777" w:rsidR="001D782C" w:rsidRPr="00401789" w:rsidRDefault="001D782C" w:rsidP="008A57E3">
      <w:pPr>
        <w:tabs>
          <w:tab w:val="left" w:pos="1276"/>
        </w:tabs>
        <w:jc w:val="both"/>
        <w:rPr>
          <w:rFonts w:eastAsia="標楷體"/>
          <w:b/>
          <w:sz w:val="28"/>
          <w:szCs w:val="28"/>
        </w:rPr>
      </w:pPr>
      <w:r w:rsidRPr="00401789">
        <w:rPr>
          <w:rFonts w:eastAsia="標楷體"/>
          <w:b/>
          <w:sz w:val="28"/>
          <w:szCs w:val="28"/>
        </w:rPr>
        <w:t>上訴駁回。</w:t>
      </w:r>
    </w:p>
    <w:p w14:paraId="11FD85EB" w14:textId="77777777" w:rsidR="001D782C" w:rsidRPr="00401789" w:rsidRDefault="001D782C" w:rsidP="008A57E3">
      <w:pPr>
        <w:tabs>
          <w:tab w:val="left" w:pos="1276"/>
        </w:tabs>
        <w:jc w:val="both"/>
        <w:rPr>
          <w:rFonts w:eastAsia="標楷體"/>
          <w:sz w:val="24"/>
          <w:szCs w:val="24"/>
          <w:lang w:val="en-US" w:eastAsia="zh-HK"/>
        </w:rPr>
      </w:pPr>
    </w:p>
    <w:p w14:paraId="46073DDF" w14:textId="77777777" w:rsidR="001D782C" w:rsidRPr="00401789" w:rsidRDefault="001D782C" w:rsidP="008A57E3">
      <w:pPr>
        <w:tabs>
          <w:tab w:val="left" w:pos="1276"/>
        </w:tabs>
        <w:jc w:val="both"/>
        <w:rPr>
          <w:rFonts w:eastAsia="標楷體"/>
          <w:sz w:val="24"/>
          <w:szCs w:val="24"/>
          <w:lang w:val="en-US"/>
        </w:rPr>
      </w:pPr>
      <w:r w:rsidRPr="00401789">
        <w:rPr>
          <w:rFonts w:eastAsia="標楷體"/>
          <w:sz w:val="24"/>
          <w:szCs w:val="24"/>
          <w:lang w:val="en-US"/>
        </w:rPr>
        <w:t>參考案例：</w:t>
      </w:r>
    </w:p>
    <w:p w14:paraId="1EDD6204" w14:textId="77777777" w:rsidR="001D782C" w:rsidRPr="00401789" w:rsidRDefault="001D782C" w:rsidP="008A57E3">
      <w:pPr>
        <w:tabs>
          <w:tab w:val="left" w:pos="1276"/>
        </w:tabs>
        <w:jc w:val="both"/>
        <w:rPr>
          <w:rFonts w:eastAsia="標楷體"/>
          <w:sz w:val="24"/>
          <w:szCs w:val="24"/>
          <w:lang w:val="en-US" w:eastAsia="zh-HK"/>
        </w:rPr>
      </w:pPr>
    </w:p>
    <w:p w14:paraId="2E05EA4D"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Chow Kwong Fai v Commissioner of Inland Revenue [2005] 4 HKLRD 687</w:t>
      </w:r>
    </w:p>
    <w:p w14:paraId="33FA6450"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D2/04, IRBRD, vol 19, 76</w:t>
      </w:r>
    </w:p>
    <w:p w14:paraId="27E730D3"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D24/16, (2017-18) IRBRD, vol 32, 319</w:t>
      </w:r>
    </w:p>
    <w:p w14:paraId="6B48C75F"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D41/05, (2005-06) IRBRD, vol 20, 590</w:t>
      </w:r>
    </w:p>
    <w:p w14:paraId="6215749B"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D139/00, IRBRD, vol 16, 24</w:t>
      </w:r>
    </w:p>
    <w:p w14:paraId="6C274A21" w14:textId="77777777" w:rsidR="001D782C" w:rsidRPr="00401789" w:rsidRDefault="001D782C" w:rsidP="008A57E3">
      <w:pPr>
        <w:ind w:leftChars="355" w:left="1070" w:hangingChars="150" w:hanging="360"/>
        <w:jc w:val="both"/>
        <w:rPr>
          <w:rFonts w:eastAsia="標楷體"/>
          <w:sz w:val="24"/>
          <w:szCs w:val="24"/>
          <w:lang w:val="en-US" w:eastAsia="zh-HK"/>
        </w:rPr>
      </w:pPr>
      <w:r w:rsidRPr="00401789">
        <w:rPr>
          <w:rFonts w:eastAsia="標楷體"/>
          <w:sz w:val="24"/>
          <w:szCs w:val="24"/>
          <w:lang w:val="en-US" w:eastAsia="zh-HK"/>
        </w:rPr>
        <w:t>D36/90, IRBRD, vol 5, 295</w:t>
      </w:r>
    </w:p>
    <w:p w14:paraId="3970F69F" w14:textId="1057D243" w:rsidR="001D782C" w:rsidRPr="00401789" w:rsidRDefault="001D782C" w:rsidP="008A57E3">
      <w:pPr>
        <w:tabs>
          <w:tab w:val="left" w:pos="1276"/>
          <w:tab w:val="left" w:pos="4060"/>
        </w:tabs>
        <w:jc w:val="both"/>
        <w:rPr>
          <w:rFonts w:eastAsia="標楷體"/>
          <w:sz w:val="24"/>
          <w:szCs w:val="24"/>
          <w:lang w:val="en-US" w:eastAsia="zh-HK"/>
        </w:rPr>
      </w:pPr>
    </w:p>
    <w:p w14:paraId="3DB1F4C0" w14:textId="77777777" w:rsidR="001D782C" w:rsidRPr="00401789" w:rsidRDefault="001D782C" w:rsidP="008A57E3">
      <w:pPr>
        <w:tabs>
          <w:tab w:val="left" w:pos="1276"/>
        </w:tabs>
        <w:jc w:val="both"/>
        <w:rPr>
          <w:rFonts w:eastAsia="標楷體"/>
          <w:sz w:val="24"/>
          <w:szCs w:val="24"/>
        </w:rPr>
      </w:pPr>
      <w:r w:rsidRPr="00401789">
        <w:rPr>
          <w:rFonts w:eastAsia="標楷體"/>
          <w:sz w:val="24"/>
          <w:szCs w:val="24"/>
          <w:lang w:val="en-US"/>
        </w:rPr>
        <w:t>上訴人</w:t>
      </w:r>
      <w:r w:rsidRPr="00401789">
        <w:rPr>
          <w:rFonts w:eastAsia="標楷體"/>
          <w:sz w:val="24"/>
          <w:szCs w:val="24"/>
          <w:lang w:val="en-US" w:eastAsia="zh-HK"/>
        </w:rPr>
        <w:t>親自</w:t>
      </w:r>
      <w:r w:rsidRPr="00401789">
        <w:rPr>
          <w:rFonts w:eastAsia="標楷體"/>
          <w:sz w:val="24"/>
          <w:szCs w:val="24"/>
          <w:lang w:val="en-US"/>
        </w:rPr>
        <w:t>出席聆訊</w:t>
      </w:r>
      <w:r w:rsidRPr="00401789">
        <w:rPr>
          <w:rFonts w:eastAsia="標楷體"/>
          <w:sz w:val="24"/>
          <w:szCs w:val="24"/>
        </w:rPr>
        <w:t>。</w:t>
      </w:r>
    </w:p>
    <w:p w14:paraId="6F072C0F" w14:textId="77777777" w:rsidR="001D782C" w:rsidRPr="00401789" w:rsidRDefault="001D782C" w:rsidP="008A57E3">
      <w:pPr>
        <w:tabs>
          <w:tab w:val="left" w:pos="1276"/>
        </w:tabs>
        <w:jc w:val="both"/>
        <w:rPr>
          <w:rFonts w:eastAsia="標楷體"/>
          <w:sz w:val="24"/>
          <w:szCs w:val="24"/>
          <w:lang w:val="en-US" w:eastAsia="zh-HK"/>
        </w:rPr>
      </w:pPr>
      <w:r w:rsidRPr="00401789">
        <w:rPr>
          <w:rFonts w:eastAsia="標楷體"/>
          <w:sz w:val="24"/>
          <w:szCs w:val="24"/>
        </w:rPr>
        <w:t>鄭寶豐及何律謙代表稅務局局長出席聆訊。</w:t>
      </w:r>
    </w:p>
    <w:p w14:paraId="3AB026EA" w14:textId="77777777" w:rsidR="00401789" w:rsidRDefault="00401789" w:rsidP="009E7A33">
      <w:pPr>
        <w:pStyle w:val="afb"/>
        <w:overflowPunct w:val="0"/>
        <w:autoSpaceDE w:val="0"/>
        <w:autoSpaceDN w:val="0"/>
        <w:rPr>
          <w:rFonts w:eastAsia="標楷體"/>
          <w:sz w:val="24"/>
          <w:szCs w:val="24"/>
        </w:rPr>
      </w:pPr>
    </w:p>
    <w:p w14:paraId="3B953565" w14:textId="26287239" w:rsidR="00401789" w:rsidRDefault="00401789" w:rsidP="009E7A33">
      <w:pPr>
        <w:pStyle w:val="afb"/>
        <w:overflowPunct w:val="0"/>
        <w:autoSpaceDE w:val="0"/>
        <w:autoSpaceDN w:val="0"/>
        <w:rPr>
          <w:rFonts w:eastAsia="標楷體"/>
          <w:sz w:val="24"/>
          <w:szCs w:val="24"/>
        </w:rPr>
      </w:pPr>
    </w:p>
    <w:p w14:paraId="503FC34F" w14:textId="31BE0156" w:rsidR="004C7E82" w:rsidRPr="00401789" w:rsidRDefault="004C7E82" w:rsidP="008A57E3">
      <w:pPr>
        <w:pStyle w:val="afb"/>
        <w:overflowPunct w:val="0"/>
        <w:autoSpaceDE w:val="0"/>
        <w:autoSpaceDN w:val="0"/>
        <w:rPr>
          <w:rFonts w:eastAsia="標楷體"/>
          <w:b/>
          <w:sz w:val="28"/>
          <w:szCs w:val="28"/>
        </w:rPr>
      </w:pPr>
      <w:r w:rsidRPr="00401789">
        <w:rPr>
          <w:rFonts w:eastAsia="標楷體"/>
          <w:b/>
          <w:sz w:val="28"/>
          <w:szCs w:val="28"/>
        </w:rPr>
        <w:t>決</w:t>
      </w:r>
      <w:r w:rsidRPr="00401789">
        <w:rPr>
          <w:rFonts w:eastAsia="標楷體"/>
          <w:b/>
          <w:sz w:val="28"/>
          <w:szCs w:val="28"/>
        </w:rPr>
        <w:t xml:space="preserve"> </w:t>
      </w:r>
      <w:r w:rsidRPr="00401789">
        <w:rPr>
          <w:rFonts w:eastAsia="標楷體"/>
          <w:b/>
          <w:sz w:val="28"/>
          <w:szCs w:val="28"/>
        </w:rPr>
        <w:t>定</w:t>
      </w:r>
      <w:r w:rsidRPr="00401789">
        <w:rPr>
          <w:rFonts w:eastAsia="標楷體"/>
          <w:b/>
          <w:sz w:val="28"/>
          <w:szCs w:val="28"/>
        </w:rPr>
        <w:t xml:space="preserve"> </w:t>
      </w:r>
      <w:r w:rsidRPr="00401789">
        <w:rPr>
          <w:rFonts w:eastAsia="標楷體"/>
          <w:b/>
          <w:sz w:val="28"/>
          <w:szCs w:val="28"/>
        </w:rPr>
        <w:t>書</w:t>
      </w:r>
      <w:r w:rsidR="00401789" w:rsidRPr="00401789">
        <w:rPr>
          <w:rFonts w:eastAsia="標楷體" w:hint="eastAsia"/>
          <w:b/>
          <w:sz w:val="28"/>
          <w:szCs w:val="28"/>
        </w:rPr>
        <w:t>:</w:t>
      </w:r>
    </w:p>
    <w:p w14:paraId="4FC92012" w14:textId="77777777" w:rsidR="001E4A55" w:rsidRPr="00401789" w:rsidRDefault="001E4A55" w:rsidP="008A57E3">
      <w:pPr>
        <w:jc w:val="both"/>
        <w:rPr>
          <w:rFonts w:eastAsia="標楷體"/>
          <w:sz w:val="24"/>
          <w:szCs w:val="24"/>
          <w:lang w:val="en-US"/>
        </w:rPr>
      </w:pPr>
    </w:p>
    <w:p w14:paraId="2C935568" w14:textId="77FFF745" w:rsidR="001E4A55" w:rsidRPr="00401789" w:rsidRDefault="001E4A55" w:rsidP="008A57E3">
      <w:pPr>
        <w:jc w:val="both"/>
        <w:rPr>
          <w:rFonts w:eastAsia="標楷體"/>
          <w:b/>
          <w:sz w:val="24"/>
          <w:szCs w:val="24"/>
        </w:rPr>
      </w:pPr>
    </w:p>
    <w:p w14:paraId="2B404D66" w14:textId="77777777" w:rsidR="001E4A55" w:rsidRPr="00401789" w:rsidRDefault="001E4A55" w:rsidP="008A57E3">
      <w:pPr>
        <w:tabs>
          <w:tab w:val="left" w:pos="1080"/>
        </w:tabs>
        <w:ind w:left="1"/>
        <w:jc w:val="both"/>
        <w:rPr>
          <w:rFonts w:eastAsia="標楷體"/>
          <w:b/>
          <w:sz w:val="28"/>
          <w:szCs w:val="28"/>
        </w:rPr>
      </w:pPr>
      <w:r w:rsidRPr="00401789">
        <w:rPr>
          <w:rFonts w:eastAsia="標楷體"/>
          <w:b/>
          <w:sz w:val="28"/>
          <w:szCs w:val="28"/>
        </w:rPr>
        <w:t>上訴</w:t>
      </w:r>
    </w:p>
    <w:p w14:paraId="7DB16433" w14:textId="77777777" w:rsidR="00B072DC" w:rsidRPr="00401789" w:rsidRDefault="00B072DC" w:rsidP="008A57E3">
      <w:pPr>
        <w:tabs>
          <w:tab w:val="left" w:pos="1080"/>
        </w:tabs>
        <w:ind w:left="1080" w:hanging="1080"/>
        <w:jc w:val="both"/>
        <w:rPr>
          <w:rFonts w:eastAsia="標楷體"/>
          <w:sz w:val="24"/>
          <w:szCs w:val="24"/>
        </w:rPr>
      </w:pPr>
    </w:p>
    <w:p w14:paraId="61DD9A7E" w14:textId="7C41731B" w:rsidR="001E4A55" w:rsidRPr="00401789" w:rsidRDefault="00C74B46" w:rsidP="00106AE2">
      <w:pPr>
        <w:pStyle w:val="aff"/>
        <w:widowControl w:val="0"/>
        <w:numPr>
          <w:ilvl w:val="0"/>
          <w:numId w:val="21"/>
        </w:numPr>
        <w:adjustRightInd/>
        <w:ind w:left="0" w:firstLine="0"/>
        <w:jc w:val="both"/>
        <w:textAlignment w:val="auto"/>
        <w:rPr>
          <w:rFonts w:eastAsia="標楷體"/>
          <w:sz w:val="24"/>
          <w:szCs w:val="24"/>
        </w:rPr>
      </w:pPr>
      <w:r w:rsidRPr="00401789">
        <w:rPr>
          <w:rFonts w:eastAsia="標楷體"/>
          <w:sz w:val="24"/>
          <w:szCs w:val="24"/>
        </w:rPr>
        <w:t>上訴</w:t>
      </w:r>
      <w:r w:rsidR="00484A56" w:rsidRPr="00401789">
        <w:rPr>
          <w:rFonts w:eastAsia="標楷體"/>
          <w:sz w:val="24"/>
          <w:szCs w:val="24"/>
        </w:rPr>
        <w:t>人</w:t>
      </w:r>
      <w:r w:rsidR="00D840EF" w:rsidRPr="00401789">
        <w:rPr>
          <w:rFonts w:eastAsia="標楷體"/>
          <w:sz w:val="24"/>
          <w:szCs w:val="24"/>
        </w:rPr>
        <w:t>就稅務局對</w:t>
      </w:r>
      <w:r w:rsidR="00484A56" w:rsidRPr="00401789">
        <w:rPr>
          <w:rFonts w:eastAsia="標楷體"/>
          <w:sz w:val="24"/>
          <w:szCs w:val="24"/>
        </w:rPr>
        <w:t>他作出</w:t>
      </w:r>
      <w:r w:rsidR="00484A56" w:rsidRPr="00401789">
        <w:rPr>
          <w:rFonts w:eastAsia="標楷體"/>
          <w:sz w:val="24"/>
          <w:szCs w:val="24"/>
        </w:rPr>
        <w:t>2015/16</w:t>
      </w:r>
      <w:r w:rsidR="00484A56" w:rsidRPr="00401789">
        <w:rPr>
          <w:rFonts w:eastAsia="標楷體"/>
          <w:sz w:val="24"/>
          <w:szCs w:val="24"/>
        </w:rPr>
        <w:t>及</w:t>
      </w:r>
      <w:r w:rsidR="00484A56" w:rsidRPr="00401789">
        <w:rPr>
          <w:rFonts w:eastAsia="標楷體"/>
          <w:sz w:val="24"/>
          <w:szCs w:val="24"/>
        </w:rPr>
        <w:t>2016/17</w:t>
      </w:r>
      <w:r w:rsidR="00484A56" w:rsidRPr="00401789">
        <w:rPr>
          <w:rFonts w:eastAsia="標楷體"/>
          <w:sz w:val="24"/>
          <w:szCs w:val="24"/>
        </w:rPr>
        <w:t>課稅年度薪俸稅評稅</w:t>
      </w:r>
      <w:r w:rsidR="001D7166" w:rsidRPr="00401789">
        <w:rPr>
          <w:rFonts w:eastAsia="標楷體"/>
          <w:sz w:val="24"/>
          <w:szCs w:val="24"/>
        </w:rPr>
        <w:t>作出</w:t>
      </w:r>
      <w:r w:rsidR="001E4A55" w:rsidRPr="00401789">
        <w:rPr>
          <w:rFonts w:eastAsia="標楷體"/>
          <w:sz w:val="24"/>
          <w:szCs w:val="24"/>
        </w:rPr>
        <w:t>反對。</w:t>
      </w:r>
      <w:r w:rsidR="005D5E2A" w:rsidRPr="00401789">
        <w:rPr>
          <w:rFonts w:eastAsia="標楷體"/>
          <w:sz w:val="24"/>
          <w:szCs w:val="24"/>
        </w:rPr>
        <w:t>反對</w:t>
      </w:r>
      <w:r w:rsidR="009344D8" w:rsidRPr="00401789">
        <w:rPr>
          <w:rFonts w:eastAsia="標楷體"/>
          <w:sz w:val="24"/>
          <w:szCs w:val="24"/>
          <w:lang w:val="es-419"/>
        </w:rPr>
        <w:t>的</w:t>
      </w:r>
      <w:r w:rsidR="005D5E2A" w:rsidRPr="00401789">
        <w:rPr>
          <w:rFonts w:eastAsia="標楷體"/>
          <w:sz w:val="24"/>
          <w:szCs w:val="24"/>
        </w:rPr>
        <w:t>原因是稅務局</w:t>
      </w:r>
      <w:r w:rsidR="009344D8" w:rsidRPr="00401789">
        <w:rPr>
          <w:rFonts w:eastAsia="標楷體"/>
          <w:sz w:val="24"/>
          <w:szCs w:val="24"/>
        </w:rPr>
        <w:t>沒有把相</w:t>
      </w:r>
      <w:r w:rsidR="005D5E2A" w:rsidRPr="00401789">
        <w:rPr>
          <w:rFonts w:eastAsia="標楷體"/>
          <w:sz w:val="24"/>
          <w:szCs w:val="24"/>
        </w:rPr>
        <w:t>關開支總額扣</w:t>
      </w:r>
      <w:r w:rsidR="00266D14" w:rsidRPr="00401789">
        <w:rPr>
          <w:rFonts w:eastAsia="標楷體"/>
          <w:sz w:val="24"/>
          <w:szCs w:val="24"/>
        </w:rPr>
        <w:t>除</w:t>
      </w:r>
      <w:r w:rsidR="00874089" w:rsidRPr="00401789">
        <w:rPr>
          <w:rFonts w:eastAsia="標楷體"/>
          <w:sz w:val="24"/>
          <w:szCs w:val="24"/>
        </w:rPr>
        <w:t>，</w:t>
      </w:r>
      <w:r w:rsidR="0089684C" w:rsidRPr="00401789">
        <w:rPr>
          <w:rFonts w:eastAsia="標楷體"/>
          <w:sz w:val="24"/>
          <w:szCs w:val="24"/>
        </w:rPr>
        <w:t>導致評稅過高</w:t>
      </w:r>
      <w:r w:rsidR="00BB787E" w:rsidRPr="00401789">
        <w:rPr>
          <w:rFonts w:eastAsia="標楷體"/>
          <w:sz w:val="24"/>
          <w:szCs w:val="24"/>
        </w:rPr>
        <w:t>而不公平。</w:t>
      </w:r>
    </w:p>
    <w:p w14:paraId="220F4580" w14:textId="3EEA136C" w:rsidR="009E79C8" w:rsidRPr="00401789" w:rsidRDefault="009E79C8" w:rsidP="008A57E3">
      <w:pPr>
        <w:widowControl w:val="0"/>
        <w:adjustRightInd/>
        <w:jc w:val="both"/>
        <w:textAlignment w:val="auto"/>
        <w:rPr>
          <w:rFonts w:eastAsia="標楷體"/>
          <w:sz w:val="24"/>
          <w:szCs w:val="24"/>
        </w:rPr>
      </w:pPr>
    </w:p>
    <w:p w14:paraId="34F7DA7F" w14:textId="735A7F6B" w:rsidR="009E79C8" w:rsidRPr="00401789" w:rsidRDefault="00346F76" w:rsidP="008A57E3">
      <w:pPr>
        <w:jc w:val="both"/>
        <w:rPr>
          <w:rFonts w:eastAsia="標楷體"/>
          <w:b/>
          <w:sz w:val="28"/>
          <w:szCs w:val="28"/>
        </w:rPr>
      </w:pPr>
      <w:r w:rsidRPr="00401789">
        <w:rPr>
          <w:rFonts w:eastAsia="標楷體"/>
          <w:b/>
          <w:sz w:val="28"/>
          <w:szCs w:val="28"/>
        </w:rPr>
        <w:t>背景</w:t>
      </w:r>
    </w:p>
    <w:p w14:paraId="69AC418B" w14:textId="77777777" w:rsidR="009344D8" w:rsidRPr="00401789" w:rsidRDefault="009344D8" w:rsidP="008A57E3">
      <w:pPr>
        <w:widowControl w:val="0"/>
        <w:adjustRightInd/>
        <w:jc w:val="both"/>
        <w:textAlignment w:val="auto"/>
        <w:rPr>
          <w:rFonts w:eastAsia="標楷體"/>
          <w:sz w:val="24"/>
          <w:szCs w:val="24"/>
        </w:rPr>
      </w:pPr>
    </w:p>
    <w:p w14:paraId="56B99063" w14:textId="22708552" w:rsidR="00160851" w:rsidRPr="00401789" w:rsidRDefault="00160851" w:rsidP="008A57E3">
      <w:pPr>
        <w:pStyle w:val="aff"/>
        <w:widowControl w:val="0"/>
        <w:numPr>
          <w:ilvl w:val="0"/>
          <w:numId w:val="21"/>
        </w:numPr>
        <w:adjustRightInd/>
        <w:ind w:left="0" w:firstLine="0"/>
        <w:jc w:val="both"/>
        <w:textAlignment w:val="auto"/>
        <w:rPr>
          <w:rFonts w:eastAsia="標楷體"/>
          <w:sz w:val="24"/>
          <w:szCs w:val="24"/>
        </w:rPr>
      </w:pPr>
      <w:r w:rsidRPr="00401789">
        <w:rPr>
          <w:rFonts w:eastAsia="標楷體"/>
          <w:sz w:val="24"/>
          <w:szCs w:val="24"/>
        </w:rPr>
        <w:t>上訴人</w:t>
      </w:r>
      <w:r w:rsidR="00824899" w:rsidRPr="00401789">
        <w:rPr>
          <w:rFonts w:eastAsia="標楷體"/>
          <w:sz w:val="24"/>
          <w:szCs w:val="24"/>
        </w:rPr>
        <w:t>為</w:t>
      </w:r>
      <w:r w:rsidRPr="00401789">
        <w:rPr>
          <w:rFonts w:eastAsia="標楷體"/>
          <w:sz w:val="24"/>
          <w:szCs w:val="24"/>
        </w:rPr>
        <w:t>個人分判商</w:t>
      </w:r>
      <w:r w:rsidR="00874089" w:rsidRPr="00401789">
        <w:rPr>
          <w:rFonts w:eastAsia="標楷體"/>
          <w:sz w:val="24"/>
          <w:szCs w:val="24"/>
        </w:rPr>
        <w:t>，</w:t>
      </w:r>
      <w:r w:rsidRPr="00401789">
        <w:rPr>
          <w:rFonts w:eastAsia="標楷體"/>
          <w:sz w:val="24"/>
          <w:szCs w:val="24"/>
        </w:rPr>
        <w:t>一直從事分判建築工程上的工作。</w:t>
      </w:r>
      <w:r w:rsidR="00FC7880" w:rsidRPr="00401789">
        <w:rPr>
          <w:rFonts w:eastAsia="標楷體"/>
          <w:sz w:val="24"/>
          <w:szCs w:val="24"/>
        </w:rPr>
        <w:t>就</w:t>
      </w:r>
      <w:r w:rsidR="00116A7C" w:rsidRPr="00401789">
        <w:rPr>
          <w:rFonts w:eastAsia="標楷體"/>
          <w:sz w:val="24"/>
          <w:szCs w:val="24"/>
        </w:rPr>
        <w:t>有</w:t>
      </w:r>
      <w:r w:rsidR="00F63529" w:rsidRPr="00401789">
        <w:rPr>
          <w:rFonts w:eastAsia="標楷體"/>
          <w:sz w:val="24"/>
          <w:szCs w:val="24"/>
        </w:rPr>
        <w:t>關課稅年度</w:t>
      </w:r>
      <w:r w:rsidR="00874089" w:rsidRPr="00401789">
        <w:rPr>
          <w:rFonts w:eastAsia="標楷體"/>
          <w:sz w:val="24"/>
          <w:szCs w:val="24"/>
        </w:rPr>
        <w:t>，</w:t>
      </w:r>
      <w:r w:rsidR="00F63529" w:rsidRPr="00401789">
        <w:rPr>
          <w:rFonts w:eastAsia="標楷體"/>
          <w:sz w:val="24"/>
          <w:szCs w:val="24"/>
        </w:rPr>
        <w:t>上訴人</w:t>
      </w:r>
      <w:r w:rsidR="00116A7C" w:rsidRPr="00401789">
        <w:rPr>
          <w:rFonts w:eastAsia="標楷體"/>
          <w:sz w:val="24"/>
          <w:szCs w:val="24"/>
        </w:rPr>
        <w:t>申索</w:t>
      </w:r>
      <w:r w:rsidR="009E7B76" w:rsidRPr="00401789">
        <w:rPr>
          <w:rFonts w:eastAsia="標楷體"/>
          <w:sz w:val="24"/>
          <w:szCs w:val="24"/>
        </w:rPr>
        <w:t>扣除支出及</w:t>
      </w:r>
      <w:r w:rsidR="000203BD" w:rsidRPr="00401789">
        <w:rPr>
          <w:rFonts w:eastAsia="標楷體"/>
          <w:sz w:val="24"/>
          <w:szCs w:val="24"/>
        </w:rPr>
        <w:t>開支</w:t>
      </w:r>
      <w:r w:rsidR="00F50F13" w:rsidRPr="00401789">
        <w:rPr>
          <w:rFonts w:eastAsia="標楷體"/>
          <w:sz w:val="24"/>
          <w:szCs w:val="24"/>
        </w:rPr>
        <w:t>包括人工</w:t>
      </w:r>
      <w:r w:rsidR="00874089" w:rsidRPr="00401789">
        <w:rPr>
          <w:rFonts w:eastAsia="標楷體"/>
          <w:sz w:val="24"/>
          <w:szCs w:val="24"/>
        </w:rPr>
        <w:t>，</w:t>
      </w:r>
      <w:r w:rsidR="00F50F13" w:rsidRPr="00401789">
        <w:rPr>
          <w:rFonts w:eastAsia="標楷體"/>
          <w:sz w:val="24"/>
          <w:szCs w:val="24"/>
        </w:rPr>
        <w:t>判工</w:t>
      </w:r>
      <w:r w:rsidR="00874089" w:rsidRPr="00401789">
        <w:rPr>
          <w:rFonts w:eastAsia="標楷體"/>
          <w:sz w:val="24"/>
          <w:szCs w:val="24"/>
        </w:rPr>
        <w:t>，</w:t>
      </w:r>
      <w:r w:rsidR="00F50F13" w:rsidRPr="00401789">
        <w:rPr>
          <w:rFonts w:eastAsia="標楷體"/>
          <w:sz w:val="24"/>
          <w:szCs w:val="24"/>
        </w:rPr>
        <w:t>工</w:t>
      </w:r>
      <w:r w:rsidR="008E1257" w:rsidRPr="00401789">
        <w:rPr>
          <w:rFonts w:eastAsia="標楷體"/>
          <w:sz w:val="24"/>
          <w:szCs w:val="24"/>
        </w:rPr>
        <w:t>場租金</w:t>
      </w:r>
      <w:r w:rsidR="00874089" w:rsidRPr="00401789">
        <w:rPr>
          <w:rFonts w:eastAsia="標楷體"/>
          <w:sz w:val="24"/>
          <w:szCs w:val="24"/>
        </w:rPr>
        <w:t>，</w:t>
      </w:r>
      <w:r w:rsidR="008E1257" w:rsidRPr="00401789">
        <w:rPr>
          <w:rFonts w:eastAsia="標楷體"/>
          <w:sz w:val="24"/>
          <w:szCs w:val="24"/>
        </w:rPr>
        <w:t>交通</w:t>
      </w:r>
      <w:r w:rsidR="008D35D0" w:rsidRPr="00401789">
        <w:rPr>
          <w:rFonts w:eastAsia="標楷體"/>
          <w:sz w:val="24"/>
          <w:szCs w:val="24"/>
        </w:rPr>
        <w:t>及食宿費</w:t>
      </w:r>
      <w:r w:rsidR="004F1406" w:rsidRPr="00401789">
        <w:rPr>
          <w:rFonts w:eastAsia="標楷體"/>
          <w:sz w:val="24"/>
          <w:szCs w:val="24"/>
        </w:rPr>
        <w:t>(</w:t>
      </w:r>
      <w:r w:rsidR="004F1406" w:rsidRPr="00401789">
        <w:rPr>
          <w:rFonts w:eastAsia="標楷體"/>
          <w:sz w:val="24"/>
          <w:szCs w:val="24"/>
        </w:rPr>
        <w:t>「相關開支</w:t>
      </w:r>
      <w:r w:rsidR="006450FF" w:rsidRPr="00401789">
        <w:rPr>
          <w:rFonts w:eastAsia="標楷體"/>
          <w:sz w:val="24"/>
          <w:szCs w:val="24"/>
        </w:rPr>
        <w:t>」</w:t>
      </w:r>
      <w:r w:rsidR="006450FF" w:rsidRPr="00401789">
        <w:rPr>
          <w:rFonts w:eastAsia="標楷體"/>
          <w:sz w:val="24"/>
          <w:szCs w:val="24"/>
        </w:rPr>
        <w:t>)</w:t>
      </w:r>
      <w:r w:rsidR="006450FF" w:rsidRPr="00401789">
        <w:rPr>
          <w:rFonts w:eastAsia="標楷體"/>
          <w:sz w:val="24"/>
          <w:szCs w:val="24"/>
        </w:rPr>
        <w:t>合共</w:t>
      </w:r>
      <w:r w:rsidR="00F61829" w:rsidRPr="00401789">
        <w:rPr>
          <w:rFonts w:eastAsia="標楷體"/>
          <w:sz w:val="24"/>
          <w:szCs w:val="24"/>
        </w:rPr>
        <w:t>$9</w:t>
      </w:r>
      <w:r w:rsidR="008B0F79" w:rsidRPr="00401789">
        <w:rPr>
          <w:rFonts w:eastAsia="標楷體"/>
          <w:sz w:val="24"/>
          <w:szCs w:val="24"/>
        </w:rPr>
        <w:t>,</w:t>
      </w:r>
      <w:r w:rsidR="00652778" w:rsidRPr="00401789">
        <w:rPr>
          <w:rFonts w:eastAsia="標楷體"/>
          <w:sz w:val="24"/>
          <w:szCs w:val="24"/>
        </w:rPr>
        <w:t>5</w:t>
      </w:r>
      <w:r w:rsidR="00F61829" w:rsidRPr="00401789">
        <w:rPr>
          <w:rFonts w:eastAsia="標楷體"/>
          <w:sz w:val="24"/>
          <w:szCs w:val="24"/>
        </w:rPr>
        <w:t>00</w:t>
      </w:r>
      <w:r w:rsidR="008B0F79" w:rsidRPr="00401789">
        <w:rPr>
          <w:rFonts w:eastAsia="標楷體"/>
          <w:sz w:val="24"/>
          <w:szCs w:val="24"/>
        </w:rPr>
        <w:t>,</w:t>
      </w:r>
      <w:r w:rsidR="00F61829" w:rsidRPr="00401789">
        <w:rPr>
          <w:rFonts w:eastAsia="標楷體"/>
          <w:sz w:val="24"/>
          <w:szCs w:val="24"/>
        </w:rPr>
        <w:t>000</w:t>
      </w:r>
      <w:r w:rsidR="008F3410" w:rsidRPr="00401789">
        <w:rPr>
          <w:rFonts w:eastAsia="標楷體"/>
          <w:sz w:val="24"/>
          <w:szCs w:val="24"/>
        </w:rPr>
        <w:t xml:space="preserve"> </w:t>
      </w:r>
      <w:r w:rsidR="00652778" w:rsidRPr="00401789">
        <w:rPr>
          <w:rFonts w:eastAsia="標楷體"/>
          <w:sz w:val="24"/>
          <w:szCs w:val="24"/>
        </w:rPr>
        <w:t>(2015/</w:t>
      </w:r>
      <w:r w:rsidR="008F3410" w:rsidRPr="00401789">
        <w:rPr>
          <w:rFonts w:eastAsia="標楷體"/>
          <w:sz w:val="24"/>
          <w:szCs w:val="24"/>
        </w:rPr>
        <w:t>16</w:t>
      </w:r>
      <w:r w:rsidR="00652778" w:rsidRPr="00401789">
        <w:rPr>
          <w:rFonts w:eastAsia="標楷體"/>
          <w:sz w:val="24"/>
          <w:szCs w:val="24"/>
        </w:rPr>
        <w:t>年度</w:t>
      </w:r>
      <w:r w:rsidR="00652778" w:rsidRPr="00401789">
        <w:rPr>
          <w:rFonts w:eastAsia="標楷體"/>
          <w:sz w:val="24"/>
          <w:szCs w:val="24"/>
        </w:rPr>
        <w:t>)</w:t>
      </w:r>
      <w:r w:rsidR="00652778" w:rsidRPr="00401789">
        <w:rPr>
          <w:rFonts w:eastAsia="標楷體"/>
          <w:sz w:val="24"/>
          <w:szCs w:val="24"/>
        </w:rPr>
        <w:t>及</w:t>
      </w:r>
      <w:r w:rsidR="00652778" w:rsidRPr="00401789">
        <w:rPr>
          <w:rFonts w:eastAsia="標楷體"/>
          <w:sz w:val="24"/>
          <w:szCs w:val="24"/>
        </w:rPr>
        <w:t>$</w:t>
      </w:r>
      <w:r w:rsidR="004F1406" w:rsidRPr="00401789">
        <w:rPr>
          <w:rFonts w:eastAsia="標楷體"/>
          <w:sz w:val="24"/>
          <w:szCs w:val="24"/>
        </w:rPr>
        <w:t>11</w:t>
      </w:r>
      <w:r w:rsidR="008B0F79" w:rsidRPr="00401789">
        <w:rPr>
          <w:rFonts w:eastAsia="標楷體"/>
          <w:sz w:val="24"/>
          <w:szCs w:val="24"/>
        </w:rPr>
        <w:t>,</w:t>
      </w:r>
      <w:r w:rsidR="004F1406" w:rsidRPr="00401789">
        <w:rPr>
          <w:rFonts w:eastAsia="標楷體"/>
          <w:sz w:val="24"/>
          <w:szCs w:val="24"/>
        </w:rPr>
        <w:t>625</w:t>
      </w:r>
      <w:r w:rsidR="008B0F79" w:rsidRPr="00401789">
        <w:rPr>
          <w:rFonts w:eastAsia="標楷體"/>
          <w:sz w:val="24"/>
          <w:szCs w:val="24"/>
        </w:rPr>
        <w:t>,</w:t>
      </w:r>
      <w:r w:rsidR="004F1406" w:rsidRPr="00401789">
        <w:rPr>
          <w:rFonts w:eastAsia="標楷體"/>
          <w:sz w:val="24"/>
          <w:szCs w:val="24"/>
        </w:rPr>
        <w:t>000 (2016/17</w:t>
      </w:r>
      <w:r w:rsidR="004F1406" w:rsidRPr="00401789">
        <w:rPr>
          <w:rFonts w:eastAsia="標楷體"/>
          <w:sz w:val="24"/>
          <w:szCs w:val="24"/>
        </w:rPr>
        <w:t>年度</w:t>
      </w:r>
      <w:r w:rsidR="004F1406" w:rsidRPr="00401789">
        <w:rPr>
          <w:rFonts w:eastAsia="標楷體"/>
          <w:sz w:val="24"/>
          <w:szCs w:val="24"/>
        </w:rPr>
        <w:t>)</w:t>
      </w:r>
      <w:r w:rsidR="00874089" w:rsidRPr="00401789">
        <w:rPr>
          <w:rFonts w:eastAsia="標楷體"/>
          <w:sz w:val="24"/>
          <w:szCs w:val="24"/>
        </w:rPr>
        <w:t>。</w:t>
      </w:r>
      <w:r w:rsidR="00F61829" w:rsidRPr="00401789">
        <w:rPr>
          <w:rFonts w:eastAsia="標楷體"/>
          <w:sz w:val="24"/>
          <w:szCs w:val="24"/>
        </w:rPr>
        <w:t xml:space="preserve"> </w:t>
      </w:r>
    </w:p>
    <w:p w14:paraId="2713FE8B" w14:textId="77777777" w:rsidR="005303A0" w:rsidRPr="00401789" w:rsidRDefault="005303A0" w:rsidP="008A57E3">
      <w:pPr>
        <w:widowControl w:val="0"/>
        <w:adjustRightInd/>
        <w:jc w:val="both"/>
        <w:textAlignment w:val="auto"/>
        <w:rPr>
          <w:rFonts w:eastAsia="標楷體"/>
          <w:sz w:val="24"/>
          <w:szCs w:val="24"/>
        </w:rPr>
      </w:pPr>
    </w:p>
    <w:p w14:paraId="7CC3BC98" w14:textId="64722457" w:rsidR="00C2072B" w:rsidRPr="00401789" w:rsidRDefault="005303A0" w:rsidP="008A57E3">
      <w:pPr>
        <w:pStyle w:val="aff"/>
        <w:widowControl w:val="0"/>
        <w:numPr>
          <w:ilvl w:val="0"/>
          <w:numId w:val="21"/>
        </w:numPr>
        <w:adjustRightInd/>
        <w:ind w:left="0" w:firstLine="0"/>
        <w:jc w:val="both"/>
        <w:textAlignment w:val="auto"/>
        <w:rPr>
          <w:rFonts w:eastAsia="標楷體"/>
          <w:sz w:val="24"/>
          <w:szCs w:val="24"/>
        </w:rPr>
      </w:pPr>
      <w:r w:rsidRPr="00401789">
        <w:rPr>
          <w:rFonts w:eastAsia="標楷體"/>
          <w:sz w:val="24"/>
          <w:szCs w:val="24"/>
        </w:rPr>
        <w:t>稅務局就相關開支</w:t>
      </w:r>
      <w:r w:rsidR="0033319A" w:rsidRPr="00401789">
        <w:rPr>
          <w:rFonts w:eastAsia="標楷體"/>
          <w:sz w:val="24"/>
          <w:szCs w:val="24"/>
        </w:rPr>
        <w:t>向上訴人查</w:t>
      </w:r>
      <w:r w:rsidR="00415BBE" w:rsidRPr="00401789">
        <w:rPr>
          <w:rFonts w:eastAsia="標楷體"/>
          <w:sz w:val="24"/>
          <w:szCs w:val="24"/>
        </w:rPr>
        <w:t>詢及要求上訴人提供所有</w:t>
      </w:r>
      <w:r w:rsidR="00B527E1" w:rsidRPr="00401789">
        <w:rPr>
          <w:rFonts w:eastAsia="標楷體"/>
          <w:sz w:val="24"/>
          <w:szCs w:val="24"/>
        </w:rPr>
        <w:t>有關的支持</w:t>
      </w:r>
      <w:r w:rsidR="00CA4BDA" w:rsidRPr="00401789">
        <w:rPr>
          <w:rFonts w:eastAsia="標楷體"/>
          <w:sz w:val="24"/>
          <w:szCs w:val="24"/>
        </w:rPr>
        <w:t>文</w:t>
      </w:r>
      <w:r w:rsidR="00CA4BDA" w:rsidRPr="00401789">
        <w:rPr>
          <w:rFonts w:eastAsia="標楷體"/>
          <w:sz w:val="24"/>
          <w:szCs w:val="24"/>
        </w:rPr>
        <w:lastRenderedPageBreak/>
        <w:t>件</w:t>
      </w:r>
      <w:r w:rsidR="00874089" w:rsidRPr="00401789">
        <w:rPr>
          <w:rFonts w:eastAsia="標楷體"/>
          <w:sz w:val="24"/>
          <w:szCs w:val="24"/>
        </w:rPr>
        <w:t>，</w:t>
      </w:r>
      <w:r w:rsidR="00CA4BDA" w:rsidRPr="00401789">
        <w:rPr>
          <w:rFonts w:eastAsia="標楷體"/>
          <w:sz w:val="24"/>
          <w:szCs w:val="24"/>
        </w:rPr>
        <w:t>包括</w:t>
      </w:r>
      <w:r w:rsidR="00772655" w:rsidRPr="00401789">
        <w:rPr>
          <w:rFonts w:eastAsia="標楷體"/>
          <w:sz w:val="24"/>
          <w:szCs w:val="24"/>
        </w:rPr>
        <w:t>項目明細表</w:t>
      </w:r>
      <w:r w:rsidR="00874089" w:rsidRPr="00401789">
        <w:rPr>
          <w:rFonts w:eastAsia="標楷體"/>
          <w:sz w:val="24"/>
          <w:szCs w:val="24"/>
        </w:rPr>
        <w:t>，</w:t>
      </w:r>
      <w:r w:rsidR="000975F9" w:rsidRPr="00401789">
        <w:rPr>
          <w:rFonts w:eastAsia="標楷體"/>
          <w:sz w:val="24"/>
          <w:szCs w:val="24"/>
        </w:rPr>
        <w:t>佐證文件</w:t>
      </w:r>
      <w:r w:rsidR="00874089" w:rsidRPr="00401789">
        <w:rPr>
          <w:rFonts w:eastAsia="標楷體"/>
          <w:sz w:val="24"/>
          <w:szCs w:val="24"/>
        </w:rPr>
        <w:t>，</w:t>
      </w:r>
      <w:r w:rsidR="000975F9" w:rsidRPr="00401789">
        <w:rPr>
          <w:rFonts w:eastAsia="標楷體"/>
          <w:sz w:val="24"/>
          <w:szCs w:val="24"/>
        </w:rPr>
        <w:t>出</w:t>
      </w:r>
      <w:r w:rsidR="00B527E1" w:rsidRPr="00401789">
        <w:rPr>
          <w:rFonts w:eastAsia="標楷體"/>
          <w:sz w:val="24"/>
          <w:szCs w:val="24"/>
        </w:rPr>
        <w:t>糧紀錄</w:t>
      </w:r>
      <w:r w:rsidR="00CA4BDA" w:rsidRPr="00401789">
        <w:rPr>
          <w:rFonts w:eastAsia="標楷體"/>
          <w:sz w:val="24"/>
          <w:szCs w:val="24"/>
        </w:rPr>
        <w:t>等等</w:t>
      </w:r>
      <w:r w:rsidR="00874089" w:rsidRPr="00401789">
        <w:rPr>
          <w:rFonts w:eastAsia="標楷體"/>
          <w:sz w:val="24"/>
          <w:szCs w:val="24"/>
        </w:rPr>
        <w:t>。</w:t>
      </w:r>
      <w:r w:rsidR="00BC073F" w:rsidRPr="00401789">
        <w:rPr>
          <w:rFonts w:eastAsia="標楷體"/>
          <w:sz w:val="24"/>
          <w:szCs w:val="24"/>
        </w:rPr>
        <w:t>上訴人</w:t>
      </w:r>
      <w:r w:rsidR="00266D14" w:rsidRPr="00401789">
        <w:rPr>
          <w:rFonts w:eastAsia="標楷體"/>
          <w:sz w:val="24"/>
          <w:szCs w:val="24"/>
        </w:rPr>
        <w:t>聲</w:t>
      </w:r>
      <w:r w:rsidR="0072627B" w:rsidRPr="00401789">
        <w:rPr>
          <w:rFonts w:eastAsia="標楷體"/>
          <w:sz w:val="24"/>
          <w:szCs w:val="24"/>
        </w:rPr>
        <w:t>稱</w:t>
      </w:r>
      <w:r w:rsidR="00831179" w:rsidRPr="00401789">
        <w:rPr>
          <w:rFonts w:eastAsia="標楷體"/>
          <w:sz w:val="24"/>
          <w:szCs w:val="24"/>
        </w:rPr>
        <w:t>因為</w:t>
      </w:r>
      <w:r w:rsidR="00A86FB3" w:rsidRPr="00401789">
        <w:rPr>
          <w:rFonts w:eastAsia="標楷體"/>
          <w:sz w:val="24"/>
          <w:szCs w:val="24"/>
        </w:rPr>
        <w:t>他是一人公司</w:t>
      </w:r>
      <w:r w:rsidR="00C623B1" w:rsidRPr="00401789">
        <w:rPr>
          <w:rFonts w:eastAsia="標楷體"/>
          <w:sz w:val="24"/>
          <w:szCs w:val="24"/>
        </w:rPr>
        <w:t>及</w:t>
      </w:r>
      <w:r w:rsidR="00831179" w:rsidRPr="00401789">
        <w:rPr>
          <w:rFonts w:eastAsia="標楷體"/>
          <w:sz w:val="24"/>
          <w:szCs w:val="24"/>
        </w:rPr>
        <w:t>出糧大多以現金支付</w:t>
      </w:r>
      <w:r w:rsidR="00C623B1" w:rsidRPr="00401789">
        <w:rPr>
          <w:rFonts w:eastAsia="標楷體"/>
          <w:sz w:val="24"/>
          <w:szCs w:val="24"/>
        </w:rPr>
        <w:t>，</w:t>
      </w:r>
      <w:r w:rsidR="00BD44C7" w:rsidRPr="00401789">
        <w:rPr>
          <w:rFonts w:eastAsia="標楷體"/>
          <w:sz w:val="24"/>
          <w:szCs w:val="24"/>
        </w:rPr>
        <w:t>而</w:t>
      </w:r>
      <w:r w:rsidR="00516848" w:rsidRPr="00401789">
        <w:rPr>
          <w:rFonts w:eastAsia="標楷體"/>
          <w:sz w:val="24"/>
          <w:szCs w:val="24"/>
        </w:rPr>
        <w:t>自己</w:t>
      </w:r>
      <w:r w:rsidR="00BC073F" w:rsidRPr="00401789">
        <w:rPr>
          <w:rFonts w:eastAsia="標楷體"/>
          <w:sz w:val="24"/>
          <w:szCs w:val="24"/>
        </w:rPr>
        <w:t>一</w:t>
      </w:r>
      <w:r w:rsidR="00141027" w:rsidRPr="00401789">
        <w:rPr>
          <w:rFonts w:eastAsia="標楷體"/>
          <w:sz w:val="24"/>
          <w:szCs w:val="24"/>
        </w:rPr>
        <w:t>直沒有</w:t>
      </w:r>
      <w:r w:rsidR="00516848" w:rsidRPr="00401789">
        <w:rPr>
          <w:rFonts w:eastAsia="標楷體"/>
          <w:sz w:val="24"/>
          <w:szCs w:val="24"/>
        </w:rPr>
        <w:t>時間</w:t>
      </w:r>
      <w:r w:rsidR="00824899" w:rsidRPr="00401789">
        <w:rPr>
          <w:rFonts w:eastAsia="標楷體"/>
          <w:sz w:val="24"/>
          <w:szCs w:val="24"/>
        </w:rPr>
        <w:t>和能力</w:t>
      </w:r>
      <w:r w:rsidR="00141027" w:rsidRPr="00401789">
        <w:rPr>
          <w:rFonts w:eastAsia="標楷體"/>
          <w:sz w:val="24"/>
          <w:szCs w:val="24"/>
        </w:rPr>
        <w:t>做好</w:t>
      </w:r>
      <w:r w:rsidR="005676C6" w:rsidRPr="00401789">
        <w:rPr>
          <w:rFonts w:eastAsia="標楷體"/>
          <w:sz w:val="24"/>
          <w:szCs w:val="24"/>
        </w:rPr>
        <w:t>紀錄</w:t>
      </w:r>
      <w:r w:rsidR="00874089" w:rsidRPr="00401789">
        <w:rPr>
          <w:rFonts w:eastAsia="標楷體"/>
          <w:sz w:val="24"/>
          <w:szCs w:val="24"/>
        </w:rPr>
        <w:t>，</w:t>
      </w:r>
      <w:r w:rsidR="00922E69" w:rsidRPr="00401789">
        <w:rPr>
          <w:rFonts w:eastAsia="標楷體"/>
          <w:sz w:val="24"/>
          <w:szCs w:val="24"/>
        </w:rPr>
        <w:t>所以他</w:t>
      </w:r>
      <w:r w:rsidR="00B17DF2" w:rsidRPr="00401789">
        <w:rPr>
          <w:rFonts w:eastAsia="標楷體"/>
          <w:sz w:val="24"/>
          <w:szCs w:val="24"/>
        </w:rPr>
        <w:t>一直</w:t>
      </w:r>
      <w:r w:rsidR="00D65B63" w:rsidRPr="00401789">
        <w:rPr>
          <w:rFonts w:eastAsia="標楷體"/>
          <w:sz w:val="24"/>
          <w:szCs w:val="24"/>
        </w:rPr>
        <w:t>以自己</w:t>
      </w:r>
      <w:r w:rsidR="001914C1" w:rsidRPr="00401789">
        <w:rPr>
          <w:rFonts w:eastAsia="標楷體"/>
          <w:sz w:val="24"/>
          <w:szCs w:val="24"/>
        </w:rPr>
        <w:t>銀行紀錄</w:t>
      </w:r>
      <w:r w:rsidR="00D65B63" w:rsidRPr="00401789">
        <w:rPr>
          <w:rFonts w:eastAsia="標楷體"/>
          <w:sz w:val="24"/>
          <w:szCs w:val="24"/>
        </w:rPr>
        <w:t>作</w:t>
      </w:r>
      <w:r w:rsidR="00266D14" w:rsidRPr="00401789">
        <w:rPr>
          <w:rFonts w:eastAsia="標楷體"/>
          <w:sz w:val="24"/>
          <w:szCs w:val="24"/>
        </w:rPr>
        <w:t>為公</w:t>
      </w:r>
      <w:r w:rsidR="00D65B63" w:rsidRPr="00401789">
        <w:rPr>
          <w:rFonts w:eastAsia="標楷體"/>
          <w:sz w:val="24"/>
          <w:szCs w:val="24"/>
        </w:rPr>
        <w:t>司</w:t>
      </w:r>
      <w:r w:rsidR="001914C1" w:rsidRPr="00401789">
        <w:rPr>
          <w:rFonts w:eastAsia="標楷體"/>
          <w:sz w:val="24"/>
          <w:szCs w:val="24"/>
        </w:rPr>
        <w:t>收支紀錄</w:t>
      </w:r>
      <w:r w:rsidR="00874089" w:rsidRPr="00401789">
        <w:rPr>
          <w:rFonts w:eastAsia="標楷體"/>
          <w:sz w:val="24"/>
          <w:szCs w:val="24"/>
        </w:rPr>
        <w:t>。</w:t>
      </w:r>
      <w:r w:rsidR="00D71A6A" w:rsidRPr="00401789">
        <w:rPr>
          <w:rFonts w:eastAsia="標楷體"/>
          <w:sz w:val="24"/>
          <w:szCs w:val="24"/>
        </w:rPr>
        <w:t>但因為時間已</w:t>
      </w:r>
      <w:r w:rsidR="003E2CA6" w:rsidRPr="00401789">
        <w:rPr>
          <w:rFonts w:eastAsia="標楷體"/>
          <w:sz w:val="24"/>
          <w:szCs w:val="24"/>
        </w:rPr>
        <w:t>相隔</w:t>
      </w:r>
      <w:r w:rsidR="00D71A6A" w:rsidRPr="00401789">
        <w:rPr>
          <w:rFonts w:eastAsia="標楷體"/>
          <w:sz w:val="24"/>
          <w:szCs w:val="24"/>
        </w:rPr>
        <w:t>有</w:t>
      </w:r>
      <w:r w:rsidR="00D71A6A" w:rsidRPr="00401789">
        <w:rPr>
          <w:rFonts w:eastAsia="標楷體"/>
          <w:sz w:val="24"/>
          <w:szCs w:val="24"/>
        </w:rPr>
        <w:t>4</w:t>
      </w:r>
      <w:r w:rsidR="00D71A6A" w:rsidRPr="00401789">
        <w:rPr>
          <w:rFonts w:eastAsia="標楷體"/>
          <w:sz w:val="24"/>
          <w:szCs w:val="24"/>
        </w:rPr>
        <w:t>至</w:t>
      </w:r>
      <w:r w:rsidR="00D71A6A" w:rsidRPr="00401789">
        <w:rPr>
          <w:rFonts w:eastAsia="標楷體"/>
          <w:sz w:val="24"/>
          <w:szCs w:val="24"/>
        </w:rPr>
        <w:t>5</w:t>
      </w:r>
      <w:r w:rsidR="00D71A6A" w:rsidRPr="00401789">
        <w:rPr>
          <w:rFonts w:eastAsia="標楷體"/>
          <w:sz w:val="24"/>
          <w:szCs w:val="24"/>
        </w:rPr>
        <w:t>年</w:t>
      </w:r>
      <w:r w:rsidR="00772C6F" w:rsidRPr="00401789">
        <w:rPr>
          <w:rFonts w:eastAsia="標楷體"/>
          <w:sz w:val="24"/>
          <w:szCs w:val="24"/>
        </w:rPr>
        <w:t>而且一直沒有</w:t>
      </w:r>
      <w:r w:rsidR="00E35934" w:rsidRPr="00401789">
        <w:rPr>
          <w:rFonts w:eastAsia="標楷體"/>
          <w:sz w:val="24"/>
          <w:szCs w:val="24"/>
        </w:rPr>
        <w:t>詳細紀錄</w:t>
      </w:r>
      <w:r w:rsidR="00874089" w:rsidRPr="00401789">
        <w:rPr>
          <w:rFonts w:eastAsia="標楷體"/>
          <w:sz w:val="24"/>
          <w:szCs w:val="24"/>
        </w:rPr>
        <w:t>，</w:t>
      </w:r>
      <w:r w:rsidR="006A7F46" w:rsidRPr="00401789">
        <w:rPr>
          <w:rFonts w:eastAsia="標楷體"/>
          <w:sz w:val="24"/>
          <w:szCs w:val="24"/>
        </w:rPr>
        <w:t>上訴人</w:t>
      </w:r>
      <w:r w:rsidR="004802D3" w:rsidRPr="00401789">
        <w:rPr>
          <w:rFonts w:eastAsia="標楷體"/>
          <w:sz w:val="24"/>
          <w:szCs w:val="24"/>
        </w:rPr>
        <w:t>現在</w:t>
      </w:r>
      <w:r w:rsidR="006A7F46" w:rsidRPr="00401789">
        <w:rPr>
          <w:rFonts w:eastAsia="標楷體"/>
          <w:sz w:val="24"/>
          <w:szCs w:val="24"/>
        </w:rPr>
        <w:t>沒有辦法</w:t>
      </w:r>
      <w:r w:rsidR="0088437D" w:rsidRPr="00401789">
        <w:rPr>
          <w:rFonts w:eastAsia="標楷體"/>
          <w:sz w:val="24"/>
          <w:szCs w:val="24"/>
        </w:rPr>
        <w:t>整</w:t>
      </w:r>
      <w:r w:rsidR="0001588A" w:rsidRPr="00401789">
        <w:rPr>
          <w:rFonts w:eastAsia="標楷體"/>
          <w:sz w:val="24"/>
          <w:szCs w:val="24"/>
        </w:rPr>
        <w:t>理</w:t>
      </w:r>
      <w:r w:rsidR="00AD09E0" w:rsidRPr="00401789">
        <w:rPr>
          <w:rFonts w:eastAsia="標楷體"/>
          <w:sz w:val="24"/>
          <w:szCs w:val="24"/>
        </w:rPr>
        <w:t>好他的銀行紀錄</w:t>
      </w:r>
      <w:r w:rsidR="0001588A" w:rsidRPr="00401789">
        <w:rPr>
          <w:rFonts w:eastAsia="標楷體"/>
          <w:sz w:val="24"/>
          <w:szCs w:val="24"/>
        </w:rPr>
        <w:t>和提交</w:t>
      </w:r>
      <w:r w:rsidR="0088437D" w:rsidRPr="00401789">
        <w:rPr>
          <w:rFonts w:eastAsia="標楷體"/>
          <w:sz w:val="24"/>
          <w:szCs w:val="24"/>
        </w:rPr>
        <w:t>有關文件</w:t>
      </w:r>
      <w:r w:rsidR="00EA7DD0" w:rsidRPr="00401789">
        <w:rPr>
          <w:rFonts w:eastAsia="標楷體"/>
          <w:sz w:val="24"/>
          <w:szCs w:val="24"/>
        </w:rPr>
        <w:t>。</w:t>
      </w:r>
    </w:p>
    <w:p w14:paraId="7C26FC91" w14:textId="77777777" w:rsidR="00C2072B" w:rsidRPr="00401789" w:rsidRDefault="00C2072B" w:rsidP="008A57E3">
      <w:pPr>
        <w:pStyle w:val="aff"/>
        <w:ind w:left="0"/>
        <w:rPr>
          <w:rFonts w:eastAsia="標楷體"/>
          <w:sz w:val="24"/>
          <w:szCs w:val="24"/>
        </w:rPr>
      </w:pPr>
    </w:p>
    <w:p w14:paraId="44F85B9C" w14:textId="2810F1E4" w:rsidR="00DF7F1D" w:rsidRPr="00401789" w:rsidRDefault="00C2072B" w:rsidP="00DA537A">
      <w:pPr>
        <w:pStyle w:val="aff"/>
        <w:widowControl w:val="0"/>
        <w:numPr>
          <w:ilvl w:val="0"/>
          <w:numId w:val="21"/>
        </w:numPr>
        <w:adjustRightInd/>
        <w:ind w:left="0" w:firstLine="0"/>
        <w:jc w:val="both"/>
        <w:textAlignment w:val="auto"/>
        <w:rPr>
          <w:rFonts w:eastAsia="標楷體"/>
          <w:sz w:val="24"/>
          <w:szCs w:val="24"/>
        </w:rPr>
      </w:pPr>
      <w:r w:rsidRPr="00401789">
        <w:rPr>
          <w:rFonts w:eastAsia="標楷體"/>
          <w:sz w:val="24"/>
          <w:szCs w:val="24"/>
        </w:rPr>
        <w:t>因</w:t>
      </w:r>
      <w:r w:rsidR="00FF7058" w:rsidRPr="00401789">
        <w:rPr>
          <w:rFonts w:eastAsia="標楷體"/>
          <w:sz w:val="24"/>
          <w:szCs w:val="24"/>
        </w:rPr>
        <w:t>上訴人未能提</w:t>
      </w:r>
      <w:r w:rsidR="00091C48" w:rsidRPr="00401789">
        <w:rPr>
          <w:rFonts w:eastAsia="標楷體"/>
          <w:sz w:val="24"/>
          <w:szCs w:val="24"/>
        </w:rPr>
        <w:t>交有</w:t>
      </w:r>
      <w:r w:rsidR="00FF7058" w:rsidRPr="00401789">
        <w:rPr>
          <w:rFonts w:eastAsia="標楷體"/>
          <w:sz w:val="24"/>
          <w:szCs w:val="24"/>
        </w:rPr>
        <w:t>關文件</w:t>
      </w:r>
      <w:r w:rsidR="00874089" w:rsidRPr="00401789">
        <w:rPr>
          <w:rFonts w:eastAsia="標楷體"/>
          <w:sz w:val="24"/>
          <w:szCs w:val="24"/>
        </w:rPr>
        <w:t>，</w:t>
      </w:r>
      <w:r w:rsidR="00CF19FD" w:rsidRPr="00401789">
        <w:rPr>
          <w:rFonts w:eastAsia="標楷體"/>
          <w:sz w:val="24"/>
          <w:szCs w:val="24"/>
        </w:rPr>
        <w:t>稅務局</w:t>
      </w:r>
      <w:r w:rsidR="005F5A21" w:rsidRPr="00401789">
        <w:rPr>
          <w:rFonts w:eastAsia="標楷體"/>
          <w:sz w:val="24"/>
          <w:szCs w:val="24"/>
        </w:rPr>
        <w:t>最終</w:t>
      </w:r>
      <w:r w:rsidR="00E209A8" w:rsidRPr="00401789">
        <w:rPr>
          <w:rFonts w:eastAsia="標楷體"/>
          <w:sz w:val="24"/>
          <w:szCs w:val="24"/>
        </w:rPr>
        <w:t>決定</w:t>
      </w:r>
      <w:r w:rsidR="000D79B1" w:rsidRPr="00401789">
        <w:rPr>
          <w:rFonts w:eastAsia="標楷體"/>
          <w:sz w:val="24"/>
          <w:szCs w:val="24"/>
        </w:rPr>
        <w:t>拒絕上訴人的</w:t>
      </w:r>
      <w:r w:rsidR="00813778" w:rsidRPr="00401789">
        <w:rPr>
          <w:rFonts w:eastAsia="標楷體"/>
          <w:sz w:val="24"/>
          <w:szCs w:val="24"/>
        </w:rPr>
        <w:t>扣除</w:t>
      </w:r>
      <w:r w:rsidR="005F5A21" w:rsidRPr="00401789">
        <w:rPr>
          <w:rFonts w:eastAsia="標楷體"/>
          <w:sz w:val="24"/>
          <w:szCs w:val="24"/>
        </w:rPr>
        <w:t>申索</w:t>
      </w:r>
      <w:r w:rsidR="00874089" w:rsidRPr="00401789">
        <w:rPr>
          <w:rFonts w:eastAsia="標楷體"/>
          <w:sz w:val="24"/>
          <w:szCs w:val="24"/>
        </w:rPr>
        <w:t>，</w:t>
      </w:r>
      <w:r w:rsidR="00813778" w:rsidRPr="00401789">
        <w:rPr>
          <w:rFonts w:eastAsia="標楷體"/>
          <w:sz w:val="24"/>
          <w:szCs w:val="24"/>
        </w:rPr>
        <w:t>但行使酌</w:t>
      </w:r>
      <w:r w:rsidR="00266D14" w:rsidRPr="00401789">
        <w:rPr>
          <w:rFonts w:eastAsia="標楷體"/>
          <w:sz w:val="24"/>
          <w:szCs w:val="24"/>
        </w:rPr>
        <w:t>情</w:t>
      </w:r>
      <w:r w:rsidR="00813778" w:rsidRPr="00401789">
        <w:rPr>
          <w:rFonts w:eastAsia="標楷體"/>
          <w:sz w:val="24"/>
          <w:szCs w:val="24"/>
        </w:rPr>
        <w:t>權以上訴人總入息之</w:t>
      </w:r>
      <w:r w:rsidR="00813778" w:rsidRPr="00401789">
        <w:rPr>
          <w:rFonts w:eastAsia="標楷體"/>
          <w:sz w:val="24"/>
          <w:szCs w:val="24"/>
        </w:rPr>
        <w:t>20%</w:t>
      </w:r>
      <w:r w:rsidR="00813778" w:rsidRPr="00401789">
        <w:rPr>
          <w:rFonts w:eastAsia="標楷體"/>
          <w:sz w:val="24"/>
          <w:szCs w:val="24"/>
        </w:rPr>
        <w:t>作為他的利潤</w:t>
      </w:r>
      <w:r w:rsidR="00E27B08" w:rsidRPr="00401789">
        <w:rPr>
          <w:rFonts w:eastAsia="標楷體"/>
          <w:sz w:val="24"/>
          <w:szCs w:val="24"/>
        </w:rPr>
        <w:t>去</w:t>
      </w:r>
      <w:r w:rsidR="00813778" w:rsidRPr="00401789">
        <w:rPr>
          <w:rFonts w:eastAsia="標楷體"/>
          <w:sz w:val="24"/>
          <w:szCs w:val="24"/>
        </w:rPr>
        <w:t>計算他的稅款</w:t>
      </w:r>
      <w:r w:rsidR="00874089" w:rsidRPr="00401789">
        <w:rPr>
          <w:rFonts w:eastAsia="標楷體"/>
          <w:sz w:val="24"/>
          <w:szCs w:val="24"/>
        </w:rPr>
        <w:t>。</w:t>
      </w:r>
      <w:r w:rsidR="00501711" w:rsidRPr="00401789">
        <w:rPr>
          <w:rFonts w:eastAsia="標楷體"/>
          <w:sz w:val="24"/>
          <w:szCs w:val="24"/>
        </w:rPr>
        <w:t>稅務局</w:t>
      </w:r>
      <w:r w:rsidR="00D97226" w:rsidRPr="00401789">
        <w:rPr>
          <w:rFonts w:eastAsia="標楷體"/>
          <w:sz w:val="24"/>
          <w:szCs w:val="24"/>
        </w:rPr>
        <w:t>評稅</w:t>
      </w:r>
      <w:r w:rsidR="00466C0C" w:rsidRPr="00401789">
        <w:rPr>
          <w:rFonts w:eastAsia="標楷體"/>
          <w:sz w:val="24"/>
          <w:szCs w:val="24"/>
        </w:rPr>
        <w:t>基礎</w:t>
      </w:r>
      <w:r w:rsidR="00E209A8" w:rsidRPr="00401789">
        <w:rPr>
          <w:rFonts w:eastAsia="標楷體"/>
          <w:sz w:val="24"/>
          <w:szCs w:val="24"/>
        </w:rPr>
        <w:t>如</w:t>
      </w:r>
      <w:r w:rsidR="008012CF" w:rsidRPr="00401789">
        <w:rPr>
          <w:rFonts w:eastAsia="標楷體"/>
          <w:sz w:val="24"/>
          <w:szCs w:val="24"/>
        </w:rPr>
        <w:t>下</w:t>
      </w:r>
      <w:r w:rsidR="00F26027" w:rsidRPr="00401789">
        <w:rPr>
          <w:rFonts w:eastAsia="標楷體"/>
          <w:sz w:val="24"/>
          <w:szCs w:val="24"/>
        </w:rPr>
        <w:t>:</w:t>
      </w:r>
    </w:p>
    <w:p w14:paraId="5C892BEE" w14:textId="7B1A6260" w:rsidR="00F26027" w:rsidRDefault="00F26027" w:rsidP="008A57E3">
      <w:pPr>
        <w:pStyle w:val="aff"/>
        <w:jc w:val="both"/>
        <w:rPr>
          <w:rFonts w:eastAsia="標楷體"/>
          <w:sz w:val="24"/>
          <w:szCs w:val="24"/>
        </w:rPr>
      </w:pPr>
    </w:p>
    <w:tbl>
      <w:tblPr>
        <w:tblStyle w:val="aff2"/>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1417"/>
      </w:tblGrid>
      <w:tr w:rsidR="00401789" w14:paraId="385E399F" w14:textId="77777777" w:rsidTr="00DA537A">
        <w:tc>
          <w:tcPr>
            <w:tcW w:w="1843" w:type="dxa"/>
            <w:vAlign w:val="center"/>
          </w:tcPr>
          <w:p w14:paraId="3888B950" w14:textId="77777777" w:rsidR="00401789" w:rsidRDefault="00401789" w:rsidP="008A57E3">
            <w:pPr>
              <w:pStyle w:val="aff"/>
              <w:ind w:left="0"/>
              <w:rPr>
                <w:rFonts w:eastAsia="標楷體"/>
                <w:sz w:val="24"/>
                <w:szCs w:val="24"/>
              </w:rPr>
            </w:pPr>
          </w:p>
        </w:tc>
        <w:tc>
          <w:tcPr>
            <w:tcW w:w="1418" w:type="dxa"/>
            <w:vAlign w:val="center"/>
          </w:tcPr>
          <w:p w14:paraId="703A0F1F" w14:textId="7A9BC25A" w:rsidR="00401789" w:rsidRDefault="00401789" w:rsidP="008A57E3">
            <w:pPr>
              <w:pStyle w:val="aff"/>
              <w:ind w:left="0"/>
              <w:jc w:val="center"/>
              <w:rPr>
                <w:rFonts w:eastAsia="標楷體"/>
                <w:sz w:val="24"/>
                <w:szCs w:val="24"/>
              </w:rPr>
            </w:pPr>
            <w:r w:rsidRPr="00401789">
              <w:rPr>
                <w:rFonts w:eastAsia="標楷體"/>
                <w:b/>
                <w:bCs/>
                <w:sz w:val="24"/>
                <w:szCs w:val="24"/>
                <w:u w:val="single"/>
              </w:rPr>
              <w:t>2015/16</w:t>
            </w:r>
          </w:p>
        </w:tc>
        <w:tc>
          <w:tcPr>
            <w:tcW w:w="1417" w:type="dxa"/>
            <w:vAlign w:val="center"/>
          </w:tcPr>
          <w:p w14:paraId="7E630906" w14:textId="661918EF" w:rsidR="00401789" w:rsidRDefault="00401789" w:rsidP="008A57E3">
            <w:pPr>
              <w:pStyle w:val="aff"/>
              <w:ind w:left="0"/>
              <w:jc w:val="center"/>
              <w:rPr>
                <w:rFonts w:eastAsia="標楷體"/>
                <w:sz w:val="24"/>
                <w:szCs w:val="24"/>
              </w:rPr>
            </w:pPr>
            <w:r w:rsidRPr="00401789">
              <w:rPr>
                <w:rFonts w:eastAsia="標楷體"/>
                <w:b/>
                <w:bCs/>
                <w:sz w:val="24"/>
                <w:szCs w:val="24"/>
                <w:u w:val="single"/>
              </w:rPr>
              <w:t>2016/17</w:t>
            </w:r>
          </w:p>
        </w:tc>
      </w:tr>
      <w:tr w:rsidR="00401789" w14:paraId="44965005" w14:textId="77777777" w:rsidTr="00DA537A">
        <w:tc>
          <w:tcPr>
            <w:tcW w:w="1843" w:type="dxa"/>
            <w:vAlign w:val="center"/>
          </w:tcPr>
          <w:p w14:paraId="11D547C8" w14:textId="77777777" w:rsidR="00401789" w:rsidRDefault="00401789" w:rsidP="008A57E3">
            <w:pPr>
              <w:pStyle w:val="aff"/>
              <w:ind w:left="0"/>
              <w:rPr>
                <w:rFonts w:eastAsia="標楷體"/>
                <w:sz w:val="24"/>
                <w:szCs w:val="24"/>
              </w:rPr>
            </w:pPr>
          </w:p>
        </w:tc>
        <w:tc>
          <w:tcPr>
            <w:tcW w:w="1418" w:type="dxa"/>
            <w:vAlign w:val="center"/>
          </w:tcPr>
          <w:p w14:paraId="3E2F6DEB" w14:textId="77777777" w:rsidR="00401789" w:rsidRDefault="00401789" w:rsidP="008A57E3">
            <w:pPr>
              <w:pStyle w:val="aff"/>
              <w:ind w:left="0"/>
              <w:jc w:val="right"/>
              <w:rPr>
                <w:rFonts w:eastAsia="標楷體"/>
                <w:sz w:val="24"/>
                <w:szCs w:val="24"/>
              </w:rPr>
            </w:pPr>
          </w:p>
        </w:tc>
        <w:tc>
          <w:tcPr>
            <w:tcW w:w="1417" w:type="dxa"/>
            <w:vAlign w:val="center"/>
          </w:tcPr>
          <w:p w14:paraId="3C9894EE" w14:textId="77777777" w:rsidR="00401789" w:rsidRDefault="00401789" w:rsidP="008A57E3">
            <w:pPr>
              <w:pStyle w:val="aff"/>
              <w:ind w:left="0"/>
              <w:jc w:val="right"/>
              <w:rPr>
                <w:rFonts w:eastAsia="標楷體"/>
                <w:sz w:val="24"/>
                <w:szCs w:val="24"/>
              </w:rPr>
            </w:pPr>
          </w:p>
        </w:tc>
      </w:tr>
      <w:tr w:rsidR="00401789" w14:paraId="28F2F7A5" w14:textId="77777777" w:rsidTr="00DA537A">
        <w:tc>
          <w:tcPr>
            <w:tcW w:w="1843" w:type="dxa"/>
            <w:vAlign w:val="center"/>
          </w:tcPr>
          <w:p w14:paraId="55889653" w14:textId="545AC794" w:rsidR="00401789" w:rsidRDefault="008A57E3" w:rsidP="00DA537A">
            <w:pPr>
              <w:pStyle w:val="aff"/>
              <w:ind w:leftChars="31" w:left="62"/>
              <w:rPr>
                <w:rFonts w:eastAsia="標楷體"/>
                <w:sz w:val="24"/>
                <w:szCs w:val="24"/>
              </w:rPr>
            </w:pPr>
            <w:r w:rsidRPr="00401789">
              <w:rPr>
                <w:rFonts w:eastAsia="標楷體"/>
                <w:sz w:val="24"/>
                <w:szCs w:val="24"/>
              </w:rPr>
              <w:t>總入息</w:t>
            </w:r>
          </w:p>
        </w:tc>
        <w:tc>
          <w:tcPr>
            <w:tcW w:w="1418" w:type="dxa"/>
            <w:vAlign w:val="center"/>
          </w:tcPr>
          <w:p w14:paraId="73FBC511" w14:textId="4C748D05" w:rsidR="00401789" w:rsidRDefault="008A57E3" w:rsidP="008A57E3">
            <w:pPr>
              <w:pStyle w:val="aff"/>
              <w:ind w:left="0"/>
              <w:jc w:val="right"/>
              <w:rPr>
                <w:rFonts w:eastAsia="標楷體"/>
                <w:sz w:val="24"/>
                <w:szCs w:val="24"/>
              </w:rPr>
            </w:pPr>
            <w:r w:rsidRPr="00401789">
              <w:rPr>
                <w:rFonts w:eastAsia="標楷體"/>
                <w:sz w:val="24"/>
                <w:szCs w:val="24"/>
              </w:rPr>
              <w:t>$10,214,748</w:t>
            </w:r>
          </w:p>
        </w:tc>
        <w:tc>
          <w:tcPr>
            <w:tcW w:w="1417" w:type="dxa"/>
            <w:vAlign w:val="center"/>
          </w:tcPr>
          <w:p w14:paraId="1CC411FE" w14:textId="510009BE" w:rsidR="00401789" w:rsidRDefault="008A57E3" w:rsidP="008A57E3">
            <w:pPr>
              <w:pStyle w:val="aff"/>
              <w:ind w:left="0"/>
              <w:jc w:val="right"/>
              <w:rPr>
                <w:rFonts w:eastAsia="標楷體"/>
                <w:sz w:val="24"/>
                <w:szCs w:val="24"/>
              </w:rPr>
            </w:pPr>
            <w:r w:rsidRPr="00401789">
              <w:rPr>
                <w:rFonts w:eastAsia="標楷體"/>
                <w:sz w:val="24"/>
                <w:szCs w:val="24"/>
              </w:rPr>
              <w:t>$11,727,937</w:t>
            </w:r>
          </w:p>
        </w:tc>
      </w:tr>
      <w:tr w:rsidR="00401789" w14:paraId="27558166" w14:textId="77777777" w:rsidTr="00DA537A">
        <w:tc>
          <w:tcPr>
            <w:tcW w:w="1843" w:type="dxa"/>
            <w:vAlign w:val="center"/>
          </w:tcPr>
          <w:p w14:paraId="0C133B87" w14:textId="6D34DCE1" w:rsidR="00401789" w:rsidRDefault="008A57E3" w:rsidP="00DA537A">
            <w:pPr>
              <w:pStyle w:val="aff"/>
              <w:ind w:leftChars="31" w:left="62"/>
              <w:rPr>
                <w:rFonts w:eastAsia="標楷體"/>
                <w:sz w:val="24"/>
                <w:szCs w:val="24"/>
              </w:rPr>
            </w:pPr>
            <w:r w:rsidRPr="00401789">
              <w:rPr>
                <w:rFonts w:eastAsia="標楷體"/>
                <w:sz w:val="24"/>
                <w:szCs w:val="24"/>
              </w:rPr>
              <w:t>相關開支</w:t>
            </w:r>
          </w:p>
        </w:tc>
        <w:tc>
          <w:tcPr>
            <w:tcW w:w="1418" w:type="dxa"/>
            <w:vAlign w:val="center"/>
          </w:tcPr>
          <w:p w14:paraId="58DF6190" w14:textId="1F96B81C" w:rsidR="00401789" w:rsidRDefault="008A57E3" w:rsidP="008A57E3">
            <w:pPr>
              <w:pStyle w:val="aff"/>
              <w:ind w:left="0"/>
              <w:jc w:val="right"/>
              <w:rPr>
                <w:rFonts w:eastAsia="標楷體"/>
                <w:sz w:val="24"/>
                <w:szCs w:val="24"/>
              </w:rPr>
            </w:pPr>
            <w:r w:rsidRPr="00401789">
              <w:rPr>
                <w:rFonts w:eastAsia="標楷體"/>
                <w:sz w:val="24"/>
                <w:szCs w:val="24"/>
              </w:rPr>
              <w:t>$9,500,000</w:t>
            </w:r>
          </w:p>
        </w:tc>
        <w:tc>
          <w:tcPr>
            <w:tcW w:w="1417" w:type="dxa"/>
            <w:vAlign w:val="center"/>
          </w:tcPr>
          <w:p w14:paraId="0CAEC202" w14:textId="5AE64F3F" w:rsidR="00401789" w:rsidRDefault="008A57E3" w:rsidP="008A57E3">
            <w:pPr>
              <w:pStyle w:val="aff"/>
              <w:ind w:left="0"/>
              <w:jc w:val="right"/>
              <w:rPr>
                <w:rFonts w:eastAsia="標楷體"/>
                <w:sz w:val="24"/>
                <w:szCs w:val="24"/>
              </w:rPr>
            </w:pPr>
            <w:r w:rsidRPr="00401789">
              <w:rPr>
                <w:rFonts w:eastAsia="標楷體"/>
                <w:sz w:val="24"/>
                <w:szCs w:val="24"/>
              </w:rPr>
              <w:t>$11,625,000</w:t>
            </w:r>
          </w:p>
        </w:tc>
      </w:tr>
      <w:tr w:rsidR="00401789" w14:paraId="5E18C293" w14:textId="77777777" w:rsidTr="00DA537A">
        <w:tc>
          <w:tcPr>
            <w:tcW w:w="1843" w:type="dxa"/>
            <w:vAlign w:val="center"/>
          </w:tcPr>
          <w:p w14:paraId="1651E226" w14:textId="1E4CB7C5" w:rsidR="00401789" w:rsidRDefault="008A57E3" w:rsidP="00DA537A">
            <w:pPr>
              <w:pStyle w:val="aff"/>
              <w:ind w:leftChars="31" w:left="62"/>
              <w:rPr>
                <w:rFonts w:eastAsia="標楷體"/>
                <w:sz w:val="24"/>
                <w:szCs w:val="24"/>
              </w:rPr>
            </w:pPr>
            <w:r w:rsidRPr="00401789">
              <w:rPr>
                <w:rFonts w:eastAsia="標楷體"/>
                <w:sz w:val="24"/>
                <w:szCs w:val="24"/>
              </w:rPr>
              <w:t>(</w:t>
            </w:r>
            <w:r w:rsidRPr="00401789">
              <w:rPr>
                <w:rFonts w:eastAsia="標楷體"/>
                <w:sz w:val="24"/>
                <w:szCs w:val="24"/>
              </w:rPr>
              <w:t>不被接納</w:t>
            </w:r>
            <w:r w:rsidRPr="00401789">
              <w:rPr>
                <w:rFonts w:eastAsia="標楷體"/>
                <w:sz w:val="24"/>
                <w:szCs w:val="24"/>
              </w:rPr>
              <w:t>)</w:t>
            </w:r>
          </w:p>
        </w:tc>
        <w:tc>
          <w:tcPr>
            <w:tcW w:w="1418" w:type="dxa"/>
            <w:vAlign w:val="center"/>
          </w:tcPr>
          <w:p w14:paraId="5E5D9934" w14:textId="77777777" w:rsidR="00401789" w:rsidRDefault="00401789" w:rsidP="008A57E3">
            <w:pPr>
              <w:pStyle w:val="aff"/>
              <w:ind w:left="0"/>
              <w:jc w:val="right"/>
              <w:rPr>
                <w:rFonts w:eastAsia="標楷體"/>
                <w:sz w:val="24"/>
                <w:szCs w:val="24"/>
              </w:rPr>
            </w:pPr>
          </w:p>
        </w:tc>
        <w:tc>
          <w:tcPr>
            <w:tcW w:w="1417" w:type="dxa"/>
            <w:vAlign w:val="center"/>
          </w:tcPr>
          <w:p w14:paraId="47CB5215" w14:textId="77777777" w:rsidR="00401789" w:rsidRDefault="00401789" w:rsidP="008A57E3">
            <w:pPr>
              <w:pStyle w:val="aff"/>
              <w:ind w:left="0"/>
              <w:jc w:val="right"/>
              <w:rPr>
                <w:rFonts w:eastAsia="標楷體"/>
                <w:sz w:val="24"/>
                <w:szCs w:val="24"/>
              </w:rPr>
            </w:pPr>
          </w:p>
        </w:tc>
      </w:tr>
      <w:tr w:rsidR="00401789" w14:paraId="34D58B97" w14:textId="77777777" w:rsidTr="00DA537A">
        <w:tc>
          <w:tcPr>
            <w:tcW w:w="1843" w:type="dxa"/>
            <w:vAlign w:val="center"/>
          </w:tcPr>
          <w:p w14:paraId="76ED5E29" w14:textId="32972A73" w:rsidR="00401789" w:rsidRDefault="008A57E3" w:rsidP="00DA537A">
            <w:pPr>
              <w:pStyle w:val="aff"/>
              <w:ind w:leftChars="31" w:left="62"/>
              <w:rPr>
                <w:rFonts w:eastAsia="標楷體"/>
                <w:sz w:val="24"/>
                <w:szCs w:val="24"/>
              </w:rPr>
            </w:pPr>
            <w:r w:rsidRPr="00401789">
              <w:rPr>
                <w:rFonts w:eastAsia="標楷體"/>
                <w:sz w:val="24"/>
                <w:szCs w:val="24"/>
              </w:rPr>
              <w:t>入息</w:t>
            </w:r>
          </w:p>
        </w:tc>
        <w:tc>
          <w:tcPr>
            <w:tcW w:w="1418" w:type="dxa"/>
            <w:vAlign w:val="center"/>
          </w:tcPr>
          <w:p w14:paraId="0B424628" w14:textId="78969133" w:rsidR="00401789" w:rsidRDefault="008A57E3" w:rsidP="008A57E3">
            <w:pPr>
              <w:pStyle w:val="aff"/>
              <w:ind w:left="0"/>
              <w:jc w:val="right"/>
              <w:rPr>
                <w:rFonts w:eastAsia="標楷體"/>
                <w:sz w:val="24"/>
                <w:szCs w:val="24"/>
              </w:rPr>
            </w:pPr>
            <w:r w:rsidRPr="00401789">
              <w:rPr>
                <w:rFonts w:eastAsia="標楷體"/>
                <w:sz w:val="24"/>
                <w:szCs w:val="24"/>
              </w:rPr>
              <w:t>$2,042,949</w:t>
            </w:r>
          </w:p>
        </w:tc>
        <w:tc>
          <w:tcPr>
            <w:tcW w:w="1417" w:type="dxa"/>
            <w:vAlign w:val="center"/>
          </w:tcPr>
          <w:p w14:paraId="088A185E" w14:textId="29394086" w:rsidR="00401789" w:rsidRDefault="008A57E3" w:rsidP="008A57E3">
            <w:pPr>
              <w:pStyle w:val="aff"/>
              <w:ind w:left="0"/>
              <w:jc w:val="right"/>
              <w:rPr>
                <w:rFonts w:eastAsia="標楷體"/>
                <w:sz w:val="24"/>
                <w:szCs w:val="24"/>
              </w:rPr>
            </w:pPr>
            <w:r w:rsidRPr="00401789">
              <w:rPr>
                <w:rFonts w:eastAsia="標楷體"/>
                <w:sz w:val="24"/>
                <w:szCs w:val="24"/>
              </w:rPr>
              <w:t>$2,344,387</w:t>
            </w:r>
          </w:p>
        </w:tc>
      </w:tr>
      <w:tr w:rsidR="00401789" w14:paraId="1F602625" w14:textId="77777777" w:rsidTr="00DA537A">
        <w:tc>
          <w:tcPr>
            <w:tcW w:w="1843" w:type="dxa"/>
            <w:vAlign w:val="center"/>
          </w:tcPr>
          <w:p w14:paraId="7F58F798" w14:textId="18C84EBB" w:rsidR="00401789" w:rsidRDefault="008A57E3" w:rsidP="00DA537A">
            <w:pPr>
              <w:pStyle w:val="aff"/>
              <w:ind w:leftChars="31" w:left="62"/>
              <w:rPr>
                <w:rFonts w:eastAsia="標楷體"/>
                <w:sz w:val="24"/>
                <w:szCs w:val="24"/>
              </w:rPr>
            </w:pPr>
            <w:r w:rsidRPr="00401789">
              <w:rPr>
                <w:rFonts w:eastAsia="標楷體"/>
                <w:sz w:val="24"/>
                <w:szCs w:val="24"/>
              </w:rPr>
              <w:t>(</w:t>
            </w:r>
            <w:r w:rsidRPr="00401789">
              <w:rPr>
                <w:rFonts w:eastAsia="標楷體"/>
                <w:sz w:val="24"/>
                <w:szCs w:val="24"/>
              </w:rPr>
              <w:t>總入息的</w:t>
            </w:r>
            <w:r w:rsidRPr="00401789">
              <w:rPr>
                <w:rFonts w:eastAsia="標楷體"/>
                <w:sz w:val="24"/>
                <w:szCs w:val="24"/>
              </w:rPr>
              <w:t>20%)</w:t>
            </w:r>
          </w:p>
        </w:tc>
        <w:tc>
          <w:tcPr>
            <w:tcW w:w="1418" w:type="dxa"/>
            <w:vAlign w:val="center"/>
          </w:tcPr>
          <w:p w14:paraId="131F76F6" w14:textId="77777777" w:rsidR="00401789" w:rsidRDefault="00401789" w:rsidP="008A57E3">
            <w:pPr>
              <w:pStyle w:val="aff"/>
              <w:ind w:left="0"/>
              <w:jc w:val="right"/>
              <w:rPr>
                <w:rFonts w:eastAsia="標楷體"/>
                <w:sz w:val="24"/>
                <w:szCs w:val="24"/>
              </w:rPr>
            </w:pPr>
          </w:p>
        </w:tc>
        <w:tc>
          <w:tcPr>
            <w:tcW w:w="1417" w:type="dxa"/>
            <w:vAlign w:val="center"/>
          </w:tcPr>
          <w:p w14:paraId="39236ED8" w14:textId="77777777" w:rsidR="00401789" w:rsidRDefault="00401789" w:rsidP="008A57E3">
            <w:pPr>
              <w:pStyle w:val="aff"/>
              <w:ind w:left="0"/>
              <w:jc w:val="right"/>
              <w:rPr>
                <w:rFonts w:eastAsia="標楷體"/>
                <w:sz w:val="24"/>
                <w:szCs w:val="24"/>
              </w:rPr>
            </w:pPr>
          </w:p>
        </w:tc>
      </w:tr>
      <w:tr w:rsidR="00401789" w14:paraId="776032F8" w14:textId="77777777" w:rsidTr="00DA537A">
        <w:tc>
          <w:tcPr>
            <w:tcW w:w="1843" w:type="dxa"/>
            <w:vAlign w:val="center"/>
          </w:tcPr>
          <w:p w14:paraId="46A40C78" w14:textId="72A7C61D" w:rsidR="00401789" w:rsidRDefault="008A57E3" w:rsidP="00DA537A">
            <w:pPr>
              <w:pStyle w:val="aff"/>
              <w:ind w:leftChars="31" w:left="62"/>
              <w:rPr>
                <w:rFonts w:eastAsia="標楷體"/>
                <w:sz w:val="24"/>
                <w:szCs w:val="24"/>
              </w:rPr>
            </w:pPr>
            <w:r w:rsidRPr="00401789">
              <w:rPr>
                <w:rFonts w:eastAsia="標楷體"/>
                <w:sz w:val="24"/>
                <w:szCs w:val="24"/>
              </w:rPr>
              <w:t>應繳稅款</w:t>
            </w:r>
          </w:p>
        </w:tc>
        <w:tc>
          <w:tcPr>
            <w:tcW w:w="1418" w:type="dxa"/>
            <w:vAlign w:val="center"/>
          </w:tcPr>
          <w:p w14:paraId="1E7F25D2" w14:textId="2DED05EA" w:rsidR="00401789" w:rsidRDefault="008A57E3" w:rsidP="008A57E3">
            <w:pPr>
              <w:pStyle w:val="aff"/>
              <w:ind w:left="0"/>
              <w:jc w:val="right"/>
              <w:rPr>
                <w:rFonts w:eastAsia="標楷體"/>
                <w:sz w:val="24"/>
                <w:szCs w:val="24"/>
              </w:rPr>
            </w:pPr>
            <w:r w:rsidRPr="00401789">
              <w:rPr>
                <w:rFonts w:eastAsia="標楷體"/>
                <w:sz w:val="24"/>
                <w:szCs w:val="24"/>
              </w:rPr>
              <w:t>$286,442</w:t>
            </w:r>
          </w:p>
        </w:tc>
        <w:tc>
          <w:tcPr>
            <w:tcW w:w="1417" w:type="dxa"/>
            <w:vAlign w:val="center"/>
          </w:tcPr>
          <w:p w14:paraId="0EDAB50B" w14:textId="7EA1E1DB" w:rsidR="00401789" w:rsidRDefault="008A57E3" w:rsidP="008A57E3">
            <w:pPr>
              <w:pStyle w:val="aff"/>
              <w:ind w:left="0"/>
              <w:jc w:val="right"/>
              <w:rPr>
                <w:rFonts w:eastAsia="標楷體"/>
                <w:sz w:val="24"/>
                <w:szCs w:val="24"/>
              </w:rPr>
            </w:pPr>
            <w:r w:rsidRPr="00401789">
              <w:rPr>
                <w:rFonts w:eastAsia="標楷體"/>
                <w:sz w:val="24"/>
                <w:szCs w:val="24"/>
              </w:rPr>
              <w:t>$331,658</w:t>
            </w:r>
          </w:p>
        </w:tc>
      </w:tr>
    </w:tbl>
    <w:p w14:paraId="673639A1" w14:textId="67DB0C46" w:rsidR="004A4DCF" w:rsidRPr="00401789" w:rsidRDefault="004A4DCF" w:rsidP="008A57E3">
      <w:pPr>
        <w:pStyle w:val="aff"/>
        <w:jc w:val="both"/>
        <w:rPr>
          <w:rFonts w:eastAsia="標楷體"/>
          <w:sz w:val="24"/>
          <w:szCs w:val="24"/>
        </w:rPr>
      </w:pPr>
    </w:p>
    <w:p w14:paraId="27465147" w14:textId="21C61CEA" w:rsidR="00EB7AB4" w:rsidRPr="00401789" w:rsidRDefault="00EB7AB4" w:rsidP="00106AE2">
      <w:pPr>
        <w:pStyle w:val="afb"/>
        <w:numPr>
          <w:ilvl w:val="0"/>
          <w:numId w:val="21"/>
        </w:numPr>
        <w:overflowPunct w:val="0"/>
        <w:autoSpaceDE w:val="0"/>
        <w:autoSpaceDN w:val="0"/>
        <w:ind w:left="0" w:firstLine="0"/>
        <w:jc w:val="both"/>
        <w:rPr>
          <w:rFonts w:eastAsia="標楷體"/>
          <w:sz w:val="24"/>
          <w:szCs w:val="24"/>
          <w:lang w:val="en-GB"/>
        </w:rPr>
      </w:pPr>
      <w:r w:rsidRPr="00401789">
        <w:rPr>
          <w:rFonts w:eastAsia="標楷體"/>
          <w:sz w:val="24"/>
          <w:szCs w:val="24"/>
          <w:lang w:val="en-GB"/>
        </w:rPr>
        <w:t>於</w:t>
      </w:r>
      <w:r w:rsidRPr="00401789">
        <w:rPr>
          <w:rFonts w:eastAsia="標楷體"/>
          <w:sz w:val="24"/>
          <w:szCs w:val="24"/>
          <w:lang w:val="en-GB"/>
        </w:rPr>
        <w:t>20</w:t>
      </w:r>
      <w:r w:rsidRPr="00401789">
        <w:rPr>
          <w:rFonts w:eastAsia="標楷體"/>
          <w:sz w:val="24"/>
          <w:szCs w:val="24"/>
        </w:rPr>
        <w:t>20</w:t>
      </w:r>
      <w:r w:rsidRPr="00401789">
        <w:rPr>
          <w:rFonts w:eastAsia="標楷體"/>
          <w:sz w:val="24"/>
          <w:szCs w:val="24"/>
          <w:lang w:val="en-GB"/>
        </w:rPr>
        <w:t>年</w:t>
      </w:r>
      <w:r w:rsidRPr="00401789">
        <w:rPr>
          <w:rFonts w:eastAsia="標楷體"/>
          <w:sz w:val="24"/>
          <w:szCs w:val="24"/>
        </w:rPr>
        <w:t>4</w:t>
      </w:r>
      <w:r w:rsidRPr="00401789">
        <w:rPr>
          <w:rFonts w:eastAsia="標楷體"/>
          <w:sz w:val="24"/>
          <w:szCs w:val="24"/>
          <w:lang w:val="en-GB"/>
        </w:rPr>
        <w:t>月</w:t>
      </w:r>
      <w:r w:rsidRPr="00401789">
        <w:rPr>
          <w:rFonts w:eastAsia="標楷體"/>
          <w:sz w:val="24"/>
          <w:szCs w:val="24"/>
        </w:rPr>
        <w:t>2</w:t>
      </w:r>
      <w:r w:rsidRPr="00401789">
        <w:rPr>
          <w:rFonts w:eastAsia="標楷體"/>
          <w:sz w:val="24"/>
          <w:szCs w:val="24"/>
          <w:lang w:val="en-GB"/>
        </w:rPr>
        <w:t>日</w:t>
      </w:r>
      <w:r w:rsidR="00874089" w:rsidRPr="00401789">
        <w:rPr>
          <w:rFonts w:eastAsia="標楷體"/>
          <w:sz w:val="24"/>
          <w:szCs w:val="24"/>
        </w:rPr>
        <w:t>，</w:t>
      </w:r>
      <w:r w:rsidRPr="00401789">
        <w:rPr>
          <w:rFonts w:eastAsia="標楷體"/>
          <w:sz w:val="24"/>
          <w:szCs w:val="24"/>
        </w:rPr>
        <w:t>稅務局</w:t>
      </w:r>
      <w:r w:rsidRPr="00401789">
        <w:rPr>
          <w:rFonts w:eastAsia="標楷體"/>
          <w:sz w:val="24"/>
          <w:szCs w:val="24"/>
          <w:lang w:val="en-GB"/>
        </w:rPr>
        <w:t>將</w:t>
      </w:r>
      <w:r w:rsidR="00F144EF" w:rsidRPr="00401789">
        <w:rPr>
          <w:rFonts w:eastAsia="標楷體"/>
          <w:sz w:val="24"/>
          <w:szCs w:val="24"/>
        </w:rPr>
        <w:t>上述決定</w:t>
      </w:r>
      <w:r w:rsidR="00F144EF" w:rsidRPr="00401789">
        <w:rPr>
          <w:rFonts w:eastAsia="標楷體"/>
          <w:sz w:val="24"/>
          <w:szCs w:val="24"/>
        </w:rPr>
        <w:t>(</w:t>
      </w:r>
      <w:r w:rsidR="00CF03A4" w:rsidRPr="00401789">
        <w:rPr>
          <w:rFonts w:eastAsia="標楷體"/>
          <w:sz w:val="24"/>
          <w:szCs w:val="24"/>
        </w:rPr>
        <w:t>「</w:t>
      </w:r>
      <w:r w:rsidR="00CF03A4" w:rsidRPr="00401789">
        <w:rPr>
          <w:rFonts w:eastAsia="標楷體"/>
          <w:sz w:val="24"/>
          <w:szCs w:val="24"/>
          <w:lang w:val="en-GB"/>
        </w:rPr>
        <w:t>決定書</w:t>
      </w:r>
      <w:r w:rsidR="00CF03A4" w:rsidRPr="00401789">
        <w:rPr>
          <w:rFonts w:eastAsia="標楷體"/>
          <w:sz w:val="24"/>
          <w:szCs w:val="24"/>
        </w:rPr>
        <w:t>」</w:t>
      </w:r>
      <w:r w:rsidR="00F144EF" w:rsidRPr="00401789">
        <w:rPr>
          <w:rFonts w:eastAsia="標楷體"/>
          <w:sz w:val="24"/>
          <w:szCs w:val="24"/>
          <w:lang w:val="en-GB"/>
        </w:rPr>
        <w:t>)</w:t>
      </w:r>
      <w:r w:rsidRPr="00401789">
        <w:rPr>
          <w:rFonts w:eastAsia="標楷體"/>
          <w:sz w:val="24"/>
          <w:szCs w:val="24"/>
        </w:rPr>
        <w:t>和有關</w:t>
      </w:r>
      <w:r w:rsidRPr="00401789">
        <w:rPr>
          <w:rFonts w:eastAsia="標楷體"/>
          <w:sz w:val="24"/>
          <w:szCs w:val="24"/>
          <w:lang w:val="en-GB"/>
        </w:rPr>
        <w:t>上訴人上訴權利</w:t>
      </w:r>
      <w:r w:rsidR="00CF03A4" w:rsidRPr="00401789">
        <w:rPr>
          <w:rFonts w:eastAsia="標楷體"/>
          <w:sz w:val="24"/>
          <w:szCs w:val="24"/>
        </w:rPr>
        <w:t>、</w:t>
      </w:r>
      <w:r w:rsidRPr="00401789">
        <w:rPr>
          <w:rFonts w:eastAsia="標楷體"/>
          <w:sz w:val="24"/>
          <w:szCs w:val="24"/>
          <w:lang w:val="en-GB"/>
        </w:rPr>
        <w:t>程序和期限的</w:t>
      </w:r>
      <w:r w:rsidRPr="00401789">
        <w:rPr>
          <w:rFonts w:eastAsia="標楷體"/>
          <w:sz w:val="24"/>
          <w:szCs w:val="24"/>
        </w:rPr>
        <w:t>文件寄往</w:t>
      </w:r>
      <w:r w:rsidRPr="00401789">
        <w:rPr>
          <w:rFonts w:eastAsia="標楷體"/>
          <w:sz w:val="24"/>
          <w:szCs w:val="24"/>
          <w:lang w:val="en-GB"/>
        </w:rPr>
        <w:t>上訴人的通信地址</w:t>
      </w:r>
      <w:r w:rsidR="00874089" w:rsidRPr="00401789">
        <w:rPr>
          <w:rFonts w:eastAsia="標楷體"/>
          <w:sz w:val="24"/>
          <w:szCs w:val="24"/>
          <w:lang w:val="en-GB"/>
        </w:rPr>
        <w:t>。</w:t>
      </w:r>
    </w:p>
    <w:p w14:paraId="4FA8DC3F" w14:textId="7A83B053" w:rsidR="00EB7AB4" w:rsidRPr="00401789" w:rsidRDefault="00EB7AB4" w:rsidP="00106AE2">
      <w:pPr>
        <w:jc w:val="both"/>
        <w:rPr>
          <w:rFonts w:eastAsia="標楷體"/>
          <w:sz w:val="24"/>
          <w:szCs w:val="24"/>
          <w:lang w:val="es-419"/>
        </w:rPr>
      </w:pPr>
    </w:p>
    <w:p w14:paraId="56643690" w14:textId="5F213066" w:rsidR="00EB7AB4" w:rsidRPr="00401789" w:rsidRDefault="00EB7AB4" w:rsidP="00106AE2">
      <w:pPr>
        <w:pStyle w:val="aff"/>
        <w:widowControl w:val="0"/>
        <w:numPr>
          <w:ilvl w:val="0"/>
          <w:numId w:val="21"/>
        </w:numPr>
        <w:adjustRightInd/>
        <w:ind w:left="0" w:firstLine="0"/>
        <w:jc w:val="both"/>
        <w:textAlignment w:val="auto"/>
        <w:rPr>
          <w:rFonts w:eastAsia="標楷體"/>
          <w:sz w:val="24"/>
          <w:szCs w:val="24"/>
        </w:rPr>
      </w:pPr>
      <w:r w:rsidRPr="00401789">
        <w:rPr>
          <w:rFonts w:eastAsia="標楷體"/>
          <w:sz w:val="24"/>
          <w:szCs w:val="24"/>
        </w:rPr>
        <w:t>於</w:t>
      </w:r>
      <w:r w:rsidRPr="00401789">
        <w:rPr>
          <w:rFonts w:eastAsia="標楷體"/>
          <w:sz w:val="24"/>
          <w:szCs w:val="24"/>
        </w:rPr>
        <w:t>2020</w:t>
      </w:r>
      <w:r w:rsidRPr="00401789">
        <w:rPr>
          <w:rFonts w:eastAsia="標楷體"/>
          <w:sz w:val="24"/>
          <w:szCs w:val="24"/>
        </w:rPr>
        <w:t>年</w:t>
      </w:r>
      <w:r w:rsidRPr="00401789">
        <w:rPr>
          <w:rFonts w:eastAsia="標楷體"/>
          <w:sz w:val="24"/>
          <w:szCs w:val="24"/>
        </w:rPr>
        <w:t>4</w:t>
      </w:r>
      <w:r w:rsidRPr="00401789">
        <w:rPr>
          <w:rFonts w:eastAsia="標楷體"/>
          <w:sz w:val="24"/>
          <w:szCs w:val="24"/>
        </w:rPr>
        <w:t>月</w:t>
      </w:r>
      <w:r w:rsidRPr="00401789">
        <w:rPr>
          <w:rFonts w:eastAsia="標楷體"/>
          <w:sz w:val="24"/>
          <w:szCs w:val="24"/>
        </w:rPr>
        <w:t>9</w:t>
      </w:r>
      <w:r w:rsidRPr="00401789">
        <w:rPr>
          <w:rFonts w:eastAsia="標楷體"/>
          <w:sz w:val="24"/>
          <w:szCs w:val="24"/>
        </w:rPr>
        <w:t>日</w:t>
      </w:r>
      <w:r w:rsidR="00874089" w:rsidRPr="00401789">
        <w:rPr>
          <w:rFonts w:eastAsia="標楷體"/>
          <w:sz w:val="24"/>
          <w:szCs w:val="24"/>
        </w:rPr>
        <w:t>，</w:t>
      </w:r>
      <w:r w:rsidRPr="00401789">
        <w:rPr>
          <w:rFonts w:eastAsia="標楷體"/>
          <w:sz w:val="24"/>
          <w:szCs w:val="24"/>
        </w:rPr>
        <w:t>上訴人簽收決定書和其有關文件</w:t>
      </w:r>
      <w:r w:rsidR="00874089" w:rsidRPr="00401789">
        <w:rPr>
          <w:rFonts w:eastAsia="標楷體"/>
          <w:sz w:val="24"/>
          <w:szCs w:val="24"/>
        </w:rPr>
        <w:t>。</w:t>
      </w:r>
      <w:r w:rsidRPr="00401789">
        <w:rPr>
          <w:rFonts w:eastAsia="標楷體"/>
          <w:sz w:val="24"/>
          <w:szCs w:val="24"/>
        </w:rPr>
        <w:t>於</w:t>
      </w:r>
      <w:r w:rsidRPr="00401789">
        <w:rPr>
          <w:rFonts w:eastAsia="標楷體"/>
          <w:sz w:val="24"/>
          <w:szCs w:val="24"/>
        </w:rPr>
        <w:t>2020</w:t>
      </w:r>
      <w:r w:rsidRPr="00401789">
        <w:rPr>
          <w:rFonts w:eastAsia="標楷體"/>
          <w:sz w:val="24"/>
          <w:szCs w:val="24"/>
        </w:rPr>
        <w:t>年</w:t>
      </w:r>
      <w:r w:rsidRPr="00401789">
        <w:rPr>
          <w:rFonts w:eastAsia="標楷體"/>
          <w:sz w:val="24"/>
          <w:szCs w:val="24"/>
        </w:rPr>
        <w:t>4</w:t>
      </w:r>
      <w:r w:rsidRPr="00401789">
        <w:rPr>
          <w:rFonts w:eastAsia="標楷體"/>
          <w:sz w:val="24"/>
          <w:szCs w:val="24"/>
        </w:rPr>
        <w:t>月</w:t>
      </w:r>
      <w:r w:rsidRPr="00401789">
        <w:rPr>
          <w:rFonts w:eastAsia="標楷體"/>
          <w:sz w:val="24"/>
          <w:szCs w:val="24"/>
        </w:rPr>
        <w:t>16</w:t>
      </w:r>
      <w:r w:rsidRPr="00401789">
        <w:rPr>
          <w:rFonts w:eastAsia="標楷體"/>
          <w:sz w:val="24"/>
          <w:szCs w:val="24"/>
        </w:rPr>
        <w:t>日</w:t>
      </w:r>
      <w:r w:rsidR="00874089" w:rsidRPr="00401789">
        <w:rPr>
          <w:rFonts w:eastAsia="標楷體"/>
          <w:sz w:val="24"/>
          <w:szCs w:val="24"/>
        </w:rPr>
        <w:t>，</w:t>
      </w:r>
      <w:r w:rsidRPr="00401789">
        <w:rPr>
          <w:rFonts w:eastAsia="標楷體"/>
          <w:sz w:val="24"/>
          <w:szCs w:val="24"/>
        </w:rPr>
        <w:t>由於對程序上的誤解</w:t>
      </w:r>
      <w:r w:rsidR="00874089" w:rsidRPr="00401789">
        <w:rPr>
          <w:rFonts w:eastAsia="標楷體"/>
          <w:sz w:val="24"/>
          <w:szCs w:val="24"/>
        </w:rPr>
        <w:t>，</w:t>
      </w:r>
      <w:r w:rsidRPr="00401789">
        <w:rPr>
          <w:rFonts w:eastAsia="標楷體"/>
          <w:sz w:val="24"/>
          <w:szCs w:val="24"/>
        </w:rPr>
        <w:t>上訴人以信件</w:t>
      </w:r>
      <w:r w:rsidRPr="00401789">
        <w:rPr>
          <w:rFonts w:eastAsia="標楷體"/>
          <w:sz w:val="24"/>
          <w:szCs w:val="24"/>
        </w:rPr>
        <w:t>(</w:t>
      </w:r>
      <w:r w:rsidRPr="00401789">
        <w:rPr>
          <w:rFonts w:eastAsia="標楷體"/>
          <w:sz w:val="24"/>
          <w:szCs w:val="24"/>
        </w:rPr>
        <w:t>日期為</w:t>
      </w:r>
      <w:r w:rsidRPr="00401789">
        <w:rPr>
          <w:rFonts w:eastAsia="標楷體"/>
          <w:sz w:val="24"/>
          <w:szCs w:val="24"/>
        </w:rPr>
        <w:t>2020</w:t>
      </w:r>
      <w:r w:rsidRPr="00401789">
        <w:rPr>
          <w:rFonts w:eastAsia="標楷體"/>
          <w:sz w:val="24"/>
          <w:szCs w:val="24"/>
        </w:rPr>
        <w:t>年</w:t>
      </w:r>
      <w:r w:rsidRPr="00401789">
        <w:rPr>
          <w:rFonts w:eastAsia="標楷體"/>
          <w:sz w:val="24"/>
          <w:szCs w:val="24"/>
        </w:rPr>
        <w:t>4</w:t>
      </w:r>
      <w:r w:rsidRPr="00401789">
        <w:rPr>
          <w:rFonts w:eastAsia="標楷體"/>
          <w:sz w:val="24"/>
          <w:szCs w:val="24"/>
        </w:rPr>
        <w:t>月</w:t>
      </w:r>
      <w:r w:rsidRPr="00401789">
        <w:rPr>
          <w:rFonts w:eastAsia="標楷體"/>
          <w:sz w:val="24"/>
          <w:szCs w:val="24"/>
        </w:rPr>
        <w:t>12</w:t>
      </w:r>
      <w:r w:rsidRPr="00401789">
        <w:rPr>
          <w:rFonts w:eastAsia="標楷體"/>
          <w:sz w:val="24"/>
          <w:szCs w:val="24"/>
        </w:rPr>
        <w:t>日</w:t>
      </w:r>
      <w:r w:rsidRPr="00401789">
        <w:rPr>
          <w:rFonts w:eastAsia="標楷體"/>
          <w:sz w:val="24"/>
          <w:szCs w:val="24"/>
        </w:rPr>
        <w:t>)</w:t>
      </w:r>
      <w:r w:rsidRPr="00401789">
        <w:rPr>
          <w:rFonts w:eastAsia="標楷體"/>
          <w:sz w:val="24"/>
          <w:szCs w:val="24"/>
        </w:rPr>
        <w:t>形式去信到稅務局</w:t>
      </w:r>
      <w:r w:rsidR="00E72F0E" w:rsidRPr="00401789">
        <w:rPr>
          <w:rFonts w:eastAsia="標楷體"/>
          <w:sz w:val="24"/>
          <w:szCs w:val="24"/>
        </w:rPr>
        <w:t>提出</w:t>
      </w:r>
      <w:r w:rsidRPr="00401789">
        <w:rPr>
          <w:rFonts w:eastAsia="標楷體"/>
          <w:sz w:val="24"/>
          <w:szCs w:val="24"/>
        </w:rPr>
        <w:t>上訴</w:t>
      </w:r>
      <w:r w:rsidR="00874089" w:rsidRPr="00401789">
        <w:rPr>
          <w:rFonts w:eastAsia="標楷體"/>
          <w:sz w:val="24"/>
          <w:szCs w:val="24"/>
        </w:rPr>
        <w:t>。</w:t>
      </w:r>
      <w:r w:rsidRPr="00401789">
        <w:rPr>
          <w:rFonts w:eastAsia="標楷體"/>
          <w:sz w:val="24"/>
          <w:szCs w:val="24"/>
        </w:rPr>
        <w:t>稅務局於</w:t>
      </w:r>
      <w:r w:rsidRPr="00401789">
        <w:rPr>
          <w:rFonts w:eastAsia="標楷體"/>
          <w:sz w:val="24"/>
          <w:szCs w:val="24"/>
        </w:rPr>
        <w:t>2020</w:t>
      </w:r>
      <w:r w:rsidRPr="00401789">
        <w:rPr>
          <w:rFonts w:eastAsia="標楷體"/>
          <w:sz w:val="24"/>
          <w:szCs w:val="24"/>
        </w:rPr>
        <w:t>年</w:t>
      </w:r>
      <w:r w:rsidRPr="00401789">
        <w:rPr>
          <w:rFonts w:eastAsia="標楷體"/>
          <w:sz w:val="24"/>
          <w:szCs w:val="24"/>
        </w:rPr>
        <w:t>4</w:t>
      </w:r>
      <w:r w:rsidRPr="00401789">
        <w:rPr>
          <w:rFonts w:eastAsia="標楷體"/>
          <w:sz w:val="24"/>
          <w:szCs w:val="24"/>
        </w:rPr>
        <w:t>月</w:t>
      </w:r>
      <w:r w:rsidRPr="00401789">
        <w:rPr>
          <w:rFonts w:eastAsia="標楷體"/>
          <w:sz w:val="24"/>
          <w:szCs w:val="24"/>
        </w:rPr>
        <w:t>29</w:t>
      </w:r>
      <w:r w:rsidRPr="00401789">
        <w:rPr>
          <w:rFonts w:eastAsia="標楷體"/>
          <w:sz w:val="24"/>
          <w:szCs w:val="24"/>
        </w:rPr>
        <w:t>日以信件通知上訴人正確的上訴程序</w:t>
      </w:r>
      <w:r w:rsidR="00874089" w:rsidRPr="00401789">
        <w:rPr>
          <w:rFonts w:eastAsia="標楷體"/>
          <w:sz w:val="24"/>
          <w:szCs w:val="24"/>
        </w:rPr>
        <w:t>。</w:t>
      </w:r>
      <w:r w:rsidR="00166755" w:rsidRPr="00401789">
        <w:rPr>
          <w:rFonts w:eastAsia="標楷體"/>
          <w:sz w:val="24"/>
          <w:szCs w:val="24"/>
        </w:rPr>
        <w:t>上訴人得</w:t>
      </w:r>
      <w:r w:rsidR="00266D14" w:rsidRPr="00401789">
        <w:rPr>
          <w:rFonts w:eastAsia="標楷體"/>
          <w:sz w:val="24"/>
          <w:szCs w:val="24"/>
        </w:rPr>
        <w:t>悉</w:t>
      </w:r>
      <w:r w:rsidR="006E5472" w:rsidRPr="00401789">
        <w:rPr>
          <w:rFonts w:eastAsia="標楷體"/>
          <w:sz w:val="24"/>
          <w:szCs w:val="24"/>
        </w:rPr>
        <w:t>錯誤後</w:t>
      </w:r>
      <w:r w:rsidR="00874089" w:rsidRPr="00401789">
        <w:rPr>
          <w:rFonts w:eastAsia="標楷體"/>
          <w:sz w:val="24"/>
          <w:szCs w:val="24"/>
        </w:rPr>
        <w:t>，</w:t>
      </w:r>
      <w:r w:rsidR="00E06EF9" w:rsidRPr="00401789">
        <w:rPr>
          <w:rFonts w:eastAsia="標楷體"/>
          <w:sz w:val="24"/>
          <w:szCs w:val="24"/>
        </w:rPr>
        <w:t>於</w:t>
      </w:r>
      <w:r w:rsidR="00E06EF9" w:rsidRPr="00401789">
        <w:rPr>
          <w:rFonts w:eastAsia="標楷體"/>
          <w:sz w:val="24"/>
          <w:szCs w:val="24"/>
        </w:rPr>
        <w:t>5</w:t>
      </w:r>
      <w:r w:rsidR="00E06EF9" w:rsidRPr="00401789">
        <w:rPr>
          <w:rFonts w:eastAsia="標楷體"/>
          <w:sz w:val="24"/>
          <w:szCs w:val="24"/>
        </w:rPr>
        <w:t>月</w:t>
      </w:r>
      <w:r w:rsidR="006849DA" w:rsidRPr="00401789">
        <w:rPr>
          <w:rFonts w:eastAsia="標楷體"/>
          <w:sz w:val="24"/>
          <w:szCs w:val="24"/>
        </w:rPr>
        <w:t>13</w:t>
      </w:r>
      <w:r w:rsidR="006849DA" w:rsidRPr="00401789">
        <w:rPr>
          <w:rFonts w:eastAsia="標楷體"/>
          <w:sz w:val="24"/>
          <w:szCs w:val="24"/>
        </w:rPr>
        <w:t>日</w:t>
      </w:r>
      <w:r w:rsidR="006E5472" w:rsidRPr="00401789">
        <w:rPr>
          <w:rFonts w:eastAsia="標楷體"/>
          <w:sz w:val="24"/>
          <w:szCs w:val="24"/>
        </w:rPr>
        <w:t>去信</w:t>
      </w:r>
      <w:r w:rsidR="000B048A" w:rsidRPr="00401789">
        <w:rPr>
          <w:rFonts w:eastAsia="標楷體"/>
          <w:sz w:val="24"/>
          <w:szCs w:val="24"/>
        </w:rPr>
        <w:t>稅務</w:t>
      </w:r>
      <w:r w:rsidR="00502D86" w:rsidRPr="00401789">
        <w:rPr>
          <w:rFonts w:eastAsia="標楷體"/>
          <w:sz w:val="24"/>
          <w:szCs w:val="24"/>
        </w:rPr>
        <w:t>委員會</w:t>
      </w:r>
      <w:r w:rsidR="001A6A19" w:rsidRPr="00401789">
        <w:rPr>
          <w:rFonts w:eastAsia="標楷體"/>
          <w:sz w:val="24"/>
          <w:szCs w:val="24"/>
        </w:rPr>
        <w:t>通知其上訴</w:t>
      </w:r>
      <w:r w:rsidR="000B048A" w:rsidRPr="00401789">
        <w:rPr>
          <w:rFonts w:eastAsia="標楷體"/>
          <w:sz w:val="24"/>
          <w:szCs w:val="24"/>
        </w:rPr>
        <w:t>申請</w:t>
      </w:r>
      <w:r w:rsidR="00BE03CB" w:rsidRPr="00401789">
        <w:rPr>
          <w:rFonts w:eastAsia="標楷體"/>
          <w:sz w:val="24"/>
          <w:szCs w:val="24"/>
        </w:rPr>
        <w:t>。</w:t>
      </w:r>
      <w:r w:rsidR="00E06EF9" w:rsidRPr="00401789">
        <w:rPr>
          <w:rFonts w:eastAsia="標楷體"/>
          <w:sz w:val="24"/>
          <w:szCs w:val="24"/>
        </w:rPr>
        <w:t>可惜因沒</w:t>
      </w:r>
      <w:r w:rsidR="00266D14" w:rsidRPr="00401789">
        <w:rPr>
          <w:rFonts w:eastAsia="標楷體"/>
          <w:sz w:val="24"/>
          <w:szCs w:val="24"/>
        </w:rPr>
        <w:t>有</w:t>
      </w:r>
      <w:r w:rsidR="00B1624C" w:rsidRPr="00401789">
        <w:rPr>
          <w:rFonts w:eastAsia="標楷體"/>
          <w:sz w:val="24"/>
          <w:szCs w:val="24"/>
        </w:rPr>
        <w:t>連同</w:t>
      </w:r>
      <w:r w:rsidR="00665FC6" w:rsidRPr="00401789">
        <w:rPr>
          <w:rFonts w:eastAsia="標楷體"/>
          <w:sz w:val="24"/>
          <w:szCs w:val="24"/>
        </w:rPr>
        <w:t>有關</w:t>
      </w:r>
      <w:r w:rsidR="0065293B" w:rsidRPr="00401789">
        <w:rPr>
          <w:rFonts w:eastAsia="標楷體"/>
          <w:sz w:val="24"/>
          <w:szCs w:val="24"/>
        </w:rPr>
        <w:t>文件</w:t>
      </w:r>
      <w:r w:rsidR="00091ABF" w:rsidRPr="00401789">
        <w:rPr>
          <w:rFonts w:eastAsia="標楷體"/>
          <w:sz w:val="24"/>
          <w:szCs w:val="24"/>
        </w:rPr>
        <w:t>，</w:t>
      </w:r>
      <w:r w:rsidR="00B1624C" w:rsidRPr="00401789">
        <w:rPr>
          <w:rFonts w:eastAsia="標楷體"/>
          <w:sz w:val="24"/>
          <w:szCs w:val="24"/>
        </w:rPr>
        <w:t>即</w:t>
      </w:r>
      <w:r w:rsidR="001A6A19" w:rsidRPr="00401789">
        <w:rPr>
          <w:rFonts w:eastAsia="標楷體"/>
          <w:sz w:val="24"/>
          <w:szCs w:val="24"/>
        </w:rPr>
        <w:t>決定</w:t>
      </w:r>
      <w:r w:rsidR="00E741BE" w:rsidRPr="00401789">
        <w:rPr>
          <w:rFonts w:eastAsia="標楷體"/>
          <w:sz w:val="24"/>
          <w:szCs w:val="24"/>
        </w:rPr>
        <w:t>書副本及</w:t>
      </w:r>
      <w:r w:rsidR="004D26B6" w:rsidRPr="00401789">
        <w:rPr>
          <w:rFonts w:eastAsia="標楷體"/>
          <w:sz w:val="24"/>
          <w:szCs w:val="24"/>
        </w:rPr>
        <w:t>上</w:t>
      </w:r>
      <w:r w:rsidR="008646A1" w:rsidRPr="00401789">
        <w:rPr>
          <w:rFonts w:eastAsia="標楷體"/>
          <w:sz w:val="24"/>
          <w:szCs w:val="24"/>
        </w:rPr>
        <w:t>訴理由</w:t>
      </w:r>
      <w:r w:rsidR="00C15088" w:rsidRPr="00401789">
        <w:rPr>
          <w:rFonts w:eastAsia="標楷體"/>
          <w:sz w:val="24"/>
          <w:szCs w:val="24"/>
        </w:rPr>
        <w:t>陳</w:t>
      </w:r>
      <w:r w:rsidR="00737C4E" w:rsidRPr="00401789">
        <w:rPr>
          <w:rFonts w:eastAsia="標楷體"/>
          <w:sz w:val="24"/>
          <w:szCs w:val="24"/>
        </w:rPr>
        <w:t>述書</w:t>
      </w:r>
      <w:r w:rsidR="00874089" w:rsidRPr="00401789">
        <w:rPr>
          <w:rFonts w:eastAsia="標楷體"/>
          <w:sz w:val="24"/>
          <w:szCs w:val="24"/>
        </w:rPr>
        <w:t>，</w:t>
      </w:r>
      <w:r w:rsidR="00502D86" w:rsidRPr="00401789">
        <w:rPr>
          <w:rFonts w:eastAsia="標楷體"/>
          <w:sz w:val="24"/>
          <w:szCs w:val="24"/>
        </w:rPr>
        <w:t>委員會書記</w:t>
      </w:r>
      <w:r w:rsidR="000B6477" w:rsidRPr="00401789">
        <w:rPr>
          <w:rFonts w:eastAsia="標楷體"/>
          <w:sz w:val="24"/>
          <w:szCs w:val="24"/>
        </w:rPr>
        <w:t>於同日</w:t>
      </w:r>
      <w:r w:rsidR="00EE265D" w:rsidRPr="00401789">
        <w:rPr>
          <w:rFonts w:eastAsia="標楷體"/>
          <w:sz w:val="24"/>
          <w:szCs w:val="24"/>
        </w:rPr>
        <w:t>以信件回覆上訴人</w:t>
      </w:r>
      <w:r w:rsidR="00502D86" w:rsidRPr="00401789">
        <w:rPr>
          <w:rFonts w:eastAsia="標楷體"/>
          <w:sz w:val="24"/>
          <w:szCs w:val="24"/>
        </w:rPr>
        <w:t>告知有關文件</w:t>
      </w:r>
      <w:r w:rsidR="003C0A02" w:rsidRPr="00401789">
        <w:rPr>
          <w:rFonts w:eastAsia="標楷體"/>
          <w:sz w:val="24"/>
          <w:szCs w:val="24"/>
        </w:rPr>
        <w:t>的要求</w:t>
      </w:r>
      <w:r w:rsidR="00874089" w:rsidRPr="00401789">
        <w:rPr>
          <w:rFonts w:eastAsia="標楷體"/>
          <w:sz w:val="24"/>
          <w:szCs w:val="24"/>
        </w:rPr>
        <w:t>。</w:t>
      </w:r>
      <w:r w:rsidRPr="00401789">
        <w:rPr>
          <w:rFonts w:eastAsia="標楷體"/>
          <w:sz w:val="24"/>
          <w:szCs w:val="24"/>
        </w:rPr>
        <w:t>最終上訴人於</w:t>
      </w:r>
      <w:r w:rsidRPr="00401789">
        <w:rPr>
          <w:rFonts w:eastAsia="標楷體"/>
          <w:sz w:val="24"/>
          <w:szCs w:val="24"/>
        </w:rPr>
        <w:t>2020</w:t>
      </w:r>
      <w:r w:rsidRPr="00401789">
        <w:rPr>
          <w:rFonts w:eastAsia="標楷體"/>
          <w:sz w:val="24"/>
          <w:szCs w:val="24"/>
        </w:rPr>
        <w:t>年</w:t>
      </w:r>
      <w:r w:rsidRPr="00401789">
        <w:rPr>
          <w:rFonts w:eastAsia="標楷體"/>
          <w:sz w:val="24"/>
          <w:szCs w:val="24"/>
        </w:rPr>
        <w:t>5</w:t>
      </w:r>
      <w:r w:rsidRPr="00401789">
        <w:rPr>
          <w:rFonts w:eastAsia="標楷體"/>
          <w:sz w:val="24"/>
          <w:szCs w:val="24"/>
        </w:rPr>
        <w:t>月</w:t>
      </w:r>
      <w:r w:rsidRPr="00401789">
        <w:rPr>
          <w:rFonts w:eastAsia="標楷體"/>
          <w:sz w:val="24"/>
          <w:szCs w:val="24"/>
        </w:rPr>
        <w:t>25</w:t>
      </w:r>
      <w:r w:rsidRPr="00401789">
        <w:rPr>
          <w:rFonts w:eastAsia="標楷體"/>
          <w:sz w:val="24"/>
          <w:szCs w:val="24"/>
        </w:rPr>
        <w:t>日把</w:t>
      </w:r>
      <w:r w:rsidR="00867020" w:rsidRPr="00401789">
        <w:rPr>
          <w:rFonts w:eastAsia="標楷體"/>
          <w:sz w:val="24"/>
          <w:szCs w:val="24"/>
        </w:rPr>
        <w:t>完整的</w:t>
      </w:r>
      <w:r w:rsidRPr="00401789">
        <w:rPr>
          <w:rFonts w:eastAsia="標楷體"/>
          <w:sz w:val="24"/>
          <w:szCs w:val="24"/>
        </w:rPr>
        <w:t>上訴通知書及其他所需文件以信件傳遞給委員會</w:t>
      </w:r>
      <w:r w:rsidR="001E44D6" w:rsidRPr="00401789">
        <w:rPr>
          <w:rFonts w:eastAsia="標楷體"/>
          <w:sz w:val="24"/>
          <w:szCs w:val="24"/>
        </w:rPr>
        <w:t>書記</w:t>
      </w:r>
      <w:r w:rsidR="00874089" w:rsidRPr="00401789">
        <w:rPr>
          <w:rFonts w:eastAsia="標楷體"/>
          <w:sz w:val="24"/>
          <w:szCs w:val="24"/>
        </w:rPr>
        <w:t>。</w:t>
      </w:r>
    </w:p>
    <w:p w14:paraId="3FFE3EE4" w14:textId="59E42FE0" w:rsidR="00EB7AB4" w:rsidRPr="00401789" w:rsidRDefault="00EB7AB4" w:rsidP="008A57E3">
      <w:pPr>
        <w:widowControl w:val="0"/>
        <w:tabs>
          <w:tab w:val="left" w:pos="1080"/>
        </w:tabs>
        <w:adjustRightInd/>
        <w:jc w:val="both"/>
        <w:textAlignment w:val="auto"/>
        <w:rPr>
          <w:rFonts w:eastAsia="標楷體"/>
          <w:sz w:val="24"/>
          <w:szCs w:val="24"/>
        </w:rPr>
      </w:pPr>
    </w:p>
    <w:p w14:paraId="220D9CDD" w14:textId="770DDFD7" w:rsidR="00867020" w:rsidRPr="00DA537A" w:rsidRDefault="000C3BA6" w:rsidP="00106AE2">
      <w:pPr>
        <w:widowControl w:val="0"/>
        <w:adjustRightInd/>
        <w:jc w:val="both"/>
        <w:textAlignment w:val="auto"/>
        <w:rPr>
          <w:rFonts w:eastAsia="標楷體"/>
          <w:b/>
          <w:i/>
          <w:iCs/>
          <w:sz w:val="28"/>
          <w:szCs w:val="28"/>
        </w:rPr>
      </w:pPr>
      <w:r w:rsidRPr="00DA537A">
        <w:rPr>
          <w:rFonts w:eastAsia="標楷體"/>
          <w:b/>
          <w:i/>
          <w:iCs/>
          <w:sz w:val="28"/>
          <w:szCs w:val="28"/>
        </w:rPr>
        <w:t>爭議事項</w:t>
      </w:r>
    </w:p>
    <w:p w14:paraId="75236E56" w14:textId="77777777" w:rsidR="00867020" w:rsidRPr="00401789" w:rsidRDefault="00867020" w:rsidP="008A57E3">
      <w:pPr>
        <w:widowControl w:val="0"/>
        <w:tabs>
          <w:tab w:val="left" w:pos="1080"/>
        </w:tabs>
        <w:adjustRightInd/>
        <w:jc w:val="both"/>
        <w:textAlignment w:val="auto"/>
        <w:rPr>
          <w:rFonts w:eastAsia="標楷體"/>
          <w:sz w:val="24"/>
          <w:szCs w:val="24"/>
        </w:rPr>
      </w:pPr>
    </w:p>
    <w:p w14:paraId="4C5FBC15" w14:textId="6773B432" w:rsidR="00E932AF" w:rsidRPr="00401789" w:rsidRDefault="00E932AF" w:rsidP="00106AE2">
      <w:pPr>
        <w:pStyle w:val="aff"/>
        <w:widowControl w:val="0"/>
        <w:numPr>
          <w:ilvl w:val="0"/>
          <w:numId w:val="21"/>
        </w:numPr>
        <w:adjustRightInd/>
        <w:ind w:left="0" w:firstLine="0"/>
        <w:jc w:val="both"/>
        <w:textAlignment w:val="auto"/>
        <w:rPr>
          <w:rFonts w:eastAsia="標楷體"/>
          <w:sz w:val="24"/>
          <w:szCs w:val="24"/>
        </w:rPr>
      </w:pPr>
      <w:r w:rsidRPr="00401789">
        <w:rPr>
          <w:rFonts w:eastAsia="標楷體"/>
          <w:sz w:val="24"/>
          <w:szCs w:val="24"/>
        </w:rPr>
        <w:t>上訴人指</w:t>
      </w:r>
      <w:r w:rsidR="00DD1C43" w:rsidRPr="00401789">
        <w:rPr>
          <w:rFonts w:eastAsia="標楷體"/>
          <w:sz w:val="24"/>
          <w:szCs w:val="24"/>
        </w:rPr>
        <w:t>在收到決定書的數</w:t>
      </w:r>
      <w:r w:rsidR="00A008D4" w:rsidRPr="00401789">
        <w:rPr>
          <w:rFonts w:eastAsia="標楷體"/>
          <w:sz w:val="24"/>
          <w:szCs w:val="24"/>
        </w:rPr>
        <w:t>日後</w:t>
      </w:r>
      <w:r w:rsidR="00874089" w:rsidRPr="00401789">
        <w:rPr>
          <w:rFonts w:eastAsia="標楷體"/>
          <w:sz w:val="24"/>
          <w:szCs w:val="24"/>
        </w:rPr>
        <w:t>，</w:t>
      </w:r>
      <w:r w:rsidR="00A008D4" w:rsidRPr="00401789">
        <w:rPr>
          <w:rFonts w:eastAsia="標楷體"/>
          <w:sz w:val="24"/>
          <w:szCs w:val="24"/>
        </w:rPr>
        <w:t>已經立</w:t>
      </w:r>
      <w:r w:rsidR="007F2290" w:rsidRPr="00401789">
        <w:rPr>
          <w:rFonts w:eastAsia="標楷體"/>
          <w:sz w:val="24"/>
          <w:szCs w:val="24"/>
        </w:rPr>
        <w:t>刻寄出上訴</w:t>
      </w:r>
      <w:r w:rsidR="00B457A9" w:rsidRPr="00401789">
        <w:rPr>
          <w:rFonts w:eastAsia="標楷體"/>
          <w:sz w:val="24"/>
          <w:szCs w:val="24"/>
        </w:rPr>
        <w:t>通知</w:t>
      </w:r>
      <w:r w:rsidR="00874089" w:rsidRPr="00401789">
        <w:rPr>
          <w:rFonts w:eastAsia="標楷體"/>
          <w:sz w:val="24"/>
          <w:szCs w:val="24"/>
        </w:rPr>
        <w:t>。</w:t>
      </w:r>
      <w:r w:rsidR="00B457A9" w:rsidRPr="00401789">
        <w:rPr>
          <w:rFonts w:eastAsia="標楷體"/>
          <w:sz w:val="24"/>
          <w:szCs w:val="24"/>
        </w:rPr>
        <w:t>只是</w:t>
      </w:r>
      <w:r w:rsidR="00266D14" w:rsidRPr="00401789">
        <w:rPr>
          <w:rFonts w:eastAsia="標楷體"/>
          <w:sz w:val="24"/>
          <w:szCs w:val="24"/>
        </w:rPr>
        <w:t>因為對程序</w:t>
      </w:r>
      <w:r w:rsidR="00B74EBE" w:rsidRPr="00401789">
        <w:rPr>
          <w:rFonts w:eastAsia="標楷體"/>
          <w:sz w:val="24"/>
          <w:szCs w:val="24"/>
        </w:rPr>
        <w:t>不了解</w:t>
      </w:r>
      <w:r w:rsidR="00874089" w:rsidRPr="00401789">
        <w:rPr>
          <w:rFonts w:eastAsia="標楷體"/>
          <w:sz w:val="24"/>
          <w:szCs w:val="24"/>
        </w:rPr>
        <w:t>，</w:t>
      </w:r>
      <w:r w:rsidR="00B74EBE" w:rsidRPr="00401789">
        <w:rPr>
          <w:rFonts w:eastAsia="標楷體"/>
          <w:sz w:val="24"/>
          <w:szCs w:val="24"/>
        </w:rPr>
        <w:t>所以</w:t>
      </w:r>
      <w:r w:rsidR="009F7B5B" w:rsidRPr="00401789">
        <w:rPr>
          <w:rFonts w:eastAsia="標楷體"/>
          <w:sz w:val="24"/>
          <w:szCs w:val="24"/>
        </w:rPr>
        <w:t>未能符合要求</w:t>
      </w:r>
      <w:r w:rsidR="00874089" w:rsidRPr="00401789">
        <w:rPr>
          <w:rFonts w:eastAsia="標楷體"/>
          <w:sz w:val="24"/>
          <w:szCs w:val="24"/>
        </w:rPr>
        <w:t>。</w:t>
      </w:r>
      <w:r w:rsidR="00DA2C5F" w:rsidRPr="00401789">
        <w:rPr>
          <w:rFonts w:eastAsia="標楷體"/>
          <w:sz w:val="24"/>
          <w:szCs w:val="24"/>
        </w:rPr>
        <w:t>當得</w:t>
      </w:r>
      <w:r w:rsidR="00266D14" w:rsidRPr="00401789">
        <w:rPr>
          <w:rFonts w:eastAsia="標楷體"/>
          <w:sz w:val="24"/>
          <w:szCs w:val="24"/>
        </w:rPr>
        <w:t>悉</w:t>
      </w:r>
      <w:r w:rsidR="00DA2C5F" w:rsidRPr="00401789">
        <w:rPr>
          <w:rFonts w:eastAsia="標楷體"/>
          <w:sz w:val="24"/>
          <w:szCs w:val="24"/>
        </w:rPr>
        <w:t>錯誤後</w:t>
      </w:r>
      <w:r w:rsidR="00874089" w:rsidRPr="00401789">
        <w:rPr>
          <w:rFonts w:eastAsia="標楷體"/>
          <w:sz w:val="24"/>
          <w:szCs w:val="24"/>
        </w:rPr>
        <w:t>，</w:t>
      </w:r>
      <w:r w:rsidR="00DA2C5F" w:rsidRPr="00401789">
        <w:rPr>
          <w:rFonts w:eastAsia="標楷體"/>
          <w:sz w:val="24"/>
          <w:szCs w:val="24"/>
        </w:rPr>
        <w:t>上訴人</w:t>
      </w:r>
      <w:r w:rsidR="00BB6F70" w:rsidRPr="00401789">
        <w:rPr>
          <w:rFonts w:eastAsia="標楷體"/>
          <w:sz w:val="24"/>
          <w:szCs w:val="24"/>
        </w:rPr>
        <w:t>亦盡力去</w:t>
      </w:r>
      <w:r w:rsidR="00587DA0" w:rsidRPr="00401789">
        <w:rPr>
          <w:rFonts w:eastAsia="標楷體"/>
          <w:sz w:val="24"/>
          <w:szCs w:val="24"/>
        </w:rPr>
        <w:t>更正</w:t>
      </w:r>
      <w:r w:rsidR="00874089" w:rsidRPr="00401789">
        <w:rPr>
          <w:rFonts w:eastAsia="標楷體"/>
          <w:sz w:val="24"/>
          <w:szCs w:val="24"/>
        </w:rPr>
        <w:t>。</w:t>
      </w:r>
      <w:r w:rsidR="00266D14" w:rsidRPr="00401789">
        <w:rPr>
          <w:rFonts w:eastAsia="標楷體"/>
          <w:sz w:val="24"/>
          <w:szCs w:val="24"/>
        </w:rPr>
        <w:t>但</w:t>
      </w:r>
      <w:r w:rsidR="00587DA0" w:rsidRPr="00401789">
        <w:rPr>
          <w:rFonts w:eastAsia="標楷體"/>
          <w:sz w:val="24"/>
          <w:szCs w:val="24"/>
        </w:rPr>
        <w:t>稅務局</w:t>
      </w:r>
      <w:r w:rsidR="00587DA0" w:rsidRPr="00401789">
        <w:rPr>
          <w:rFonts w:eastAsia="標楷體"/>
          <w:sz w:val="24"/>
          <w:szCs w:val="24"/>
          <w:lang w:val="en-US"/>
        </w:rPr>
        <w:t>代表</w:t>
      </w:r>
      <w:r w:rsidR="00E90A4C" w:rsidRPr="00401789">
        <w:rPr>
          <w:rFonts w:eastAsia="標楷體"/>
          <w:sz w:val="24"/>
          <w:szCs w:val="24"/>
          <w:lang w:val="en-US"/>
        </w:rPr>
        <w:t>表明附加在</w:t>
      </w:r>
      <w:r w:rsidR="00E90A4C" w:rsidRPr="00401789">
        <w:rPr>
          <w:rFonts w:eastAsia="標楷體"/>
          <w:sz w:val="24"/>
          <w:szCs w:val="24"/>
        </w:rPr>
        <w:t>決定書的相關</w:t>
      </w:r>
      <w:r w:rsidR="00AC78CA" w:rsidRPr="00401789">
        <w:rPr>
          <w:rFonts w:eastAsia="標楷體"/>
          <w:sz w:val="24"/>
          <w:szCs w:val="24"/>
        </w:rPr>
        <w:t>文件</w:t>
      </w:r>
      <w:r w:rsidR="00A6057C" w:rsidRPr="00401789">
        <w:rPr>
          <w:rFonts w:eastAsia="標楷體"/>
          <w:sz w:val="24"/>
          <w:szCs w:val="24"/>
        </w:rPr>
        <w:t>已</w:t>
      </w:r>
      <w:r w:rsidR="00AC78CA" w:rsidRPr="00401789">
        <w:rPr>
          <w:rFonts w:eastAsia="標楷體"/>
          <w:sz w:val="24"/>
          <w:szCs w:val="24"/>
        </w:rPr>
        <w:t>清楚</w:t>
      </w:r>
      <w:r w:rsidR="00A6057C" w:rsidRPr="00401789">
        <w:rPr>
          <w:rFonts w:eastAsia="標楷體"/>
          <w:sz w:val="24"/>
          <w:szCs w:val="24"/>
        </w:rPr>
        <w:t>列明上訴權利</w:t>
      </w:r>
      <w:r w:rsidR="00A6057C" w:rsidRPr="00401789">
        <w:rPr>
          <w:rFonts w:eastAsia="標楷體"/>
          <w:sz w:val="24"/>
          <w:szCs w:val="24"/>
          <w:lang w:val="en-US"/>
        </w:rPr>
        <w:t>、</w:t>
      </w:r>
      <w:r w:rsidR="00A6057C" w:rsidRPr="00401789">
        <w:rPr>
          <w:rFonts w:eastAsia="標楷體"/>
          <w:sz w:val="24"/>
          <w:szCs w:val="24"/>
        </w:rPr>
        <w:t>程序和期限</w:t>
      </w:r>
      <w:r w:rsidR="00874089" w:rsidRPr="00401789">
        <w:rPr>
          <w:rFonts w:eastAsia="標楷體"/>
          <w:sz w:val="24"/>
          <w:szCs w:val="24"/>
        </w:rPr>
        <w:t>。</w:t>
      </w:r>
      <w:r w:rsidR="00105ABA" w:rsidRPr="00401789">
        <w:rPr>
          <w:rFonts w:eastAsia="標楷體"/>
          <w:sz w:val="24"/>
          <w:szCs w:val="24"/>
        </w:rPr>
        <w:t>而</w:t>
      </w:r>
      <w:r w:rsidR="00AE7182" w:rsidRPr="00401789">
        <w:rPr>
          <w:rFonts w:eastAsia="標楷體"/>
          <w:sz w:val="24"/>
          <w:szCs w:val="24"/>
        </w:rPr>
        <w:t>在收到稅務局於</w:t>
      </w:r>
      <w:r w:rsidR="00AE7182" w:rsidRPr="00401789">
        <w:rPr>
          <w:rFonts w:eastAsia="標楷體"/>
          <w:sz w:val="24"/>
          <w:szCs w:val="24"/>
        </w:rPr>
        <w:t>2020</w:t>
      </w:r>
      <w:r w:rsidR="00AE7182" w:rsidRPr="00401789">
        <w:rPr>
          <w:rFonts w:eastAsia="標楷體"/>
          <w:sz w:val="24"/>
          <w:szCs w:val="24"/>
        </w:rPr>
        <w:t>年</w:t>
      </w:r>
      <w:r w:rsidR="00AE7182" w:rsidRPr="00401789">
        <w:rPr>
          <w:rFonts w:eastAsia="標楷體"/>
          <w:sz w:val="24"/>
          <w:szCs w:val="24"/>
        </w:rPr>
        <w:t>4</w:t>
      </w:r>
      <w:r w:rsidR="00AE7182" w:rsidRPr="00401789">
        <w:rPr>
          <w:rFonts w:eastAsia="標楷體"/>
          <w:sz w:val="24"/>
          <w:szCs w:val="24"/>
        </w:rPr>
        <w:t>月</w:t>
      </w:r>
      <w:r w:rsidR="00AE7182" w:rsidRPr="00401789">
        <w:rPr>
          <w:rFonts w:eastAsia="標楷體"/>
          <w:sz w:val="24"/>
          <w:szCs w:val="24"/>
        </w:rPr>
        <w:t>29</w:t>
      </w:r>
      <w:r w:rsidR="00AE7182" w:rsidRPr="00401789">
        <w:rPr>
          <w:rFonts w:eastAsia="標楷體"/>
          <w:sz w:val="24"/>
          <w:szCs w:val="24"/>
        </w:rPr>
        <w:t>日的信件</w:t>
      </w:r>
      <w:r w:rsidR="00565E4A" w:rsidRPr="00401789">
        <w:rPr>
          <w:rFonts w:eastAsia="標楷體"/>
          <w:sz w:val="24"/>
          <w:szCs w:val="24"/>
        </w:rPr>
        <w:t>後</w:t>
      </w:r>
      <w:r w:rsidR="00874089" w:rsidRPr="00401789">
        <w:rPr>
          <w:rFonts w:eastAsia="標楷體"/>
          <w:sz w:val="24"/>
          <w:szCs w:val="24"/>
        </w:rPr>
        <w:t>，</w:t>
      </w:r>
      <w:r w:rsidR="00EC758E" w:rsidRPr="00401789">
        <w:rPr>
          <w:rFonts w:eastAsia="標楷體"/>
          <w:sz w:val="24"/>
          <w:szCs w:val="24"/>
        </w:rPr>
        <w:t>上訴人</w:t>
      </w:r>
      <w:r w:rsidR="00565E4A" w:rsidRPr="00401789">
        <w:rPr>
          <w:rFonts w:eastAsia="標楷體"/>
          <w:sz w:val="24"/>
          <w:szCs w:val="24"/>
        </w:rPr>
        <w:t>亦沒有第一時間</w:t>
      </w:r>
      <w:r w:rsidR="00EC758E" w:rsidRPr="00401789">
        <w:rPr>
          <w:rFonts w:eastAsia="標楷體"/>
          <w:sz w:val="24"/>
          <w:szCs w:val="24"/>
        </w:rPr>
        <w:t>處理</w:t>
      </w:r>
      <w:r w:rsidR="008B618F" w:rsidRPr="00401789">
        <w:rPr>
          <w:rFonts w:eastAsia="標楷體"/>
          <w:sz w:val="24"/>
          <w:szCs w:val="24"/>
        </w:rPr>
        <w:t>而</w:t>
      </w:r>
      <w:r w:rsidR="001E47F2" w:rsidRPr="00401789">
        <w:rPr>
          <w:rFonts w:eastAsia="標楷體"/>
          <w:sz w:val="24"/>
          <w:szCs w:val="24"/>
        </w:rPr>
        <w:t>導致</w:t>
      </w:r>
      <w:r w:rsidR="00E26BFA" w:rsidRPr="00401789">
        <w:rPr>
          <w:rFonts w:eastAsia="標楷體"/>
          <w:sz w:val="24"/>
          <w:szCs w:val="24"/>
        </w:rPr>
        <w:t>逾期</w:t>
      </w:r>
      <w:r w:rsidR="00874089" w:rsidRPr="00401789">
        <w:rPr>
          <w:rFonts w:eastAsia="標楷體"/>
          <w:sz w:val="24"/>
          <w:szCs w:val="24"/>
        </w:rPr>
        <w:t>。</w:t>
      </w:r>
      <w:r w:rsidR="008B618F" w:rsidRPr="00401789">
        <w:rPr>
          <w:rFonts w:eastAsia="標楷體"/>
          <w:sz w:val="24"/>
          <w:szCs w:val="24"/>
        </w:rPr>
        <w:t xml:space="preserve"> </w:t>
      </w:r>
      <w:r w:rsidR="00565E4A" w:rsidRPr="00401789">
        <w:rPr>
          <w:rFonts w:eastAsia="標楷體"/>
          <w:sz w:val="24"/>
          <w:szCs w:val="24"/>
        </w:rPr>
        <w:t xml:space="preserve"> </w:t>
      </w:r>
    </w:p>
    <w:p w14:paraId="2B097781" w14:textId="77777777" w:rsidR="00E932AF" w:rsidRPr="00401789" w:rsidRDefault="00E932AF" w:rsidP="00106AE2">
      <w:pPr>
        <w:pStyle w:val="aff"/>
        <w:widowControl w:val="0"/>
        <w:adjustRightInd/>
        <w:ind w:left="0"/>
        <w:jc w:val="both"/>
        <w:textAlignment w:val="auto"/>
        <w:rPr>
          <w:rFonts w:eastAsia="標楷體"/>
          <w:sz w:val="24"/>
          <w:szCs w:val="24"/>
        </w:rPr>
      </w:pPr>
    </w:p>
    <w:p w14:paraId="5E45AB33" w14:textId="328CA813" w:rsidR="00E21DE7" w:rsidRPr="00401789" w:rsidRDefault="00E21DE7" w:rsidP="00106AE2">
      <w:pPr>
        <w:pStyle w:val="aff"/>
        <w:widowControl w:val="0"/>
        <w:numPr>
          <w:ilvl w:val="0"/>
          <w:numId w:val="21"/>
        </w:numPr>
        <w:adjustRightInd/>
        <w:ind w:left="0" w:firstLine="0"/>
        <w:jc w:val="both"/>
        <w:textAlignment w:val="auto"/>
        <w:rPr>
          <w:rFonts w:eastAsia="標楷體"/>
          <w:sz w:val="24"/>
          <w:szCs w:val="24"/>
        </w:rPr>
      </w:pPr>
      <w:r w:rsidRPr="00401789">
        <w:rPr>
          <w:rFonts w:eastAsia="標楷體"/>
          <w:sz w:val="24"/>
          <w:szCs w:val="24"/>
        </w:rPr>
        <w:t>上訴人</w:t>
      </w:r>
      <w:r w:rsidR="005E1393" w:rsidRPr="00401789">
        <w:rPr>
          <w:rFonts w:eastAsia="標楷體"/>
          <w:sz w:val="24"/>
          <w:szCs w:val="24"/>
        </w:rPr>
        <w:t>承認</w:t>
      </w:r>
      <w:r w:rsidRPr="00401789">
        <w:rPr>
          <w:rFonts w:eastAsia="標楷體"/>
          <w:sz w:val="24"/>
          <w:szCs w:val="24"/>
        </w:rPr>
        <w:t>上述</w:t>
      </w:r>
      <w:r w:rsidR="00B76A87" w:rsidRPr="00401789">
        <w:rPr>
          <w:rFonts w:eastAsia="標楷體"/>
          <w:sz w:val="24"/>
          <w:szCs w:val="24"/>
        </w:rPr>
        <w:t>總入息</w:t>
      </w:r>
      <w:r w:rsidR="005E1393" w:rsidRPr="00401789">
        <w:rPr>
          <w:rFonts w:eastAsia="標楷體"/>
          <w:sz w:val="24"/>
          <w:szCs w:val="24"/>
        </w:rPr>
        <w:t>的</w:t>
      </w:r>
      <w:r w:rsidR="00CB7A3B" w:rsidRPr="00401789">
        <w:rPr>
          <w:rFonts w:eastAsia="標楷體"/>
          <w:sz w:val="24"/>
          <w:szCs w:val="24"/>
        </w:rPr>
        <w:t>總額</w:t>
      </w:r>
      <w:r w:rsidR="00874089" w:rsidRPr="00401789">
        <w:rPr>
          <w:rFonts w:eastAsia="標楷體"/>
          <w:sz w:val="24"/>
          <w:szCs w:val="24"/>
        </w:rPr>
        <w:t>，</w:t>
      </w:r>
      <w:r w:rsidR="00CB7A3B" w:rsidRPr="00401789">
        <w:rPr>
          <w:rFonts w:eastAsia="標楷體"/>
          <w:sz w:val="24"/>
          <w:szCs w:val="24"/>
        </w:rPr>
        <w:t>但</w:t>
      </w:r>
      <w:r w:rsidR="00B76A87" w:rsidRPr="00401789">
        <w:rPr>
          <w:rFonts w:eastAsia="標楷體"/>
          <w:sz w:val="24"/>
          <w:szCs w:val="24"/>
        </w:rPr>
        <w:t>爭議的</w:t>
      </w:r>
      <w:r w:rsidR="00CB7A3B" w:rsidRPr="00401789">
        <w:rPr>
          <w:rFonts w:eastAsia="標楷體"/>
          <w:sz w:val="24"/>
          <w:szCs w:val="24"/>
        </w:rPr>
        <w:t>是有相關開支</w:t>
      </w:r>
      <w:r w:rsidR="0077617A" w:rsidRPr="00401789">
        <w:rPr>
          <w:rFonts w:eastAsia="標楷體"/>
          <w:sz w:val="24"/>
          <w:szCs w:val="24"/>
        </w:rPr>
        <w:t>和以</w:t>
      </w:r>
      <w:r w:rsidR="0077617A" w:rsidRPr="00401789">
        <w:rPr>
          <w:rFonts w:eastAsia="標楷體"/>
          <w:sz w:val="24"/>
          <w:szCs w:val="24"/>
        </w:rPr>
        <w:t>20%</w:t>
      </w:r>
      <w:r w:rsidR="0077617A" w:rsidRPr="00401789">
        <w:rPr>
          <w:rFonts w:eastAsia="標楷體"/>
          <w:sz w:val="24"/>
          <w:szCs w:val="24"/>
        </w:rPr>
        <w:t>為基礎去作</w:t>
      </w:r>
      <w:r w:rsidR="00677BCE" w:rsidRPr="00401789">
        <w:rPr>
          <w:rFonts w:eastAsia="標楷體"/>
          <w:sz w:val="24"/>
          <w:szCs w:val="24"/>
        </w:rPr>
        <w:t>計算的原則不合比</w:t>
      </w:r>
      <w:r w:rsidR="00767380" w:rsidRPr="00401789">
        <w:rPr>
          <w:rFonts w:eastAsia="標楷體"/>
          <w:sz w:val="24"/>
          <w:szCs w:val="24"/>
        </w:rPr>
        <w:t>例</w:t>
      </w:r>
      <w:r w:rsidR="00677BCE" w:rsidRPr="00401789">
        <w:rPr>
          <w:rFonts w:eastAsia="標楷體"/>
          <w:sz w:val="24"/>
          <w:szCs w:val="24"/>
        </w:rPr>
        <w:t>和過高</w:t>
      </w:r>
      <w:r w:rsidR="00874089" w:rsidRPr="00401789">
        <w:rPr>
          <w:rFonts w:eastAsia="標楷體"/>
          <w:sz w:val="24"/>
          <w:szCs w:val="24"/>
        </w:rPr>
        <w:t>。</w:t>
      </w:r>
      <w:r w:rsidR="00677BCE" w:rsidRPr="00401789">
        <w:rPr>
          <w:rFonts w:eastAsia="標楷體"/>
          <w:sz w:val="24"/>
          <w:szCs w:val="24"/>
        </w:rPr>
        <w:t>上訴人</w:t>
      </w:r>
      <w:r w:rsidR="00D63670" w:rsidRPr="00401789">
        <w:rPr>
          <w:rFonts w:eastAsia="標楷體"/>
          <w:sz w:val="24"/>
          <w:szCs w:val="24"/>
        </w:rPr>
        <w:t>指出</w:t>
      </w:r>
      <w:r w:rsidR="00BA05CD" w:rsidRPr="00401789">
        <w:rPr>
          <w:rFonts w:eastAsia="標楷體"/>
          <w:sz w:val="24"/>
          <w:szCs w:val="24"/>
        </w:rPr>
        <w:t>把工程判</w:t>
      </w:r>
      <w:r w:rsidR="007F7FB8" w:rsidRPr="00401789">
        <w:rPr>
          <w:rFonts w:eastAsia="標楷體"/>
          <w:sz w:val="24"/>
          <w:szCs w:val="24"/>
        </w:rPr>
        <w:t>給</w:t>
      </w:r>
      <w:r w:rsidR="00C57D83" w:rsidRPr="00401789">
        <w:rPr>
          <w:rFonts w:eastAsia="標楷體"/>
          <w:sz w:val="24"/>
          <w:szCs w:val="24"/>
        </w:rPr>
        <w:t>他</w:t>
      </w:r>
      <w:r w:rsidR="00155075" w:rsidRPr="00401789">
        <w:rPr>
          <w:rFonts w:eastAsia="標楷體"/>
          <w:sz w:val="24"/>
          <w:szCs w:val="24"/>
        </w:rPr>
        <w:t>的</w:t>
      </w:r>
      <w:r w:rsidR="00CA07CC" w:rsidRPr="00401789">
        <w:rPr>
          <w:rFonts w:eastAsia="標楷體"/>
          <w:sz w:val="24"/>
          <w:szCs w:val="24"/>
        </w:rPr>
        <w:t>分</w:t>
      </w:r>
      <w:r w:rsidR="006148AA" w:rsidRPr="00401789">
        <w:rPr>
          <w:rFonts w:eastAsia="標楷體"/>
          <w:sz w:val="24"/>
          <w:szCs w:val="24"/>
        </w:rPr>
        <w:t>判商</w:t>
      </w:r>
      <w:r w:rsidR="00602D71" w:rsidRPr="00401789">
        <w:rPr>
          <w:rFonts w:eastAsia="標楷體"/>
          <w:sz w:val="24"/>
          <w:szCs w:val="24"/>
        </w:rPr>
        <w:t>都</w:t>
      </w:r>
      <w:r w:rsidR="006148AA" w:rsidRPr="00401789">
        <w:rPr>
          <w:rFonts w:eastAsia="標楷體"/>
          <w:sz w:val="24"/>
          <w:szCs w:val="24"/>
        </w:rPr>
        <w:t>是</w:t>
      </w:r>
      <w:r w:rsidR="00BE120E" w:rsidRPr="00401789">
        <w:rPr>
          <w:rFonts w:eastAsia="標楷體"/>
          <w:sz w:val="24"/>
          <w:szCs w:val="24"/>
        </w:rPr>
        <w:t>有</w:t>
      </w:r>
      <w:r w:rsidR="00155075" w:rsidRPr="00401789">
        <w:rPr>
          <w:rFonts w:eastAsia="標楷體"/>
          <w:sz w:val="24"/>
          <w:szCs w:val="24"/>
        </w:rPr>
        <w:t>規</w:t>
      </w:r>
      <w:r w:rsidR="00C147A3" w:rsidRPr="00401789">
        <w:rPr>
          <w:rFonts w:eastAsia="標楷體"/>
          <w:sz w:val="24"/>
          <w:szCs w:val="24"/>
        </w:rPr>
        <w:t>模</w:t>
      </w:r>
      <w:r w:rsidR="00602D71" w:rsidRPr="00401789">
        <w:rPr>
          <w:rFonts w:eastAsia="標楷體"/>
          <w:sz w:val="24"/>
          <w:szCs w:val="24"/>
        </w:rPr>
        <w:t>的</w:t>
      </w:r>
      <w:r w:rsidR="006148AA" w:rsidRPr="00401789">
        <w:rPr>
          <w:rFonts w:eastAsia="標楷體"/>
          <w:sz w:val="24"/>
          <w:szCs w:val="24"/>
        </w:rPr>
        <w:t>大</w:t>
      </w:r>
      <w:r w:rsidR="00155075" w:rsidRPr="00401789">
        <w:rPr>
          <w:rFonts w:eastAsia="標楷體"/>
          <w:sz w:val="24"/>
          <w:szCs w:val="24"/>
        </w:rPr>
        <w:t>分判商</w:t>
      </w:r>
      <w:r w:rsidR="00874089" w:rsidRPr="00401789">
        <w:rPr>
          <w:rFonts w:eastAsia="標楷體"/>
          <w:sz w:val="24"/>
          <w:szCs w:val="24"/>
        </w:rPr>
        <w:t>，</w:t>
      </w:r>
      <w:r w:rsidR="00276A64" w:rsidRPr="00401789">
        <w:rPr>
          <w:rFonts w:eastAsia="標楷體"/>
          <w:sz w:val="24"/>
          <w:szCs w:val="24"/>
        </w:rPr>
        <w:t>而他們的利潤</w:t>
      </w:r>
      <w:r w:rsidR="00D63670" w:rsidRPr="00401789">
        <w:rPr>
          <w:rFonts w:eastAsia="標楷體"/>
          <w:sz w:val="24"/>
          <w:szCs w:val="24"/>
        </w:rPr>
        <w:t>亦沒可能達</w:t>
      </w:r>
      <w:r w:rsidR="00D63670" w:rsidRPr="00401789">
        <w:rPr>
          <w:rFonts w:eastAsia="標楷體"/>
          <w:sz w:val="24"/>
          <w:szCs w:val="24"/>
        </w:rPr>
        <w:t>20%</w:t>
      </w:r>
      <w:r w:rsidR="00357A41" w:rsidRPr="00401789">
        <w:rPr>
          <w:rFonts w:eastAsia="標楷體"/>
          <w:sz w:val="24"/>
          <w:szCs w:val="24"/>
        </w:rPr>
        <w:t xml:space="preserve"> </w:t>
      </w:r>
      <w:r w:rsidR="00D63670" w:rsidRPr="00401789">
        <w:rPr>
          <w:rFonts w:eastAsia="標楷體"/>
          <w:sz w:val="24"/>
          <w:szCs w:val="24"/>
        </w:rPr>
        <w:t>那麼高</w:t>
      </w:r>
      <w:r w:rsidR="00874089" w:rsidRPr="00401789">
        <w:rPr>
          <w:rFonts w:eastAsia="標楷體"/>
          <w:sz w:val="24"/>
          <w:szCs w:val="24"/>
        </w:rPr>
        <w:t>。</w:t>
      </w:r>
      <w:r w:rsidR="00171755" w:rsidRPr="00401789">
        <w:rPr>
          <w:rFonts w:eastAsia="標楷體"/>
          <w:sz w:val="24"/>
          <w:szCs w:val="24"/>
        </w:rPr>
        <w:t>而他</w:t>
      </w:r>
      <w:r w:rsidR="00420B11" w:rsidRPr="00401789">
        <w:rPr>
          <w:rFonts w:eastAsia="標楷體"/>
          <w:sz w:val="24"/>
          <w:szCs w:val="24"/>
        </w:rPr>
        <w:t>實質入息遠</w:t>
      </w:r>
      <w:r w:rsidR="00970784" w:rsidRPr="00401789">
        <w:rPr>
          <w:rFonts w:eastAsia="標楷體"/>
          <w:sz w:val="24"/>
          <w:szCs w:val="24"/>
        </w:rPr>
        <w:t>比所</w:t>
      </w:r>
      <w:r w:rsidR="00686567" w:rsidRPr="00401789">
        <w:rPr>
          <w:rFonts w:eastAsia="標楷體"/>
          <w:sz w:val="24"/>
          <w:szCs w:val="24"/>
        </w:rPr>
        <w:t>評核要</w:t>
      </w:r>
      <w:r w:rsidR="00B27A43" w:rsidRPr="00401789">
        <w:rPr>
          <w:rFonts w:eastAsia="標楷體"/>
          <w:sz w:val="24"/>
          <w:szCs w:val="24"/>
        </w:rPr>
        <w:t>低</w:t>
      </w:r>
      <w:r w:rsidR="00874089" w:rsidRPr="00401789">
        <w:rPr>
          <w:rFonts w:eastAsia="標楷體"/>
          <w:sz w:val="24"/>
          <w:szCs w:val="24"/>
        </w:rPr>
        <w:t>，</w:t>
      </w:r>
      <w:r w:rsidR="00B27A43" w:rsidRPr="00401789">
        <w:rPr>
          <w:rFonts w:eastAsia="標楷體"/>
          <w:sz w:val="24"/>
          <w:szCs w:val="24"/>
        </w:rPr>
        <w:t>而他</w:t>
      </w:r>
      <w:r w:rsidR="00982316" w:rsidRPr="00401789">
        <w:rPr>
          <w:rFonts w:eastAsia="標楷體"/>
          <w:sz w:val="24"/>
          <w:szCs w:val="24"/>
        </w:rPr>
        <w:t>亦沒有能力交繳上述稅款</w:t>
      </w:r>
      <w:r w:rsidR="00091ABF" w:rsidRPr="00401789">
        <w:rPr>
          <w:rFonts w:eastAsia="標楷體"/>
          <w:sz w:val="24"/>
          <w:szCs w:val="24"/>
        </w:rPr>
        <w:t>。</w:t>
      </w:r>
    </w:p>
    <w:p w14:paraId="4A0A1483" w14:textId="77777777" w:rsidR="00677BCE" w:rsidRPr="00401789" w:rsidRDefault="00677BCE" w:rsidP="00106AE2">
      <w:pPr>
        <w:widowControl w:val="0"/>
        <w:adjustRightInd/>
        <w:jc w:val="both"/>
        <w:textAlignment w:val="auto"/>
        <w:rPr>
          <w:rFonts w:eastAsia="標楷體"/>
          <w:sz w:val="24"/>
          <w:szCs w:val="24"/>
        </w:rPr>
      </w:pPr>
    </w:p>
    <w:p w14:paraId="4B17B2E1" w14:textId="511C7C19" w:rsidR="004A4DCF" w:rsidRPr="00401789" w:rsidRDefault="00D447E5" w:rsidP="00106AE2">
      <w:pPr>
        <w:pStyle w:val="aff"/>
        <w:widowControl w:val="0"/>
        <w:numPr>
          <w:ilvl w:val="0"/>
          <w:numId w:val="21"/>
        </w:numPr>
        <w:adjustRightInd/>
        <w:ind w:left="0" w:firstLine="0"/>
        <w:jc w:val="both"/>
        <w:textAlignment w:val="auto"/>
        <w:rPr>
          <w:rFonts w:eastAsia="標楷體"/>
          <w:sz w:val="24"/>
          <w:szCs w:val="24"/>
        </w:rPr>
      </w:pPr>
      <w:r w:rsidRPr="00401789">
        <w:rPr>
          <w:rFonts w:eastAsia="標楷體"/>
          <w:sz w:val="24"/>
          <w:szCs w:val="24"/>
        </w:rPr>
        <w:t>聆訊中</w:t>
      </w:r>
      <w:r w:rsidR="00874089" w:rsidRPr="00401789">
        <w:rPr>
          <w:rFonts w:eastAsia="標楷體"/>
          <w:sz w:val="24"/>
          <w:szCs w:val="24"/>
        </w:rPr>
        <w:t>，</w:t>
      </w:r>
      <w:r w:rsidRPr="00401789">
        <w:rPr>
          <w:rFonts w:eastAsia="標楷體"/>
          <w:sz w:val="24"/>
          <w:szCs w:val="24"/>
        </w:rPr>
        <w:t>稅務局</w:t>
      </w:r>
      <w:r w:rsidRPr="00401789">
        <w:rPr>
          <w:rFonts w:eastAsia="標楷體"/>
          <w:sz w:val="24"/>
          <w:szCs w:val="24"/>
          <w:lang w:val="en-US"/>
        </w:rPr>
        <w:t>代表</w:t>
      </w:r>
      <w:r w:rsidR="009C3A3C" w:rsidRPr="00401789">
        <w:rPr>
          <w:rFonts w:eastAsia="標楷體"/>
          <w:sz w:val="24"/>
          <w:szCs w:val="24"/>
          <w:lang w:val="en-US"/>
        </w:rPr>
        <w:t>稱</w:t>
      </w:r>
      <w:r w:rsidRPr="00401789">
        <w:rPr>
          <w:rFonts w:eastAsia="標楷體"/>
          <w:sz w:val="24"/>
          <w:szCs w:val="24"/>
          <w:lang w:val="en-US"/>
        </w:rPr>
        <w:t>以</w:t>
      </w:r>
      <w:r w:rsidRPr="00401789">
        <w:rPr>
          <w:rFonts w:eastAsia="標楷體"/>
          <w:sz w:val="24"/>
          <w:szCs w:val="24"/>
        </w:rPr>
        <w:t>20%</w:t>
      </w:r>
      <w:r w:rsidR="009C3A3C" w:rsidRPr="00401789">
        <w:rPr>
          <w:rFonts w:eastAsia="標楷體"/>
          <w:sz w:val="24"/>
          <w:szCs w:val="24"/>
        </w:rPr>
        <w:t>作基礎是</w:t>
      </w:r>
      <w:r w:rsidR="0094477E" w:rsidRPr="00401789">
        <w:rPr>
          <w:rFonts w:eastAsia="標楷體"/>
          <w:sz w:val="24"/>
          <w:szCs w:val="24"/>
        </w:rPr>
        <w:t>參考部門內部</w:t>
      </w:r>
      <w:r w:rsidR="00F07291" w:rsidRPr="00401789">
        <w:rPr>
          <w:rFonts w:eastAsia="標楷體"/>
          <w:sz w:val="24"/>
          <w:szCs w:val="24"/>
        </w:rPr>
        <w:t>針對分判商的</w:t>
      </w:r>
      <w:r w:rsidR="00BD57B1" w:rsidRPr="00401789">
        <w:rPr>
          <w:rFonts w:eastAsia="標楷體"/>
          <w:sz w:val="24"/>
          <w:szCs w:val="24"/>
        </w:rPr>
        <w:t>指引</w:t>
      </w:r>
      <w:r w:rsidR="00E27B08" w:rsidRPr="00401789">
        <w:rPr>
          <w:rFonts w:eastAsia="標楷體"/>
          <w:sz w:val="24"/>
          <w:szCs w:val="24"/>
        </w:rPr>
        <w:lastRenderedPageBreak/>
        <w:t>和準則</w:t>
      </w:r>
      <w:r w:rsidR="00BD57B1" w:rsidRPr="00401789">
        <w:rPr>
          <w:rFonts w:eastAsia="標楷體"/>
          <w:sz w:val="24"/>
          <w:szCs w:val="24"/>
        </w:rPr>
        <w:t>而決定</w:t>
      </w:r>
      <w:r w:rsidR="00943841" w:rsidRPr="00401789">
        <w:rPr>
          <w:rFonts w:eastAsia="標楷體"/>
          <w:sz w:val="24"/>
          <w:szCs w:val="24"/>
        </w:rPr>
        <w:t>的</w:t>
      </w:r>
      <w:r w:rsidR="00874089" w:rsidRPr="00401789">
        <w:rPr>
          <w:rFonts w:eastAsia="標楷體"/>
          <w:sz w:val="24"/>
          <w:szCs w:val="24"/>
        </w:rPr>
        <w:t>。</w:t>
      </w:r>
      <w:r w:rsidR="006A1F1C" w:rsidRPr="00401789">
        <w:rPr>
          <w:rFonts w:eastAsia="標楷體"/>
          <w:sz w:val="24"/>
          <w:szCs w:val="24"/>
        </w:rPr>
        <w:t>但當</w:t>
      </w:r>
      <w:r w:rsidR="00384D04" w:rsidRPr="00401789">
        <w:rPr>
          <w:rFonts w:eastAsia="標楷體"/>
          <w:sz w:val="24"/>
          <w:szCs w:val="24"/>
        </w:rPr>
        <w:t>被問到</w:t>
      </w:r>
      <w:r w:rsidR="00F844CC" w:rsidRPr="00401789">
        <w:rPr>
          <w:rFonts w:eastAsia="標楷體"/>
          <w:sz w:val="24"/>
          <w:szCs w:val="24"/>
        </w:rPr>
        <w:t>這</w:t>
      </w:r>
      <w:r w:rsidR="00422361" w:rsidRPr="00401789">
        <w:rPr>
          <w:rFonts w:eastAsia="標楷體"/>
          <w:sz w:val="24"/>
          <w:szCs w:val="24"/>
        </w:rPr>
        <w:t>些指引和準則來源及</w:t>
      </w:r>
      <w:r w:rsidR="00872DCD" w:rsidRPr="00401789">
        <w:rPr>
          <w:rFonts w:eastAsia="標楷體"/>
          <w:sz w:val="24"/>
          <w:szCs w:val="24"/>
        </w:rPr>
        <w:t>資料更新性</w:t>
      </w:r>
      <w:r w:rsidR="00874089" w:rsidRPr="00401789">
        <w:rPr>
          <w:rFonts w:eastAsia="標楷體"/>
          <w:sz w:val="24"/>
          <w:szCs w:val="24"/>
        </w:rPr>
        <w:t>，</w:t>
      </w:r>
      <w:r w:rsidR="00872DCD" w:rsidRPr="00401789">
        <w:rPr>
          <w:rFonts w:eastAsia="標楷體"/>
          <w:sz w:val="24"/>
          <w:szCs w:val="24"/>
        </w:rPr>
        <w:t>稅務局</w:t>
      </w:r>
      <w:r w:rsidR="00872DCD" w:rsidRPr="00401789">
        <w:rPr>
          <w:rFonts w:eastAsia="標楷體"/>
          <w:sz w:val="24"/>
          <w:szCs w:val="24"/>
          <w:lang w:val="en-US"/>
        </w:rPr>
        <w:t>代表並沒有</w:t>
      </w:r>
      <w:r w:rsidR="00580B5C" w:rsidRPr="00401789">
        <w:rPr>
          <w:rFonts w:eastAsia="標楷體"/>
          <w:sz w:val="24"/>
          <w:szCs w:val="24"/>
          <w:lang w:val="en-US"/>
        </w:rPr>
        <w:t>一個</w:t>
      </w:r>
      <w:r w:rsidR="003659B1" w:rsidRPr="00401789">
        <w:rPr>
          <w:rFonts w:eastAsia="標楷體"/>
          <w:sz w:val="24"/>
          <w:szCs w:val="24"/>
          <w:lang w:val="en-US"/>
        </w:rPr>
        <w:t>明確</w:t>
      </w:r>
      <w:r w:rsidR="00CA07CC" w:rsidRPr="00401789">
        <w:rPr>
          <w:rFonts w:eastAsia="標楷體"/>
          <w:sz w:val="24"/>
          <w:szCs w:val="24"/>
          <w:lang w:val="en-US"/>
        </w:rPr>
        <w:t>正面</w:t>
      </w:r>
      <w:r w:rsidR="00360A9D" w:rsidRPr="00401789">
        <w:rPr>
          <w:rFonts w:eastAsia="標楷體"/>
          <w:sz w:val="24"/>
          <w:szCs w:val="24"/>
          <w:lang w:val="en-US"/>
        </w:rPr>
        <w:t>答</w:t>
      </w:r>
      <w:r w:rsidR="00266D14" w:rsidRPr="00401789">
        <w:rPr>
          <w:rFonts w:eastAsia="標楷體"/>
          <w:sz w:val="24"/>
          <w:szCs w:val="24"/>
          <w:lang w:val="en-US"/>
        </w:rPr>
        <w:t>覆</w:t>
      </w:r>
      <w:r w:rsidR="00091ABF" w:rsidRPr="00401789">
        <w:rPr>
          <w:rFonts w:eastAsia="標楷體"/>
          <w:sz w:val="24"/>
          <w:szCs w:val="24"/>
        </w:rPr>
        <w:t>。</w:t>
      </w:r>
    </w:p>
    <w:p w14:paraId="4765BD47" w14:textId="2D1C91D2" w:rsidR="00D261A5" w:rsidRPr="00401789" w:rsidRDefault="00D261A5" w:rsidP="008A57E3">
      <w:pPr>
        <w:tabs>
          <w:tab w:val="left" w:pos="1080"/>
        </w:tabs>
        <w:jc w:val="both"/>
        <w:rPr>
          <w:rFonts w:eastAsia="標楷體"/>
          <w:b/>
          <w:bCs/>
          <w:snapToGrid w:val="0"/>
          <w:sz w:val="24"/>
          <w:szCs w:val="24"/>
        </w:rPr>
      </w:pPr>
    </w:p>
    <w:p w14:paraId="4E9B7A98" w14:textId="77777777" w:rsidR="00D261A5" w:rsidRPr="00106AE2" w:rsidRDefault="00D261A5" w:rsidP="008A57E3">
      <w:pPr>
        <w:tabs>
          <w:tab w:val="left" w:pos="1080"/>
        </w:tabs>
        <w:jc w:val="both"/>
        <w:rPr>
          <w:rFonts w:eastAsia="標楷體"/>
          <w:b/>
          <w:bCs/>
          <w:snapToGrid w:val="0"/>
          <w:sz w:val="28"/>
          <w:szCs w:val="28"/>
        </w:rPr>
      </w:pPr>
      <w:r w:rsidRPr="00106AE2">
        <w:rPr>
          <w:rFonts w:eastAsia="標楷體"/>
          <w:b/>
          <w:bCs/>
          <w:snapToGrid w:val="0"/>
          <w:sz w:val="28"/>
          <w:szCs w:val="28"/>
        </w:rPr>
        <w:t>適用</w:t>
      </w:r>
      <w:r w:rsidR="001E4A55" w:rsidRPr="00106AE2">
        <w:rPr>
          <w:rFonts w:eastAsia="標楷體"/>
          <w:b/>
          <w:bCs/>
          <w:snapToGrid w:val="0"/>
          <w:sz w:val="28"/>
          <w:szCs w:val="28"/>
        </w:rPr>
        <w:t>法例</w:t>
      </w:r>
    </w:p>
    <w:p w14:paraId="47D79A73" w14:textId="77777777" w:rsidR="00D261A5" w:rsidRPr="00401789" w:rsidRDefault="00D261A5" w:rsidP="008A57E3">
      <w:pPr>
        <w:tabs>
          <w:tab w:val="left" w:pos="1080"/>
        </w:tabs>
        <w:jc w:val="both"/>
        <w:rPr>
          <w:rFonts w:eastAsia="標楷體"/>
          <w:b/>
          <w:bCs/>
          <w:snapToGrid w:val="0"/>
          <w:sz w:val="24"/>
          <w:szCs w:val="24"/>
        </w:rPr>
      </w:pPr>
    </w:p>
    <w:p w14:paraId="66B70F3E" w14:textId="7C9F6EBD" w:rsidR="00D261A5" w:rsidRPr="00DA537A" w:rsidRDefault="00D261A5" w:rsidP="008A57E3">
      <w:pPr>
        <w:tabs>
          <w:tab w:val="left" w:pos="1080"/>
        </w:tabs>
        <w:jc w:val="both"/>
        <w:rPr>
          <w:rFonts w:eastAsia="標楷體"/>
          <w:b/>
          <w:i/>
          <w:iCs/>
          <w:snapToGrid w:val="0"/>
          <w:sz w:val="28"/>
          <w:szCs w:val="28"/>
        </w:rPr>
      </w:pPr>
      <w:r w:rsidRPr="00DA537A">
        <w:rPr>
          <w:rFonts w:eastAsia="標楷體"/>
          <w:b/>
          <w:i/>
          <w:iCs/>
          <w:snapToGrid w:val="0"/>
          <w:sz w:val="28"/>
          <w:szCs w:val="28"/>
        </w:rPr>
        <w:t>上訴逾期</w:t>
      </w:r>
    </w:p>
    <w:p w14:paraId="7652C43D" w14:textId="77777777" w:rsidR="00D261A5" w:rsidRPr="00401789" w:rsidRDefault="00D261A5" w:rsidP="008A57E3">
      <w:pPr>
        <w:tabs>
          <w:tab w:val="left" w:pos="1080"/>
          <w:tab w:val="left" w:pos="1440"/>
          <w:tab w:val="left" w:pos="2160"/>
        </w:tabs>
        <w:ind w:left="721" w:hanging="720"/>
        <w:jc w:val="both"/>
        <w:rPr>
          <w:rFonts w:eastAsia="標楷體"/>
          <w:b/>
          <w:bCs/>
          <w:snapToGrid w:val="0"/>
          <w:sz w:val="24"/>
          <w:szCs w:val="24"/>
          <w:u w:val="single"/>
        </w:rPr>
      </w:pPr>
    </w:p>
    <w:p w14:paraId="4216442A" w14:textId="2270B757" w:rsidR="0011545A" w:rsidRPr="00401789" w:rsidRDefault="001B418F" w:rsidP="00106AE2">
      <w:pPr>
        <w:pStyle w:val="aff"/>
        <w:numPr>
          <w:ilvl w:val="0"/>
          <w:numId w:val="21"/>
        </w:numPr>
        <w:ind w:left="0" w:firstLine="0"/>
        <w:jc w:val="both"/>
        <w:rPr>
          <w:rFonts w:eastAsia="標楷體"/>
          <w:bCs/>
          <w:snapToGrid w:val="0"/>
          <w:sz w:val="24"/>
          <w:szCs w:val="24"/>
        </w:rPr>
      </w:pPr>
      <w:r w:rsidRPr="00401789">
        <w:rPr>
          <w:rFonts w:eastAsia="標楷體"/>
          <w:bCs/>
          <w:snapToGrid w:val="0"/>
          <w:sz w:val="24"/>
          <w:szCs w:val="24"/>
        </w:rPr>
        <w:t>在審</w:t>
      </w:r>
      <w:r w:rsidR="00637C53" w:rsidRPr="00401789">
        <w:rPr>
          <w:rFonts w:eastAsia="標楷體"/>
          <w:bCs/>
          <w:snapToGrid w:val="0"/>
          <w:sz w:val="24"/>
          <w:szCs w:val="24"/>
        </w:rPr>
        <w:t>核上訴</w:t>
      </w:r>
      <w:r w:rsidR="0009126A" w:rsidRPr="00401789">
        <w:rPr>
          <w:rFonts w:eastAsia="標楷體"/>
          <w:bCs/>
          <w:snapToGrid w:val="0"/>
          <w:sz w:val="24"/>
          <w:szCs w:val="24"/>
        </w:rPr>
        <w:t>是否</w:t>
      </w:r>
      <w:r w:rsidR="00637C53" w:rsidRPr="00401789">
        <w:rPr>
          <w:rFonts w:eastAsia="標楷體"/>
          <w:bCs/>
          <w:snapToGrid w:val="0"/>
          <w:sz w:val="24"/>
          <w:szCs w:val="24"/>
        </w:rPr>
        <w:t>逾期時</w:t>
      </w:r>
      <w:r w:rsidR="00874089" w:rsidRPr="00401789">
        <w:rPr>
          <w:rFonts w:eastAsia="標楷體"/>
          <w:bCs/>
          <w:snapToGrid w:val="0"/>
          <w:sz w:val="24"/>
          <w:szCs w:val="24"/>
        </w:rPr>
        <w:t>，</w:t>
      </w:r>
      <w:r w:rsidR="0009126A" w:rsidRPr="00401789">
        <w:rPr>
          <w:rFonts w:eastAsia="標楷體"/>
          <w:bCs/>
          <w:snapToGrid w:val="0"/>
          <w:sz w:val="24"/>
          <w:szCs w:val="24"/>
        </w:rPr>
        <w:t>起點是</w:t>
      </w:r>
      <w:r w:rsidR="00C83FDA" w:rsidRPr="00401789">
        <w:rPr>
          <w:rFonts w:eastAsia="標楷體"/>
          <w:bCs/>
          <w:snapToGrid w:val="0"/>
          <w:sz w:val="24"/>
          <w:szCs w:val="24"/>
        </w:rPr>
        <w:t>第</w:t>
      </w:r>
      <w:r w:rsidR="00C83FDA" w:rsidRPr="00401789">
        <w:rPr>
          <w:rFonts w:eastAsia="標楷體"/>
          <w:bCs/>
          <w:snapToGrid w:val="0"/>
          <w:sz w:val="24"/>
          <w:szCs w:val="24"/>
        </w:rPr>
        <w:t>112</w:t>
      </w:r>
      <w:r w:rsidR="00C83FDA" w:rsidRPr="00401789">
        <w:rPr>
          <w:rFonts w:eastAsia="標楷體"/>
          <w:bCs/>
          <w:snapToGrid w:val="0"/>
          <w:sz w:val="24"/>
          <w:szCs w:val="24"/>
        </w:rPr>
        <w:t>章</w:t>
      </w:r>
      <w:r w:rsidR="0011545A" w:rsidRPr="00401789">
        <w:rPr>
          <w:rFonts w:eastAsia="標楷體"/>
          <w:bCs/>
          <w:snapToGrid w:val="0"/>
          <w:sz w:val="24"/>
          <w:szCs w:val="24"/>
        </w:rPr>
        <w:t>《稅務條例》</w:t>
      </w:r>
      <w:r w:rsidR="00CB3D0F" w:rsidRPr="00401789">
        <w:rPr>
          <w:rFonts w:eastAsia="標楷體"/>
          <w:bCs/>
          <w:snapToGrid w:val="0"/>
          <w:sz w:val="24"/>
          <w:szCs w:val="24"/>
        </w:rPr>
        <w:t>「</w:t>
      </w:r>
      <w:r w:rsidR="00CB3D0F" w:rsidRPr="00401789">
        <w:rPr>
          <w:rFonts w:eastAsia="標楷體"/>
          <w:bCs/>
          <w:snapToGrid w:val="0"/>
          <w:sz w:val="24"/>
          <w:szCs w:val="24"/>
        </w:rPr>
        <w:t>(</w:t>
      </w:r>
      <w:r w:rsidR="00CB3D0F" w:rsidRPr="00401789">
        <w:rPr>
          <w:rFonts w:eastAsia="標楷體"/>
          <w:bCs/>
          <w:snapToGrid w:val="0"/>
          <w:sz w:val="24"/>
          <w:szCs w:val="24"/>
        </w:rPr>
        <w:t>稅例</w:t>
      </w:r>
      <w:r w:rsidR="00DA537A">
        <w:rPr>
          <w:rFonts w:eastAsia="標楷體"/>
          <w:bCs/>
          <w:snapToGrid w:val="0"/>
          <w:sz w:val="24"/>
          <w:szCs w:val="24"/>
        </w:rPr>
        <w:t>)</w:t>
      </w:r>
      <w:r w:rsidR="00CB3D0F" w:rsidRPr="00401789">
        <w:rPr>
          <w:rFonts w:eastAsia="標楷體"/>
          <w:bCs/>
          <w:snapToGrid w:val="0"/>
          <w:sz w:val="24"/>
          <w:szCs w:val="24"/>
        </w:rPr>
        <w:t>」</w:t>
      </w:r>
      <w:r w:rsidR="0011545A" w:rsidRPr="00401789">
        <w:rPr>
          <w:rFonts w:eastAsia="標楷體"/>
          <w:sz w:val="24"/>
          <w:szCs w:val="24"/>
        </w:rPr>
        <w:t>第</w:t>
      </w:r>
      <w:r w:rsidR="0011545A" w:rsidRPr="00401789">
        <w:rPr>
          <w:rFonts w:eastAsia="標楷體"/>
          <w:bCs/>
          <w:snapToGrid w:val="0"/>
          <w:sz w:val="24"/>
          <w:szCs w:val="24"/>
        </w:rPr>
        <w:t>66</w:t>
      </w:r>
      <w:r w:rsidR="0011545A" w:rsidRPr="00401789">
        <w:rPr>
          <w:rFonts w:eastAsia="標楷體"/>
          <w:bCs/>
          <w:snapToGrid w:val="0"/>
          <w:sz w:val="24"/>
          <w:szCs w:val="24"/>
        </w:rPr>
        <w:t>條：</w:t>
      </w:r>
    </w:p>
    <w:p w14:paraId="6B41C64A" w14:textId="77777777" w:rsidR="0011545A" w:rsidRPr="00401789" w:rsidRDefault="0011545A" w:rsidP="008A57E3">
      <w:pPr>
        <w:tabs>
          <w:tab w:val="left" w:pos="1080"/>
        </w:tabs>
        <w:ind w:left="1"/>
        <w:jc w:val="both"/>
        <w:rPr>
          <w:rFonts w:eastAsia="標楷體"/>
          <w:bCs/>
          <w:snapToGrid w:val="0"/>
          <w:sz w:val="24"/>
          <w:szCs w:val="24"/>
        </w:rPr>
      </w:pPr>
    </w:p>
    <w:p w14:paraId="5560E637" w14:textId="21ABDDBE" w:rsidR="0011545A" w:rsidRPr="00DA537A" w:rsidRDefault="0011545A" w:rsidP="00E751EB">
      <w:pPr>
        <w:ind w:leftChars="638" w:left="1984" w:hangingChars="295" w:hanging="708"/>
        <w:jc w:val="both"/>
        <w:rPr>
          <w:rFonts w:eastAsia="標楷體"/>
          <w:bCs/>
          <w:i/>
          <w:snapToGrid w:val="0"/>
          <w:sz w:val="24"/>
          <w:szCs w:val="24"/>
        </w:rPr>
      </w:pPr>
      <w:r w:rsidRPr="00401789">
        <w:rPr>
          <w:rFonts w:eastAsia="標楷體"/>
          <w:bCs/>
          <w:snapToGrid w:val="0"/>
          <w:sz w:val="24"/>
          <w:szCs w:val="24"/>
        </w:rPr>
        <w:t>「</w:t>
      </w:r>
      <w:r w:rsidRPr="00DA537A">
        <w:rPr>
          <w:rFonts w:eastAsia="標楷體"/>
          <w:bCs/>
          <w:i/>
          <w:snapToGrid w:val="0"/>
          <w:sz w:val="24"/>
          <w:szCs w:val="24"/>
        </w:rPr>
        <w:t>(1)</w:t>
      </w:r>
      <w:r w:rsidRPr="00DA537A">
        <w:rPr>
          <w:rFonts w:eastAsia="標楷體"/>
          <w:bCs/>
          <w:i/>
          <w:snapToGrid w:val="0"/>
          <w:sz w:val="24"/>
          <w:szCs w:val="24"/>
        </w:rPr>
        <w:tab/>
      </w:r>
      <w:r w:rsidRPr="00DA537A">
        <w:rPr>
          <w:rFonts w:eastAsia="標楷體"/>
          <w:bCs/>
          <w:i/>
          <w:snapToGrid w:val="0"/>
          <w:sz w:val="24"/>
          <w:szCs w:val="24"/>
        </w:rPr>
        <w:t>任何人</w:t>
      </w:r>
      <w:r w:rsidRPr="00DA537A">
        <w:rPr>
          <w:rFonts w:eastAsia="標楷體"/>
          <w:bCs/>
          <w:i/>
          <w:snapToGrid w:val="0"/>
          <w:sz w:val="24"/>
          <w:szCs w:val="24"/>
        </w:rPr>
        <w:t>(</w:t>
      </w:r>
      <w:r w:rsidRPr="00DA537A">
        <w:rPr>
          <w:rFonts w:eastAsia="標楷體"/>
          <w:bCs/>
          <w:i/>
          <w:snapToGrid w:val="0"/>
          <w:sz w:val="24"/>
          <w:szCs w:val="24"/>
        </w:rPr>
        <w:t>下稱上訴人</w:t>
      </w:r>
      <w:r w:rsidRPr="00DA537A">
        <w:rPr>
          <w:rFonts w:eastAsia="標楷體"/>
          <w:bCs/>
          <w:i/>
          <w:snapToGrid w:val="0"/>
          <w:sz w:val="24"/>
          <w:szCs w:val="24"/>
        </w:rPr>
        <w:t>)</w:t>
      </w:r>
      <w:r w:rsidRPr="00DA537A">
        <w:rPr>
          <w:rFonts w:eastAsia="標楷體"/>
          <w:bCs/>
          <w:i/>
          <w:snapToGrid w:val="0"/>
          <w:sz w:val="24"/>
          <w:szCs w:val="24"/>
        </w:rPr>
        <w:t>如已對任何評稅作出有效的反對</w:t>
      </w:r>
      <w:r w:rsidR="00874089" w:rsidRPr="00DA537A">
        <w:rPr>
          <w:rFonts w:eastAsia="標楷體"/>
          <w:bCs/>
          <w:i/>
          <w:snapToGrid w:val="0"/>
          <w:sz w:val="24"/>
          <w:szCs w:val="24"/>
        </w:rPr>
        <w:t>，</w:t>
      </w:r>
      <w:r w:rsidRPr="00DA537A">
        <w:rPr>
          <w:rFonts w:eastAsia="標楷體"/>
          <w:bCs/>
          <w:i/>
          <w:snapToGrid w:val="0"/>
          <w:sz w:val="24"/>
          <w:szCs w:val="24"/>
        </w:rPr>
        <w:t>但局長在考慮該項反對時沒有與該人達成協議</w:t>
      </w:r>
      <w:r w:rsidR="00874089" w:rsidRPr="00DA537A">
        <w:rPr>
          <w:rFonts w:eastAsia="標楷體"/>
          <w:bCs/>
          <w:i/>
          <w:snapToGrid w:val="0"/>
          <w:sz w:val="24"/>
          <w:szCs w:val="24"/>
        </w:rPr>
        <w:t>，</w:t>
      </w:r>
      <w:r w:rsidRPr="00DA537A">
        <w:rPr>
          <w:rFonts w:eastAsia="標楷體"/>
          <w:bCs/>
          <w:i/>
          <w:snapToGrid w:val="0"/>
          <w:sz w:val="24"/>
          <w:szCs w:val="24"/>
        </w:rPr>
        <w:t>則該人可</w:t>
      </w:r>
      <w:r w:rsidRPr="00DA537A">
        <w:rPr>
          <w:rFonts w:eastAsia="標楷體"/>
          <w:bCs/>
          <w:i/>
          <w:snapToGrid w:val="0"/>
          <w:sz w:val="24"/>
          <w:szCs w:val="24"/>
        </w:rPr>
        <w:t>—</w:t>
      </w:r>
    </w:p>
    <w:p w14:paraId="016CA406" w14:textId="77777777" w:rsidR="0011545A" w:rsidRPr="00DA537A" w:rsidRDefault="0011545A" w:rsidP="008A57E3">
      <w:pPr>
        <w:tabs>
          <w:tab w:val="left" w:pos="1080"/>
        </w:tabs>
        <w:ind w:left="1"/>
        <w:jc w:val="both"/>
        <w:rPr>
          <w:rFonts w:eastAsia="標楷體"/>
          <w:bCs/>
          <w:i/>
          <w:snapToGrid w:val="0"/>
          <w:sz w:val="24"/>
          <w:szCs w:val="24"/>
        </w:rPr>
      </w:pPr>
    </w:p>
    <w:p w14:paraId="3FDD3E11" w14:textId="76FBE82E" w:rsidR="0011545A" w:rsidRPr="00DA537A" w:rsidRDefault="0011545A" w:rsidP="00E751EB">
      <w:pPr>
        <w:ind w:leftChars="992" w:left="2330" w:hangingChars="144" w:hanging="346"/>
        <w:jc w:val="both"/>
        <w:rPr>
          <w:rFonts w:eastAsia="標楷體"/>
          <w:bCs/>
          <w:i/>
          <w:snapToGrid w:val="0"/>
          <w:sz w:val="24"/>
          <w:szCs w:val="24"/>
        </w:rPr>
      </w:pPr>
      <w:r w:rsidRPr="00DA537A">
        <w:rPr>
          <w:rFonts w:eastAsia="標楷體"/>
          <w:bCs/>
          <w:i/>
          <w:snapToGrid w:val="0"/>
          <w:sz w:val="24"/>
          <w:szCs w:val="24"/>
        </w:rPr>
        <w:t>(a)</w:t>
      </w:r>
      <w:r w:rsidRPr="00DA537A">
        <w:rPr>
          <w:rFonts w:eastAsia="標楷體"/>
          <w:bCs/>
          <w:i/>
          <w:snapToGrid w:val="0"/>
          <w:sz w:val="24"/>
          <w:szCs w:val="24"/>
        </w:rPr>
        <w:tab/>
      </w:r>
      <w:r w:rsidRPr="00DA537A">
        <w:rPr>
          <w:rFonts w:eastAsia="標楷體"/>
          <w:bCs/>
          <w:i/>
          <w:snapToGrid w:val="0"/>
          <w:sz w:val="24"/>
          <w:szCs w:val="24"/>
        </w:rPr>
        <w:t>在局長的書面決定連同決定理由及事實陳述書根據第</w:t>
      </w:r>
      <w:r w:rsidRPr="00DA537A">
        <w:rPr>
          <w:rFonts w:eastAsia="標楷體"/>
          <w:bCs/>
          <w:i/>
          <w:snapToGrid w:val="0"/>
          <w:sz w:val="24"/>
          <w:szCs w:val="24"/>
        </w:rPr>
        <w:t>64(4)</w:t>
      </w:r>
      <w:r w:rsidRPr="00DA537A">
        <w:rPr>
          <w:rFonts w:eastAsia="標楷體"/>
          <w:bCs/>
          <w:i/>
          <w:snapToGrid w:val="0"/>
          <w:sz w:val="24"/>
          <w:szCs w:val="24"/>
        </w:rPr>
        <w:t>條送交其本人後</w:t>
      </w:r>
      <w:r w:rsidRPr="00DA537A">
        <w:rPr>
          <w:rFonts w:eastAsia="標楷體"/>
          <w:bCs/>
          <w:i/>
          <w:snapToGrid w:val="0"/>
          <w:sz w:val="24"/>
          <w:szCs w:val="24"/>
        </w:rPr>
        <w:t>1</w:t>
      </w:r>
      <w:r w:rsidRPr="00DA537A">
        <w:rPr>
          <w:rFonts w:eastAsia="標楷體"/>
          <w:bCs/>
          <w:i/>
          <w:snapToGrid w:val="0"/>
          <w:sz w:val="24"/>
          <w:szCs w:val="24"/>
        </w:rPr>
        <w:t>個月內；或</w:t>
      </w:r>
    </w:p>
    <w:p w14:paraId="25A2DB62" w14:textId="77777777" w:rsidR="0011545A" w:rsidRPr="00DA537A" w:rsidRDefault="0011545A" w:rsidP="008A57E3">
      <w:pPr>
        <w:tabs>
          <w:tab w:val="left" w:pos="1080"/>
        </w:tabs>
        <w:ind w:left="1"/>
        <w:jc w:val="both"/>
        <w:rPr>
          <w:rFonts w:eastAsia="標楷體"/>
          <w:bCs/>
          <w:i/>
          <w:snapToGrid w:val="0"/>
          <w:sz w:val="24"/>
          <w:szCs w:val="24"/>
        </w:rPr>
      </w:pPr>
    </w:p>
    <w:p w14:paraId="73C70F4C" w14:textId="4722687C" w:rsidR="0011545A" w:rsidRPr="00DA537A" w:rsidRDefault="0011545A" w:rsidP="00E751EB">
      <w:pPr>
        <w:ind w:leftChars="992" w:left="2330" w:hangingChars="144" w:hanging="346"/>
        <w:jc w:val="both"/>
        <w:rPr>
          <w:rFonts w:eastAsia="標楷體"/>
          <w:bCs/>
          <w:i/>
          <w:snapToGrid w:val="0"/>
          <w:sz w:val="24"/>
          <w:szCs w:val="24"/>
        </w:rPr>
      </w:pPr>
      <w:r w:rsidRPr="00DA537A">
        <w:rPr>
          <w:rFonts w:eastAsia="標楷體"/>
          <w:bCs/>
          <w:i/>
          <w:snapToGrid w:val="0"/>
          <w:sz w:val="24"/>
          <w:szCs w:val="24"/>
        </w:rPr>
        <w:t>(b)</w:t>
      </w:r>
      <w:r w:rsidRPr="00DA537A">
        <w:rPr>
          <w:rFonts w:eastAsia="標楷體"/>
          <w:bCs/>
          <w:i/>
          <w:snapToGrid w:val="0"/>
          <w:sz w:val="24"/>
          <w:szCs w:val="24"/>
        </w:rPr>
        <w:tab/>
      </w:r>
      <w:r w:rsidRPr="00DA537A">
        <w:rPr>
          <w:rFonts w:eastAsia="標楷體"/>
          <w:bCs/>
          <w:i/>
          <w:snapToGrid w:val="0"/>
          <w:sz w:val="24"/>
          <w:szCs w:val="24"/>
        </w:rPr>
        <w:t>在稅務上訴委員會根據第</w:t>
      </w:r>
      <w:r w:rsidRPr="00DA537A">
        <w:rPr>
          <w:rFonts w:eastAsia="標楷體"/>
          <w:bCs/>
          <w:i/>
          <w:snapToGrid w:val="0"/>
          <w:sz w:val="24"/>
          <w:szCs w:val="24"/>
        </w:rPr>
        <w:t>(1A)</w:t>
      </w:r>
      <w:r w:rsidRPr="00DA537A">
        <w:rPr>
          <w:rFonts w:eastAsia="標楷體"/>
          <w:bCs/>
          <w:i/>
          <w:snapToGrid w:val="0"/>
          <w:sz w:val="24"/>
          <w:szCs w:val="24"/>
        </w:rPr>
        <w:t>款容許的更長期限內</w:t>
      </w:r>
      <w:r w:rsidR="00874089" w:rsidRPr="00DA537A">
        <w:rPr>
          <w:rFonts w:eastAsia="標楷體"/>
          <w:bCs/>
          <w:i/>
          <w:snapToGrid w:val="0"/>
          <w:sz w:val="24"/>
          <w:szCs w:val="24"/>
        </w:rPr>
        <w:t>，</w:t>
      </w:r>
    </w:p>
    <w:p w14:paraId="36A2C880" w14:textId="77777777" w:rsidR="0011545A" w:rsidRPr="00DA537A" w:rsidRDefault="0011545A" w:rsidP="008A57E3">
      <w:pPr>
        <w:tabs>
          <w:tab w:val="left" w:pos="1080"/>
        </w:tabs>
        <w:ind w:left="1"/>
        <w:jc w:val="both"/>
        <w:rPr>
          <w:rFonts w:eastAsia="標楷體"/>
          <w:bCs/>
          <w:i/>
          <w:snapToGrid w:val="0"/>
          <w:sz w:val="24"/>
          <w:szCs w:val="24"/>
        </w:rPr>
      </w:pPr>
    </w:p>
    <w:p w14:paraId="1DF2B3F0" w14:textId="22AAEAEB" w:rsidR="0011545A" w:rsidRPr="00DA537A" w:rsidRDefault="0011545A" w:rsidP="00E751EB">
      <w:pPr>
        <w:ind w:leftChars="1176" w:left="2352"/>
        <w:jc w:val="both"/>
        <w:rPr>
          <w:rFonts w:eastAsia="標楷體"/>
          <w:bCs/>
          <w:i/>
          <w:snapToGrid w:val="0"/>
          <w:sz w:val="24"/>
          <w:szCs w:val="24"/>
        </w:rPr>
      </w:pPr>
      <w:r w:rsidRPr="00DA537A">
        <w:rPr>
          <w:rFonts w:eastAsia="標楷體"/>
          <w:bCs/>
          <w:i/>
          <w:snapToGrid w:val="0"/>
          <w:sz w:val="24"/>
          <w:szCs w:val="24"/>
        </w:rPr>
        <w:t>親自或由其獲授權代表向委員會發出上訴通知；該通知除非是以書面向委員會書記發出</w:t>
      </w:r>
      <w:r w:rsidR="00874089" w:rsidRPr="00DA537A">
        <w:rPr>
          <w:rFonts w:eastAsia="標楷體"/>
          <w:bCs/>
          <w:i/>
          <w:snapToGrid w:val="0"/>
          <w:sz w:val="24"/>
          <w:szCs w:val="24"/>
        </w:rPr>
        <w:t>，</w:t>
      </w:r>
      <w:r w:rsidRPr="00DA537A">
        <w:rPr>
          <w:rFonts w:eastAsia="標楷體"/>
          <w:bCs/>
          <w:i/>
          <w:snapToGrid w:val="0"/>
          <w:sz w:val="24"/>
          <w:szCs w:val="24"/>
        </w:rPr>
        <w:t>並附有局長的決定書副本連同決定理由與事實陳述書副本及一份上訴理由陳述書</w:t>
      </w:r>
      <w:r w:rsidR="00874089" w:rsidRPr="00DA537A">
        <w:rPr>
          <w:rFonts w:eastAsia="標楷體"/>
          <w:bCs/>
          <w:i/>
          <w:snapToGrid w:val="0"/>
          <w:sz w:val="24"/>
          <w:szCs w:val="24"/>
        </w:rPr>
        <w:t>，</w:t>
      </w:r>
      <w:r w:rsidRPr="00DA537A">
        <w:rPr>
          <w:rFonts w:eastAsia="標楷體"/>
          <w:bCs/>
          <w:i/>
          <w:snapToGrid w:val="0"/>
          <w:sz w:val="24"/>
          <w:szCs w:val="24"/>
        </w:rPr>
        <w:t>否則不獲受理。</w:t>
      </w:r>
    </w:p>
    <w:p w14:paraId="02EDC513" w14:textId="77777777" w:rsidR="0011545A" w:rsidRPr="00DA537A" w:rsidRDefault="0011545A" w:rsidP="008A57E3">
      <w:pPr>
        <w:tabs>
          <w:tab w:val="left" w:pos="1080"/>
        </w:tabs>
        <w:ind w:left="1134" w:hanging="1133"/>
        <w:jc w:val="both"/>
        <w:rPr>
          <w:rFonts w:eastAsia="標楷體"/>
          <w:bCs/>
          <w:i/>
          <w:snapToGrid w:val="0"/>
          <w:sz w:val="24"/>
          <w:szCs w:val="24"/>
        </w:rPr>
      </w:pPr>
    </w:p>
    <w:p w14:paraId="14316D2E" w14:textId="0EEBDC58" w:rsidR="00D261A5" w:rsidRPr="00401789" w:rsidRDefault="0011545A" w:rsidP="00E751EB">
      <w:pPr>
        <w:ind w:leftChars="709" w:left="1984" w:hangingChars="236" w:hanging="566"/>
        <w:jc w:val="both"/>
        <w:rPr>
          <w:rFonts w:eastAsia="標楷體"/>
          <w:bCs/>
          <w:snapToGrid w:val="0"/>
          <w:sz w:val="24"/>
          <w:szCs w:val="24"/>
        </w:rPr>
      </w:pPr>
      <w:r w:rsidRPr="00DA537A">
        <w:rPr>
          <w:rFonts w:eastAsia="標楷體"/>
          <w:bCs/>
          <w:i/>
          <w:snapToGrid w:val="0"/>
          <w:sz w:val="24"/>
          <w:szCs w:val="24"/>
        </w:rPr>
        <w:t>(1A)</w:t>
      </w:r>
      <w:r w:rsidRPr="00DA537A">
        <w:rPr>
          <w:rFonts w:eastAsia="標楷體"/>
          <w:bCs/>
          <w:i/>
          <w:snapToGrid w:val="0"/>
          <w:sz w:val="24"/>
          <w:szCs w:val="24"/>
        </w:rPr>
        <w:tab/>
      </w:r>
      <w:r w:rsidRPr="00DA537A">
        <w:rPr>
          <w:rFonts w:eastAsia="標楷體"/>
          <w:bCs/>
          <w:i/>
          <w:snapToGrid w:val="0"/>
          <w:sz w:val="24"/>
          <w:szCs w:val="24"/>
        </w:rPr>
        <w:t>如委員會信納上訴人是由於疾病、不在香港或其他合理因由而未能按照第</w:t>
      </w:r>
      <w:r w:rsidRPr="00DA537A">
        <w:rPr>
          <w:rFonts w:eastAsia="標楷體"/>
          <w:bCs/>
          <w:i/>
          <w:snapToGrid w:val="0"/>
          <w:sz w:val="24"/>
          <w:szCs w:val="24"/>
        </w:rPr>
        <w:t>(1)(a)</w:t>
      </w:r>
      <w:r w:rsidRPr="00DA537A">
        <w:rPr>
          <w:rFonts w:eastAsia="標楷體"/>
          <w:bCs/>
          <w:i/>
          <w:snapToGrid w:val="0"/>
          <w:sz w:val="24"/>
          <w:szCs w:val="24"/>
        </w:rPr>
        <w:t>款規定發出上訴通知</w:t>
      </w:r>
      <w:r w:rsidR="00874089" w:rsidRPr="00DA537A">
        <w:rPr>
          <w:rFonts w:eastAsia="標楷體"/>
          <w:bCs/>
          <w:i/>
          <w:snapToGrid w:val="0"/>
          <w:sz w:val="24"/>
          <w:szCs w:val="24"/>
        </w:rPr>
        <w:t>，</w:t>
      </w:r>
      <w:r w:rsidRPr="00DA537A">
        <w:rPr>
          <w:rFonts w:eastAsia="標楷體"/>
          <w:bCs/>
          <w:i/>
          <w:snapToGrid w:val="0"/>
          <w:sz w:val="24"/>
          <w:szCs w:val="24"/>
        </w:rPr>
        <w:t>可將根據第</w:t>
      </w:r>
      <w:r w:rsidRPr="00DA537A">
        <w:rPr>
          <w:rFonts w:eastAsia="標楷體"/>
          <w:bCs/>
          <w:i/>
          <w:snapToGrid w:val="0"/>
          <w:sz w:val="24"/>
          <w:szCs w:val="24"/>
        </w:rPr>
        <w:t>(1)</w:t>
      </w:r>
      <w:r w:rsidRPr="00DA537A">
        <w:rPr>
          <w:rFonts w:eastAsia="標楷體"/>
          <w:bCs/>
          <w:i/>
          <w:snapToGrid w:val="0"/>
          <w:sz w:val="24"/>
          <w:szCs w:val="24"/>
        </w:rPr>
        <w:t>款發出上訴通知的時間延長至委員會認為適當的期限。</w:t>
      </w:r>
      <w:r w:rsidRPr="00401789">
        <w:rPr>
          <w:rFonts w:eastAsia="標楷體"/>
          <w:bCs/>
          <w:snapToGrid w:val="0"/>
          <w:sz w:val="24"/>
          <w:szCs w:val="24"/>
        </w:rPr>
        <w:t>」</w:t>
      </w:r>
    </w:p>
    <w:p w14:paraId="06C19C54" w14:textId="77777777" w:rsidR="00D261A5" w:rsidRPr="00401789" w:rsidRDefault="00D261A5" w:rsidP="008A57E3">
      <w:pPr>
        <w:tabs>
          <w:tab w:val="left" w:pos="1080"/>
        </w:tabs>
        <w:ind w:left="1"/>
        <w:jc w:val="both"/>
        <w:rPr>
          <w:rFonts w:eastAsia="標楷體"/>
          <w:bCs/>
          <w:snapToGrid w:val="0"/>
          <w:sz w:val="24"/>
          <w:szCs w:val="24"/>
        </w:rPr>
      </w:pPr>
    </w:p>
    <w:p w14:paraId="3D81FE8C" w14:textId="6AC5A7C6" w:rsidR="00B70F83" w:rsidRPr="00401789" w:rsidRDefault="00B70F83" w:rsidP="00106AE2">
      <w:pPr>
        <w:pStyle w:val="aff"/>
        <w:numPr>
          <w:ilvl w:val="0"/>
          <w:numId w:val="21"/>
        </w:numPr>
        <w:ind w:left="0" w:firstLine="0"/>
        <w:jc w:val="both"/>
        <w:rPr>
          <w:rFonts w:eastAsia="標楷體"/>
          <w:sz w:val="24"/>
          <w:szCs w:val="24"/>
        </w:rPr>
      </w:pPr>
      <w:r w:rsidRPr="00401789">
        <w:rPr>
          <w:rFonts w:eastAsia="標楷體"/>
          <w:sz w:val="24"/>
          <w:szCs w:val="24"/>
        </w:rPr>
        <w:t>對《稅例》第</w:t>
      </w:r>
      <w:r w:rsidRPr="00401789">
        <w:rPr>
          <w:rFonts w:eastAsia="標楷體"/>
          <w:sz w:val="24"/>
          <w:szCs w:val="24"/>
        </w:rPr>
        <w:t>66</w:t>
      </w:r>
      <w:r w:rsidRPr="00401789">
        <w:rPr>
          <w:rFonts w:eastAsia="標楷體"/>
          <w:sz w:val="24"/>
          <w:szCs w:val="24"/>
        </w:rPr>
        <w:t>條</w:t>
      </w:r>
      <w:r w:rsidR="00874089" w:rsidRPr="00401789">
        <w:rPr>
          <w:rFonts w:eastAsia="標楷體"/>
          <w:sz w:val="24"/>
          <w:szCs w:val="24"/>
        </w:rPr>
        <w:t>，</w:t>
      </w:r>
      <w:r w:rsidR="00495C0B" w:rsidRPr="00401789">
        <w:rPr>
          <w:rFonts w:eastAsia="標楷體"/>
          <w:sz w:val="24"/>
          <w:szCs w:val="24"/>
        </w:rPr>
        <w:t>上</w:t>
      </w:r>
      <w:bookmarkStart w:id="1" w:name="_Hlk50988006"/>
      <w:r w:rsidR="00495C0B" w:rsidRPr="00401789">
        <w:rPr>
          <w:rFonts w:eastAsia="標楷體"/>
          <w:sz w:val="24"/>
          <w:szCs w:val="24"/>
        </w:rPr>
        <w:t>訴</w:t>
      </w:r>
      <w:r w:rsidR="0086566B" w:rsidRPr="00401789">
        <w:rPr>
          <w:rFonts w:eastAsia="標楷體"/>
          <w:sz w:val="24"/>
          <w:szCs w:val="24"/>
        </w:rPr>
        <w:t>庭</w:t>
      </w:r>
      <w:bookmarkEnd w:id="1"/>
      <w:r w:rsidR="0086566B" w:rsidRPr="00401789">
        <w:rPr>
          <w:rFonts w:eastAsia="標楷體"/>
          <w:sz w:val="24"/>
          <w:szCs w:val="24"/>
        </w:rPr>
        <w:t>在</w:t>
      </w:r>
      <w:r w:rsidR="0061420F" w:rsidRPr="00106AE2">
        <w:rPr>
          <w:rFonts w:eastAsia="標楷體"/>
          <w:iCs/>
          <w:sz w:val="24"/>
          <w:szCs w:val="24"/>
          <w:u w:val="single"/>
        </w:rPr>
        <w:t>C</w:t>
      </w:r>
      <w:r w:rsidR="0061420F" w:rsidRPr="00106AE2">
        <w:rPr>
          <w:rFonts w:eastAsia="標楷體"/>
          <w:iCs/>
          <w:sz w:val="24"/>
          <w:szCs w:val="24"/>
          <w:u w:val="single"/>
          <w:lang w:val="en-US"/>
        </w:rPr>
        <w:t>how Kwong Fai v Commissioner of Inland Revenue</w:t>
      </w:r>
      <w:r w:rsidR="00B475F9" w:rsidRPr="00401789">
        <w:rPr>
          <w:rFonts w:eastAsia="標楷體"/>
          <w:i/>
          <w:iCs/>
          <w:sz w:val="24"/>
          <w:szCs w:val="24"/>
          <w:lang w:val="en-US"/>
        </w:rPr>
        <w:t xml:space="preserve"> </w:t>
      </w:r>
      <w:r w:rsidR="00B475F9" w:rsidRPr="00401789">
        <w:rPr>
          <w:rFonts w:eastAsia="標楷體"/>
          <w:sz w:val="24"/>
          <w:szCs w:val="24"/>
        </w:rPr>
        <w:t>[2005] 4 HKLRD 687</w:t>
      </w:r>
      <w:r w:rsidR="00F61021" w:rsidRPr="00401789">
        <w:rPr>
          <w:rFonts w:eastAsia="標楷體"/>
          <w:sz w:val="24"/>
          <w:szCs w:val="24"/>
        </w:rPr>
        <w:t>作出了</w:t>
      </w:r>
      <w:r w:rsidR="00F654F0" w:rsidRPr="00401789">
        <w:rPr>
          <w:rFonts w:eastAsia="標楷體"/>
          <w:sz w:val="24"/>
          <w:szCs w:val="24"/>
        </w:rPr>
        <w:t>相關解讀</w:t>
      </w:r>
      <w:r w:rsidR="00874089" w:rsidRPr="00401789">
        <w:rPr>
          <w:rFonts w:eastAsia="標楷體"/>
          <w:sz w:val="24"/>
          <w:szCs w:val="24"/>
        </w:rPr>
        <w:t>。</w:t>
      </w:r>
      <w:r w:rsidR="00F654F0" w:rsidRPr="00401789">
        <w:rPr>
          <w:rFonts w:eastAsia="標楷體"/>
          <w:sz w:val="24"/>
          <w:szCs w:val="24"/>
        </w:rPr>
        <w:t>其中</w:t>
      </w:r>
      <w:r w:rsidR="00874089" w:rsidRPr="00401789">
        <w:rPr>
          <w:rFonts w:eastAsia="標楷體"/>
          <w:sz w:val="24"/>
          <w:szCs w:val="24"/>
        </w:rPr>
        <w:t>，</w:t>
      </w:r>
      <w:r w:rsidR="00F654F0" w:rsidRPr="00401789">
        <w:rPr>
          <w:rFonts w:eastAsia="標楷體"/>
          <w:sz w:val="24"/>
          <w:szCs w:val="24"/>
          <w:lang w:val="es-419"/>
        </w:rPr>
        <w:t>對</w:t>
      </w:r>
      <w:r w:rsidR="00F654F0" w:rsidRPr="00401789">
        <w:rPr>
          <w:rFonts w:eastAsia="標楷體"/>
          <w:sz w:val="24"/>
          <w:szCs w:val="24"/>
        </w:rPr>
        <w:t>66</w:t>
      </w:r>
      <w:r w:rsidR="00F654F0" w:rsidRPr="00401789">
        <w:rPr>
          <w:rFonts w:eastAsia="標楷體"/>
          <w:sz w:val="24"/>
          <w:szCs w:val="24"/>
        </w:rPr>
        <w:t>條</w:t>
      </w:r>
      <w:r w:rsidR="00F654F0" w:rsidRPr="00401789">
        <w:rPr>
          <w:rFonts w:eastAsia="標楷體"/>
          <w:sz w:val="24"/>
          <w:szCs w:val="24"/>
        </w:rPr>
        <w:t>(1A)</w:t>
      </w:r>
      <w:r w:rsidR="00874089" w:rsidRPr="00401789">
        <w:rPr>
          <w:rFonts w:eastAsia="標楷體"/>
          <w:sz w:val="24"/>
          <w:szCs w:val="24"/>
        </w:rPr>
        <w:t>，</w:t>
      </w:r>
      <w:r w:rsidR="000953A9" w:rsidRPr="00401789">
        <w:rPr>
          <w:rFonts w:eastAsia="標楷體"/>
          <w:sz w:val="24"/>
          <w:szCs w:val="24"/>
        </w:rPr>
        <w:t>上訴庭</w:t>
      </w:r>
      <w:r w:rsidR="00D455D0" w:rsidRPr="00401789">
        <w:rPr>
          <w:rFonts w:eastAsia="標楷體"/>
          <w:sz w:val="24"/>
          <w:szCs w:val="24"/>
        </w:rPr>
        <w:t>在第</w:t>
      </w:r>
      <w:r w:rsidR="00D455D0" w:rsidRPr="00401789">
        <w:rPr>
          <w:rFonts w:eastAsia="標楷體"/>
          <w:sz w:val="24"/>
          <w:szCs w:val="24"/>
        </w:rPr>
        <w:t>20</w:t>
      </w:r>
      <w:r w:rsidR="00D455D0" w:rsidRPr="00401789">
        <w:rPr>
          <w:rFonts w:eastAsia="標楷體"/>
          <w:sz w:val="24"/>
          <w:szCs w:val="24"/>
        </w:rPr>
        <w:t>段</w:t>
      </w:r>
      <w:r w:rsidR="00FE0978" w:rsidRPr="00401789">
        <w:rPr>
          <w:rFonts w:eastAsia="標楷體"/>
          <w:sz w:val="24"/>
          <w:szCs w:val="24"/>
        </w:rPr>
        <w:t>就</w:t>
      </w:r>
      <w:r w:rsidR="00DA537A">
        <w:rPr>
          <w:rFonts w:eastAsia="標楷體" w:hint="eastAsia"/>
          <w:sz w:val="24"/>
          <w:szCs w:val="24"/>
          <w:lang w:eastAsia="zh-HK"/>
        </w:rPr>
        <w:t>「</w:t>
      </w:r>
      <w:r w:rsidR="00FE0978" w:rsidRPr="00401789">
        <w:rPr>
          <w:rFonts w:eastAsia="標楷體"/>
          <w:sz w:val="24"/>
          <w:szCs w:val="24"/>
        </w:rPr>
        <w:t>未能</w:t>
      </w:r>
      <w:r w:rsidR="00DA537A">
        <w:rPr>
          <w:rFonts w:eastAsia="標楷體" w:hint="eastAsia"/>
          <w:sz w:val="24"/>
          <w:szCs w:val="24"/>
          <w:lang w:eastAsia="zh-HK"/>
        </w:rPr>
        <w:t>」</w:t>
      </w:r>
      <w:r w:rsidR="0038237D" w:rsidRPr="00401789">
        <w:rPr>
          <w:rFonts w:eastAsia="標楷體"/>
          <w:sz w:val="24"/>
          <w:szCs w:val="24"/>
        </w:rPr>
        <w:t>一詞</w:t>
      </w:r>
      <w:r w:rsidR="00E062A9" w:rsidRPr="00401789">
        <w:rPr>
          <w:rFonts w:eastAsia="標楷體"/>
          <w:sz w:val="24"/>
          <w:szCs w:val="24"/>
        </w:rPr>
        <w:t>清</w:t>
      </w:r>
      <w:r w:rsidR="0038237D" w:rsidRPr="00401789">
        <w:rPr>
          <w:rFonts w:eastAsia="標楷體"/>
          <w:sz w:val="24"/>
          <w:szCs w:val="24"/>
        </w:rPr>
        <w:t>楚</w:t>
      </w:r>
      <w:r w:rsidR="0090162D" w:rsidRPr="00401789">
        <w:rPr>
          <w:rFonts w:eastAsia="標楷體"/>
          <w:sz w:val="24"/>
          <w:szCs w:val="24"/>
        </w:rPr>
        <w:t>地指出</w:t>
      </w:r>
      <w:r w:rsidR="009258D0" w:rsidRPr="00401789">
        <w:rPr>
          <w:rFonts w:eastAsia="標楷體"/>
          <w:sz w:val="24"/>
          <w:szCs w:val="24"/>
        </w:rPr>
        <w:t>要</w:t>
      </w:r>
      <w:r w:rsidR="00E91981" w:rsidRPr="00401789">
        <w:rPr>
          <w:rFonts w:eastAsia="標楷體"/>
          <w:sz w:val="24"/>
          <w:szCs w:val="24"/>
        </w:rPr>
        <w:t>滿足這個</w:t>
      </w:r>
      <w:r w:rsidR="0085558F" w:rsidRPr="00401789">
        <w:rPr>
          <w:rFonts w:eastAsia="標楷體"/>
          <w:sz w:val="24"/>
          <w:szCs w:val="24"/>
        </w:rPr>
        <w:t>門檻</w:t>
      </w:r>
      <w:r w:rsidR="00874089" w:rsidRPr="00401789">
        <w:rPr>
          <w:rFonts w:eastAsia="標楷體"/>
          <w:sz w:val="24"/>
          <w:szCs w:val="24"/>
        </w:rPr>
        <w:t>，</w:t>
      </w:r>
      <w:r w:rsidR="008F3E23" w:rsidRPr="00401789">
        <w:rPr>
          <w:rFonts w:eastAsia="標楷體"/>
          <w:sz w:val="24"/>
          <w:szCs w:val="24"/>
        </w:rPr>
        <w:t>一定</w:t>
      </w:r>
      <w:r w:rsidR="00D36665" w:rsidRPr="00401789">
        <w:rPr>
          <w:rFonts w:eastAsia="標楷體"/>
          <w:sz w:val="24"/>
          <w:szCs w:val="24"/>
        </w:rPr>
        <w:t>要比</w:t>
      </w:r>
      <w:r w:rsidR="009258D0" w:rsidRPr="00401789">
        <w:rPr>
          <w:rFonts w:eastAsia="標楷體"/>
          <w:sz w:val="24"/>
          <w:szCs w:val="24"/>
        </w:rPr>
        <w:t>純粹</w:t>
      </w:r>
      <w:r w:rsidR="00D36665" w:rsidRPr="00401789">
        <w:rPr>
          <w:rFonts w:eastAsia="標楷體"/>
          <w:sz w:val="24"/>
          <w:szCs w:val="24"/>
        </w:rPr>
        <w:t>藉口要高</w:t>
      </w:r>
      <w:r w:rsidR="00DA537A">
        <w:rPr>
          <w:rFonts w:eastAsia="標楷體" w:hint="eastAsia"/>
          <w:sz w:val="24"/>
          <w:szCs w:val="24"/>
        </w:rPr>
        <w:t>：</w:t>
      </w:r>
    </w:p>
    <w:p w14:paraId="428589A0" w14:textId="6EC20EBE" w:rsidR="00AE678D" w:rsidRPr="00401789" w:rsidRDefault="00AE678D" w:rsidP="008A57E3">
      <w:pPr>
        <w:tabs>
          <w:tab w:val="left" w:pos="1080"/>
        </w:tabs>
        <w:ind w:left="1"/>
        <w:jc w:val="both"/>
        <w:rPr>
          <w:rFonts w:eastAsia="標楷體"/>
          <w:bCs/>
          <w:snapToGrid w:val="0"/>
          <w:sz w:val="24"/>
          <w:szCs w:val="24"/>
        </w:rPr>
      </w:pPr>
    </w:p>
    <w:p w14:paraId="25BC75AD" w14:textId="2ED5F7EF" w:rsidR="00AE678D" w:rsidRPr="00401789" w:rsidRDefault="00E751EB" w:rsidP="00E751EB">
      <w:pPr>
        <w:ind w:leftChars="638" w:left="1276"/>
        <w:jc w:val="both"/>
        <w:rPr>
          <w:rFonts w:eastAsia="標楷體"/>
          <w:bCs/>
          <w:i/>
          <w:iCs/>
          <w:snapToGrid w:val="0"/>
          <w:sz w:val="24"/>
          <w:szCs w:val="24"/>
        </w:rPr>
      </w:pPr>
      <w:r w:rsidRPr="00E751EB">
        <w:rPr>
          <w:rFonts w:eastAsia="標楷體"/>
          <w:bCs/>
          <w:iCs/>
          <w:snapToGrid w:val="0"/>
          <w:sz w:val="24"/>
          <w:szCs w:val="24"/>
        </w:rPr>
        <w:t>‘</w:t>
      </w:r>
      <w:r w:rsidR="00107C43" w:rsidRPr="00401789">
        <w:rPr>
          <w:rFonts w:eastAsia="標楷體"/>
          <w:bCs/>
          <w:i/>
          <w:iCs/>
          <w:snapToGrid w:val="0"/>
          <w:sz w:val="24"/>
          <w:szCs w:val="24"/>
        </w:rPr>
        <w:t>…“unable to” imposes a higher threshold than a mere</w:t>
      </w:r>
      <w:r w:rsidR="00CB60D7" w:rsidRPr="00401789">
        <w:rPr>
          <w:rFonts w:eastAsia="標楷體"/>
          <w:bCs/>
          <w:i/>
          <w:iCs/>
          <w:snapToGrid w:val="0"/>
          <w:sz w:val="24"/>
          <w:szCs w:val="24"/>
        </w:rPr>
        <w:t xml:space="preserve"> </w:t>
      </w:r>
      <w:r w:rsidR="00107C43" w:rsidRPr="00401789">
        <w:rPr>
          <w:rFonts w:eastAsia="標楷體"/>
          <w:bCs/>
          <w:i/>
          <w:iCs/>
          <w:snapToGrid w:val="0"/>
          <w:sz w:val="24"/>
          <w:szCs w:val="24"/>
        </w:rPr>
        <w:t xml:space="preserve">excuse and would appear to give proper effect to the rigour </w:t>
      </w:r>
      <w:r w:rsidR="00545F72" w:rsidRPr="00401789">
        <w:rPr>
          <w:rFonts w:eastAsia="標楷體"/>
          <w:bCs/>
          <w:i/>
          <w:iCs/>
          <w:snapToGrid w:val="0"/>
          <w:sz w:val="24"/>
          <w:szCs w:val="24"/>
        </w:rPr>
        <w:t>of time limit imposed by a taxation statute</w:t>
      </w:r>
      <w:r w:rsidR="00F91F37" w:rsidRPr="00401789">
        <w:rPr>
          <w:rFonts w:eastAsia="標楷體"/>
          <w:bCs/>
          <w:i/>
          <w:iCs/>
          <w:snapToGrid w:val="0"/>
          <w:sz w:val="24"/>
          <w:szCs w:val="24"/>
        </w:rPr>
        <w:t>.</w:t>
      </w:r>
      <w:r w:rsidRPr="00E751EB">
        <w:rPr>
          <w:rFonts w:eastAsia="標楷體"/>
          <w:bCs/>
          <w:iCs/>
          <w:snapToGrid w:val="0"/>
          <w:sz w:val="24"/>
          <w:szCs w:val="24"/>
        </w:rPr>
        <w:t>’</w:t>
      </w:r>
      <w:r w:rsidR="00545F72" w:rsidRPr="00401789">
        <w:rPr>
          <w:rFonts w:eastAsia="標楷體"/>
          <w:bCs/>
          <w:i/>
          <w:iCs/>
          <w:snapToGrid w:val="0"/>
          <w:sz w:val="24"/>
          <w:szCs w:val="24"/>
        </w:rPr>
        <w:t xml:space="preserve"> </w:t>
      </w:r>
    </w:p>
    <w:p w14:paraId="43857F6C" w14:textId="77777777" w:rsidR="00B70F83" w:rsidRPr="00401789" w:rsidRDefault="00B70F83" w:rsidP="008A57E3">
      <w:pPr>
        <w:tabs>
          <w:tab w:val="left" w:pos="1080"/>
        </w:tabs>
        <w:ind w:left="1"/>
        <w:jc w:val="both"/>
        <w:rPr>
          <w:rFonts w:eastAsia="標楷體"/>
          <w:bCs/>
          <w:snapToGrid w:val="0"/>
          <w:sz w:val="24"/>
          <w:szCs w:val="24"/>
        </w:rPr>
      </w:pPr>
    </w:p>
    <w:p w14:paraId="1585FD99" w14:textId="04A974A3" w:rsidR="00B70F83" w:rsidRPr="00401789" w:rsidRDefault="00E21883" w:rsidP="00E751EB">
      <w:pPr>
        <w:pStyle w:val="aff"/>
        <w:numPr>
          <w:ilvl w:val="0"/>
          <w:numId w:val="21"/>
        </w:numPr>
        <w:ind w:left="0" w:firstLine="0"/>
        <w:jc w:val="both"/>
        <w:rPr>
          <w:rFonts w:eastAsia="標楷體"/>
          <w:bCs/>
          <w:snapToGrid w:val="0"/>
          <w:sz w:val="24"/>
          <w:szCs w:val="24"/>
        </w:rPr>
      </w:pPr>
      <w:r w:rsidRPr="00401789">
        <w:rPr>
          <w:rFonts w:eastAsia="標楷體"/>
          <w:bCs/>
          <w:snapToGrid w:val="0"/>
          <w:sz w:val="24"/>
          <w:szCs w:val="24"/>
        </w:rPr>
        <w:t>同時</w:t>
      </w:r>
      <w:r w:rsidR="00874089" w:rsidRPr="00401789">
        <w:rPr>
          <w:rFonts w:eastAsia="標楷體"/>
          <w:bCs/>
          <w:snapToGrid w:val="0"/>
          <w:sz w:val="24"/>
          <w:szCs w:val="24"/>
        </w:rPr>
        <w:t>，</w:t>
      </w:r>
      <w:r w:rsidRPr="00401789">
        <w:rPr>
          <w:rFonts w:eastAsia="標楷體"/>
          <w:bCs/>
          <w:snapToGrid w:val="0"/>
          <w:sz w:val="24"/>
          <w:szCs w:val="24"/>
        </w:rPr>
        <w:t>上</w:t>
      </w:r>
      <w:r w:rsidRPr="00401789">
        <w:rPr>
          <w:rFonts w:eastAsia="標楷體"/>
          <w:sz w:val="24"/>
          <w:szCs w:val="24"/>
        </w:rPr>
        <w:t>訴庭</w:t>
      </w:r>
      <w:r w:rsidR="00F91F37" w:rsidRPr="00401789">
        <w:rPr>
          <w:rFonts w:eastAsia="標楷體"/>
          <w:sz w:val="24"/>
          <w:szCs w:val="24"/>
        </w:rPr>
        <w:t>在第</w:t>
      </w:r>
      <w:r w:rsidR="00F91F37" w:rsidRPr="00401789">
        <w:rPr>
          <w:rFonts w:eastAsia="標楷體"/>
          <w:sz w:val="24"/>
          <w:szCs w:val="24"/>
        </w:rPr>
        <w:t>34</w:t>
      </w:r>
      <w:r w:rsidR="00D613AF" w:rsidRPr="00401789">
        <w:rPr>
          <w:rFonts w:eastAsia="標楷體"/>
          <w:sz w:val="24"/>
          <w:szCs w:val="24"/>
        </w:rPr>
        <w:t>段</w:t>
      </w:r>
      <w:r w:rsidR="00533D58" w:rsidRPr="00401789">
        <w:rPr>
          <w:rFonts w:eastAsia="標楷體"/>
          <w:sz w:val="24"/>
          <w:szCs w:val="24"/>
        </w:rPr>
        <w:t>亦</w:t>
      </w:r>
      <w:r w:rsidR="006918A1" w:rsidRPr="00401789">
        <w:rPr>
          <w:rFonts w:eastAsia="標楷體"/>
          <w:sz w:val="24"/>
          <w:szCs w:val="24"/>
        </w:rPr>
        <w:t>表</w:t>
      </w:r>
      <w:r w:rsidR="00533D58" w:rsidRPr="00401789">
        <w:rPr>
          <w:rFonts w:eastAsia="標楷體"/>
          <w:sz w:val="24"/>
          <w:szCs w:val="24"/>
        </w:rPr>
        <w:t>明了</w:t>
      </w:r>
      <w:r w:rsidR="00DA209C" w:rsidRPr="00401789">
        <w:rPr>
          <w:rFonts w:eastAsia="標楷體"/>
          <w:sz w:val="24"/>
          <w:szCs w:val="24"/>
        </w:rPr>
        <w:t>上訴人單</w:t>
      </w:r>
      <w:r w:rsidR="006918A1" w:rsidRPr="00401789">
        <w:rPr>
          <w:rFonts w:eastAsia="標楷體"/>
          <w:sz w:val="24"/>
          <w:szCs w:val="24"/>
        </w:rPr>
        <w:t>方面</w:t>
      </w:r>
      <w:r w:rsidR="00645D51" w:rsidRPr="00401789">
        <w:rPr>
          <w:rFonts w:eastAsia="標楷體"/>
          <w:sz w:val="24"/>
          <w:szCs w:val="24"/>
        </w:rPr>
        <w:t>誤解</w:t>
      </w:r>
      <w:r w:rsidR="00874089" w:rsidRPr="00401789">
        <w:rPr>
          <w:rFonts w:eastAsia="標楷體"/>
          <w:sz w:val="24"/>
          <w:szCs w:val="24"/>
        </w:rPr>
        <w:t>，</w:t>
      </w:r>
      <w:r w:rsidR="00447F19" w:rsidRPr="00401789">
        <w:rPr>
          <w:rFonts w:eastAsia="標楷體"/>
          <w:sz w:val="24"/>
          <w:szCs w:val="24"/>
        </w:rPr>
        <w:t>無知</w:t>
      </w:r>
      <w:r w:rsidR="002B020B" w:rsidRPr="00401789">
        <w:rPr>
          <w:rFonts w:eastAsia="標楷體"/>
          <w:sz w:val="24"/>
          <w:szCs w:val="24"/>
        </w:rPr>
        <w:t>及不合理地閱讀章程</w:t>
      </w:r>
      <w:r w:rsidR="006918A1" w:rsidRPr="00401789">
        <w:rPr>
          <w:rFonts w:eastAsia="標楷體"/>
          <w:sz w:val="24"/>
          <w:szCs w:val="24"/>
        </w:rPr>
        <w:t>並</w:t>
      </w:r>
      <w:r w:rsidR="00946930" w:rsidRPr="00401789">
        <w:rPr>
          <w:rFonts w:eastAsia="標楷體"/>
          <w:sz w:val="24"/>
          <w:szCs w:val="24"/>
        </w:rPr>
        <w:t>不</w:t>
      </w:r>
      <w:r w:rsidR="002123CB" w:rsidRPr="00401789">
        <w:rPr>
          <w:rFonts w:eastAsia="標楷體"/>
          <w:sz w:val="24"/>
          <w:szCs w:val="24"/>
        </w:rPr>
        <w:t>構成</w:t>
      </w:r>
      <w:r w:rsidR="00946930" w:rsidRPr="00401789">
        <w:rPr>
          <w:rFonts w:eastAsia="標楷體"/>
          <w:sz w:val="24"/>
          <w:szCs w:val="24"/>
        </w:rPr>
        <w:t>合理</w:t>
      </w:r>
      <w:r w:rsidR="0043048B" w:rsidRPr="00401789">
        <w:rPr>
          <w:rFonts w:eastAsia="標楷體"/>
          <w:bCs/>
          <w:snapToGrid w:val="0"/>
          <w:sz w:val="24"/>
          <w:szCs w:val="24"/>
        </w:rPr>
        <w:t>因由</w:t>
      </w:r>
      <w:r w:rsidR="00874089" w:rsidRPr="00401789">
        <w:rPr>
          <w:rFonts w:eastAsia="標楷體"/>
          <w:bCs/>
          <w:snapToGrid w:val="0"/>
          <w:sz w:val="24"/>
          <w:szCs w:val="24"/>
        </w:rPr>
        <w:t>。</w:t>
      </w:r>
    </w:p>
    <w:p w14:paraId="38E5E594" w14:textId="66A531EF" w:rsidR="009308EB" w:rsidRPr="00401789" w:rsidRDefault="009308EB" w:rsidP="00E751EB">
      <w:pPr>
        <w:jc w:val="both"/>
        <w:rPr>
          <w:rFonts w:eastAsia="標楷體"/>
          <w:bCs/>
          <w:snapToGrid w:val="0"/>
          <w:sz w:val="24"/>
          <w:szCs w:val="24"/>
        </w:rPr>
      </w:pPr>
    </w:p>
    <w:p w14:paraId="3D1C209D" w14:textId="73EC5133" w:rsidR="00311C0A" w:rsidRPr="00401789" w:rsidRDefault="007B5780" w:rsidP="00E751EB">
      <w:pPr>
        <w:pStyle w:val="aff"/>
        <w:numPr>
          <w:ilvl w:val="0"/>
          <w:numId w:val="21"/>
        </w:numPr>
        <w:ind w:left="0" w:firstLine="0"/>
        <w:jc w:val="both"/>
        <w:rPr>
          <w:rFonts w:eastAsia="標楷體"/>
          <w:sz w:val="24"/>
          <w:szCs w:val="24"/>
        </w:rPr>
      </w:pPr>
      <w:r w:rsidRPr="00401789">
        <w:rPr>
          <w:rFonts w:eastAsia="標楷體"/>
          <w:bCs/>
          <w:snapToGrid w:val="0"/>
          <w:sz w:val="24"/>
          <w:szCs w:val="24"/>
          <w:lang w:val="es-419"/>
        </w:rPr>
        <w:t>而</w:t>
      </w:r>
      <w:r w:rsidR="00290BDE" w:rsidRPr="00401789">
        <w:rPr>
          <w:rFonts w:eastAsia="標楷體"/>
          <w:bCs/>
          <w:snapToGrid w:val="0"/>
          <w:sz w:val="24"/>
          <w:szCs w:val="24"/>
        </w:rPr>
        <w:t>過往</w:t>
      </w:r>
      <w:r w:rsidR="001B418F" w:rsidRPr="00401789">
        <w:rPr>
          <w:rFonts w:eastAsia="標楷體"/>
          <w:bCs/>
          <w:snapToGrid w:val="0"/>
          <w:sz w:val="24"/>
          <w:szCs w:val="24"/>
        </w:rPr>
        <w:t>税務上訴委員</w:t>
      </w:r>
      <w:r w:rsidR="0009126A" w:rsidRPr="00401789">
        <w:rPr>
          <w:rFonts w:eastAsia="標楷體"/>
          <w:bCs/>
          <w:snapToGrid w:val="0"/>
          <w:sz w:val="24"/>
          <w:szCs w:val="24"/>
        </w:rPr>
        <w:t>在</w:t>
      </w:r>
      <w:r w:rsidR="00123956" w:rsidRPr="00401789">
        <w:rPr>
          <w:rFonts w:eastAsia="標楷體"/>
          <w:bCs/>
          <w:snapToGrid w:val="0"/>
          <w:sz w:val="24"/>
          <w:szCs w:val="24"/>
        </w:rPr>
        <w:t>處理上訴逾期</w:t>
      </w:r>
      <w:r w:rsidR="00931260" w:rsidRPr="00401789">
        <w:rPr>
          <w:rFonts w:eastAsia="標楷體"/>
          <w:bCs/>
          <w:snapToGrid w:val="0"/>
          <w:sz w:val="24"/>
          <w:szCs w:val="24"/>
        </w:rPr>
        <w:t>的</w:t>
      </w:r>
      <w:r w:rsidR="00BF7C04" w:rsidRPr="00401789">
        <w:rPr>
          <w:rFonts w:eastAsia="標楷體"/>
          <w:bCs/>
          <w:snapToGrid w:val="0"/>
          <w:sz w:val="24"/>
          <w:szCs w:val="24"/>
        </w:rPr>
        <w:t>案件時</w:t>
      </w:r>
      <w:r w:rsidR="00874089" w:rsidRPr="00401789">
        <w:rPr>
          <w:rFonts w:eastAsia="標楷體"/>
          <w:bCs/>
          <w:snapToGrid w:val="0"/>
          <w:sz w:val="24"/>
          <w:szCs w:val="24"/>
        </w:rPr>
        <w:t>，</w:t>
      </w:r>
      <w:r w:rsidR="00C82930" w:rsidRPr="00401789">
        <w:rPr>
          <w:rFonts w:eastAsia="標楷體"/>
          <w:bCs/>
          <w:snapToGrid w:val="0"/>
          <w:sz w:val="24"/>
          <w:szCs w:val="24"/>
        </w:rPr>
        <w:t>亦對上</w:t>
      </w:r>
      <w:r w:rsidR="003111DD" w:rsidRPr="00401789">
        <w:rPr>
          <w:rFonts w:eastAsia="標楷體"/>
          <w:bCs/>
          <w:snapToGrid w:val="0"/>
          <w:sz w:val="24"/>
          <w:szCs w:val="24"/>
        </w:rPr>
        <w:t>述條例</w:t>
      </w:r>
      <w:r w:rsidR="004A0914" w:rsidRPr="00401789">
        <w:rPr>
          <w:rFonts w:eastAsia="標楷體"/>
          <w:bCs/>
          <w:snapToGrid w:val="0"/>
          <w:sz w:val="24"/>
          <w:szCs w:val="24"/>
        </w:rPr>
        <w:t>有</w:t>
      </w:r>
      <w:r w:rsidR="007F28B1" w:rsidRPr="00401789">
        <w:rPr>
          <w:rFonts w:eastAsia="標楷體"/>
          <w:bCs/>
          <w:snapToGrid w:val="0"/>
          <w:sz w:val="24"/>
          <w:szCs w:val="24"/>
        </w:rPr>
        <w:t>加以</w:t>
      </w:r>
      <w:r w:rsidR="003111DD" w:rsidRPr="00401789">
        <w:rPr>
          <w:rFonts w:eastAsia="標楷體"/>
          <w:bCs/>
          <w:snapToGrid w:val="0"/>
          <w:sz w:val="24"/>
          <w:szCs w:val="24"/>
        </w:rPr>
        <w:t>說明</w:t>
      </w:r>
      <w:r w:rsidR="003111DD" w:rsidRPr="00401789">
        <w:rPr>
          <w:rFonts w:eastAsia="標楷體"/>
          <w:bCs/>
          <w:snapToGrid w:val="0"/>
          <w:sz w:val="24"/>
          <w:szCs w:val="24"/>
        </w:rPr>
        <w:t>:</w:t>
      </w:r>
    </w:p>
    <w:p w14:paraId="57BB5FE2" w14:textId="77777777" w:rsidR="00086FCA" w:rsidRPr="00401789" w:rsidRDefault="00086FCA" w:rsidP="008A57E3">
      <w:pPr>
        <w:tabs>
          <w:tab w:val="left" w:pos="1080"/>
        </w:tabs>
        <w:ind w:left="1"/>
        <w:jc w:val="both"/>
        <w:rPr>
          <w:rFonts w:eastAsia="標楷體"/>
          <w:bCs/>
          <w:snapToGrid w:val="0"/>
          <w:sz w:val="24"/>
          <w:szCs w:val="24"/>
        </w:rPr>
      </w:pPr>
    </w:p>
    <w:p w14:paraId="53D5A08F" w14:textId="5FDC7C95" w:rsidR="00D261A5" w:rsidRPr="00401789" w:rsidRDefault="007F28B1" w:rsidP="00E751EB">
      <w:pPr>
        <w:pStyle w:val="aff"/>
        <w:numPr>
          <w:ilvl w:val="0"/>
          <w:numId w:val="20"/>
        </w:numPr>
        <w:tabs>
          <w:tab w:val="left" w:pos="1756"/>
        </w:tabs>
        <w:ind w:leftChars="638" w:left="1756" w:hangingChars="200" w:hanging="480"/>
        <w:jc w:val="both"/>
        <w:rPr>
          <w:rFonts w:eastAsia="標楷體"/>
          <w:bCs/>
          <w:snapToGrid w:val="0"/>
          <w:sz w:val="24"/>
          <w:szCs w:val="24"/>
        </w:rPr>
      </w:pPr>
      <w:r w:rsidRPr="00401789">
        <w:rPr>
          <w:rFonts w:eastAsia="標楷體"/>
          <w:bCs/>
          <w:snapToGrid w:val="0"/>
          <w:sz w:val="24"/>
          <w:szCs w:val="24"/>
        </w:rPr>
        <w:t>在</w:t>
      </w:r>
      <w:r w:rsidR="00330B24" w:rsidRPr="00E751EB">
        <w:rPr>
          <w:rFonts w:eastAsia="標楷體"/>
          <w:sz w:val="24"/>
          <w:szCs w:val="24"/>
          <w:u w:val="single"/>
        </w:rPr>
        <w:t>D2/04</w:t>
      </w:r>
      <w:r w:rsidR="00330B24" w:rsidRPr="00401789">
        <w:rPr>
          <w:rFonts w:eastAsia="標楷體"/>
          <w:sz w:val="24"/>
          <w:szCs w:val="24"/>
        </w:rPr>
        <w:t>, IRBRD, vol 19, 76</w:t>
      </w:r>
      <w:r w:rsidR="00330B24" w:rsidRPr="00401789">
        <w:rPr>
          <w:rFonts w:eastAsia="標楷體"/>
          <w:sz w:val="24"/>
          <w:szCs w:val="24"/>
        </w:rPr>
        <w:t>及</w:t>
      </w:r>
      <w:r w:rsidR="00330B24" w:rsidRPr="00DA537A">
        <w:rPr>
          <w:rFonts w:eastAsia="標楷體"/>
          <w:sz w:val="24"/>
          <w:szCs w:val="24"/>
          <w:u w:val="single"/>
        </w:rPr>
        <w:t>D24/16</w:t>
      </w:r>
      <w:r w:rsidR="00330B24" w:rsidRPr="00401789">
        <w:rPr>
          <w:rFonts w:eastAsia="標楷體"/>
          <w:sz w:val="24"/>
          <w:szCs w:val="24"/>
        </w:rPr>
        <w:t>,</w:t>
      </w:r>
      <w:r w:rsidR="00DA537A">
        <w:rPr>
          <w:rFonts w:eastAsia="標楷體"/>
          <w:sz w:val="24"/>
          <w:szCs w:val="24"/>
        </w:rPr>
        <w:t xml:space="preserve"> (2017-18)</w:t>
      </w:r>
      <w:r w:rsidR="00330B24" w:rsidRPr="00401789">
        <w:rPr>
          <w:rFonts w:eastAsia="標楷體"/>
          <w:sz w:val="24"/>
          <w:szCs w:val="24"/>
        </w:rPr>
        <w:t xml:space="preserve"> IRBRD, vol 32, 319</w:t>
      </w:r>
      <w:r w:rsidR="00874089" w:rsidRPr="00401789">
        <w:rPr>
          <w:rFonts w:eastAsia="標楷體"/>
          <w:bCs/>
          <w:snapToGrid w:val="0"/>
          <w:sz w:val="24"/>
          <w:szCs w:val="24"/>
        </w:rPr>
        <w:t>，</w:t>
      </w:r>
      <w:r w:rsidR="00740DAD" w:rsidRPr="00401789">
        <w:rPr>
          <w:rFonts w:eastAsia="標楷體"/>
          <w:sz w:val="24"/>
          <w:szCs w:val="24"/>
        </w:rPr>
        <w:t>《稅例》</w:t>
      </w:r>
      <w:r w:rsidR="001B418F" w:rsidRPr="00401789">
        <w:rPr>
          <w:rFonts w:eastAsia="標楷體"/>
          <w:bCs/>
          <w:snapToGrid w:val="0"/>
          <w:sz w:val="24"/>
          <w:szCs w:val="24"/>
        </w:rPr>
        <w:t>第</w:t>
      </w:r>
      <w:r w:rsidR="001B418F" w:rsidRPr="00401789">
        <w:rPr>
          <w:rFonts w:eastAsia="標楷體"/>
          <w:bCs/>
          <w:snapToGrid w:val="0"/>
          <w:sz w:val="24"/>
          <w:szCs w:val="24"/>
        </w:rPr>
        <w:t>66(1)</w:t>
      </w:r>
      <w:r w:rsidR="001B418F" w:rsidRPr="00401789">
        <w:rPr>
          <w:rFonts w:eastAsia="標楷體"/>
          <w:bCs/>
          <w:snapToGrid w:val="0"/>
          <w:sz w:val="24"/>
          <w:szCs w:val="24"/>
        </w:rPr>
        <w:t>條中</w:t>
      </w:r>
      <w:r w:rsidR="003702C0" w:rsidRPr="00401789">
        <w:rPr>
          <w:rFonts w:eastAsia="標楷體"/>
          <w:bCs/>
          <w:snapToGrid w:val="0"/>
          <w:sz w:val="24"/>
          <w:szCs w:val="24"/>
        </w:rPr>
        <w:t>的</w:t>
      </w:r>
      <w:r w:rsidR="001B418F" w:rsidRPr="00401789">
        <w:rPr>
          <w:rFonts w:eastAsia="標楷體"/>
          <w:bCs/>
          <w:snapToGrid w:val="0"/>
          <w:sz w:val="24"/>
          <w:szCs w:val="24"/>
        </w:rPr>
        <w:t>「送交其本人後</w:t>
      </w:r>
      <w:r w:rsidR="001B418F" w:rsidRPr="00401789">
        <w:rPr>
          <w:rFonts w:eastAsia="標楷體"/>
          <w:bCs/>
          <w:snapToGrid w:val="0"/>
          <w:sz w:val="24"/>
          <w:szCs w:val="24"/>
        </w:rPr>
        <w:t>1</w:t>
      </w:r>
      <w:r w:rsidR="001B418F" w:rsidRPr="00401789">
        <w:rPr>
          <w:rFonts w:eastAsia="標楷體"/>
          <w:bCs/>
          <w:snapToGrid w:val="0"/>
          <w:sz w:val="24"/>
          <w:szCs w:val="24"/>
        </w:rPr>
        <w:t>個月內」</w:t>
      </w:r>
      <w:r w:rsidR="003702C0" w:rsidRPr="00401789">
        <w:rPr>
          <w:rFonts w:eastAsia="標楷體"/>
          <w:bCs/>
          <w:snapToGrid w:val="0"/>
          <w:sz w:val="24"/>
          <w:szCs w:val="24"/>
        </w:rPr>
        <w:t>被</w:t>
      </w:r>
      <w:r w:rsidR="00F532AC" w:rsidRPr="00401789">
        <w:rPr>
          <w:rFonts w:eastAsia="標楷體"/>
          <w:bCs/>
          <w:snapToGrid w:val="0"/>
          <w:sz w:val="24"/>
          <w:szCs w:val="24"/>
        </w:rPr>
        <w:t>裁定</w:t>
      </w:r>
      <w:r w:rsidR="001B418F" w:rsidRPr="00401789">
        <w:rPr>
          <w:rFonts w:eastAsia="標楷體"/>
          <w:bCs/>
          <w:snapToGrid w:val="0"/>
          <w:sz w:val="24"/>
          <w:szCs w:val="24"/>
        </w:rPr>
        <w:t>是指送交</w:t>
      </w:r>
      <w:r w:rsidR="001B418F" w:rsidRPr="00401789">
        <w:rPr>
          <w:rFonts w:eastAsia="標楷體"/>
          <w:bCs/>
          <w:snapToGrid w:val="0"/>
          <w:sz w:val="24"/>
          <w:szCs w:val="24"/>
        </w:rPr>
        <w:lastRenderedPageBreak/>
        <w:t>程序完成後起計的</w:t>
      </w:r>
      <w:r w:rsidR="001B418F" w:rsidRPr="00401789">
        <w:rPr>
          <w:rFonts w:eastAsia="標楷體"/>
          <w:bCs/>
          <w:snapToGrid w:val="0"/>
          <w:sz w:val="24"/>
          <w:szCs w:val="24"/>
        </w:rPr>
        <w:t>1</w:t>
      </w:r>
      <w:r w:rsidR="001B418F" w:rsidRPr="00401789">
        <w:rPr>
          <w:rFonts w:eastAsia="標楷體"/>
          <w:bCs/>
          <w:snapToGrid w:val="0"/>
          <w:sz w:val="24"/>
          <w:szCs w:val="24"/>
        </w:rPr>
        <w:t>個月</w:t>
      </w:r>
      <w:r w:rsidR="00874089" w:rsidRPr="00401789">
        <w:rPr>
          <w:rFonts w:eastAsia="標楷體"/>
          <w:bCs/>
          <w:snapToGrid w:val="0"/>
          <w:sz w:val="24"/>
          <w:szCs w:val="24"/>
        </w:rPr>
        <w:t>，</w:t>
      </w:r>
      <w:r w:rsidR="001B418F" w:rsidRPr="00401789">
        <w:rPr>
          <w:rFonts w:eastAsia="標楷體"/>
          <w:bCs/>
          <w:snapToGrid w:val="0"/>
          <w:sz w:val="24"/>
          <w:szCs w:val="24"/>
        </w:rPr>
        <w:t>而</w:t>
      </w:r>
      <w:r w:rsidR="00577FDB" w:rsidRPr="00401789">
        <w:rPr>
          <w:rFonts w:eastAsia="標楷體"/>
          <w:bCs/>
          <w:snapToGrid w:val="0"/>
          <w:sz w:val="24"/>
          <w:szCs w:val="24"/>
        </w:rPr>
        <w:t>完成</w:t>
      </w:r>
      <w:r w:rsidR="001B418F" w:rsidRPr="00401789">
        <w:rPr>
          <w:rFonts w:eastAsia="標楷體"/>
          <w:bCs/>
          <w:snapToGrid w:val="0"/>
          <w:sz w:val="24"/>
          <w:szCs w:val="24"/>
        </w:rPr>
        <w:t>送交程序是指</w:t>
      </w:r>
      <w:r w:rsidR="00577FDB" w:rsidRPr="00401789">
        <w:rPr>
          <w:rFonts w:eastAsia="標楷體"/>
          <w:bCs/>
          <w:snapToGrid w:val="0"/>
          <w:sz w:val="24"/>
          <w:szCs w:val="24"/>
        </w:rPr>
        <w:t>當</w:t>
      </w:r>
      <w:r w:rsidR="001B418F" w:rsidRPr="00401789">
        <w:rPr>
          <w:rFonts w:eastAsia="標楷體"/>
          <w:bCs/>
          <w:snapToGrid w:val="0"/>
          <w:sz w:val="24"/>
          <w:szCs w:val="24"/>
        </w:rPr>
        <w:t>決定書被送達收件人地址</w:t>
      </w:r>
      <w:r w:rsidR="00577FDB" w:rsidRPr="00401789">
        <w:rPr>
          <w:rFonts w:eastAsia="標楷體"/>
          <w:bCs/>
          <w:snapToGrid w:val="0"/>
          <w:sz w:val="24"/>
          <w:szCs w:val="24"/>
        </w:rPr>
        <w:t>時</w:t>
      </w:r>
      <w:r w:rsidR="001B418F" w:rsidRPr="00401789">
        <w:rPr>
          <w:rFonts w:eastAsia="標楷體"/>
          <w:bCs/>
          <w:snapToGrid w:val="0"/>
          <w:sz w:val="24"/>
          <w:szCs w:val="24"/>
        </w:rPr>
        <w:t>。</w:t>
      </w:r>
    </w:p>
    <w:p w14:paraId="38E13603" w14:textId="77777777" w:rsidR="00195EF5" w:rsidRPr="00401789" w:rsidRDefault="00195EF5" w:rsidP="00E751EB">
      <w:pPr>
        <w:pStyle w:val="aff"/>
        <w:tabs>
          <w:tab w:val="left" w:pos="1756"/>
        </w:tabs>
        <w:ind w:leftChars="638" w:left="1756" w:hangingChars="200" w:hanging="480"/>
        <w:jc w:val="both"/>
        <w:rPr>
          <w:rFonts w:eastAsia="標楷體"/>
          <w:bCs/>
          <w:snapToGrid w:val="0"/>
          <w:sz w:val="24"/>
          <w:szCs w:val="24"/>
        </w:rPr>
      </w:pPr>
    </w:p>
    <w:p w14:paraId="07588231" w14:textId="28A446C8" w:rsidR="00F532AC" w:rsidRPr="00401789" w:rsidRDefault="00737A91" w:rsidP="00E751EB">
      <w:pPr>
        <w:pStyle w:val="aff"/>
        <w:numPr>
          <w:ilvl w:val="0"/>
          <w:numId w:val="20"/>
        </w:numPr>
        <w:tabs>
          <w:tab w:val="left" w:pos="1756"/>
        </w:tabs>
        <w:ind w:leftChars="638" w:left="1756" w:hangingChars="200" w:hanging="480"/>
        <w:jc w:val="both"/>
        <w:rPr>
          <w:rFonts w:eastAsia="標楷體"/>
          <w:bCs/>
          <w:snapToGrid w:val="0"/>
          <w:sz w:val="24"/>
          <w:szCs w:val="24"/>
        </w:rPr>
      </w:pPr>
      <w:r w:rsidRPr="00E751EB">
        <w:rPr>
          <w:rFonts w:eastAsia="標楷體"/>
          <w:sz w:val="24"/>
          <w:szCs w:val="24"/>
          <w:u w:val="single"/>
        </w:rPr>
        <w:t>D41/05</w:t>
      </w:r>
      <w:r w:rsidRPr="00401789">
        <w:rPr>
          <w:rFonts w:eastAsia="標楷體"/>
          <w:sz w:val="24"/>
          <w:szCs w:val="24"/>
        </w:rPr>
        <w:t xml:space="preserve">, </w:t>
      </w:r>
      <w:r w:rsidR="00DA537A">
        <w:rPr>
          <w:rFonts w:eastAsia="標楷體"/>
          <w:sz w:val="24"/>
          <w:szCs w:val="24"/>
        </w:rPr>
        <w:t xml:space="preserve">(2005-06) </w:t>
      </w:r>
      <w:r w:rsidRPr="00401789">
        <w:rPr>
          <w:rFonts w:eastAsia="標楷體"/>
          <w:sz w:val="24"/>
          <w:szCs w:val="24"/>
        </w:rPr>
        <w:t>IRBRD, vol 20, 590</w:t>
      </w:r>
      <w:r w:rsidR="00DA537A">
        <w:rPr>
          <w:rFonts w:eastAsia="標楷體"/>
          <w:sz w:val="24"/>
          <w:szCs w:val="24"/>
        </w:rPr>
        <w:t xml:space="preserve"> </w:t>
      </w:r>
      <w:r w:rsidRPr="00401789">
        <w:rPr>
          <w:rFonts w:eastAsia="標楷體"/>
          <w:sz w:val="24"/>
          <w:szCs w:val="24"/>
        </w:rPr>
        <w:t>(</w:t>
      </w:r>
      <w:r w:rsidRPr="00401789">
        <w:rPr>
          <w:rFonts w:eastAsia="標楷體"/>
          <w:sz w:val="24"/>
          <w:szCs w:val="24"/>
        </w:rPr>
        <w:t>第</w:t>
      </w:r>
      <w:r w:rsidRPr="00401789">
        <w:rPr>
          <w:rFonts w:eastAsia="標楷體"/>
          <w:sz w:val="24"/>
          <w:szCs w:val="24"/>
        </w:rPr>
        <w:t>11</w:t>
      </w:r>
      <w:r w:rsidRPr="00401789">
        <w:rPr>
          <w:rFonts w:eastAsia="標楷體"/>
          <w:sz w:val="24"/>
          <w:szCs w:val="24"/>
        </w:rPr>
        <w:t>段</w:t>
      </w:r>
      <w:r w:rsidRPr="00401789">
        <w:rPr>
          <w:rFonts w:eastAsia="標楷體"/>
          <w:sz w:val="24"/>
          <w:szCs w:val="24"/>
        </w:rPr>
        <w:t>)</w:t>
      </w:r>
      <w:r w:rsidR="00DA537A">
        <w:rPr>
          <w:rFonts w:eastAsia="標楷體" w:hint="eastAsia"/>
          <w:sz w:val="24"/>
          <w:szCs w:val="24"/>
        </w:rPr>
        <w:t>：</w:t>
      </w:r>
      <w:r w:rsidR="00B72F27" w:rsidRPr="00401789">
        <w:rPr>
          <w:rFonts w:eastAsia="標楷體"/>
          <w:bCs/>
          <w:snapToGrid w:val="0"/>
          <w:sz w:val="24"/>
          <w:szCs w:val="24"/>
        </w:rPr>
        <w:t>裁定</w:t>
      </w:r>
      <w:r w:rsidR="00D3343B" w:rsidRPr="00401789">
        <w:rPr>
          <w:rFonts w:eastAsia="標楷體"/>
          <w:sz w:val="24"/>
          <w:szCs w:val="24"/>
        </w:rPr>
        <w:t>上訴通知是指</w:t>
      </w:r>
      <w:r w:rsidR="00B72F27" w:rsidRPr="00401789">
        <w:rPr>
          <w:rFonts w:eastAsia="標楷體"/>
          <w:sz w:val="24"/>
          <w:szCs w:val="24"/>
        </w:rPr>
        <w:t>上訴人要</w:t>
      </w:r>
      <w:r w:rsidR="00D3343B" w:rsidRPr="00401789">
        <w:rPr>
          <w:rFonts w:eastAsia="標楷體"/>
          <w:sz w:val="24"/>
          <w:szCs w:val="24"/>
        </w:rPr>
        <w:t>實際</w:t>
      </w:r>
      <w:r w:rsidR="00B40F2B" w:rsidRPr="00401789">
        <w:rPr>
          <w:rFonts w:eastAsia="標楷體"/>
          <w:sz w:val="24"/>
          <w:szCs w:val="24"/>
        </w:rPr>
        <w:t>把上訴通知及其相關文件</w:t>
      </w:r>
      <w:r w:rsidR="00D3343B" w:rsidRPr="00401789">
        <w:rPr>
          <w:rFonts w:eastAsia="標楷體"/>
          <w:sz w:val="24"/>
          <w:szCs w:val="24"/>
        </w:rPr>
        <w:t>送達委員會書記</w:t>
      </w:r>
      <w:r w:rsidR="009A5EB8" w:rsidRPr="00401789">
        <w:rPr>
          <w:rFonts w:eastAsia="標楷體"/>
          <w:bCs/>
          <w:snapToGrid w:val="0"/>
          <w:sz w:val="24"/>
          <w:szCs w:val="24"/>
        </w:rPr>
        <w:t>。</w:t>
      </w:r>
      <w:r w:rsidR="001A42BD" w:rsidRPr="00401789">
        <w:rPr>
          <w:rFonts w:eastAsia="標楷體"/>
          <w:bCs/>
          <w:snapToGrid w:val="0"/>
          <w:sz w:val="24"/>
          <w:szCs w:val="24"/>
        </w:rPr>
        <w:t>口頭通知和</w:t>
      </w:r>
      <w:r w:rsidR="00474F7F" w:rsidRPr="00401789">
        <w:rPr>
          <w:rFonts w:eastAsia="標楷體"/>
          <w:bCs/>
          <w:snapToGrid w:val="0"/>
          <w:sz w:val="24"/>
          <w:szCs w:val="24"/>
        </w:rPr>
        <w:t>尚未收到的通知</w:t>
      </w:r>
      <w:r w:rsidR="007701E5" w:rsidRPr="00401789">
        <w:rPr>
          <w:rFonts w:eastAsia="標楷體"/>
          <w:bCs/>
          <w:snapToGrid w:val="0"/>
          <w:sz w:val="24"/>
          <w:szCs w:val="24"/>
        </w:rPr>
        <w:t>兩者都不成立</w:t>
      </w:r>
      <w:r w:rsidR="00195EF5" w:rsidRPr="00401789">
        <w:rPr>
          <w:rFonts w:eastAsia="標楷體"/>
          <w:bCs/>
          <w:snapToGrid w:val="0"/>
          <w:sz w:val="24"/>
          <w:szCs w:val="24"/>
        </w:rPr>
        <w:t>。</w:t>
      </w:r>
    </w:p>
    <w:p w14:paraId="3685972D" w14:textId="77777777" w:rsidR="00195EF5" w:rsidRPr="00401789" w:rsidRDefault="00195EF5" w:rsidP="00E751EB">
      <w:pPr>
        <w:pStyle w:val="aff"/>
        <w:tabs>
          <w:tab w:val="left" w:pos="1756"/>
        </w:tabs>
        <w:ind w:leftChars="638" w:left="1756" w:hangingChars="200" w:hanging="480"/>
        <w:rPr>
          <w:rFonts w:eastAsia="標楷體"/>
          <w:bCs/>
          <w:snapToGrid w:val="0"/>
          <w:sz w:val="24"/>
          <w:szCs w:val="24"/>
        </w:rPr>
      </w:pPr>
    </w:p>
    <w:p w14:paraId="518AE3EF" w14:textId="1EEC7B63" w:rsidR="007701E5" w:rsidRPr="00401789" w:rsidRDefault="00BB1638" w:rsidP="00E751EB">
      <w:pPr>
        <w:pStyle w:val="aff"/>
        <w:numPr>
          <w:ilvl w:val="0"/>
          <w:numId w:val="20"/>
        </w:numPr>
        <w:tabs>
          <w:tab w:val="left" w:pos="1756"/>
        </w:tabs>
        <w:ind w:leftChars="638" w:left="1756" w:hangingChars="200" w:hanging="480"/>
        <w:jc w:val="both"/>
        <w:rPr>
          <w:rFonts w:eastAsia="標楷體"/>
          <w:bCs/>
          <w:snapToGrid w:val="0"/>
          <w:sz w:val="24"/>
          <w:szCs w:val="24"/>
        </w:rPr>
      </w:pPr>
      <w:r w:rsidRPr="00E751EB">
        <w:rPr>
          <w:rFonts w:eastAsia="標楷體"/>
          <w:sz w:val="24"/>
          <w:szCs w:val="24"/>
          <w:u w:val="single"/>
        </w:rPr>
        <w:t>D139/00</w:t>
      </w:r>
      <w:r w:rsidRPr="00401789">
        <w:rPr>
          <w:rFonts w:eastAsia="標楷體"/>
          <w:sz w:val="24"/>
          <w:szCs w:val="24"/>
        </w:rPr>
        <w:t>, IRBRD, vol 16, 34</w:t>
      </w:r>
      <w:r w:rsidR="00F62BBE" w:rsidRPr="00401789">
        <w:rPr>
          <w:rFonts w:eastAsia="標楷體"/>
          <w:sz w:val="24"/>
          <w:szCs w:val="24"/>
        </w:rPr>
        <w:t>中</w:t>
      </w:r>
      <w:r w:rsidR="00F62BBE" w:rsidRPr="00401789">
        <w:rPr>
          <w:rFonts w:eastAsia="標楷體"/>
          <w:bCs/>
          <w:snapToGrid w:val="0"/>
          <w:sz w:val="24"/>
          <w:szCs w:val="24"/>
        </w:rPr>
        <w:t>裁定</w:t>
      </w:r>
      <w:r w:rsidR="00F62BBE" w:rsidRPr="00401789">
        <w:rPr>
          <w:rFonts w:eastAsia="標楷體"/>
          <w:sz w:val="24"/>
          <w:szCs w:val="24"/>
        </w:rPr>
        <w:t>單純錯誤地把上訴文</w:t>
      </w:r>
      <w:r w:rsidR="00F62BBE" w:rsidRPr="00401789">
        <w:rPr>
          <w:rFonts w:eastAsia="標楷體"/>
          <w:sz w:val="24"/>
          <w:szCs w:val="24"/>
          <w:lang w:val="es-419"/>
        </w:rPr>
        <w:t>件送到</w:t>
      </w:r>
      <w:r w:rsidR="00F62BBE" w:rsidRPr="00401789">
        <w:rPr>
          <w:rFonts w:eastAsia="標楷體"/>
          <w:sz w:val="24"/>
          <w:szCs w:val="24"/>
        </w:rPr>
        <w:t>稅務局而非委員會書記不能成為「合理因由」</w:t>
      </w:r>
      <w:r w:rsidR="00D15BA4" w:rsidRPr="00401789">
        <w:rPr>
          <w:rFonts w:eastAsia="標楷體"/>
          <w:bCs/>
          <w:snapToGrid w:val="0"/>
          <w:sz w:val="24"/>
          <w:szCs w:val="24"/>
        </w:rPr>
        <w:t>。</w:t>
      </w:r>
    </w:p>
    <w:p w14:paraId="41264509" w14:textId="3FFEAFE8" w:rsidR="00F62BBE" w:rsidRPr="00401789" w:rsidRDefault="00F62BBE" w:rsidP="008A57E3">
      <w:pPr>
        <w:tabs>
          <w:tab w:val="left" w:pos="1080"/>
        </w:tabs>
        <w:ind w:left="1"/>
        <w:jc w:val="both"/>
        <w:rPr>
          <w:rFonts w:eastAsia="標楷體"/>
          <w:bCs/>
          <w:snapToGrid w:val="0"/>
          <w:sz w:val="24"/>
          <w:szCs w:val="24"/>
        </w:rPr>
      </w:pPr>
    </w:p>
    <w:p w14:paraId="1E5A4FE9" w14:textId="0C6463E5" w:rsidR="00681B60" w:rsidRPr="00401789" w:rsidRDefault="00681B60" w:rsidP="00E751EB">
      <w:pPr>
        <w:pStyle w:val="aff"/>
        <w:numPr>
          <w:ilvl w:val="0"/>
          <w:numId w:val="21"/>
        </w:numPr>
        <w:ind w:left="0" w:firstLine="0"/>
        <w:jc w:val="both"/>
        <w:rPr>
          <w:rFonts w:eastAsia="標楷體"/>
          <w:sz w:val="24"/>
          <w:szCs w:val="24"/>
        </w:rPr>
      </w:pPr>
      <w:r w:rsidRPr="00401789">
        <w:rPr>
          <w:rFonts w:eastAsia="標楷體"/>
          <w:sz w:val="24"/>
          <w:szCs w:val="24"/>
          <w:lang w:val="es-419"/>
        </w:rPr>
        <w:t>把上述原則應用於這案件</w:t>
      </w:r>
      <w:r w:rsidR="00874089" w:rsidRPr="00401789">
        <w:rPr>
          <w:rFonts w:eastAsia="標楷體"/>
          <w:sz w:val="24"/>
          <w:szCs w:val="24"/>
          <w:lang w:val="es-419"/>
        </w:rPr>
        <w:t>，</w:t>
      </w:r>
      <w:r w:rsidRPr="00401789">
        <w:rPr>
          <w:rFonts w:eastAsia="標楷體"/>
          <w:sz w:val="24"/>
          <w:szCs w:val="24"/>
        </w:rPr>
        <w:t>送交程序</w:t>
      </w:r>
      <w:r w:rsidR="00B82CC6" w:rsidRPr="00401789">
        <w:rPr>
          <w:rFonts w:eastAsia="標楷體"/>
          <w:sz w:val="24"/>
          <w:szCs w:val="24"/>
        </w:rPr>
        <w:t>於</w:t>
      </w:r>
      <w:r w:rsidRPr="00401789">
        <w:rPr>
          <w:rFonts w:eastAsia="標楷體"/>
          <w:sz w:val="24"/>
          <w:szCs w:val="24"/>
        </w:rPr>
        <w:t>上訴人</w:t>
      </w:r>
      <w:r w:rsidR="006A78F6" w:rsidRPr="00401789">
        <w:rPr>
          <w:rFonts w:eastAsia="標楷體"/>
          <w:bCs/>
          <w:snapToGrid w:val="0"/>
          <w:sz w:val="24"/>
          <w:szCs w:val="24"/>
          <w:lang w:val="en-US"/>
        </w:rPr>
        <w:t>在</w:t>
      </w:r>
      <w:r w:rsidR="00B82CC6" w:rsidRPr="00401789">
        <w:rPr>
          <w:rFonts w:eastAsia="標楷體"/>
          <w:sz w:val="24"/>
          <w:szCs w:val="24"/>
        </w:rPr>
        <w:t>2020</w:t>
      </w:r>
      <w:r w:rsidR="00B82CC6" w:rsidRPr="00401789">
        <w:rPr>
          <w:rFonts w:eastAsia="標楷體"/>
          <w:sz w:val="24"/>
          <w:szCs w:val="24"/>
        </w:rPr>
        <w:t>年</w:t>
      </w:r>
      <w:r w:rsidR="00B82CC6" w:rsidRPr="00401789">
        <w:rPr>
          <w:rFonts w:eastAsia="標楷體"/>
          <w:sz w:val="24"/>
          <w:szCs w:val="24"/>
        </w:rPr>
        <w:t>4</w:t>
      </w:r>
      <w:r w:rsidR="00B82CC6" w:rsidRPr="00401789">
        <w:rPr>
          <w:rFonts w:eastAsia="標楷體"/>
          <w:sz w:val="24"/>
          <w:szCs w:val="24"/>
        </w:rPr>
        <w:t>月</w:t>
      </w:r>
      <w:r w:rsidR="00B82CC6" w:rsidRPr="00401789">
        <w:rPr>
          <w:rFonts w:eastAsia="標楷體"/>
          <w:sz w:val="24"/>
          <w:szCs w:val="24"/>
        </w:rPr>
        <w:t>9</w:t>
      </w:r>
      <w:r w:rsidR="00B82CC6" w:rsidRPr="00401789">
        <w:rPr>
          <w:rFonts w:eastAsia="標楷體"/>
          <w:sz w:val="24"/>
          <w:szCs w:val="24"/>
        </w:rPr>
        <w:t>日</w:t>
      </w:r>
      <w:r w:rsidRPr="00401789">
        <w:rPr>
          <w:rFonts w:eastAsia="標楷體"/>
          <w:sz w:val="24"/>
          <w:szCs w:val="24"/>
        </w:rPr>
        <w:t>簽收決定書和有關文件時完成</w:t>
      </w:r>
      <w:r w:rsidR="00874089" w:rsidRPr="00401789">
        <w:rPr>
          <w:rFonts w:eastAsia="標楷體"/>
          <w:sz w:val="24"/>
          <w:szCs w:val="24"/>
        </w:rPr>
        <w:t>。</w:t>
      </w:r>
      <w:r w:rsidRPr="00401789">
        <w:rPr>
          <w:rFonts w:eastAsia="標楷體"/>
          <w:sz w:val="24"/>
          <w:szCs w:val="24"/>
        </w:rPr>
        <w:t>上訴人有至</w:t>
      </w:r>
      <w:r w:rsidRPr="00401789">
        <w:rPr>
          <w:rFonts w:eastAsia="標楷體"/>
          <w:sz w:val="24"/>
          <w:szCs w:val="24"/>
        </w:rPr>
        <w:t>2020</w:t>
      </w:r>
      <w:r w:rsidRPr="00401789">
        <w:rPr>
          <w:rFonts w:eastAsia="標楷體"/>
          <w:sz w:val="24"/>
          <w:szCs w:val="24"/>
        </w:rPr>
        <w:t>年</w:t>
      </w:r>
      <w:r w:rsidRPr="00401789">
        <w:rPr>
          <w:rFonts w:eastAsia="標楷體"/>
          <w:sz w:val="24"/>
          <w:szCs w:val="24"/>
        </w:rPr>
        <w:t>5</w:t>
      </w:r>
      <w:r w:rsidRPr="00401789">
        <w:rPr>
          <w:rFonts w:eastAsia="標楷體"/>
          <w:sz w:val="24"/>
          <w:szCs w:val="24"/>
        </w:rPr>
        <w:t>月</w:t>
      </w:r>
      <w:r w:rsidRPr="00401789">
        <w:rPr>
          <w:rFonts w:eastAsia="標楷體"/>
          <w:sz w:val="24"/>
          <w:szCs w:val="24"/>
        </w:rPr>
        <w:t>9</w:t>
      </w:r>
      <w:r w:rsidRPr="00401789">
        <w:rPr>
          <w:rFonts w:eastAsia="標楷體"/>
          <w:sz w:val="24"/>
          <w:szCs w:val="24"/>
        </w:rPr>
        <w:t>日的時期去把上訴通知</w:t>
      </w:r>
      <w:r w:rsidR="00874089" w:rsidRPr="00401789">
        <w:rPr>
          <w:rFonts w:eastAsia="標楷體"/>
          <w:sz w:val="24"/>
          <w:szCs w:val="24"/>
        </w:rPr>
        <w:t>，</w:t>
      </w:r>
      <w:r w:rsidRPr="00401789">
        <w:rPr>
          <w:rFonts w:eastAsia="標楷體"/>
          <w:sz w:val="24"/>
          <w:szCs w:val="24"/>
        </w:rPr>
        <w:t>決定書及上訴理由陳述書</w:t>
      </w:r>
      <w:r w:rsidRPr="00401789">
        <w:rPr>
          <w:rFonts w:eastAsia="標楷體"/>
          <w:sz w:val="24"/>
          <w:szCs w:val="24"/>
          <w:lang w:val="es-419"/>
        </w:rPr>
        <w:t>正確地</w:t>
      </w:r>
      <w:r w:rsidRPr="00401789">
        <w:rPr>
          <w:rFonts w:eastAsia="標楷體"/>
          <w:sz w:val="24"/>
          <w:szCs w:val="24"/>
        </w:rPr>
        <w:t>送達委員會書記</w:t>
      </w:r>
      <w:r w:rsidR="00874089" w:rsidRPr="00401789">
        <w:rPr>
          <w:rFonts w:eastAsia="標楷體"/>
          <w:sz w:val="24"/>
          <w:szCs w:val="24"/>
        </w:rPr>
        <w:t>。</w:t>
      </w:r>
      <w:r w:rsidR="001E1032" w:rsidRPr="00401789">
        <w:rPr>
          <w:rFonts w:eastAsia="標楷體"/>
          <w:sz w:val="24"/>
          <w:szCs w:val="24"/>
        </w:rPr>
        <w:t>但</w:t>
      </w:r>
      <w:r w:rsidRPr="00401789">
        <w:rPr>
          <w:rFonts w:eastAsia="標楷體"/>
          <w:sz w:val="24"/>
          <w:szCs w:val="24"/>
        </w:rPr>
        <w:t>因上訴人並沒有在</w:t>
      </w:r>
      <w:r w:rsidRPr="00401789">
        <w:rPr>
          <w:rFonts w:eastAsia="標楷體"/>
          <w:sz w:val="24"/>
          <w:szCs w:val="24"/>
        </w:rPr>
        <w:t>2020</w:t>
      </w:r>
      <w:r w:rsidRPr="00401789">
        <w:rPr>
          <w:rFonts w:eastAsia="標楷體"/>
          <w:sz w:val="24"/>
          <w:szCs w:val="24"/>
        </w:rPr>
        <w:t>年</w:t>
      </w:r>
      <w:r w:rsidRPr="00401789">
        <w:rPr>
          <w:rFonts w:eastAsia="標楷體"/>
          <w:sz w:val="24"/>
          <w:szCs w:val="24"/>
        </w:rPr>
        <w:t>5</w:t>
      </w:r>
      <w:r w:rsidRPr="00401789">
        <w:rPr>
          <w:rFonts w:eastAsia="標楷體"/>
          <w:sz w:val="24"/>
          <w:szCs w:val="24"/>
        </w:rPr>
        <w:t>月</w:t>
      </w:r>
      <w:r w:rsidRPr="00401789">
        <w:rPr>
          <w:rFonts w:eastAsia="標楷體"/>
          <w:sz w:val="24"/>
          <w:szCs w:val="24"/>
        </w:rPr>
        <w:t>9</w:t>
      </w:r>
      <w:r w:rsidRPr="00401789">
        <w:rPr>
          <w:rFonts w:eastAsia="標楷體"/>
          <w:sz w:val="24"/>
          <w:szCs w:val="24"/>
        </w:rPr>
        <w:t>日完成上述上訴程序</w:t>
      </w:r>
      <w:r w:rsidR="00874089" w:rsidRPr="00401789">
        <w:rPr>
          <w:rFonts w:eastAsia="標楷體"/>
          <w:sz w:val="24"/>
          <w:szCs w:val="24"/>
        </w:rPr>
        <w:t>，</w:t>
      </w:r>
      <w:r w:rsidR="00D15BA4" w:rsidRPr="00401789">
        <w:rPr>
          <w:rFonts w:eastAsia="標楷體"/>
          <w:sz w:val="24"/>
          <w:szCs w:val="24"/>
          <w:lang w:val="es-419"/>
        </w:rPr>
        <w:t>所以</w:t>
      </w:r>
      <w:r w:rsidRPr="00401789">
        <w:rPr>
          <w:rFonts w:eastAsia="標楷體"/>
          <w:sz w:val="24"/>
          <w:szCs w:val="24"/>
        </w:rPr>
        <w:t>上訴是逾期</w:t>
      </w:r>
      <w:r w:rsidR="00D15BA4" w:rsidRPr="00401789">
        <w:rPr>
          <w:rFonts w:eastAsia="標楷體"/>
          <w:sz w:val="24"/>
          <w:szCs w:val="24"/>
        </w:rPr>
        <w:t>。</w:t>
      </w:r>
    </w:p>
    <w:p w14:paraId="0D00A31B" w14:textId="77777777" w:rsidR="00681B60" w:rsidRPr="00401789" w:rsidRDefault="00681B60" w:rsidP="00E751EB">
      <w:pPr>
        <w:jc w:val="both"/>
        <w:rPr>
          <w:rFonts w:eastAsia="標楷體"/>
          <w:bCs/>
          <w:snapToGrid w:val="0"/>
          <w:sz w:val="24"/>
          <w:szCs w:val="24"/>
        </w:rPr>
      </w:pPr>
    </w:p>
    <w:p w14:paraId="33900CA1" w14:textId="3EE64678" w:rsidR="00D91ABB" w:rsidRPr="00401789" w:rsidRDefault="00F62BBE" w:rsidP="00E751EB">
      <w:pPr>
        <w:pStyle w:val="aff"/>
        <w:numPr>
          <w:ilvl w:val="0"/>
          <w:numId w:val="21"/>
        </w:numPr>
        <w:ind w:left="0" w:firstLine="0"/>
        <w:jc w:val="both"/>
        <w:rPr>
          <w:rFonts w:eastAsia="標楷體"/>
          <w:bCs/>
          <w:snapToGrid w:val="0"/>
          <w:sz w:val="24"/>
          <w:szCs w:val="24"/>
        </w:rPr>
      </w:pPr>
      <w:r w:rsidRPr="00401789">
        <w:rPr>
          <w:rFonts w:eastAsia="標楷體"/>
          <w:bCs/>
          <w:snapToGrid w:val="0"/>
          <w:sz w:val="24"/>
          <w:szCs w:val="24"/>
          <w:lang w:val="en-US"/>
        </w:rPr>
        <w:t>上訴人</w:t>
      </w:r>
      <w:r w:rsidR="00690449" w:rsidRPr="00401789">
        <w:rPr>
          <w:rFonts w:eastAsia="標楷體"/>
          <w:bCs/>
          <w:snapToGrid w:val="0"/>
          <w:sz w:val="24"/>
          <w:szCs w:val="24"/>
          <w:lang w:val="en-US"/>
        </w:rPr>
        <w:t>在上訴通知書和</w:t>
      </w:r>
      <w:r w:rsidR="00226296" w:rsidRPr="00401789">
        <w:rPr>
          <w:rFonts w:eastAsia="標楷體"/>
          <w:bCs/>
          <w:snapToGrid w:val="0"/>
          <w:sz w:val="24"/>
          <w:szCs w:val="24"/>
          <w:lang w:val="en-US"/>
        </w:rPr>
        <w:t>聆訊中</w:t>
      </w:r>
      <w:r w:rsidR="00A65125" w:rsidRPr="00401789">
        <w:rPr>
          <w:rFonts w:eastAsia="標楷體"/>
          <w:bCs/>
          <w:snapToGrid w:val="0"/>
          <w:sz w:val="24"/>
          <w:szCs w:val="24"/>
          <w:lang w:val="en-US"/>
        </w:rPr>
        <w:t>解釋</w:t>
      </w:r>
      <w:r w:rsidR="000D0633" w:rsidRPr="00401789">
        <w:rPr>
          <w:rFonts w:eastAsia="標楷體"/>
          <w:bCs/>
          <w:snapToGrid w:val="0"/>
          <w:sz w:val="24"/>
          <w:szCs w:val="24"/>
          <w:lang w:val="en-US"/>
        </w:rPr>
        <w:t>因為對上訴程序不了解</w:t>
      </w:r>
      <w:r w:rsidR="00874089" w:rsidRPr="00401789">
        <w:rPr>
          <w:rFonts w:eastAsia="標楷體"/>
          <w:bCs/>
          <w:snapToGrid w:val="0"/>
          <w:sz w:val="24"/>
          <w:szCs w:val="24"/>
          <w:lang w:val="en-US"/>
        </w:rPr>
        <w:t>，</w:t>
      </w:r>
      <w:r w:rsidR="00C834DF" w:rsidRPr="00401789">
        <w:rPr>
          <w:rFonts w:eastAsia="標楷體"/>
          <w:bCs/>
          <w:snapToGrid w:val="0"/>
          <w:sz w:val="24"/>
          <w:szCs w:val="24"/>
          <w:lang w:val="en-US"/>
        </w:rPr>
        <w:t>所以</w:t>
      </w:r>
      <w:r w:rsidR="00437FC6" w:rsidRPr="00401789">
        <w:rPr>
          <w:rFonts w:eastAsia="標楷體"/>
          <w:bCs/>
          <w:snapToGrid w:val="0"/>
          <w:sz w:val="24"/>
          <w:szCs w:val="24"/>
          <w:lang w:val="en-US"/>
        </w:rPr>
        <w:t>在</w:t>
      </w:r>
      <w:r w:rsidR="006114AD" w:rsidRPr="00401789">
        <w:rPr>
          <w:rFonts w:eastAsia="標楷體"/>
          <w:bCs/>
          <w:snapToGrid w:val="0"/>
          <w:sz w:val="24"/>
          <w:szCs w:val="24"/>
          <w:lang w:val="en-US"/>
        </w:rPr>
        <w:t>4</w:t>
      </w:r>
      <w:r w:rsidR="006114AD" w:rsidRPr="00401789">
        <w:rPr>
          <w:rFonts w:eastAsia="標楷體"/>
          <w:bCs/>
          <w:snapToGrid w:val="0"/>
          <w:sz w:val="24"/>
          <w:szCs w:val="24"/>
          <w:lang w:val="en-US"/>
        </w:rPr>
        <w:t>月</w:t>
      </w:r>
      <w:r w:rsidR="006114AD" w:rsidRPr="00401789">
        <w:rPr>
          <w:rFonts w:eastAsia="標楷體"/>
          <w:bCs/>
          <w:snapToGrid w:val="0"/>
          <w:sz w:val="24"/>
          <w:szCs w:val="24"/>
          <w:lang w:val="en-US"/>
        </w:rPr>
        <w:t>9</w:t>
      </w:r>
      <w:r w:rsidR="006114AD" w:rsidRPr="00401789">
        <w:rPr>
          <w:rFonts w:eastAsia="標楷體"/>
          <w:bCs/>
          <w:snapToGrid w:val="0"/>
          <w:sz w:val="24"/>
          <w:szCs w:val="24"/>
          <w:lang w:val="en-US"/>
        </w:rPr>
        <w:t>日收到決定書後</w:t>
      </w:r>
      <w:r w:rsidR="00874089" w:rsidRPr="00401789">
        <w:rPr>
          <w:rFonts w:eastAsia="標楷體"/>
          <w:bCs/>
          <w:snapToGrid w:val="0"/>
          <w:sz w:val="24"/>
          <w:szCs w:val="24"/>
          <w:lang w:val="en-US"/>
        </w:rPr>
        <w:t>，</w:t>
      </w:r>
      <w:r w:rsidR="00C834DF" w:rsidRPr="00401789">
        <w:rPr>
          <w:rFonts w:eastAsia="標楷體"/>
          <w:bCs/>
          <w:snapToGrid w:val="0"/>
          <w:sz w:val="24"/>
          <w:szCs w:val="24"/>
          <w:lang w:val="en-US"/>
        </w:rPr>
        <w:t>他</w:t>
      </w:r>
      <w:r w:rsidR="00435CCC" w:rsidRPr="00401789">
        <w:rPr>
          <w:rFonts w:eastAsia="標楷體"/>
          <w:bCs/>
          <w:snapToGrid w:val="0"/>
          <w:sz w:val="24"/>
          <w:szCs w:val="24"/>
          <w:lang w:val="en-US"/>
        </w:rPr>
        <w:t>錯誤</w:t>
      </w:r>
      <w:r w:rsidR="00274D73" w:rsidRPr="00401789">
        <w:rPr>
          <w:rFonts w:eastAsia="標楷體"/>
          <w:bCs/>
          <w:snapToGrid w:val="0"/>
          <w:sz w:val="24"/>
          <w:szCs w:val="24"/>
          <w:lang w:val="en-US"/>
        </w:rPr>
        <w:t>地把</w:t>
      </w:r>
      <w:r w:rsidR="00895F52" w:rsidRPr="00401789">
        <w:rPr>
          <w:rFonts w:eastAsia="標楷體"/>
          <w:bCs/>
          <w:snapToGrid w:val="0"/>
          <w:sz w:val="24"/>
          <w:szCs w:val="24"/>
          <w:lang w:val="en-US"/>
        </w:rPr>
        <w:t>日期為</w:t>
      </w:r>
      <w:r w:rsidR="00895F52" w:rsidRPr="00401789">
        <w:rPr>
          <w:rFonts w:eastAsia="標楷體"/>
          <w:bCs/>
          <w:snapToGrid w:val="0"/>
          <w:sz w:val="24"/>
          <w:szCs w:val="24"/>
          <w:lang w:val="en-US"/>
        </w:rPr>
        <w:t>4</w:t>
      </w:r>
      <w:r w:rsidR="00895F52" w:rsidRPr="00401789">
        <w:rPr>
          <w:rFonts w:eastAsia="標楷體"/>
          <w:bCs/>
          <w:snapToGrid w:val="0"/>
          <w:sz w:val="24"/>
          <w:szCs w:val="24"/>
          <w:lang w:val="en-US"/>
        </w:rPr>
        <w:t>月</w:t>
      </w:r>
      <w:r w:rsidR="00895F52" w:rsidRPr="00401789">
        <w:rPr>
          <w:rFonts w:eastAsia="標楷體"/>
          <w:bCs/>
          <w:snapToGrid w:val="0"/>
          <w:sz w:val="24"/>
          <w:szCs w:val="24"/>
          <w:lang w:val="en-US"/>
        </w:rPr>
        <w:t>12</w:t>
      </w:r>
      <w:r w:rsidR="00895F52" w:rsidRPr="00401789">
        <w:rPr>
          <w:rFonts w:eastAsia="標楷體"/>
          <w:bCs/>
          <w:snapToGrid w:val="0"/>
          <w:sz w:val="24"/>
          <w:szCs w:val="24"/>
          <w:lang w:val="en-US"/>
        </w:rPr>
        <w:t>日</w:t>
      </w:r>
      <w:r w:rsidR="00274D73" w:rsidRPr="00401789">
        <w:rPr>
          <w:rFonts w:eastAsia="標楷體"/>
          <w:bCs/>
          <w:snapToGrid w:val="0"/>
          <w:sz w:val="24"/>
          <w:szCs w:val="24"/>
          <w:lang w:val="en-US"/>
        </w:rPr>
        <w:t>上訴信件</w:t>
      </w:r>
      <w:r w:rsidR="00437FC6" w:rsidRPr="00401789">
        <w:rPr>
          <w:rFonts w:eastAsia="標楷體"/>
          <w:bCs/>
          <w:snapToGrid w:val="0"/>
          <w:sz w:val="24"/>
          <w:szCs w:val="24"/>
          <w:lang w:val="en-US"/>
        </w:rPr>
        <w:t>寄到</w:t>
      </w:r>
      <w:r w:rsidR="00437FC6" w:rsidRPr="00401789">
        <w:rPr>
          <w:rFonts w:eastAsia="標楷體"/>
          <w:sz w:val="24"/>
          <w:szCs w:val="24"/>
        </w:rPr>
        <w:t>稅務局</w:t>
      </w:r>
      <w:r w:rsidR="00C834DF" w:rsidRPr="00401789">
        <w:rPr>
          <w:rFonts w:eastAsia="標楷體"/>
          <w:bCs/>
          <w:snapToGrid w:val="0"/>
          <w:sz w:val="24"/>
          <w:szCs w:val="24"/>
        </w:rPr>
        <w:t>。而</w:t>
      </w:r>
      <w:r w:rsidR="00B910EE" w:rsidRPr="00401789">
        <w:rPr>
          <w:rFonts w:eastAsia="標楷體"/>
          <w:bCs/>
          <w:snapToGrid w:val="0"/>
          <w:sz w:val="24"/>
          <w:szCs w:val="24"/>
        </w:rPr>
        <w:t>當</w:t>
      </w:r>
      <w:r w:rsidR="007A7AE9" w:rsidRPr="00401789">
        <w:rPr>
          <w:rFonts w:eastAsia="標楷體"/>
          <w:bCs/>
          <w:snapToGrid w:val="0"/>
          <w:sz w:val="24"/>
          <w:szCs w:val="24"/>
        </w:rPr>
        <w:t>意識</w:t>
      </w:r>
      <w:r w:rsidR="00B910EE" w:rsidRPr="00401789">
        <w:rPr>
          <w:rFonts w:eastAsia="標楷體"/>
          <w:bCs/>
          <w:snapToGrid w:val="0"/>
          <w:sz w:val="24"/>
          <w:szCs w:val="24"/>
        </w:rPr>
        <w:t>到錯誤時</w:t>
      </w:r>
      <w:r w:rsidR="00874089" w:rsidRPr="00401789">
        <w:rPr>
          <w:rFonts w:eastAsia="標楷體"/>
          <w:bCs/>
          <w:snapToGrid w:val="0"/>
          <w:sz w:val="24"/>
          <w:szCs w:val="24"/>
        </w:rPr>
        <w:t>，</w:t>
      </w:r>
      <w:r w:rsidR="001B598A" w:rsidRPr="00401789">
        <w:rPr>
          <w:rFonts w:eastAsia="標楷體"/>
          <w:bCs/>
          <w:snapToGrid w:val="0"/>
          <w:sz w:val="24"/>
          <w:szCs w:val="24"/>
          <w:lang w:val="en-US"/>
        </w:rPr>
        <w:t>上訴人</w:t>
      </w:r>
      <w:r w:rsidR="00CC6A69" w:rsidRPr="00401789">
        <w:rPr>
          <w:rFonts w:eastAsia="標楷體"/>
          <w:bCs/>
          <w:snapToGrid w:val="0"/>
          <w:sz w:val="24"/>
          <w:szCs w:val="24"/>
        </w:rPr>
        <w:t>第一時間</w:t>
      </w:r>
      <w:r w:rsidR="00687C9D" w:rsidRPr="00401789">
        <w:rPr>
          <w:rFonts w:eastAsia="標楷體"/>
          <w:bCs/>
          <w:snapToGrid w:val="0"/>
          <w:sz w:val="24"/>
          <w:szCs w:val="24"/>
        </w:rPr>
        <w:t>嘗試</w:t>
      </w:r>
      <w:r w:rsidR="00357A50" w:rsidRPr="00401789">
        <w:rPr>
          <w:rFonts w:eastAsia="標楷體"/>
          <w:bCs/>
          <w:snapToGrid w:val="0"/>
          <w:sz w:val="24"/>
          <w:szCs w:val="24"/>
        </w:rPr>
        <w:t>改正並於</w:t>
      </w:r>
      <w:r w:rsidR="00357A50" w:rsidRPr="00401789">
        <w:rPr>
          <w:rFonts w:eastAsia="標楷體"/>
          <w:bCs/>
          <w:snapToGrid w:val="0"/>
          <w:sz w:val="24"/>
          <w:szCs w:val="24"/>
        </w:rPr>
        <w:t>5</w:t>
      </w:r>
      <w:r w:rsidR="00357A50" w:rsidRPr="00401789">
        <w:rPr>
          <w:rFonts w:eastAsia="標楷體"/>
          <w:bCs/>
          <w:snapToGrid w:val="0"/>
          <w:sz w:val="24"/>
          <w:szCs w:val="24"/>
        </w:rPr>
        <w:t>月</w:t>
      </w:r>
      <w:r w:rsidR="00357A50" w:rsidRPr="00401789">
        <w:rPr>
          <w:rFonts w:eastAsia="標楷體"/>
          <w:bCs/>
          <w:snapToGrid w:val="0"/>
          <w:sz w:val="24"/>
          <w:szCs w:val="24"/>
        </w:rPr>
        <w:t>13</w:t>
      </w:r>
      <w:r w:rsidR="00357A50" w:rsidRPr="00401789">
        <w:rPr>
          <w:rFonts w:eastAsia="標楷體"/>
          <w:bCs/>
          <w:snapToGrid w:val="0"/>
          <w:sz w:val="24"/>
          <w:szCs w:val="24"/>
        </w:rPr>
        <w:t>日</w:t>
      </w:r>
      <w:r w:rsidR="00BC05F9" w:rsidRPr="00401789">
        <w:rPr>
          <w:rFonts w:eastAsia="標楷體"/>
          <w:bCs/>
          <w:snapToGrid w:val="0"/>
          <w:sz w:val="24"/>
          <w:szCs w:val="24"/>
        </w:rPr>
        <w:t>把信件</w:t>
      </w:r>
      <w:r w:rsidR="00754B8C" w:rsidRPr="00401789">
        <w:rPr>
          <w:rFonts w:eastAsia="標楷體"/>
          <w:bCs/>
          <w:snapToGrid w:val="0"/>
          <w:sz w:val="24"/>
          <w:szCs w:val="24"/>
        </w:rPr>
        <w:t>送達</w:t>
      </w:r>
      <w:r w:rsidR="00754B8C" w:rsidRPr="00401789">
        <w:rPr>
          <w:rFonts w:eastAsia="標楷體"/>
          <w:sz w:val="24"/>
          <w:szCs w:val="24"/>
        </w:rPr>
        <w:t>委員會</w:t>
      </w:r>
      <w:r w:rsidR="00874089" w:rsidRPr="00401789">
        <w:rPr>
          <w:rFonts w:eastAsia="標楷體"/>
          <w:sz w:val="24"/>
          <w:szCs w:val="24"/>
        </w:rPr>
        <w:t>。</w:t>
      </w:r>
      <w:r w:rsidR="008F2678" w:rsidRPr="00401789">
        <w:rPr>
          <w:rFonts w:eastAsia="標楷體"/>
          <w:sz w:val="24"/>
          <w:szCs w:val="24"/>
        </w:rPr>
        <w:t>可惜</w:t>
      </w:r>
      <w:r w:rsidR="008F2678" w:rsidRPr="00401789">
        <w:rPr>
          <w:rFonts w:eastAsia="標楷體"/>
          <w:bCs/>
          <w:snapToGrid w:val="0"/>
          <w:sz w:val="24"/>
          <w:szCs w:val="24"/>
        </w:rPr>
        <w:t>5</w:t>
      </w:r>
      <w:r w:rsidR="008F2678" w:rsidRPr="00401789">
        <w:rPr>
          <w:rFonts w:eastAsia="標楷體"/>
          <w:bCs/>
          <w:snapToGrid w:val="0"/>
          <w:sz w:val="24"/>
          <w:szCs w:val="24"/>
        </w:rPr>
        <w:t>月</w:t>
      </w:r>
      <w:r w:rsidR="008F2678" w:rsidRPr="00401789">
        <w:rPr>
          <w:rFonts w:eastAsia="標楷體"/>
          <w:bCs/>
          <w:snapToGrid w:val="0"/>
          <w:sz w:val="24"/>
          <w:szCs w:val="24"/>
        </w:rPr>
        <w:t>13</w:t>
      </w:r>
      <w:r w:rsidR="008F2678" w:rsidRPr="00401789">
        <w:rPr>
          <w:rFonts w:eastAsia="標楷體"/>
          <w:bCs/>
          <w:snapToGrid w:val="0"/>
          <w:sz w:val="24"/>
          <w:szCs w:val="24"/>
        </w:rPr>
        <w:t>日的信件</w:t>
      </w:r>
      <w:r w:rsidR="006B4557" w:rsidRPr="00401789">
        <w:rPr>
          <w:rFonts w:eastAsia="標楷體"/>
          <w:bCs/>
          <w:snapToGrid w:val="0"/>
          <w:sz w:val="24"/>
          <w:szCs w:val="24"/>
        </w:rPr>
        <w:t>未</w:t>
      </w:r>
      <w:r w:rsidR="00D91ABB" w:rsidRPr="00401789">
        <w:rPr>
          <w:rFonts w:eastAsia="標楷體"/>
          <w:bCs/>
          <w:snapToGrid w:val="0"/>
          <w:sz w:val="24"/>
          <w:szCs w:val="24"/>
        </w:rPr>
        <w:t>符合</w:t>
      </w:r>
      <w:r w:rsidR="00FA4694" w:rsidRPr="00401789">
        <w:rPr>
          <w:rFonts w:eastAsia="標楷體"/>
          <w:bCs/>
          <w:snapToGrid w:val="0"/>
          <w:sz w:val="24"/>
          <w:szCs w:val="24"/>
        </w:rPr>
        <w:t>法定</w:t>
      </w:r>
      <w:r w:rsidR="00681B60" w:rsidRPr="00401789">
        <w:rPr>
          <w:rFonts w:eastAsia="標楷體"/>
          <w:bCs/>
          <w:snapToGrid w:val="0"/>
          <w:sz w:val="24"/>
          <w:szCs w:val="24"/>
        </w:rPr>
        <w:t>要求</w:t>
      </w:r>
      <w:r w:rsidR="00874089" w:rsidRPr="00401789">
        <w:rPr>
          <w:rFonts w:eastAsia="標楷體"/>
          <w:bCs/>
          <w:snapToGrid w:val="0"/>
          <w:sz w:val="24"/>
          <w:szCs w:val="24"/>
        </w:rPr>
        <w:t>。</w:t>
      </w:r>
      <w:r w:rsidR="00681B60" w:rsidRPr="00401789">
        <w:rPr>
          <w:rFonts w:eastAsia="標楷體"/>
          <w:bCs/>
          <w:snapToGrid w:val="0"/>
          <w:sz w:val="24"/>
          <w:szCs w:val="24"/>
        </w:rPr>
        <w:t xml:space="preserve"> </w:t>
      </w:r>
    </w:p>
    <w:p w14:paraId="1459812C" w14:textId="77777777" w:rsidR="001E1032" w:rsidRPr="00401789" w:rsidRDefault="001E1032" w:rsidP="00E751EB">
      <w:pPr>
        <w:pStyle w:val="aff"/>
        <w:ind w:left="0"/>
        <w:rPr>
          <w:rFonts w:eastAsia="標楷體"/>
          <w:bCs/>
          <w:snapToGrid w:val="0"/>
          <w:sz w:val="24"/>
          <w:szCs w:val="24"/>
        </w:rPr>
      </w:pPr>
    </w:p>
    <w:p w14:paraId="1EFD9CDB" w14:textId="3EA2E3E5" w:rsidR="00AC4D7E" w:rsidRPr="00401789" w:rsidRDefault="0051394A" w:rsidP="00E751EB">
      <w:pPr>
        <w:pStyle w:val="aff"/>
        <w:numPr>
          <w:ilvl w:val="0"/>
          <w:numId w:val="21"/>
        </w:numPr>
        <w:ind w:left="0" w:firstLine="0"/>
        <w:jc w:val="both"/>
        <w:rPr>
          <w:rFonts w:eastAsia="標楷體"/>
          <w:bCs/>
          <w:snapToGrid w:val="0"/>
          <w:sz w:val="24"/>
          <w:szCs w:val="24"/>
        </w:rPr>
      </w:pPr>
      <w:r w:rsidRPr="00401789">
        <w:rPr>
          <w:rFonts w:eastAsia="標楷體"/>
          <w:bCs/>
          <w:snapToGrid w:val="0"/>
          <w:sz w:val="24"/>
          <w:szCs w:val="24"/>
        </w:rPr>
        <w:t>委員會</w:t>
      </w:r>
      <w:r w:rsidR="00A96E1F" w:rsidRPr="00401789">
        <w:rPr>
          <w:rFonts w:eastAsia="標楷體"/>
          <w:bCs/>
          <w:snapToGrid w:val="0"/>
          <w:sz w:val="24"/>
          <w:szCs w:val="24"/>
        </w:rPr>
        <w:t>雖然</w:t>
      </w:r>
      <w:r w:rsidR="00FF1211" w:rsidRPr="00401789">
        <w:rPr>
          <w:rFonts w:eastAsia="標楷體"/>
          <w:bCs/>
          <w:snapToGrid w:val="0"/>
          <w:sz w:val="24"/>
          <w:szCs w:val="24"/>
        </w:rPr>
        <w:t>同情及</w:t>
      </w:r>
      <w:r w:rsidR="002D0FBA" w:rsidRPr="00401789">
        <w:rPr>
          <w:rFonts w:eastAsia="標楷體"/>
          <w:bCs/>
          <w:snapToGrid w:val="0"/>
          <w:sz w:val="24"/>
          <w:szCs w:val="24"/>
        </w:rPr>
        <w:t>理解</w:t>
      </w:r>
      <w:r w:rsidR="002D0FBA" w:rsidRPr="00401789">
        <w:rPr>
          <w:rFonts w:eastAsia="標楷體"/>
          <w:bCs/>
          <w:snapToGrid w:val="0"/>
          <w:sz w:val="24"/>
          <w:szCs w:val="24"/>
          <w:lang w:val="en-US"/>
        </w:rPr>
        <w:t>上訴人</w:t>
      </w:r>
      <w:r w:rsidR="002D0FBA" w:rsidRPr="00401789">
        <w:rPr>
          <w:rFonts w:eastAsia="標楷體"/>
          <w:bCs/>
          <w:snapToGrid w:val="0"/>
          <w:sz w:val="24"/>
          <w:szCs w:val="24"/>
        </w:rPr>
        <w:t>并不是有意</w:t>
      </w:r>
      <w:r w:rsidR="00784A3E" w:rsidRPr="00401789">
        <w:rPr>
          <w:rFonts w:eastAsia="標楷體"/>
          <w:sz w:val="24"/>
          <w:szCs w:val="24"/>
          <w:shd w:val="clear" w:color="auto" w:fill="FFFFFF"/>
        </w:rPr>
        <w:t>耽誤</w:t>
      </w:r>
      <w:r w:rsidR="00874089" w:rsidRPr="00401789">
        <w:rPr>
          <w:rFonts w:eastAsia="標楷體"/>
          <w:sz w:val="24"/>
          <w:szCs w:val="24"/>
          <w:shd w:val="clear" w:color="auto" w:fill="FFFFFF"/>
        </w:rPr>
        <w:t>，</w:t>
      </w:r>
      <w:r w:rsidR="00784A3E" w:rsidRPr="00401789">
        <w:rPr>
          <w:rFonts w:eastAsia="標楷體"/>
          <w:sz w:val="24"/>
          <w:szCs w:val="24"/>
          <w:shd w:val="clear" w:color="auto" w:fill="FFFFFF"/>
        </w:rPr>
        <w:t>但</w:t>
      </w:r>
      <w:r w:rsidR="00784A3E" w:rsidRPr="00401789">
        <w:rPr>
          <w:rFonts w:eastAsia="標楷體"/>
          <w:sz w:val="24"/>
          <w:szCs w:val="24"/>
        </w:rPr>
        <w:t>委員會不</w:t>
      </w:r>
      <w:r w:rsidR="00FA4694" w:rsidRPr="00401789">
        <w:rPr>
          <w:rFonts w:eastAsia="標楷體"/>
          <w:sz w:val="24"/>
          <w:szCs w:val="24"/>
        </w:rPr>
        <w:t>能</w:t>
      </w:r>
      <w:r w:rsidR="00784A3E" w:rsidRPr="00401789">
        <w:rPr>
          <w:rFonts w:eastAsia="標楷體"/>
          <w:sz w:val="24"/>
          <w:szCs w:val="24"/>
        </w:rPr>
        <w:t>接納上訴人逾期的理由為「合理因由」。對程序上弄錯</w:t>
      </w:r>
      <w:r w:rsidR="00874089" w:rsidRPr="00401789">
        <w:rPr>
          <w:rFonts w:eastAsia="標楷體"/>
          <w:sz w:val="24"/>
          <w:szCs w:val="24"/>
        </w:rPr>
        <w:t>，</w:t>
      </w:r>
      <w:r w:rsidR="00784A3E" w:rsidRPr="00401789">
        <w:rPr>
          <w:rFonts w:eastAsia="標楷體"/>
          <w:sz w:val="24"/>
          <w:szCs w:val="24"/>
        </w:rPr>
        <w:t>誤解</w:t>
      </w:r>
      <w:r w:rsidR="00874089" w:rsidRPr="00401789">
        <w:rPr>
          <w:rFonts w:eastAsia="標楷體"/>
          <w:sz w:val="24"/>
          <w:szCs w:val="24"/>
        </w:rPr>
        <w:t>，</w:t>
      </w:r>
      <w:r w:rsidR="00784A3E" w:rsidRPr="00401789">
        <w:rPr>
          <w:rFonts w:eastAsia="標楷體"/>
          <w:sz w:val="24"/>
          <w:szCs w:val="24"/>
        </w:rPr>
        <w:t>無知並不能足夠支持其逾期的理由</w:t>
      </w:r>
      <w:r w:rsidR="00784A3E" w:rsidRPr="00401789">
        <w:rPr>
          <w:rFonts w:eastAsia="標楷體"/>
          <w:sz w:val="24"/>
          <w:szCs w:val="24"/>
        </w:rPr>
        <w:t>(</w:t>
      </w:r>
      <w:r w:rsidR="00784A3E" w:rsidRPr="00E751EB">
        <w:rPr>
          <w:rFonts w:eastAsia="標楷體"/>
          <w:iCs/>
          <w:sz w:val="24"/>
          <w:szCs w:val="24"/>
          <w:u w:val="single"/>
        </w:rPr>
        <w:t>C</w:t>
      </w:r>
      <w:r w:rsidR="00784A3E" w:rsidRPr="00E751EB">
        <w:rPr>
          <w:rFonts w:eastAsia="標楷體"/>
          <w:iCs/>
          <w:sz w:val="24"/>
          <w:szCs w:val="24"/>
          <w:u w:val="single"/>
          <w:lang w:val="en-US"/>
        </w:rPr>
        <w:t>how Kwong Fai v Commissioner of Inland Revenue</w:t>
      </w:r>
      <w:r w:rsidR="00784A3E" w:rsidRPr="00401789">
        <w:rPr>
          <w:rFonts w:eastAsia="標楷體"/>
          <w:i/>
          <w:iCs/>
          <w:sz w:val="24"/>
          <w:szCs w:val="24"/>
          <w:lang w:val="en-US"/>
        </w:rPr>
        <w:t xml:space="preserve"> </w:t>
      </w:r>
      <w:r w:rsidR="00784A3E" w:rsidRPr="00401789">
        <w:rPr>
          <w:rFonts w:eastAsia="標楷體"/>
          <w:sz w:val="24"/>
          <w:szCs w:val="24"/>
        </w:rPr>
        <w:t>[2005] 4 HKLRD 687</w:t>
      </w:r>
      <w:r w:rsidR="00DA537A">
        <w:rPr>
          <w:rFonts w:eastAsia="標楷體" w:hint="eastAsia"/>
          <w:sz w:val="24"/>
          <w:szCs w:val="24"/>
        </w:rPr>
        <w:t>；</w:t>
      </w:r>
      <w:r w:rsidR="00013B95" w:rsidRPr="00401789">
        <w:rPr>
          <w:rFonts w:eastAsia="標楷體"/>
          <w:sz w:val="24"/>
          <w:szCs w:val="24"/>
          <w:lang w:val="es-419"/>
        </w:rPr>
        <w:t>見</w:t>
      </w:r>
      <w:r w:rsidR="00FA4694" w:rsidRPr="00E751EB">
        <w:rPr>
          <w:rFonts w:eastAsia="標楷體"/>
          <w:sz w:val="24"/>
          <w:szCs w:val="24"/>
          <w:u w:val="single"/>
        </w:rPr>
        <w:t>D139/00</w:t>
      </w:r>
      <w:r w:rsidR="00FA4694" w:rsidRPr="00401789">
        <w:rPr>
          <w:rFonts w:eastAsia="標楷體"/>
          <w:sz w:val="24"/>
          <w:szCs w:val="24"/>
        </w:rPr>
        <w:t>, IRBRD, vol 16, 34</w:t>
      </w:r>
      <w:r w:rsidR="00AC4D7E" w:rsidRPr="00401789">
        <w:rPr>
          <w:rFonts w:eastAsia="標楷體"/>
          <w:sz w:val="24"/>
          <w:szCs w:val="24"/>
        </w:rPr>
        <w:t xml:space="preserve">) </w:t>
      </w:r>
      <w:r w:rsidR="00AC4D7E" w:rsidRPr="00401789">
        <w:rPr>
          <w:rFonts w:eastAsia="標楷體"/>
          <w:sz w:val="24"/>
          <w:szCs w:val="24"/>
        </w:rPr>
        <w:t>。</w:t>
      </w:r>
      <w:r w:rsidR="00AC4D7E" w:rsidRPr="00401789">
        <w:rPr>
          <w:rFonts w:eastAsia="標楷體"/>
          <w:sz w:val="24"/>
          <w:szCs w:val="24"/>
        </w:rPr>
        <w:t xml:space="preserve">  </w:t>
      </w:r>
    </w:p>
    <w:p w14:paraId="610CD310" w14:textId="77030F0D" w:rsidR="00DA537A" w:rsidRPr="00401789" w:rsidRDefault="00DA537A" w:rsidP="00BC3C02">
      <w:pPr>
        <w:tabs>
          <w:tab w:val="left" w:pos="1080"/>
        </w:tabs>
        <w:jc w:val="both"/>
        <w:rPr>
          <w:rFonts w:eastAsia="標楷體"/>
          <w:sz w:val="24"/>
          <w:szCs w:val="24"/>
        </w:rPr>
      </w:pPr>
    </w:p>
    <w:p w14:paraId="7848C6BD" w14:textId="0FFA1BCE" w:rsidR="00AC2F69" w:rsidRPr="00DA537A" w:rsidRDefault="00AC2F69" w:rsidP="008A57E3">
      <w:pPr>
        <w:tabs>
          <w:tab w:val="left" w:pos="1080"/>
        </w:tabs>
        <w:ind w:left="1"/>
        <w:jc w:val="both"/>
        <w:rPr>
          <w:rFonts w:eastAsia="標楷體"/>
          <w:b/>
          <w:i/>
          <w:iCs/>
          <w:sz w:val="28"/>
          <w:szCs w:val="28"/>
        </w:rPr>
      </w:pPr>
      <w:r w:rsidRPr="00DA537A">
        <w:rPr>
          <w:rFonts w:eastAsia="標楷體"/>
          <w:b/>
          <w:i/>
          <w:iCs/>
          <w:sz w:val="28"/>
          <w:szCs w:val="28"/>
        </w:rPr>
        <w:t>薪俸稅</w:t>
      </w:r>
    </w:p>
    <w:p w14:paraId="7FCB1A2C" w14:textId="77777777" w:rsidR="00AC2F69" w:rsidRPr="00401789" w:rsidRDefault="00AC2F69" w:rsidP="008A57E3">
      <w:pPr>
        <w:tabs>
          <w:tab w:val="left" w:pos="1080"/>
        </w:tabs>
        <w:ind w:left="1"/>
        <w:jc w:val="both"/>
        <w:rPr>
          <w:rFonts w:eastAsia="標楷體"/>
          <w:sz w:val="24"/>
          <w:szCs w:val="24"/>
        </w:rPr>
      </w:pPr>
    </w:p>
    <w:p w14:paraId="5E70DB20" w14:textId="1A3804D6" w:rsidR="009E5629" w:rsidRPr="00401789" w:rsidRDefault="009E5629" w:rsidP="00E751EB">
      <w:pPr>
        <w:pStyle w:val="aff"/>
        <w:numPr>
          <w:ilvl w:val="0"/>
          <w:numId w:val="21"/>
        </w:numPr>
        <w:adjustRightInd/>
        <w:ind w:left="0" w:firstLine="0"/>
        <w:textAlignment w:val="auto"/>
        <w:rPr>
          <w:rFonts w:eastAsia="標楷體"/>
          <w:sz w:val="24"/>
          <w:szCs w:val="24"/>
          <w:lang w:val="en-HK"/>
        </w:rPr>
      </w:pPr>
      <w:r w:rsidRPr="00401789">
        <w:rPr>
          <w:rFonts w:eastAsia="標楷體"/>
          <w:color w:val="000000"/>
          <w:sz w:val="24"/>
          <w:szCs w:val="24"/>
          <w:lang w:val="en-HK"/>
        </w:rPr>
        <w:t>由於上訴人上訴申請逾期，其上訴應予以駁回，而上訴亦到此為止。</w:t>
      </w:r>
    </w:p>
    <w:p w14:paraId="721E33BF" w14:textId="77777777" w:rsidR="00BE4513" w:rsidRPr="00401789" w:rsidRDefault="00BE4513" w:rsidP="00E751EB">
      <w:pPr>
        <w:pStyle w:val="aff"/>
        <w:adjustRightInd/>
        <w:ind w:left="0"/>
        <w:textAlignment w:val="auto"/>
        <w:rPr>
          <w:rFonts w:eastAsia="標楷體"/>
          <w:sz w:val="24"/>
          <w:szCs w:val="24"/>
          <w:lang w:val="en-HK"/>
        </w:rPr>
      </w:pPr>
    </w:p>
    <w:p w14:paraId="28AF2D3A" w14:textId="02EAEA52" w:rsidR="00F62BBE" w:rsidRPr="00401789" w:rsidRDefault="009E5629" w:rsidP="00E751EB">
      <w:pPr>
        <w:pStyle w:val="aff"/>
        <w:numPr>
          <w:ilvl w:val="0"/>
          <w:numId w:val="21"/>
        </w:numPr>
        <w:tabs>
          <w:tab w:val="left" w:pos="1080"/>
        </w:tabs>
        <w:ind w:left="0" w:firstLine="0"/>
        <w:jc w:val="both"/>
        <w:rPr>
          <w:rFonts w:eastAsia="標楷體"/>
          <w:sz w:val="24"/>
          <w:szCs w:val="24"/>
        </w:rPr>
      </w:pPr>
      <w:r w:rsidRPr="00401789">
        <w:rPr>
          <w:rFonts w:eastAsia="標楷體"/>
          <w:sz w:val="24"/>
          <w:szCs w:val="24"/>
        </w:rPr>
        <w:t>雖</w:t>
      </w:r>
      <w:r w:rsidR="00AC4D7E" w:rsidRPr="00401789">
        <w:rPr>
          <w:rFonts w:eastAsia="標楷體"/>
          <w:sz w:val="24"/>
          <w:szCs w:val="24"/>
        </w:rPr>
        <w:t>然委員會嚴格上不需要就實體</w:t>
      </w:r>
      <w:r w:rsidR="00AC2F69" w:rsidRPr="00401789">
        <w:rPr>
          <w:rFonts w:eastAsia="標楷體"/>
          <w:sz w:val="24"/>
          <w:szCs w:val="24"/>
        </w:rPr>
        <w:t>薪俸稅</w:t>
      </w:r>
      <w:r w:rsidR="00AC4D7E" w:rsidRPr="00401789">
        <w:rPr>
          <w:rFonts w:eastAsia="標楷體"/>
          <w:sz w:val="24"/>
          <w:szCs w:val="24"/>
        </w:rPr>
        <w:t>上訴進行裁決</w:t>
      </w:r>
      <w:r w:rsidR="00874089" w:rsidRPr="00401789">
        <w:rPr>
          <w:rFonts w:eastAsia="標楷體"/>
          <w:sz w:val="24"/>
          <w:szCs w:val="24"/>
        </w:rPr>
        <w:t>，</w:t>
      </w:r>
      <w:r w:rsidR="00AC4D7E" w:rsidRPr="00401789">
        <w:rPr>
          <w:rFonts w:eastAsia="標楷體"/>
          <w:sz w:val="24"/>
          <w:szCs w:val="24"/>
        </w:rPr>
        <w:t>但為完整起見</w:t>
      </w:r>
      <w:r w:rsidR="00874089" w:rsidRPr="00401789">
        <w:rPr>
          <w:rFonts w:eastAsia="標楷體"/>
          <w:sz w:val="24"/>
          <w:szCs w:val="24"/>
        </w:rPr>
        <w:t>，</w:t>
      </w:r>
      <w:r w:rsidR="00AC4D7E" w:rsidRPr="00401789">
        <w:rPr>
          <w:rFonts w:eastAsia="標楷體"/>
          <w:sz w:val="24"/>
          <w:szCs w:val="24"/>
        </w:rPr>
        <w:t>委員會決定分析上訴理據</w:t>
      </w:r>
      <w:r w:rsidR="00E95006" w:rsidRPr="00401789">
        <w:rPr>
          <w:rFonts w:eastAsia="標楷體"/>
          <w:sz w:val="24"/>
          <w:szCs w:val="24"/>
        </w:rPr>
        <w:t>。</w:t>
      </w:r>
    </w:p>
    <w:p w14:paraId="6EED9266" w14:textId="77777777" w:rsidR="00AC2F69" w:rsidRPr="00401789" w:rsidRDefault="00AC2F69" w:rsidP="00E751EB">
      <w:pPr>
        <w:pStyle w:val="aff"/>
        <w:ind w:left="0"/>
        <w:rPr>
          <w:rFonts w:eastAsia="標楷體"/>
          <w:sz w:val="24"/>
          <w:szCs w:val="24"/>
        </w:rPr>
      </w:pPr>
    </w:p>
    <w:p w14:paraId="13CC5B60" w14:textId="7031F4F5" w:rsidR="001E4A55" w:rsidRPr="00401789" w:rsidRDefault="001E4A55" w:rsidP="00E751EB">
      <w:pPr>
        <w:pStyle w:val="aff"/>
        <w:numPr>
          <w:ilvl w:val="0"/>
          <w:numId w:val="21"/>
        </w:numPr>
        <w:ind w:left="0" w:firstLine="0"/>
        <w:jc w:val="both"/>
        <w:rPr>
          <w:rFonts w:eastAsia="標楷體"/>
          <w:sz w:val="24"/>
          <w:szCs w:val="24"/>
        </w:rPr>
      </w:pPr>
      <w:r w:rsidRPr="00401789">
        <w:rPr>
          <w:rFonts w:eastAsia="標楷體"/>
          <w:bCs/>
          <w:snapToGrid w:val="0"/>
          <w:sz w:val="24"/>
          <w:szCs w:val="24"/>
        </w:rPr>
        <w:t>《稅務條例》</w:t>
      </w:r>
      <w:r w:rsidRPr="00401789">
        <w:rPr>
          <w:rFonts w:eastAsia="標楷體"/>
          <w:sz w:val="24"/>
          <w:szCs w:val="24"/>
        </w:rPr>
        <w:t>第</w:t>
      </w:r>
      <w:r w:rsidRPr="00401789">
        <w:rPr>
          <w:rFonts w:eastAsia="標楷體"/>
          <w:sz w:val="24"/>
          <w:szCs w:val="24"/>
        </w:rPr>
        <w:t>12(1)(a)</w:t>
      </w:r>
      <w:r w:rsidRPr="00401789">
        <w:rPr>
          <w:rFonts w:eastAsia="標楷體"/>
          <w:sz w:val="24"/>
          <w:szCs w:val="24"/>
        </w:rPr>
        <w:t>條就開支扣減</w:t>
      </w:r>
      <w:r w:rsidRPr="00401789">
        <w:rPr>
          <w:rFonts w:eastAsia="標楷體"/>
          <w:snapToGrid w:val="0"/>
          <w:sz w:val="24"/>
          <w:szCs w:val="24"/>
        </w:rPr>
        <w:t>規定如下：</w:t>
      </w:r>
    </w:p>
    <w:p w14:paraId="21DA22A8" w14:textId="77777777" w:rsidR="001E4A55" w:rsidRPr="00401789" w:rsidRDefault="001E4A55" w:rsidP="008A57E3">
      <w:pPr>
        <w:tabs>
          <w:tab w:val="left" w:pos="1080"/>
        </w:tabs>
        <w:ind w:left="720" w:hanging="720"/>
        <w:jc w:val="both"/>
        <w:rPr>
          <w:rFonts w:eastAsia="標楷體"/>
          <w:sz w:val="24"/>
          <w:szCs w:val="24"/>
        </w:rPr>
      </w:pPr>
    </w:p>
    <w:p w14:paraId="48704406" w14:textId="696F3886" w:rsidR="001E4A55" w:rsidRPr="00DA537A" w:rsidRDefault="001E4A55" w:rsidP="00E751EB">
      <w:pPr>
        <w:ind w:leftChars="638" w:left="1984" w:hangingChars="295" w:hanging="708"/>
        <w:jc w:val="both"/>
        <w:rPr>
          <w:rFonts w:eastAsia="標楷體"/>
          <w:i/>
          <w:iCs/>
          <w:sz w:val="24"/>
          <w:szCs w:val="24"/>
        </w:rPr>
      </w:pPr>
      <w:r w:rsidRPr="00401789">
        <w:rPr>
          <w:rFonts w:eastAsia="標楷體"/>
          <w:iCs/>
          <w:sz w:val="24"/>
          <w:szCs w:val="24"/>
        </w:rPr>
        <w:t>「</w:t>
      </w:r>
      <w:r w:rsidRPr="00DA537A">
        <w:rPr>
          <w:rFonts w:eastAsia="標楷體"/>
          <w:i/>
          <w:iCs/>
          <w:sz w:val="24"/>
          <w:szCs w:val="24"/>
        </w:rPr>
        <w:t>(1)</w:t>
      </w:r>
      <w:r w:rsidRPr="00DA537A">
        <w:rPr>
          <w:rFonts w:eastAsia="標楷體"/>
          <w:i/>
          <w:iCs/>
          <w:sz w:val="24"/>
          <w:szCs w:val="24"/>
        </w:rPr>
        <w:tab/>
      </w:r>
      <w:r w:rsidRPr="00DA537A">
        <w:rPr>
          <w:rFonts w:eastAsia="標楷體"/>
          <w:i/>
          <w:iCs/>
          <w:sz w:val="24"/>
          <w:szCs w:val="24"/>
        </w:rPr>
        <w:t>在確定任何人在任何課稅年度的應評稅入息實額時</w:t>
      </w:r>
      <w:r w:rsidR="00874089" w:rsidRPr="00DA537A">
        <w:rPr>
          <w:rFonts w:eastAsia="標楷體"/>
          <w:i/>
          <w:iCs/>
          <w:sz w:val="24"/>
          <w:szCs w:val="24"/>
        </w:rPr>
        <w:t>，</w:t>
      </w:r>
      <w:r w:rsidRPr="00DA537A">
        <w:rPr>
          <w:rFonts w:eastAsia="標楷體"/>
          <w:i/>
          <w:iCs/>
          <w:sz w:val="24"/>
          <w:szCs w:val="24"/>
        </w:rPr>
        <w:t>須從該人的應評稅入息中扣除</w:t>
      </w:r>
      <w:r w:rsidRPr="00DA537A">
        <w:rPr>
          <w:rFonts w:eastAsia="標楷體"/>
          <w:i/>
          <w:iCs/>
          <w:sz w:val="24"/>
          <w:szCs w:val="24"/>
        </w:rPr>
        <w:t xml:space="preserve"> –</w:t>
      </w:r>
    </w:p>
    <w:p w14:paraId="15EE6E7A" w14:textId="77777777" w:rsidR="001E4A55" w:rsidRPr="00DA537A" w:rsidRDefault="001E4A55" w:rsidP="008A57E3">
      <w:pPr>
        <w:tabs>
          <w:tab w:val="left" w:pos="1080"/>
        </w:tabs>
        <w:ind w:left="720" w:hanging="120"/>
        <w:jc w:val="both"/>
        <w:rPr>
          <w:rFonts w:eastAsia="標楷體"/>
          <w:i/>
          <w:iCs/>
          <w:sz w:val="24"/>
          <w:szCs w:val="24"/>
        </w:rPr>
      </w:pPr>
    </w:p>
    <w:p w14:paraId="696E1C98" w14:textId="0BB92D12" w:rsidR="001E4A55" w:rsidRPr="00401789" w:rsidRDefault="001E4A55" w:rsidP="00E751EB">
      <w:pPr>
        <w:widowControl w:val="0"/>
        <w:numPr>
          <w:ilvl w:val="0"/>
          <w:numId w:val="4"/>
        </w:numPr>
        <w:tabs>
          <w:tab w:val="clear" w:pos="2175"/>
        </w:tabs>
        <w:ind w:leftChars="992" w:left="2560" w:hangingChars="240" w:hanging="576"/>
        <w:jc w:val="both"/>
        <w:rPr>
          <w:rFonts w:eastAsia="標楷體"/>
          <w:iCs/>
          <w:sz w:val="24"/>
          <w:szCs w:val="24"/>
        </w:rPr>
      </w:pPr>
      <w:r w:rsidRPr="00DA537A">
        <w:rPr>
          <w:rFonts w:eastAsia="標楷體"/>
          <w:i/>
          <w:iCs/>
          <w:sz w:val="24"/>
          <w:szCs w:val="24"/>
        </w:rPr>
        <w:t>完全、純粹及必須為產生該應評稅入息而招致的所有支出及開支</w:t>
      </w:r>
      <w:r w:rsidR="00874089" w:rsidRPr="00DA537A">
        <w:rPr>
          <w:rFonts w:eastAsia="標楷體"/>
          <w:i/>
          <w:iCs/>
          <w:sz w:val="24"/>
          <w:szCs w:val="24"/>
        </w:rPr>
        <w:t>，</w:t>
      </w:r>
      <w:r w:rsidRPr="00DA537A">
        <w:rPr>
          <w:rFonts w:eastAsia="標楷體"/>
          <w:i/>
          <w:iCs/>
          <w:sz w:val="24"/>
          <w:szCs w:val="24"/>
        </w:rPr>
        <w:t>但屬家庭性質或私人性質的開支以及資本開支則除外；</w:t>
      </w:r>
      <w:r w:rsidRPr="00401789">
        <w:rPr>
          <w:rFonts w:eastAsia="標楷體"/>
          <w:iCs/>
          <w:sz w:val="24"/>
          <w:szCs w:val="24"/>
        </w:rPr>
        <w:t>」</w:t>
      </w:r>
    </w:p>
    <w:p w14:paraId="404BF140" w14:textId="77777777" w:rsidR="001E4A55" w:rsidRPr="00401789" w:rsidRDefault="001E4A55" w:rsidP="008A57E3">
      <w:pPr>
        <w:tabs>
          <w:tab w:val="left" w:pos="840"/>
          <w:tab w:val="left" w:pos="1080"/>
        </w:tabs>
        <w:ind w:left="1440"/>
        <w:jc w:val="both"/>
        <w:rPr>
          <w:rFonts w:eastAsia="標楷體"/>
          <w:sz w:val="24"/>
          <w:szCs w:val="24"/>
        </w:rPr>
      </w:pPr>
    </w:p>
    <w:p w14:paraId="666DE38F" w14:textId="0381F8D3" w:rsidR="00DA40C5" w:rsidRPr="00401789" w:rsidRDefault="00C57852" w:rsidP="00E751EB">
      <w:pPr>
        <w:pStyle w:val="aff"/>
        <w:numPr>
          <w:ilvl w:val="0"/>
          <w:numId w:val="21"/>
        </w:numPr>
        <w:ind w:left="0" w:firstLine="0"/>
        <w:jc w:val="both"/>
        <w:rPr>
          <w:rFonts w:eastAsia="標楷體"/>
          <w:snapToGrid w:val="0"/>
          <w:sz w:val="24"/>
          <w:szCs w:val="24"/>
        </w:rPr>
      </w:pPr>
      <w:r w:rsidRPr="00401789">
        <w:rPr>
          <w:rFonts w:eastAsia="標楷體"/>
          <w:sz w:val="24"/>
          <w:szCs w:val="24"/>
        </w:rPr>
        <w:lastRenderedPageBreak/>
        <w:t>要符合《稅例》第</w:t>
      </w:r>
      <w:r w:rsidRPr="00401789">
        <w:rPr>
          <w:rFonts w:eastAsia="標楷體"/>
          <w:sz w:val="24"/>
          <w:szCs w:val="24"/>
        </w:rPr>
        <w:t>12(1)(a)</w:t>
      </w:r>
      <w:r w:rsidRPr="00401789">
        <w:rPr>
          <w:rFonts w:eastAsia="標楷體"/>
          <w:sz w:val="24"/>
          <w:szCs w:val="24"/>
        </w:rPr>
        <w:t>條的扣減規定</w:t>
      </w:r>
      <w:r w:rsidR="00874089" w:rsidRPr="00401789">
        <w:rPr>
          <w:rFonts w:eastAsia="標楷體"/>
          <w:sz w:val="24"/>
          <w:szCs w:val="24"/>
        </w:rPr>
        <w:t>，</w:t>
      </w:r>
      <w:r w:rsidRPr="00401789">
        <w:rPr>
          <w:rFonts w:eastAsia="標楷體"/>
          <w:sz w:val="24"/>
          <w:szCs w:val="24"/>
        </w:rPr>
        <w:t>上訴人必須證明</w:t>
      </w:r>
      <w:r w:rsidR="00DA537A">
        <w:rPr>
          <w:rFonts w:eastAsia="標楷體" w:hint="eastAsia"/>
          <w:sz w:val="24"/>
          <w:szCs w:val="24"/>
        </w:rPr>
        <w:t>：</w:t>
      </w:r>
      <w:r w:rsidR="00DA537A">
        <w:rPr>
          <w:rFonts w:eastAsia="標楷體"/>
          <w:sz w:val="24"/>
          <w:szCs w:val="24"/>
        </w:rPr>
        <w:t>(i)</w:t>
      </w:r>
      <w:r w:rsidRPr="00401789">
        <w:rPr>
          <w:rFonts w:eastAsia="標楷體"/>
          <w:sz w:val="24"/>
          <w:szCs w:val="24"/>
        </w:rPr>
        <w:t>他確實有支出相關開支</w:t>
      </w:r>
      <w:r w:rsidR="00DA537A">
        <w:rPr>
          <w:rFonts w:eastAsia="標楷體" w:hint="eastAsia"/>
          <w:sz w:val="24"/>
          <w:szCs w:val="24"/>
        </w:rPr>
        <w:t>；</w:t>
      </w:r>
      <w:r w:rsidR="00DA537A">
        <w:rPr>
          <w:rFonts w:eastAsia="標楷體"/>
          <w:sz w:val="24"/>
          <w:szCs w:val="24"/>
        </w:rPr>
        <w:t>(ii)</w:t>
      </w:r>
      <w:r w:rsidRPr="00401789">
        <w:rPr>
          <w:rFonts w:eastAsia="標楷體"/>
          <w:sz w:val="24"/>
          <w:szCs w:val="24"/>
        </w:rPr>
        <w:t>有關開支是在執行職務時招致的</w:t>
      </w:r>
      <w:r w:rsidR="00DA537A">
        <w:rPr>
          <w:rFonts w:eastAsia="標楷體" w:hint="eastAsia"/>
          <w:sz w:val="24"/>
          <w:szCs w:val="24"/>
        </w:rPr>
        <w:t>；</w:t>
      </w:r>
      <w:r w:rsidRPr="00401789">
        <w:rPr>
          <w:rFonts w:eastAsia="標楷體"/>
          <w:sz w:val="24"/>
          <w:szCs w:val="24"/>
        </w:rPr>
        <w:t>和</w:t>
      </w:r>
      <w:r w:rsidR="00DA537A">
        <w:rPr>
          <w:rFonts w:eastAsia="標楷體"/>
          <w:sz w:val="24"/>
          <w:szCs w:val="24"/>
        </w:rPr>
        <w:t>(iii)</w:t>
      </w:r>
      <w:r w:rsidRPr="00401789">
        <w:rPr>
          <w:rFonts w:eastAsia="標楷體"/>
          <w:sz w:val="24"/>
          <w:szCs w:val="24"/>
        </w:rPr>
        <w:t>有關開支是完全、純粹及必須為產生該應評稅入息而招致的</w:t>
      </w:r>
      <w:r w:rsidRPr="00401789">
        <w:rPr>
          <w:rFonts w:eastAsia="標楷體"/>
          <w:sz w:val="24"/>
          <w:szCs w:val="24"/>
        </w:rPr>
        <w:t>(</w:t>
      </w:r>
      <w:r w:rsidRPr="00DA537A">
        <w:rPr>
          <w:rFonts w:eastAsia="標楷體"/>
          <w:snapToGrid w:val="0"/>
          <w:sz w:val="24"/>
          <w:szCs w:val="24"/>
          <w:u w:val="single"/>
        </w:rPr>
        <w:t>D36/90</w:t>
      </w:r>
      <w:r w:rsidR="00E95006" w:rsidRPr="00401789">
        <w:rPr>
          <w:rFonts w:eastAsia="標楷體"/>
          <w:snapToGrid w:val="0"/>
          <w:sz w:val="24"/>
          <w:szCs w:val="24"/>
        </w:rPr>
        <w:t>,</w:t>
      </w:r>
      <w:r w:rsidRPr="00401789">
        <w:rPr>
          <w:rFonts w:eastAsia="標楷體"/>
          <w:snapToGrid w:val="0"/>
          <w:sz w:val="24"/>
          <w:szCs w:val="24"/>
        </w:rPr>
        <w:t xml:space="preserve"> IRBRD</w:t>
      </w:r>
      <w:r w:rsidR="00E95006" w:rsidRPr="00401789">
        <w:rPr>
          <w:rFonts w:eastAsia="標楷體"/>
          <w:snapToGrid w:val="0"/>
          <w:sz w:val="24"/>
          <w:szCs w:val="24"/>
        </w:rPr>
        <w:t>,</w:t>
      </w:r>
      <w:r w:rsidRPr="00401789">
        <w:rPr>
          <w:rFonts w:eastAsia="標楷體"/>
          <w:snapToGrid w:val="0"/>
          <w:sz w:val="24"/>
          <w:szCs w:val="24"/>
        </w:rPr>
        <w:t xml:space="preserve"> vol 5</w:t>
      </w:r>
      <w:r w:rsidR="00E95006" w:rsidRPr="00401789">
        <w:rPr>
          <w:rFonts w:eastAsia="標楷體"/>
          <w:snapToGrid w:val="0"/>
          <w:sz w:val="24"/>
          <w:szCs w:val="24"/>
        </w:rPr>
        <w:t>,</w:t>
      </w:r>
      <w:r w:rsidRPr="00401789">
        <w:rPr>
          <w:rFonts w:eastAsia="標楷體"/>
          <w:snapToGrid w:val="0"/>
          <w:sz w:val="24"/>
          <w:szCs w:val="24"/>
        </w:rPr>
        <w:t xml:space="preserve"> 295)</w:t>
      </w:r>
      <w:r w:rsidRPr="00401789">
        <w:rPr>
          <w:rFonts w:eastAsia="標楷體"/>
          <w:sz w:val="24"/>
          <w:szCs w:val="24"/>
        </w:rPr>
        <w:t>。</w:t>
      </w:r>
    </w:p>
    <w:p w14:paraId="472436D3" w14:textId="77777777" w:rsidR="00C57852" w:rsidRPr="00401789" w:rsidRDefault="00C57852" w:rsidP="00E751EB">
      <w:pPr>
        <w:pStyle w:val="aff"/>
        <w:ind w:left="0"/>
        <w:jc w:val="both"/>
        <w:rPr>
          <w:rFonts w:eastAsia="標楷體"/>
          <w:snapToGrid w:val="0"/>
          <w:sz w:val="24"/>
          <w:szCs w:val="24"/>
        </w:rPr>
      </w:pPr>
    </w:p>
    <w:p w14:paraId="3C72EBA8" w14:textId="7B6ED853" w:rsidR="001E4A55" w:rsidRPr="00401789" w:rsidRDefault="001E4A55" w:rsidP="00E751EB">
      <w:pPr>
        <w:pStyle w:val="aff"/>
        <w:numPr>
          <w:ilvl w:val="0"/>
          <w:numId w:val="21"/>
        </w:numPr>
        <w:ind w:left="0" w:firstLine="0"/>
        <w:jc w:val="both"/>
        <w:rPr>
          <w:rFonts w:eastAsia="標楷體"/>
          <w:snapToGrid w:val="0"/>
          <w:sz w:val="24"/>
          <w:szCs w:val="24"/>
        </w:rPr>
      </w:pPr>
      <w:r w:rsidRPr="00401789">
        <w:rPr>
          <w:rFonts w:eastAsia="標楷體"/>
          <w:sz w:val="24"/>
          <w:szCs w:val="24"/>
        </w:rPr>
        <w:t>稅例第</w:t>
      </w:r>
      <w:r w:rsidRPr="00401789">
        <w:rPr>
          <w:rFonts w:eastAsia="標楷體"/>
          <w:sz w:val="24"/>
          <w:szCs w:val="24"/>
        </w:rPr>
        <w:t>68(4)</w:t>
      </w:r>
      <w:r w:rsidRPr="00401789">
        <w:rPr>
          <w:rFonts w:eastAsia="標楷體"/>
          <w:sz w:val="24"/>
          <w:szCs w:val="24"/>
        </w:rPr>
        <w:t>條就舉證責任規定如下</w:t>
      </w:r>
      <w:r w:rsidRPr="00401789">
        <w:rPr>
          <w:rFonts w:eastAsia="標楷體"/>
          <w:snapToGrid w:val="0"/>
          <w:sz w:val="24"/>
          <w:szCs w:val="24"/>
        </w:rPr>
        <w:t>：</w:t>
      </w:r>
    </w:p>
    <w:p w14:paraId="1FC769D8" w14:textId="77777777" w:rsidR="001E4A55" w:rsidRPr="00401789" w:rsidRDefault="001E4A55" w:rsidP="008A57E3">
      <w:pPr>
        <w:tabs>
          <w:tab w:val="left" w:pos="1080"/>
        </w:tabs>
        <w:ind w:left="720" w:hanging="720"/>
        <w:jc w:val="both"/>
        <w:rPr>
          <w:rFonts w:eastAsia="標楷體"/>
          <w:sz w:val="24"/>
          <w:szCs w:val="24"/>
        </w:rPr>
      </w:pPr>
      <w:r w:rsidRPr="00401789">
        <w:rPr>
          <w:rFonts w:eastAsia="標楷體"/>
          <w:sz w:val="24"/>
          <w:szCs w:val="24"/>
        </w:rPr>
        <w:tab/>
      </w:r>
    </w:p>
    <w:p w14:paraId="403446D4" w14:textId="1A859459" w:rsidR="001E4A55" w:rsidRPr="00401789" w:rsidRDefault="001E4A55" w:rsidP="00E751EB">
      <w:pPr>
        <w:ind w:leftChars="638" w:left="1984" w:hangingChars="295" w:hanging="708"/>
        <w:jc w:val="both"/>
        <w:rPr>
          <w:rFonts w:eastAsia="標楷體"/>
          <w:iCs/>
          <w:sz w:val="24"/>
          <w:szCs w:val="24"/>
        </w:rPr>
      </w:pPr>
      <w:r w:rsidRPr="00401789">
        <w:rPr>
          <w:rFonts w:eastAsia="標楷體"/>
          <w:iCs/>
          <w:sz w:val="24"/>
          <w:szCs w:val="24"/>
        </w:rPr>
        <w:t>「</w:t>
      </w:r>
      <w:r w:rsidRPr="00DA537A">
        <w:rPr>
          <w:rFonts w:eastAsia="標楷體"/>
          <w:i/>
          <w:iCs/>
          <w:sz w:val="24"/>
          <w:szCs w:val="24"/>
        </w:rPr>
        <w:t>(4)</w:t>
      </w:r>
      <w:r w:rsidRPr="00DA537A">
        <w:rPr>
          <w:rFonts w:eastAsia="標楷體"/>
          <w:i/>
          <w:iCs/>
          <w:sz w:val="24"/>
          <w:szCs w:val="24"/>
        </w:rPr>
        <w:tab/>
      </w:r>
      <w:r w:rsidRPr="00DA537A">
        <w:rPr>
          <w:rFonts w:eastAsia="標楷體"/>
          <w:i/>
          <w:iCs/>
          <w:sz w:val="24"/>
          <w:szCs w:val="24"/>
        </w:rPr>
        <w:t>證明上訴所針對的評稅額過多或不正確的舉證責任</w:t>
      </w:r>
      <w:r w:rsidR="00874089" w:rsidRPr="00DA537A">
        <w:rPr>
          <w:rFonts w:eastAsia="標楷體"/>
          <w:i/>
          <w:iCs/>
          <w:sz w:val="24"/>
          <w:szCs w:val="24"/>
        </w:rPr>
        <w:t>，</w:t>
      </w:r>
      <w:r w:rsidRPr="00DA537A">
        <w:rPr>
          <w:rFonts w:eastAsia="標楷體"/>
          <w:i/>
          <w:iCs/>
          <w:sz w:val="24"/>
          <w:szCs w:val="24"/>
        </w:rPr>
        <w:t>須由上訴人承擔。</w:t>
      </w:r>
      <w:r w:rsidRPr="00401789">
        <w:rPr>
          <w:rFonts w:eastAsia="標楷體"/>
          <w:iCs/>
          <w:sz w:val="24"/>
          <w:szCs w:val="24"/>
        </w:rPr>
        <w:t>」</w:t>
      </w:r>
    </w:p>
    <w:p w14:paraId="6F7E7DEC" w14:textId="251473C7" w:rsidR="00F97045" w:rsidRPr="00401789" w:rsidRDefault="00F97045" w:rsidP="008A57E3">
      <w:pPr>
        <w:ind w:left="720" w:hanging="720"/>
        <w:jc w:val="both"/>
        <w:rPr>
          <w:rFonts w:eastAsia="標楷體"/>
          <w:iCs/>
          <w:sz w:val="24"/>
          <w:szCs w:val="24"/>
        </w:rPr>
      </w:pPr>
    </w:p>
    <w:p w14:paraId="1CAA6918" w14:textId="7C719391" w:rsidR="00F97045" w:rsidRPr="00401789" w:rsidRDefault="00BF4411" w:rsidP="00E751EB">
      <w:pPr>
        <w:pStyle w:val="aff"/>
        <w:numPr>
          <w:ilvl w:val="0"/>
          <w:numId w:val="21"/>
        </w:numPr>
        <w:ind w:left="0" w:firstLine="0"/>
        <w:jc w:val="both"/>
        <w:rPr>
          <w:rFonts w:eastAsia="標楷體"/>
          <w:sz w:val="24"/>
          <w:szCs w:val="24"/>
        </w:rPr>
      </w:pPr>
      <w:r w:rsidRPr="00401789">
        <w:rPr>
          <w:rFonts w:eastAsia="標楷體"/>
          <w:sz w:val="24"/>
          <w:szCs w:val="24"/>
        </w:rPr>
        <w:t>根據《稅例》第</w:t>
      </w:r>
      <w:r w:rsidRPr="00401789">
        <w:rPr>
          <w:rFonts w:eastAsia="標楷體"/>
          <w:sz w:val="24"/>
          <w:szCs w:val="24"/>
        </w:rPr>
        <w:t>68(4)</w:t>
      </w:r>
      <w:r w:rsidRPr="00401789">
        <w:rPr>
          <w:rFonts w:eastAsia="標楷體"/>
          <w:sz w:val="24"/>
          <w:szCs w:val="24"/>
        </w:rPr>
        <w:t>條</w:t>
      </w:r>
      <w:r w:rsidR="00874089" w:rsidRPr="00401789">
        <w:rPr>
          <w:rFonts w:eastAsia="標楷體"/>
          <w:sz w:val="24"/>
          <w:szCs w:val="24"/>
        </w:rPr>
        <w:t>，</w:t>
      </w:r>
      <w:r w:rsidRPr="00401789">
        <w:rPr>
          <w:rFonts w:eastAsia="標楷體"/>
          <w:sz w:val="24"/>
          <w:szCs w:val="24"/>
        </w:rPr>
        <w:t>舉證責任在於上訴人。而上訴人因未能提供有關支出的憑據及記錄</w:t>
      </w:r>
      <w:r w:rsidR="00874089" w:rsidRPr="00401789">
        <w:rPr>
          <w:rFonts w:eastAsia="標楷體"/>
          <w:sz w:val="24"/>
          <w:szCs w:val="24"/>
        </w:rPr>
        <w:t>，</w:t>
      </w:r>
      <w:r w:rsidR="005B2F46" w:rsidRPr="00401789">
        <w:rPr>
          <w:rFonts w:eastAsia="標楷體"/>
          <w:sz w:val="24"/>
          <w:szCs w:val="24"/>
        </w:rPr>
        <w:t>無法</w:t>
      </w:r>
      <w:r w:rsidR="00B93719" w:rsidRPr="00401789">
        <w:rPr>
          <w:rFonts w:eastAsia="標楷體"/>
          <w:sz w:val="24"/>
          <w:szCs w:val="24"/>
        </w:rPr>
        <w:t>履行</w:t>
      </w:r>
      <w:r w:rsidR="005B2F46" w:rsidRPr="00401789">
        <w:rPr>
          <w:rFonts w:eastAsia="標楷體"/>
          <w:sz w:val="24"/>
          <w:szCs w:val="24"/>
        </w:rPr>
        <w:t>舉證責任的要求</w:t>
      </w:r>
      <w:r w:rsidR="00874089" w:rsidRPr="00401789">
        <w:rPr>
          <w:rFonts w:eastAsia="標楷體"/>
          <w:sz w:val="24"/>
          <w:szCs w:val="24"/>
        </w:rPr>
        <w:t>，</w:t>
      </w:r>
      <w:r w:rsidR="005B2F46" w:rsidRPr="00401789">
        <w:rPr>
          <w:rFonts w:eastAsia="標楷體"/>
          <w:sz w:val="24"/>
          <w:szCs w:val="24"/>
        </w:rPr>
        <w:t>而</w:t>
      </w:r>
      <w:r w:rsidRPr="00401789">
        <w:rPr>
          <w:rFonts w:eastAsia="標楷體"/>
          <w:sz w:val="24"/>
          <w:szCs w:val="24"/>
        </w:rPr>
        <w:t>委員會</w:t>
      </w:r>
      <w:r w:rsidR="005B2F46" w:rsidRPr="00401789">
        <w:rPr>
          <w:rFonts w:eastAsia="標楷體"/>
          <w:sz w:val="24"/>
          <w:szCs w:val="24"/>
        </w:rPr>
        <w:t>亦</w:t>
      </w:r>
      <w:r w:rsidRPr="00401789">
        <w:rPr>
          <w:rFonts w:eastAsia="標楷體"/>
          <w:sz w:val="24"/>
          <w:szCs w:val="24"/>
        </w:rPr>
        <w:t>無法確證有關開支的招致</w:t>
      </w:r>
      <w:r w:rsidRPr="00401789">
        <w:rPr>
          <w:rFonts w:eastAsia="標楷體"/>
          <w:sz w:val="24"/>
          <w:szCs w:val="24"/>
          <w:lang w:val="es-419"/>
        </w:rPr>
        <w:t>及其準確性</w:t>
      </w:r>
      <w:r w:rsidRPr="00401789">
        <w:rPr>
          <w:rFonts w:eastAsia="標楷體"/>
          <w:sz w:val="24"/>
          <w:szCs w:val="24"/>
        </w:rPr>
        <w:t>。縱然上訴人的情況值得同情</w:t>
      </w:r>
      <w:r w:rsidR="00874089" w:rsidRPr="00401789">
        <w:rPr>
          <w:rFonts w:eastAsia="標楷體"/>
          <w:sz w:val="24"/>
          <w:szCs w:val="24"/>
        </w:rPr>
        <w:t>，</w:t>
      </w:r>
      <w:r w:rsidRPr="00401789">
        <w:rPr>
          <w:rFonts w:eastAsia="標楷體"/>
          <w:sz w:val="24"/>
          <w:szCs w:val="24"/>
        </w:rPr>
        <w:t>委員會亦</w:t>
      </w:r>
      <w:r w:rsidR="0067013E" w:rsidRPr="00401789">
        <w:rPr>
          <w:rFonts w:eastAsia="標楷體"/>
          <w:sz w:val="24"/>
          <w:szCs w:val="24"/>
        </w:rPr>
        <w:t>只</w:t>
      </w:r>
      <w:r w:rsidR="0015481A" w:rsidRPr="00401789">
        <w:rPr>
          <w:rFonts w:eastAsia="標楷體"/>
          <w:sz w:val="24"/>
          <w:szCs w:val="24"/>
        </w:rPr>
        <w:t>能</w:t>
      </w:r>
      <w:r w:rsidR="008C2BB4" w:rsidRPr="00401789">
        <w:rPr>
          <w:rFonts w:eastAsia="標楷體"/>
          <w:sz w:val="24"/>
          <w:szCs w:val="24"/>
        </w:rPr>
        <w:t>裁定上訴人上訴失敗</w:t>
      </w:r>
      <w:r w:rsidRPr="00401789">
        <w:rPr>
          <w:rFonts w:eastAsia="標楷體"/>
          <w:sz w:val="24"/>
          <w:szCs w:val="24"/>
        </w:rPr>
        <w:t>。</w:t>
      </w:r>
    </w:p>
    <w:p w14:paraId="4C43A8D8" w14:textId="77777777" w:rsidR="005B7759" w:rsidRPr="00401789" w:rsidRDefault="005B7759" w:rsidP="008A57E3">
      <w:pPr>
        <w:pStyle w:val="aff"/>
        <w:ind w:hanging="720"/>
        <w:jc w:val="both"/>
        <w:rPr>
          <w:rFonts w:eastAsia="標楷體"/>
          <w:sz w:val="24"/>
          <w:szCs w:val="24"/>
        </w:rPr>
      </w:pPr>
    </w:p>
    <w:p w14:paraId="62469272" w14:textId="4E235121" w:rsidR="00DD0505" w:rsidRPr="00E751EB" w:rsidRDefault="005B7759" w:rsidP="008A57E3">
      <w:pPr>
        <w:pStyle w:val="aff"/>
        <w:ind w:left="288" w:hanging="288"/>
        <w:jc w:val="both"/>
        <w:rPr>
          <w:rFonts w:eastAsia="標楷體"/>
          <w:b/>
          <w:sz w:val="28"/>
          <w:szCs w:val="28"/>
        </w:rPr>
      </w:pPr>
      <w:r w:rsidRPr="00E751EB">
        <w:rPr>
          <w:rFonts w:eastAsia="標楷體"/>
          <w:b/>
          <w:sz w:val="28"/>
          <w:szCs w:val="28"/>
        </w:rPr>
        <w:t>附帶意見</w:t>
      </w:r>
    </w:p>
    <w:p w14:paraId="1A4685E5" w14:textId="77777777" w:rsidR="00DD0505" w:rsidRPr="00401789" w:rsidRDefault="00DD0505" w:rsidP="008A57E3">
      <w:pPr>
        <w:pStyle w:val="aff"/>
        <w:ind w:left="288" w:hanging="720"/>
        <w:jc w:val="both"/>
        <w:rPr>
          <w:rFonts w:eastAsia="標楷體"/>
          <w:sz w:val="24"/>
          <w:szCs w:val="24"/>
        </w:rPr>
      </w:pPr>
    </w:p>
    <w:p w14:paraId="452CEBAC" w14:textId="4A6AA5C1" w:rsidR="00CB450B" w:rsidRPr="00401789" w:rsidRDefault="00A542A9" w:rsidP="00E751EB">
      <w:pPr>
        <w:numPr>
          <w:ilvl w:val="0"/>
          <w:numId w:val="21"/>
        </w:numPr>
        <w:adjustRightInd/>
        <w:ind w:left="0" w:firstLine="0"/>
        <w:jc w:val="both"/>
        <w:textAlignment w:val="auto"/>
        <w:rPr>
          <w:rFonts w:eastAsia="標楷體"/>
          <w:sz w:val="24"/>
          <w:szCs w:val="24"/>
        </w:rPr>
      </w:pPr>
      <w:r w:rsidRPr="00401789">
        <w:rPr>
          <w:rFonts w:eastAsia="標楷體"/>
          <w:sz w:val="24"/>
          <w:szCs w:val="24"/>
        </w:rPr>
        <w:t>就以</w:t>
      </w:r>
      <w:r w:rsidRPr="00401789">
        <w:rPr>
          <w:rFonts w:eastAsia="標楷體"/>
          <w:sz w:val="24"/>
          <w:szCs w:val="24"/>
        </w:rPr>
        <w:t>20%</w:t>
      </w:r>
      <w:r w:rsidR="004E58C1" w:rsidRPr="00401789">
        <w:rPr>
          <w:rFonts w:eastAsia="標楷體"/>
          <w:sz w:val="24"/>
          <w:szCs w:val="24"/>
        </w:rPr>
        <w:t>總入息作估計</w:t>
      </w:r>
      <w:r w:rsidRPr="00401789">
        <w:rPr>
          <w:rFonts w:eastAsia="標楷體"/>
          <w:sz w:val="24"/>
          <w:szCs w:val="24"/>
        </w:rPr>
        <w:t>而言</w:t>
      </w:r>
      <w:r w:rsidR="00874089" w:rsidRPr="00401789">
        <w:rPr>
          <w:rFonts w:eastAsia="標楷體"/>
          <w:sz w:val="24"/>
          <w:szCs w:val="24"/>
        </w:rPr>
        <w:t>，</w:t>
      </w:r>
      <w:r w:rsidR="00891882" w:rsidRPr="00401789">
        <w:rPr>
          <w:rFonts w:eastAsia="標楷體"/>
          <w:sz w:val="24"/>
          <w:szCs w:val="24"/>
        </w:rPr>
        <w:t>在</w:t>
      </w:r>
      <w:r w:rsidR="00CB450B" w:rsidRPr="00401789">
        <w:rPr>
          <w:rFonts w:eastAsia="標楷體"/>
          <w:sz w:val="24"/>
          <w:szCs w:val="24"/>
        </w:rPr>
        <w:t>稅務局</w:t>
      </w:r>
      <w:r w:rsidR="00B96D6D" w:rsidRPr="00401789">
        <w:rPr>
          <w:rFonts w:eastAsia="標楷體"/>
          <w:sz w:val="24"/>
          <w:szCs w:val="24"/>
        </w:rPr>
        <w:t>只引用內部</w:t>
      </w:r>
      <w:r w:rsidR="006A78F6" w:rsidRPr="00401789">
        <w:rPr>
          <w:rFonts w:eastAsia="標楷體"/>
          <w:sz w:val="24"/>
          <w:szCs w:val="24"/>
        </w:rPr>
        <w:t>指引和</w:t>
      </w:r>
      <w:r w:rsidR="00B96D6D" w:rsidRPr="00401789">
        <w:rPr>
          <w:rFonts w:eastAsia="標楷體"/>
          <w:sz w:val="24"/>
          <w:szCs w:val="24"/>
        </w:rPr>
        <w:t>準則</w:t>
      </w:r>
      <w:r w:rsidR="007E0D88" w:rsidRPr="00401789">
        <w:rPr>
          <w:rFonts w:eastAsia="標楷體"/>
          <w:sz w:val="24"/>
          <w:szCs w:val="24"/>
        </w:rPr>
        <w:t>而</w:t>
      </w:r>
      <w:r w:rsidR="00CB450B" w:rsidRPr="00401789">
        <w:rPr>
          <w:rFonts w:eastAsia="標楷體"/>
          <w:sz w:val="24"/>
          <w:szCs w:val="24"/>
        </w:rPr>
        <w:t>沒有</w:t>
      </w:r>
      <w:r w:rsidR="00E325AD" w:rsidRPr="00401789">
        <w:rPr>
          <w:rFonts w:eastAsia="標楷體"/>
          <w:sz w:val="24"/>
          <w:szCs w:val="24"/>
        </w:rPr>
        <w:t>提供</w:t>
      </w:r>
      <w:r w:rsidR="00F96761" w:rsidRPr="00401789">
        <w:rPr>
          <w:rFonts w:eastAsia="標楷體"/>
          <w:sz w:val="24"/>
          <w:szCs w:val="24"/>
        </w:rPr>
        <w:t>任何</w:t>
      </w:r>
      <w:r w:rsidR="007E0D88" w:rsidRPr="00401789">
        <w:rPr>
          <w:rFonts w:eastAsia="標楷體"/>
          <w:sz w:val="24"/>
          <w:szCs w:val="24"/>
        </w:rPr>
        <w:t>獨立</w:t>
      </w:r>
      <w:r w:rsidR="00F96761" w:rsidRPr="00401789">
        <w:rPr>
          <w:rFonts w:eastAsia="標楷體"/>
          <w:sz w:val="24"/>
          <w:szCs w:val="24"/>
        </w:rPr>
        <w:t>依據</w:t>
      </w:r>
      <w:r w:rsidR="004E58C1" w:rsidRPr="00401789">
        <w:rPr>
          <w:rFonts w:eastAsia="標楷體"/>
          <w:sz w:val="24"/>
          <w:szCs w:val="24"/>
        </w:rPr>
        <w:t>的情況下</w:t>
      </w:r>
      <w:r w:rsidR="00874089" w:rsidRPr="00401789">
        <w:rPr>
          <w:rFonts w:eastAsia="標楷體"/>
          <w:sz w:val="24"/>
          <w:szCs w:val="24"/>
        </w:rPr>
        <w:t>，</w:t>
      </w:r>
      <w:r w:rsidR="00891882" w:rsidRPr="00401789">
        <w:rPr>
          <w:rFonts w:eastAsia="標楷體"/>
          <w:sz w:val="24"/>
          <w:szCs w:val="24"/>
        </w:rPr>
        <w:t>委員會認為</w:t>
      </w:r>
      <w:r w:rsidR="00FE0A68" w:rsidRPr="00401789">
        <w:rPr>
          <w:rFonts w:eastAsia="標楷體"/>
          <w:sz w:val="24"/>
          <w:szCs w:val="24"/>
        </w:rPr>
        <w:t>應予改善</w:t>
      </w:r>
      <w:r w:rsidR="00874089" w:rsidRPr="00401789">
        <w:rPr>
          <w:rFonts w:eastAsia="標楷體"/>
          <w:sz w:val="24"/>
          <w:szCs w:val="24"/>
        </w:rPr>
        <w:t>。</w:t>
      </w:r>
      <w:r w:rsidR="00D4128B" w:rsidRPr="00401789">
        <w:rPr>
          <w:rFonts w:eastAsia="標楷體"/>
          <w:sz w:val="24"/>
          <w:szCs w:val="24"/>
        </w:rPr>
        <w:t>委員會認為稅務局</w:t>
      </w:r>
      <w:r w:rsidR="00FF50A1" w:rsidRPr="00401789">
        <w:rPr>
          <w:rFonts w:eastAsia="標楷體"/>
          <w:sz w:val="24"/>
          <w:szCs w:val="24"/>
        </w:rPr>
        <w:t>有責任</w:t>
      </w:r>
      <w:r w:rsidR="00C03604" w:rsidRPr="00401789">
        <w:rPr>
          <w:rFonts w:eastAsia="標楷體"/>
          <w:sz w:val="24"/>
          <w:szCs w:val="24"/>
        </w:rPr>
        <w:t>對</w:t>
      </w:r>
      <w:r w:rsidR="008868BA" w:rsidRPr="00401789">
        <w:rPr>
          <w:rFonts w:eastAsia="標楷體"/>
          <w:sz w:val="24"/>
          <w:szCs w:val="24"/>
        </w:rPr>
        <w:t>特定貿易</w:t>
      </w:r>
      <w:r w:rsidR="008868BA" w:rsidRPr="00401789">
        <w:rPr>
          <w:rFonts w:eastAsia="標楷體"/>
          <w:sz w:val="24"/>
          <w:szCs w:val="24"/>
        </w:rPr>
        <w:t>/</w:t>
      </w:r>
      <w:r w:rsidR="008868BA" w:rsidRPr="00401789">
        <w:rPr>
          <w:rFonts w:eastAsia="標楷體"/>
          <w:sz w:val="24"/>
          <w:szCs w:val="24"/>
        </w:rPr>
        <w:t>行業</w:t>
      </w:r>
      <w:r w:rsidR="00C03604" w:rsidRPr="00401789">
        <w:rPr>
          <w:rFonts w:eastAsia="標楷體"/>
          <w:sz w:val="24"/>
          <w:szCs w:val="24"/>
        </w:rPr>
        <w:t>的利潤進行公正</w:t>
      </w:r>
      <w:r w:rsidR="00874089" w:rsidRPr="00401789">
        <w:rPr>
          <w:rFonts w:eastAsia="標楷體"/>
          <w:sz w:val="24"/>
          <w:szCs w:val="24"/>
        </w:rPr>
        <w:t>，</w:t>
      </w:r>
      <w:r w:rsidR="00C03604" w:rsidRPr="00401789">
        <w:rPr>
          <w:rFonts w:eastAsia="標楷體"/>
          <w:sz w:val="24"/>
          <w:szCs w:val="24"/>
        </w:rPr>
        <w:t>及時和合理的估計</w:t>
      </w:r>
      <w:r w:rsidR="00E95006" w:rsidRPr="00401789">
        <w:rPr>
          <w:rFonts w:eastAsia="標楷體"/>
          <w:sz w:val="24"/>
          <w:szCs w:val="24"/>
        </w:rPr>
        <w:t>。</w:t>
      </w:r>
    </w:p>
    <w:p w14:paraId="1459B80A" w14:textId="77777777" w:rsidR="00F96761" w:rsidRPr="00401789" w:rsidRDefault="00F96761" w:rsidP="00E751EB">
      <w:pPr>
        <w:adjustRightInd/>
        <w:jc w:val="both"/>
        <w:textAlignment w:val="auto"/>
        <w:rPr>
          <w:rFonts w:eastAsia="標楷體"/>
          <w:sz w:val="24"/>
          <w:szCs w:val="24"/>
        </w:rPr>
      </w:pPr>
    </w:p>
    <w:p w14:paraId="0873D9F1" w14:textId="6559E416" w:rsidR="00A542A9" w:rsidRPr="00401789" w:rsidRDefault="00A542A9" w:rsidP="00E751EB">
      <w:pPr>
        <w:numPr>
          <w:ilvl w:val="0"/>
          <w:numId w:val="21"/>
        </w:numPr>
        <w:adjustRightInd/>
        <w:ind w:left="0" w:firstLine="0"/>
        <w:jc w:val="both"/>
        <w:textAlignment w:val="auto"/>
        <w:rPr>
          <w:rFonts w:eastAsia="標楷體"/>
          <w:sz w:val="24"/>
          <w:szCs w:val="24"/>
        </w:rPr>
      </w:pPr>
      <w:r w:rsidRPr="00401789">
        <w:rPr>
          <w:rFonts w:eastAsia="標楷體"/>
          <w:sz w:val="24"/>
          <w:szCs w:val="24"/>
        </w:rPr>
        <w:t>委員會</w:t>
      </w:r>
      <w:r w:rsidR="009E5629" w:rsidRPr="00401789">
        <w:rPr>
          <w:rFonts w:eastAsia="標楷體"/>
          <w:sz w:val="24"/>
          <w:szCs w:val="24"/>
        </w:rPr>
        <w:t>建議</w:t>
      </w:r>
      <w:r w:rsidRPr="00401789">
        <w:rPr>
          <w:rFonts w:eastAsia="標楷體"/>
          <w:sz w:val="24"/>
          <w:szCs w:val="24"/>
        </w:rPr>
        <w:t>稅務局可參考就有關行業在政府認可</w:t>
      </w:r>
      <w:r w:rsidR="00BC7840" w:rsidRPr="00401789">
        <w:rPr>
          <w:rFonts w:eastAsia="標楷體"/>
          <w:sz w:val="24"/>
          <w:szCs w:val="24"/>
        </w:rPr>
        <w:t>機構</w:t>
      </w:r>
      <w:r w:rsidRPr="00401789">
        <w:rPr>
          <w:rFonts w:eastAsia="標楷體"/>
          <w:sz w:val="24"/>
          <w:szCs w:val="24"/>
        </w:rPr>
        <w:t>的數據而釐定百分比</w:t>
      </w:r>
      <w:r w:rsidR="00874089" w:rsidRPr="00401789">
        <w:rPr>
          <w:rFonts w:eastAsia="標楷體"/>
          <w:sz w:val="24"/>
          <w:szCs w:val="24"/>
        </w:rPr>
        <w:t>，</w:t>
      </w:r>
      <w:r w:rsidRPr="00401789">
        <w:rPr>
          <w:rFonts w:eastAsia="標楷體"/>
          <w:sz w:val="24"/>
          <w:szCs w:val="24"/>
        </w:rPr>
        <w:t>並作出定期更新</w:t>
      </w:r>
      <w:r w:rsidR="00874089" w:rsidRPr="00401789">
        <w:rPr>
          <w:rFonts w:eastAsia="標楷體"/>
          <w:sz w:val="24"/>
          <w:szCs w:val="24"/>
        </w:rPr>
        <w:t>，</w:t>
      </w:r>
      <w:r w:rsidRPr="00401789">
        <w:rPr>
          <w:rFonts w:eastAsia="標楷體"/>
          <w:sz w:val="24"/>
          <w:szCs w:val="24"/>
        </w:rPr>
        <w:t>從而加強有關準則的權威性和合理性。</w:t>
      </w:r>
      <w:r w:rsidRPr="00401789">
        <w:rPr>
          <w:rFonts w:eastAsia="標楷體"/>
          <w:sz w:val="24"/>
          <w:szCs w:val="24"/>
        </w:rPr>
        <w:t xml:space="preserve">  </w:t>
      </w:r>
    </w:p>
    <w:p w14:paraId="33F8ADDA" w14:textId="77777777" w:rsidR="00A542A9" w:rsidRPr="00401789" w:rsidRDefault="00A542A9" w:rsidP="00E751EB">
      <w:pPr>
        <w:adjustRightInd/>
        <w:jc w:val="both"/>
        <w:textAlignment w:val="auto"/>
        <w:rPr>
          <w:rFonts w:eastAsia="標楷體"/>
          <w:sz w:val="24"/>
          <w:szCs w:val="24"/>
        </w:rPr>
      </w:pPr>
    </w:p>
    <w:p w14:paraId="71879E52" w14:textId="58C40401" w:rsidR="004C7E82" w:rsidRPr="00E751EB" w:rsidRDefault="00A542A9" w:rsidP="00E751EB">
      <w:pPr>
        <w:pStyle w:val="aff"/>
        <w:numPr>
          <w:ilvl w:val="0"/>
          <w:numId w:val="21"/>
        </w:numPr>
        <w:ind w:left="0" w:firstLine="0"/>
        <w:jc w:val="both"/>
        <w:rPr>
          <w:rFonts w:eastAsia="標楷體"/>
          <w:sz w:val="24"/>
          <w:szCs w:val="24"/>
        </w:rPr>
      </w:pPr>
      <w:r w:rsidRPr="00401789">
        <w:rPr>
          <w:rFonts w:eastAsia="標楷體"/>
          <w:sz w:val="24"/>
          <w:szCs w:val="24"/>
          <w:lang w:val="es-419"/>
        </w:rPr>
        <w:t>以分</w:t>
      </w:r>
      <w:r w:rsidR="00F0533A" w:rsidRPr="00401789">
        <w:rPr>
          <w:rFonts w:eastAsia="標楷體"/>
          <w:sz w:val="24"/>
          <w:szCs w:val="24"/>
          <w:lang w:val="es-419"/>
        </w:rPr>
        <w:t>判商為</w:t>
      </w:r>
      <w:r w:rsidR="008721AA" w:rsidRPr="00401789">
        <w:rPr>
          <w:rFonts w:eastAsia="標楷體"/>
          <w:sz w:val="24"/>
          <w:szCs w:val="24"/>
          <w:lang w:val="es-419"/>
        </w:rPr>
        <w:t>例</w:t>
      </w:r>
      <w:r w:rsidR="00874089" w:rsidRPr="00401789">
        <w:rPr>
          <w:rFonts w:eastAsia="標楷體"/>
          <w:sz w:val="24"/>
          <w:szCs w:val="24"/>
          <w:lang w:val="es-419"/>
        </w:rPr>
        <w:t>，</w:t>
      </w:r>
      <w:r w:rsidR="008721AA" w:rsidRPr="00401789">
        <w:rPr>
          <w:rFonts w:eastAsia="標楷體"/>
          <w:sz w:val="24"/>
          <w:szCs w:val="24"/>
        </w:rPr>
        <w:t>委員會建議稅務局可</w:t>
      </w:r>
      <w:r w:rsidR="00A768DA" w:rsidRPr="00401789">
        <w:rPr>
          <w:rFonts w:eastAsia="標楷體"/>
          <w:sz w:val="24"/>
          <w:szCs w:val="24"/>
        </w:rPr>
        <w:t>定期</w:t>
      </w:r>
      <w:r w:rsidR="008721AA" w:rsidRPr="00401789">
        <w:rPr>
          <w:rFonts w:eastAsia="標楷體"/>
          <w:sz w:val="24"/>
          <w:szCs w:val="24"/>
        </w:rPr>
        <w:t>參考</w:t>
      </w:r>
      <w:r w:rsidR="00F0729C" w:rsidRPr="00401789">
        <w:rPr>
          <w:rFonts w:eastAsia="標楷體"/>
          <w:sz w:val="24"/>
          <w:szCs w:val="24"/>
        </w:rPr>
        <w:t>或查詢</w:t>
      </w:r>
      <w:r w:rsidR="007B317B" w:rsidRPr="00401789">
        <w:rPr>
          <w:rFonts w:eastAsia="標楷體"/>
          <w:sz w:val="24"/>
          <w:szCs w:val="24"/>
        </w:rPr>
        <w:t>如發展局</w:t>
      </w:r>
      <w:r w:rsidR="007E0D88" w:rsidRPr="00401789">
        <w:rPr>
          <w:rFonts w:eastAsia="標楷體"/>
          <w:sz w:val="24"/>
          <w:szCs w:val="24"/>
        </w:rPr>
        <w:t>，</w:t>
      </w:r>
      <w:r w:rsidR="00E325AD" w:rsidRPr="00401789">
        <w:rPr>
          <w:rFonts w:eastAsia="標楷體"/>
          <w:sz w:val="24"/>
          <w:szCs w:val="24"/>
        </w:rPr>
        <w:t>建造業議會</w:t>
      </w:r>
      <w:r w:rsidR="007E0D88" w:rsidRPr="00401789">
        <w:rPr>
          <w:rFonts w:eastAsia="標楷體"/>
          <w:sz w:val="24"/>
          <w:szCs w:val="24"/>
        </w:rPr>
        <w:t>及</w:t>
      </w:r>
      <w:r w:rsidR="009A333D" w:rsidRPr="00401789">
        <w:rPr>
          <w:rFonts w:eastAsia="標楷體"/>
          <w:sz w:val="24"/>
          <w:szCs w:val="24"/>
        </w:rPr>
        <w:t>香港建造商會</w:t>
      </w:r>
      <w:r w:rsidR="00F0729C" w:rsidRPr="00401789">
        <w:rPr>
          <w:rFonts w:eastAsia="標楷體"/>
          <w:sz w:val="24"/>
          <w:szCs w:val="24"/>
        </w:rPr>
        <w:t>等的數據和</w:t>
      </w:r>
      <w:r w:rsidR="00994433" w:rsidRPr="00401789">
        <w:rPr>
          <w:rFonts w:eastAsia="標楷體"/>
          <w:sz w:val="24"/>
          <w:szCs w:val="24"/>
        </w:rPr>
        <w:t>資料</w:t>
      </w:r>
      <w:r w:rsidR="00A768DA" w:rsidRPr="00401789">
        <w:rPr>
          <w:rFonts w:eastAsia="標楷體"/>
          <w:sz w:val="24"/>
          <w:szCs w:val="24"/>
        </w:rPr>
        <w:t>。</w:t>
      </w:r>
    </w:p>
    <w:sectPr w:rsidR="004C7E82" w:rsidRPr="00E751EB" w:rsidSect="008E7FE3">
      <w:headerReference w:type="default" r:id="rId8"/>
      <w:footerReference w:type="even" r:id="rId9"/>
      <w:footerReference w:type="default" r:id="rId10"/>
      <w:footerReference w:type="first" r:id="rId11"/>
      <w:pgSz w:w="11907" w:h="16834" w:code="9"/>
      <w:pgMar w:top="1985" w:right="1588" w:bottom="1701" w:left="1588" w:header="1361" w:footer="1134" w:gutter="0"/>
      <w:pgNumType w:start="76"/>
      <w:cols w:space="720"/>
      <w:docGrid w:linePitch="272" w:charSpace="8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EC65" w14:textId="77777777" w:rsidR="001E6BAA" w:rsidRDefault="001E6BAA" w:rsidP="001E4A55">
      <w:r>
        <w:separator/>
      </w:r>
    </w:p>
  </w:endnote>
  <w:endnote w:type="continuationSeparator" w:id="0">
    <w:p w14:paraId="34DE93E0" w14:textId="77777777" w:rsidR="001E6BAA" w:rsidRDefault="001E6BAA" w:rsidP="001E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楷書體W5">
    <w:altName w:val="微軟正黑體"/>
    <w:charset w:val="88"/>
    <w:family w:val="script"/>
    <w:pitch w:val="fixed"/>
    <w:sig w:usb0="F1007BFF" w:usb1="29F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4BD7" w14:textId="24BA6445" w:rsidR="00BE4513" w:rsidRDefault="00BE4513">
    <w:pPr>
      <w:pStyle w:val="a8"/>
    </w:pPr>
    <w:r>
      <w:tab/>
      <w:t>4</w:t>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12604"/>
      <w:docPartObj>
        <w:docPartGallery w:val="Page Numbers (Bottom of Page)"/>
        <w:docPartUnique/>
      </w:docPartObj>
    </w:sdtPr>
    <w:sdtEndPr/>
    <w:sdtContent>
      <w:p w14:paraId="65E541CE" w14:textId="3CF68BE3" w:rsidR="008E7FE3" w:rsidRDefault="008E7FE3">
        <w:pPr>
          <w:pStyle w:val="a8"/>
          <w:jc w:val="center"/>
        </w:pPr>
        <w:r>
          <w:fldChar w:fldCharType="begin"/>
        </w:r>
        <w:r>
          <w:instrText>PAGE   \* MERGEFORMAT</w:instrText>
        </w:r>
        <w:r>
          <w:fldChar w:fldCharType="separate"/>
        </w:r>
        <w:r w:rsidR="00B122A3" w:rsidRPr="00B122A3">
          <w:rPr>
            <w:noProof/>
            <w:lang w:val="zh-TW"/>
          </w:rPr>
          <w:t>77</w:t>
        </w:r>
        <w:r>
          <w:fldChar w:fldCharType="end"/>
        </w:r>
      </w:p>
    </w:sdtContent>
  </w:sdt>
  <w:p w14:paraId="75FD4140" w14:textId="77777777" w:rsidR="008E7FE3" w:rsidRPr="008E7FE3" w:rsidRDefault="008E7FE3">
    <w:pPr>
      <w:pStyle w:val="a8"/>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10EB" w14:textId="7EFA6FD1" w:rsidR="00BE4513" w:rsidRDefault="00BE4513">
    <w:pPr>
      <w:pStyle w:val="a8"/>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C320" w14:textId="77777777" w:rsidR="001E6BAA" w:rsidRDefault="001E6BAA" w:rsidP="001E4A55">
      <w:r>
        <w:separator/>
      </w:r>
    </w:p>
  </w:footnote>
  <w:footnote w:type="continuationSeparator" w:id="0">
    <w:p w14:paraId="2607D50C" w14:textId="77777777" w:rsidR="001E6BAA" w:rsidRDefault="001E6BAA" w:rsidP="001E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C1C9" w14:textId="0D5637CF" w:rsidR="001D782C" w:rsidRPr="00401789" w:rsidRDefault="001D782C" w:rsidP="001D782C">
    <w:pPr>
      <w:tabs>
        <w:tab w:val="center" w:pos="4153"/>
        <w:tab w:val="right" w:pos="8306"/>
      </w:tabs>
      <w:jc w:val="center"/>
      <w:rPr>
        <w:sz w:val="24"/>
        <w:szCs w:val="24"/>
        <w:lang w:val="en-US" w:eastAsia="zh-HK"/>
      </w:rPr>
    </w:pPr>
    <w:r w:rsidRPr="00401789">
      <w:rPr>
        <w:sz w:val="24"/>
        <w:szCs w:val="24"/>
      </w:rPr>
      <w:t>(20</w:t>
    </w:r>
    <w:r w:rsidRPr="00401789">
      <w:rPr>
        <w:sz w:val="24"/>
        <w:szCs w:val="24"/>
        <w:lang w:eastAsia="zh-HK"/>
      </w:rPr>
      <w:t>2</w:t>
    </w:r>
    <w:r w:rsidR="00DA537A">
      <w:rPr>
        <w:sz w:val="24"/>
        <w:szCs w:val="24"/>
        <w:lang w:eastAsia="zh-HK"/>
      </w:rPr>
      <w:t>1-22</w:t>
    </w:r>
    <w:r w:rsidRPr="00401789">
      <w:rPr>
        <w:sz w:val="24"/>
        <w:szCs w:val="24"/>
      </w:rPr>
      <w:t xml:space="preserve">) VOLUME </w:t>
    </w:r>
    <w:r w:rsidRPr="00401789">
      <w:rPr>
        <w:sz w:val="24"/>
        <w:szCs w:val="24"/>
        <w:lang w:eastAsia="zh-HK"/>
      </w:rPr>
      <w:t>36</w:t>
    </w:r>
    <w:r w:rsidRPr="00401789">
      <w:rPr>
        <w:sz w:val="24"/>
        <w:szCs w:val="24"/>
      </w:rPr>
      <w:t xml:space="preserve"> INLAND REVENUE BOARD OF REVIEW DECISIONS</w:t>
    </w:r>
  </w:p>
  <w:p w14:paraId="7D16EFF1" w14:textId="77777777" w:rsidR="001D782C" w:rsidRPr="00401789" w:rsidRDefault="001D782C" w:rsidP="001D782C">
    <w:pPr>
      <w:pStyle w:val="a6"/>
      <w:rPr>
        <w:rFonts w:eastAsiaTheme="minorEastAsia"/>
        <w:sz w:val="21"/>
        <w:szCs w:val="21"/>
        <w:lang w:eastAsia="en-US"/>
      </w:rPr>
    </w:pPr>
  </w:p>
  <w:p w14:paraId="2BAB6FE0" w14:textId="5A1D40D3" w:rsidR="00E151B5" w:rsidRPr="00401789" w:rsidRDefault="001E6BAA" w:rsidP="00401789">
    <w:pPr>
      <w:pStyle w:val="a6"/>
      <w:rPr>
        <w:rFonts w:ascii="CG Times (W1)" w:hAnsi="CG Times (W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2"/>
      <w:lvlText w:val="%1."/>
      <w:lvlJc w:val="left"/>
      <w:pPr>
        <w:tabs>
          <w:tab w:val="num" w:pos="720"/>
        </w:tabs>
        <w:ind w:left="720" w:hanging="720"/>
      </w:pPr>
    </w:lvl>
    <w:lvl w:ilvl="1">
      <w:start w:val="1"/>
      <w:numFmt w:val="lowerLetter"/>
      <w:pStyle w:val="Level3"/>
      <w:lvlText w:val="%2."/>
      <w:lvlJc w:val="left"/>
      <w:pPr>
        <w:tabs>
          <w:tab w:val="num" w:pos="1440"/>
        </w:tabs>
        <w:ind w:left="1440" w:hanging="720"/>
      </w:pPr>
    </w:lvl>
    <w:lvl w:ilvl="2">
      <w:start w:val="1"/>
      <w:numFmt w:val="lowerRoman"/>
      <w:lvlText w:val="%3."/>
      <w:lvlJc w:val="left"/>
      <w:pPr>
        <w:tabs>
          <w:tab w:val="num" w:pos="1980"/>
        </w:tabs>
        <w:ind w:left="1980" w:hanging="54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BE35C6"/>
    <w:multiLevelType w:val="hybridMultilevel"/>
    <w:tmpl w:val="D79E4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37B46"/>
    <w:multiLevelType w:val="hybridMultilevel"/>
    <w:tmpl w:val="1EE493D4"/>
    <w:lvl w:ilvl="0" w:tplc="D9589824">
      <w:start w:val="43"/>
      <w:numFmt w:val="decimal"/>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E6A75"/>
    <w:multiLevelType w:val="hybridMultilevel"/>
    <w:tmpl w:val="8A101FE0"/>
    <w:lvl w:ilvl="0" w:tplc="6E3A229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BC95D78"/>
    <w:multiLevelType w:val="hybridMultilevel"/>
    <w:tmpl w:val="CFB87A14"/>
    <w:lvl w:ilvl="0" w:tplc="6AA22F94">
      <w:start w:val="3"/>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FD2CB6"/>
    <w:multiLevelType w:val="hybridMultilevel"/>
    <w:tmpl w:val="AB30EB16"/>
    <w:lvl w:ilvl="0" w:tplc="2ECCBA1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0D57728C"/>
    <w:multiLevelType w:val="hybridMultilevel"/>
    <w:tmpl w:val="1396C832"/>
    <w:lvl w:ilvl="0" w:tplc="44B6882A">
      <w:start w:val="1"/>
      <w:numFmt w:val="lowerLetter"/>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7" w15:restartNumberingAfterBreak="0">
    <w:nsid w:val="0D941533"/>
    <w:multiLevelType w:val="hybridMultilevel"/>
    <w:tmpl w:val="4D807FE2"/>
    <w:lvl w:ilvl="0" w:tplc="99282A46">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18855D9A"/>
    <w:multiLevelType w:val="hybridMultilevel"/>
    <w:tmpl w:val="0EC4EF18"/>
    <w:lvl w:ilvl="0" w:tplc="166C957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3F65D2"/>
    <w:multiLevelType w:val="hybridMultilevel"/>
    <w:tmpl w:val="4DD44310"/>
    <w:lvl w:ilvl="0" w:tplc="0DA486D6">
      <w:start w:val="1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8B51E9"/>
    <w:multiLevelType w:val="hybridMultilevel"/>
    <w:tmpl w:val="179AC2AE"/>
    <w:lvl w:ilvl="0" w:tplc="3C90DE24">
      <w:start w:val="1"/>
      <w:numFmt w:val="lowerLetter"/>
      <w:lvlText w:val="(%1)"/>
      <w:lvlJc w:val="left"/>
      <w:pPr>
        <w:ind w:left="864" w:hanging="144"/>
      </w:pPr>
      <w:rPr>
        <w:rFonts w:ascii="Times New Roman" w:eastAsia="標楷體" w:hAnsi="Times New Roman" w:cs="Times New Roman" w:hint="default"/>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1" w15:restartNumberingAfterBreak="0">
    <w:nsid w:val="26ED7DD9"/>
    <w:multiLevelType w:val="hybridMultilevel"/>
    <w:tmpl w:val="549C4302"/>
    <w:lvl w:ilvl="0" w:tplc="FC829338">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A10E0"/>
    <w:multiLevelType w:val="hybridMultilevel"/>
    <w:tmpl w:val="E5A6A2E0"/>
    <w:lvl w:ilvl="0" w:tplc="E6EC7FA8">
      <w:start w:val="1"/>
      <w:numFmt w:val="lowerLetter"/>
      <w:lvlText w:val="(%1)"/>
      <w:lvlJc w:val="left"/>
      <w:pPr>
        <w:tabs>
          <w:tab w:val="num" w:pos="2175"/>
        </w:tabs>
        <w:ind w:left="2175" w:hanging="375"/>
      </w:pPr>
      <w:rPr>
        <w:rFonts w:hint="eastAsia"/>
        <w:i/>
      </w:rPr>
    </w:lvl>
    <w:lvl w:ilvl="1" w:tplc="BE6E06E4">
      <w:start w:val="6"/>
      <w:numFmt w:val="decimal"/>
      <w:lvlText w:val="%2."/>
      <w:lvlJc w:val="left"/>
      <w:pPr>
        <w:tabs>
          <w:tab w:val="num" w:pos="2640"/>
        </w:tabs>
        <w:ind w:left="2640" w:hanging="360"/>
      </w:pPr>
      <w:rPr>
        <w:rFonts w:hint="eastAsia"/>
      </w:rPr>
    </w:lvl>
    <w:lvl w:ilvl="2" w:tplc="DF74F5EC">
      <w:start w:val="7"/>
      <w:numFmt w:val="decimalFullWidth"/>
      <w:lvlText w:val="%3．"/>
      <w:lvlJc w:val="left"/>
      <w:pPr>
        <w:tabs>
          <w:tab w:val="num" w:pos="3480"/>
        </w:tabs>
        <w:ind w:left="3480" w:hanging="720"/>
      </w:pPr>
      <w:rPr>
        <w:rFonts w:ascii="Times New Roman" w:hAnsi="Times New Roman"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3" w15:restartNumberingAfterBreak="0">
    <w:nsid w:val="2E38578B"/>
    <w:multiLevelType w:val="hybridMultilevel"/>
    <w:tmpl w:val="8586E9D4"/>
    <w:lvl w:ilvl="0" w:tplc="1054C932">
      <w:start w:val="1"/>
      <w:numFmt w:val="decimal"/>
      <w:lvlText w:val="%1."/>
      <w:lvlJc w:val="left"/>
      <w:pPr>
        <w:tabs>
          <w:tab w:val="num" w:pos="2044"/>
        </w:tabs>
        <w:ind w:left="2044" w:hanging="480"/>
      </w:pPr>
      <w:rPr>
        <w:rFonts w:hint="eastAsia"/>
      </w:rPr>
    </w:lvl>
    <w:lvl w:ilvl="1" w:tplc="9DD0C448">
      <w:start w:val="8"/>
      <w:numFmt w:val="decimal"/>
      <w:lvlText w:val="「%2."/>
      <w:lvlJc w:val="left"/>
      <w:pPr>
        <w:tabs>
          <w:tab w:val="num" w:pos="1692"/>
        </w:tabs>
        <w:ind w:left="1692" w:hanging="735"/>
      </w:pPr>
      <w:rPr>
        <w:rFonts w:ascii="SimSun" w:eastAsia="新細明體" w:hAnsi="SimSun" w:hint="default"/>
      </w:rPr>
    </w:lvl>
    <w:lvl w:ilvl="2" w:tplc="042438F4">
      <w:start w:val="11"/>
      <w:numFmt w:val="decimal"/>
      <w:lvlText w:val="%3."/>
      <w:lvlJc w:val="left"/>
      <w:pPr>
        <w:tabs>
          <w:tab w:val="num" w:pos="1797"/>
        </w:tabs>
        <w:ind w:left="1797" w:hanging="360"/>
      </w:pPr>
      <w:rPr>
        <w:rFonts w:ascii="新細明體" w:eastAsia="新細明體" w:hAnsi="新細明體" w:hint="default"/>
      </w:rPr>
    </w:lvl>
    <w:lvl w:ilvl="3" w:tplc="0409000F" w:tentative="1">
      <w:start w:val="1"/>
      <w:numFmt w:val="decimal"/>
      <w:lvlText w:val="%4."/>
      <w:lvlJc w:val="left"/>
      <w:pPr>
        <w:tabs>
          <w:tab w:val="num" w:pos="2397"/>
        </w:tabs>
        <w:ind w:left="2397" w:hanging="480"/>
      </w:pPr>
    </w:lvl>
    <w:lvl w:ilvl="4" w:tplc="04090019" w:tentative="1">
      <w:start w:val="1"/>
      <w:numFmt w:val="ideographTraditional"/>
      <w:lvlText w:val="%5、"/>
      <w:lvlJc w:val="left"/>
      <w:pPr>
        <w:tabs>
          <w:tab w:val="num" w:pos="2877"/>
        </w:tabs>
        <w:ind w:left="2877" w:hanging="480"/>
      </w:pPr>
    </w:lvl>
    <w:lvl w:ilvl="5" w:tplc="0409001B" w:tentative="1">
      <w:start w:val="1"/>
      <w:numFmt w:val="lowerRoman"/>
      <w:lvlText w:val="%6."/>
      <w:lvlJc w:val="right"/>
      <w:pPr>
        <w:tabs>
          <w:tab w:val="num" w:pos="3357"/>
        </w:tabs>
        <w:ind w:left="3357" w:hanging="480"/>
      </w:pPr>
    </w:lvl>
    <w:lvl w:ilvl="6" w:tplc="0409000F" w:tentative="1">
      <w:start w:val="1"/>
      <w:numFmt w:val="decimal"/>
      <w:lvlText w:val="%7."/>
      <w:lvlJc w:val="left"/>
      <w:pPr>
        <w:tabs>
          <w:tab w:val="num" w:pos="3837"/>
        </w:tabs>
        <w:ind w:left="3837" w:hanging="480"/>
      </w:pPr>
    </w:lvl>
    <w:lvl w:ilvl="7" w:tplc="04090019" w:tentative="1">
      <w:start w:val="1"/>
      <w:numFmt w:val="ideographTraditional"/>
      <w:lvlText w:val="%8、"/>
      <w:lvlJc w:val="left"/>
      <w:pPr>
        <w:tabs>
          <w:tab w:val="num" w:pos="4317"/>
        </w:tabs>
        <w:ind w:left="4317" w:hanging="480"/>
      </w:pPr>
    </w:lvl>
    <w:lvl w:ilvl="8" w:tplc="0409001B" w:tentative="1">
      <w:start w:val="1"/>
      <w:numFmt w:val="lowerRoman"/>
      <w:lvlText w:val="%9."/>
      <w:lvlJc w:val="right"/>
      <w:pPr>
        <w:tabs>
          <w:tab w:val="num" w:pos="4797"/>
        </w:tabs>
        <w:ind w:left="4797" w:hanging="480"/>
      </w:pPr>
    </w:lvl>
  </w:abstractNum>
  <w:abstractNum w:abstractNumId="14" w15:restartNumberingAfterBreak="0">
    <w:nsid w:val="37916CD6"/>
    <w:multiLevelType w:val="hybridMultilevel"/>
    <w:tmpl w:val="17D6EF32"/>
    <w:lvl w:ilvl="0" w:tplc="F95A763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39023418"/>
    <w:multiLevelType w:val="hybridMultilevel"/>
    <w:tmpl w:val="CABC432A"/>
    <w:lvl w:ilvl="0" w:tplc="DBAAABB0">
      <w:start w:val="5"/>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E00CD7"/>
    <w:multiLevelType w:val="multilevel"/>
    <w:tmpl w:val="668226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15:restartNumberingAfterBreak="0">
    <w:nsid w:val="39ED72F4"/>
    <w:multiLevelType w:val="hybridMultilevel"/>
    <w:tmpl w:val="09A8F030"/>
    <w:lvl w:ilvl="0" w:tplc="59AED1B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0B27FF"/>
    <w:multiLevelType w:val="hybridMultilevel"/>
    <w:tmpl w:val="A72848F2"/>
    <w:lvl w:ilvl="0" w:tplc="7266231E">
      <w:start w:val="3"/>
      <w:numFmt w:val="decimal"/>
      <w:lvlText w:val="%1."/>
      <w:lvlJc w:val="left"/>
      <w:pPr>
        <w:tabs>
          <w:tab w:val="num" w:pos="840"/>
        </w:tabs>
        <w:ind w:left="840" w:hanging="360"/>
      </w:pPr>
      <w:rPr>
        <w:rFonts w:eastAsia="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450C266E"/>
    <w:multiLevelType w:val="hybridMultilevel"/>
    <w:tmpl w:val="495E168E"/>
    <w:lvl w:ilvl="0" w:tplc="8C503B3E">
      <w:start w:val="31"/>
      <w:numFmt w:val="decimal"/>
      <w:lvlText w:val="%1."/>
      <w:lvlJc w:val="left"/>
      <w:pPr>
        <w:tabs>
          <w:tab w:val="num" w:pos="450"/>
        </w:tabs>
        <w:ind w:left="450" w:hanging="45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AD761DD"/>
    <w:multiLevelType w:val="multilevel"/>
    <w:tmpl w:val="A872C60E"/>
    <w:lvl w:ilvl="0">
      <w:start w:val="1"/>
      <w:numFmt w:val="lowerLetter"/>
      <w:lvlText w:val="(%1)"/>
      <w:lvlJc w:val="left"/>
      <w:pPr>
        <w:ind w:left="1441" w:hanging="360"/>
      </w:pPr>
      <w:rPr>
        <w:rFonts w:ascii="標楷體" w:eastAsia="標楷體" w:hAnsi="標楷體" w:cs="Times New Roman"/>
      </w:rPr>
    </w:lvl>
    <w:lvl w:ilvl="1">
      <w:start w:val="1"/>
      <w:numFmt w:val="lowerLetter"/>
      <w:lvlText w:val="%2."/>
      <w:lvlJc w:val="left"/>
      <w:pPr>
        <w:ind w:left="2161" w:hanging="360"/>
      </w:pPr>
    </w:lvl>
    <w:lvl w:ilvl="2">
      <w:start w:val="1"/>
      <w:numFmt w:val="lowerRoman"/>
      <w:lvlText w:val="%3."/>
      <w:lvlJc w:val="right"/>
      <w:pPr>
        <w:ind w:left="2881" w:hanging="180"/>
      </w:pPr>
    </w:lvl>
    <w:lvl w:ilvl="3">
      <w:start w:val="1"/>
      <w:numFmt w:val="decimal"/>
      <w:lvlText w:val="%4."/>
      <w:lvlJc w:val="left"/>
      <w:pPr>
        <w:ind w:left="3601" w:hanging="360"/>
      </w:pPr>
    </w:lvl>
    <w:lvl w:ilvl="4">
      <w:start w:val="1"/>
      <w:numFmt w:val="lowerLetter"/>
      <w:lvlText w:val="%5."/>
      <w:lvlJc w:val="left"/>
      <w:pPr>
        <w:ind w:left="4321" w:hanging="360"/>
      </w:pPr>
    </w:lvl>
    <w:lvl w:ilvl="5">
      <w:start w:val="1"/>
      <w:numFmt w:val="lowerRoman"/>
      <w:lvlText w:val="%6."/>
      <w:lvlJc w:val="right"/>
      <w:pPr>
        <w:ind w:left="5041" w:hanging="180"/>
      </w:pPr>
    </w:lvl>
    <w:lvl w:ilvl="6">
      <w:start w:val="1"/>
      <w:numFmt w:val="decimal"/>
      <w:lvlText w:val="%7."/>
      <w:lvlJc w:val="left"/>
      <w:pPr>
        <w:ind w:left="5761" w:hanging="360"/>
      </w:pPr>
    </w:lvl>
    <w:lvl w:ilvl="7">
      <w:start w:val="1"/>
      <w:numFmt w:val="lowerLetter"/>
      <w:lvlText w:val="%8."/>
      <w:lvlJc w:val="left"/>
      <w:pPr>
        <w:ind w:left="6481" w:hanging="360"/>
      </w:pPr>
    </w:lvl>
    <w:lvl w:ilvl="8">
      <w:start w:val="1"/>
      <w:numFmt w:val="lowerRoman"/>
      <w:lvlText w:val="%9."/>
      <w:lvlJc w:val="right"/>
      <w:pPr>
        <w:ind w:left="7201" w:hanging="180"/>
      </w:pPr>
    </w:lvl>
  </w:abstractNum>
  <w:abstractNum w:abstractNumId="21" w15:restartNumberingAfterBreak="0">
    <w:nsid w:val="63434B67"/>
    <w:multiLevelType w:val="hybridMultilevel"/>
    <w:tmpl w:val="BC8A84A0"/>
    <w:lvl w:ilvl="0" w:tplc="7772F5B0">
      <w:start w:val="4"/>
      <w:numFmt w:val="upperLetter"/>
      <w:lvlText w:val="(%1)"/>
      <w:lvlJc w:val="left"/>
      <w:pPr>
        <w:tabs>
          <w:tab w:val="num" w:pos="3840"/>
        </w:tabs>
        <w:ind w:left="3840" w:hanging="3300"/>
      </w:pPr>
      <w:rPr>
        <w:rFonts w:hint="default"/>
      </w:rPr>
    </w:lvl>
    <w:lvl w:ilvl="1" w:tplc="950430EC">
      <w:start w:val="7"/>
      <w:numFmt w:val="decimal"/>
      <w:lvlText w:val="%2."/>
      <w:lvlJc w:val="left"/>
      <w:pPr>
        <w:tabs>
          <w:tab w:val="num" w:pos="1380"/>
        </w:tabs>
        <w:ind w:left="1380" w:hanging="360"/>
      </w:pPr>
      <w:rPr>
        <w:rFonts w:ascii="Times New Roman" w:hAnsi="Times New Roman" w:cs="Times New Roman" w:hint="default"/>
        <w:sz w:val="26"/>
        <w:szCs w:val="26"/>
      </w:r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736E14D8"/>
    <w:multiLevelType w:val="singleLevel"/>
    <w:tmpl w:val="73E2426C"/>
    <w:lvl w:ilvl="0">
      <w:start w:val="1"/>
      <w:numFmt w:val="decimal"/>
      <w:pStyle w:val="para"/>
      <w:lvlText w:val="%1."/>
      <w:lvlJc w:val="left"/>
      <w:pPr>
        <w:tabs>
          <w:tab w:val="num" w:pos="1440"/>
        </w:tabs>
        <w:ind w:left="1440" w:hanging="1440"/>
      </w:pPr>
      <w:rPr>
        <w:rFonts w:hint="default"/>
      </w:rPr>
    </w:lvl>
  </w:abstractNum>
  <w:abstractNum w:abstractNumId="23" w15:restartNumberingAfterBreak="0">
    <w:nsid w:val="786936C1"/>
    <w:multiLevelType w:val="hybridMultilevel"/>
    <w:tmpl w:val="CC903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0"/>
    <w:lvlOverride w:ilvl="0">
      <w:lvl w:ilvl="0">
        <w:start w:val="1"/>
        <w:numFmt w:val="decimal"/>
        <w:pStyle w:val="Level2"/>
        <w:lvlText w:val="%1."/>
        <w:lvlJc w:val="left"/>
        <w:pPr>
          <w:tabs>
            <w:tab w:val="num" w:pos="0"/>
          </w:tabs>
          <w:ind w:left="0" w:firstLine="0"/>
        </w:pPr>
        <w:rPr>
          <w:rFonts w:hint="eastAsia"/>
        </w:rPr>
      </w:lvl>
    </w:lvlOverride>
    <w:lvlOverride w:ilvl="1">
      <w:lvl w:ilvl="1">
        <w:start w:val="1"/>
        <w:numFmt w:val="decimal"/>
        <w:pStyle w:val="Level3"/>
        <w:lvlText w:val="%2."/>
        <w:lvlJc w:val="left"/>
        <w:pPr>
          <w:tabs>
            <w:tab w:val="num" w:pos="0"/>
          </w:tabs>
          <w:ind w:left="0" w:firstLine="0"/>
        </w:pPr>
        <w:rPr>
          <w:rFonts w:hint="eastAsia"/>
        </w:rPr>
      </w:lvl>
    </w:lvlOverride>
    <w:lvlOverride w:ilvl="2">
      <w:lvl w:ilvl="2">
        <w:start w:val="1"/>
        <w:numFmt w:val="lowerRoman"/>
        <w:lvlText w:val="%3."/>
        <w:lvlJc w:val="left"/>
        <w:pPr>
          <w:tabs>
            <w:tab w:val="num" w:pos="720"/>
          </w:tabs>
          <w:ind w:left="0" w:firstLine="0"/>
        </w:pPr>
        <w:rPr>
          <w:rFonts w:hint="eastAsia"/>
        </w:rPr>
      </w:lvl>
    </w:lvlOverride>
    <w:lvlOverride w:ilvl="3">
      <w:lvl w:ilvl="3">
        <w:start w:val="1"/>
        <w:numFmt w:val="decimal"/>
        <w:lvlText w:val="%4"/>
        <w:lvlJc w:val="left"/>
        <w:pPr>
          <w:tabs>
            <w:tab w:val="num" w:pos="0"/>
          </w:tabs>
          <w:ind w:left="0" w:firstLine="0"/>
        </w:pPr>
        <w:rPr>
          <w:rFonts w:hint="eastAsia"/>
        </w:rPr>
      </w:lvl>
    </w:lvlOverride>
    <w:lvlOverride w:ilvl="4">
      <w:lvl w:ilvl="4">
        <w:start w:val="1"/>
        <w:numFmt w:val="decimal"/>
        <w:lvlText w:val="%5"/>
        <w:lvlJc w:val="left"/>
        <w:pPr>
          <w:tabs>
            <w:tab w:val="num" w:pos="0"/>
          </w:tabs>
          <w:ind w:left="0" w:firstLine="0"/>
        </w:pPr>
        <w:rPr>
          <w:rFonts w:hint="eastAsia"/>
        </w:rPr>
      </w:lvl>
    </w:lvlOverride>
    <w:lvlOverride w:ilvl="5">
      <w:lvl w:ilvl="5">
        <w:start w:val="1"/>
        <w:numFmt w:val="decimal"/>
        <w:lvlText w:val="%6"/>
        <w:lvlJc w:val="left"/>
        <w:pPr>
          <w:tabs>
            <w:tab w:val="num" w:pos="0"/>
          </w:tabs>
          <w:ind w:left="0" w:firstLine="0"/>
        </w:pPr>
        <w:rPr>
          <w:rFonts w:hint="eastAsia"/>
        </w:rPr>
      </w:lvl>
    </w:lvlOverride>
    <w:lvlOverride w:ilvl="6">
      <w:lvl w:ilvl="6">
        <w:start w:val="1"/>
        <w:numFmt w:val="decimal"/>
        <w:lvlText w:val="%7"/>
        <w:lvlJc w:val="left"/>
        <w:pPr>
          <w:tabs>
            <w:tab w:val="num" w:pos="0"/>
          </w:tabs>
          <w:ind w:left="0" w:firstLine="0"/>
        </w:pPr>
        <w:rPr>
          <w:rFonts w:hint="eastAsia"/>
        </w:rPr>
      </w:lvl>
    </w:lvlOverride>
    <w:lvlOverride w:ilvl="7">
      <w:lvl w:ilvl="7">
        <w:start w:val="1"/>
        <w:numFmt w:val="decimal"/>
        <w:lvlText w:val="%8"/>
        <w:lvlJc w:val="left"/>
        <w:pPr>
          <w:tabs>
            <w:tab w:val="num" w:pos="0"/>
          </w:tabs>
          <w:ind w:left="0" w:firstLine="0"/>
        </w:pPr>
        <w:rPr>
          <w:rFonts w:hint="eastAsia"/>
        </w:rPr>
      </w:lvl>
    </w:lvlOverride>
    <w:lvlOverride w:ilvl="8">
      <w:lvl w:ilvl="8">
        <w:numFmt w:val="decimal"/>
        <w:lvlText w:val=""/>
        <w:lvlJc w:val="left"/>
        <w:pPr>
          <w:tabs>
            <w:tab w:val="num" w:pos="0"/>
          </w:tabs>
          <w:ind w:left="0" w:firstLine="0"/>
        </w:pPr>
        <w:rPr>
          <w:rFonts w:hint="eastAsia"/>
        </w:rPr>
      </w:lvl>
    </w:lvlOverride>
  </w:num>
  <w:num w:numId="3">
    <w:abstractNumId w:val="17"/>
  </w:num>
  <w:num w:numId="4">
    <w:abstractNumId w:val="12"/>
  </w:num>
  <w:num w:numId="5">
    <w:abstractNumId w:val="4"/>
  </w:num>
  <w:num w:numId="6">
    <w:abstractNumId w:val="6"/>
  </w:num>
  <w:num w:numId="7">
    <w:abstractNumId w:val="13"/>
  </w:num>
  <w:num w:numId="8">
    <w:abstractNumId w:val="21"/>
  </w:num>
  <w:num w:numId="9">
    <w:abstractNumId w:val="18"/>
  </w:num>
  <w:num w:numId="10">
    <w:abstractNumId w:val="9"/>
  </w:num>
  <w:num w:numId="11">
    <w:abstractNumId w:val="15"/>
  </w:num>
  <w:num w:numId="12">
    <w:abstractNumId w:val="16"/>
  </w:num>
  <w:num w:numId="13">
    <w:abstractNumId w:val="19"/>
  </w:num>
  <w:num w:numId="14">
    <w:abstractNumId w:val="2"/>
  </w:num>
  <w:num w:numId="15">
    <w:abstractNumId w:val="14"/>
  </w:num>
  <w:num w:numId="16">
    <w:abstractNumId w:val="3"/>
  </w:num>
  <w:num w:numId="17">
    <w:abstractNumId w:val="5"/>
  </w:num>
  <w:num w:numId="18">
    <w:abstractNumId w:val="8"/>
  </w:num>
  <w:num w:numId="19">
    <w:abstractNumId w:val="7"/>
  </w:num>
  <w:num w:numId="20">
    <w:abstractNumId w:val="10"/>
  </w:num>
  <w:num w:numId="21">
    <w:abstractNumId w:val="11"/>
  </w:num>
  <w:num w:numId="22">
    <w:abstractNumId w:val="20"/>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76"/>
  <w:drawingGridHorizontalSpacing w:val="121"/>
  <w:drawingGridVerticalSpacing w:val="136"/>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9C"/>
    <w:rsid w:val="00001A3E"/>
    <w:rsid w:val="00003BB3"/>
    <w:rsid w:val="000043A1"/>
    <w:rsid w:val="00004B1A"/>
    <w:rsid w:val="00004FF5"/>
    <w:rsid w:val="0000501D"/>
    <w:rsid w:val="00013B95"/>
    <w:rsid w:val="0001445C"/>
    <w:rsid w:val="000147A9"/>
    <w:rsid w:val="0001588A"/>
    <w:rsid w:val="000203BD"/>
    <w:rsid w:val="0002353A"/>
    <w:rsid w:val="000402E9"/>
    <w:rsid w:val="000424CB"/>
    <w:rsid w:val="00042937"/>
    <w:rsid w:val="00046D7A"/>
    <w:rsid w:val="000713A5"/>
    <w:rsid w:val="00073831"/>
    <w:rsid w:val="00077F74"/>
    <w:rsid w:val="00085F1C"/>
    <w:rsid w:val="000864E5"/>
    <w:rsid w:val="00086FCA"/>
    <w:rsid w:val="00090472"/>
    <w:rsid w:val="0009126A"/>
    <w:rsid w:val="00091ABF"/>
    <w:rsid w:val="00091C48"/>
    <w:rsid w:val="00092B1F"/>
    <w:rsid w:val="000945BA"/>
    <w:rsid w:val="000953A9"/>
    <w:rsid w:val="000975F9"/>
    <w:rsid w:val="000A217D"/>
    <w:rsid w:val="000A4A9E"/>
    <w:rsid w:val="000A6584"/>
    <w:rsid w:val="000B048A"/>
    <w:rsid w:val="000B6477"/>
    <w:rsid w:val="000C22D9"/>
    <w:rsid w:val="000C3BA6"/>
    <w:rsid w:val="000D0633"/>
    <w:rsid w:val="000D5063"/>
    <w:rsid w:val="000D79B1"/>
    <w:rsid w:val="000E52DA"/>
    <w:rsid w:val="000F3283"/>
    <w:rsid w:val="000F3E8C"/>
    <w:rsid w:val="001002D3"/>
    <w:rsid w:val="001002F4"/>
    <w:rsid w:val="0010525C"/>
    <w:rsid w:val="00105ABA"/>
    <w:rsid w:val="00106621"/>
    <w:rsid w:val="00106AE2"/>
    <w:rsid w:val="00107C43"/>
    <w:rsid w:val="00107CB3"/>
    <w:rsid w:val="0011545A"/>
    <w:rsid w:val="00116A7C"/>
    <w:rsid w:val="00121557"/>
    <w:rsid w:val="00123956"/>
    <w:rsid w:val="00127A0E"/>
    <w:rsid w:val="00136D20"/>
    <w:rsid w:val="001374BD"/>
    <w:rsid w:val="0014085E"/>
    <w:rsid w:val="00141027"/>
    <w:rsid w:val="00143456"/>
    <w:rsid w:val="00143EF0"/>
    <w:rsid w:val="00150A07"/>
    <w:rsid w:val="0015481A"/>
    <w:rsid w:val="00155075"/>
    <w:rsid w:val="001606D9"/>
    <w:rsid w:val="00160851"/>
    <w:rsid w:val="00166755"/>
    <w:rsid w:val="0017109C"/>
    <w:rsid w:val="00171755"/>
    <w:rsid w:val="00180426"/>
    <w:rsid w:val="00184526"/>
    <w:rsid w:val="00184969"/>
    <w:rsid w:val="00190B2B"/>
    <w:rsid w:val="001914C1"/>
    <w:rsid w:val="001939B0"/>
    <w:rsid w:val="00195EF5"/>
    <w:rsid w:val="001A40FA"/>
    <w:rsid w:val="001A42BD"/>
    <w:rsid w:val="001A6A19"/>
    <w:rsid w:val="001A7E6B"/>
    <w:rsid w:val="001B091D"/>
    <w:rsid w:val="001B418F"/>
    <w:rsid w:val="001B4238"/>
    <w:rsid w:val="001B598A"/>
    <w:rsid w:val="001C55B1"/>
    <w:rsid w:val="001D0ECC"/>
    <w:rsid w:val="001D2B1C"/>
    <w:rsid w:val="001D5A95"/>
    <w:rsid w:val="001D7166"/>
    <w:rsid w:val="001D73DC"/>
    <w:rsid w:val="001D782C"/>
    <w:rsid w:val="001E1032"/>
    <w:rsid w:val="001E1D07"/>
    <w:rsid w:val="001E44D6"/>
    <w:rsid w:val="001E47F2"/>
    <w:rsid w:val="001E4A55"/>
    <w:rsid w:val="001E6BAA"/>
    <w:rsid w:val="001F06B3"/>
    <w:rsid w:val="001F48E1"/>
    <w:rsid w:val="001F48F1"/>
    <w:rsid w:val="001F7B0C"/>
    <w:rsid w:val="00204D41"/>
    <w:rsid w:val="002123CB"/>
    <w:rsid w:val="00220FE7"/>
    <w:rsid w:val="0022334B"/>
    <w:rsid w:val="00226296"/>
    <w:rsid w:val="00234431"/>
    <w:rsid w:val="00243C44"/>
    <w:rsid w:val="00254259"/>
    <w:rsid w:val="002633B2"/>
    <w:rsid w:val="00266445"/>
    <w:rsid w:val="00266D14"/>
    <w:rsid w:val="00274D73"/>
    <w:rsid w:val="00276A64"/>
    <w:rsid w:val="00281F18"/>
    <w:rsid w:val="0028542F"/>
    <w:rsid w:val="00290BDE"/>
    <w:rsid w:val="00296165"/>
    <w:rsid w:val="00296598"/>
    <w:rsid w:val="002A3303"/>
    <w:rsid w:val="002A45D0"/>
    <w:rsid w:val="002A602A"/>
    <w:rsid w:val="002B020B"/>
    <w:rsid w:val="002B1DB6"/>
    <w:rsid w:val="002B5529"/>
    <w:rsid w:val="002C46BA"/>
    <w:rsid w:val="002C478B"/>
    <w:rsid w:val="002C47CF"/>
    <w:rsid w:val="002C4C7A"/>
    <w:rsid w:val="002C6C0D"/>
    <w:rsid w:val="002D06D7"/>
    <w:rsid w:val="002D0913"/>
    <w:rsid w:val="002D0FBA"/>
    <w:rsid w:val="002D7B96"/>
    <w:rsid w:val="002E3A04"/>
    <w:rsid w:val="002F7E0D"/>
    <w:rsid w:val="0030102F"/>
    <w:rsid w:val="00306E15"/>
    <w:rsid w:val="003111DD"/>
    <w:rsid w:val="00311C0A"/>
    <w:rsid w:val="00311C55"/>
    <w:rsid w:val="00315325"/>
    <w:rsid w:val="00316E3C"/>
    <w:rsid w:val="00317F20"/>
    <w:rsid w:val="00321C75"/>
    <w:rsid w:val="00322E64"/>
    <w:rsid w:val="00324F41"/>
    <w:rsid w:val="0032760E"/>
    <w:rsid w:val="00330B24"/>
    <w:rsid w:val="0033319A"/>
    <w:rsid w:val="00334CF6"/>
    <w:rsid w:val="00337F2C"/>
    <w:rsid w:val="00344B88"/>
    <w:rsid w:val="00345090"/>
    <w:rsid w:val="00346F76"/>
    <w:rsid w:val="00347D53"/>
    <w:rsid w:val="0035306E"/>
    <w:rsid w:val="00357A41"/>
    <w:rsid w:val="00357A50"/>
    <w:rsid w:val="00360A9D"/>
    <w:rsid w:val="0036528C"/>
    <w:rsid w:val="003659B1"/>
    <w:rsid w:val="003702C0"/>
    <w:rsid w:val="00372189"/>
    <w:rsid w:val="003758B2"/>
    <w:rsid w:val="003776D7"/>
    <w:rsid w:val="00381142"/>
    <w:rsid w:val="0038237D"/>
    <w:rsid w:val="00382FC4"/>
    <w:rsid w:val="00384D04"/>
    <w:rsid w:val="00386AFD"/>
    <w:rsid w:val="00387409"/>
    <w:rsid w:val="00387792"/>
    <w:rsid w:val="003A7E10"/>
    <w:rsid w:val="003B6774"/>
    <w:rsid w:val="003C0A02"/>
    <w:rsid w:val="003C2B68"/>
    <w:rsid w:val="003C39B3"/>
    <w:rsid w:val="003C3A5F"/>
    <w:rsid w:val="003D0794"/>
    <w:rsid w:val="003D173C"/>
    <w:rsid w:val="003D684A"/>
    <w:rsid w:val="003D778D"/>
    <w:rsid w:val="003E2CA6"/>
    <w:rsid w:val="003E4FBF"/>
    <w:rsid w:val="003E7BD1"/>
    <w:rsid w:val="003F21C6"/>
    <w:rsid w:val="003F2F0C"/>
    <w:rsid w:val="00401789"/>
    <w:rsid w:val="004026F2"/>
    <w:rsid w:val="0040609D"/>
    <w:rsid w:val="0040638B"/>
    <w:rsid w:val="00415BBE"/>
    <w:rsid w:val="00420B11"/>
    <w:rsid w:val="00420F4A"/>
    <w:rsid w:val="00422361"/>
    <w:rsid w:val="00426A78"/>
    <w:rsid w:val="00427123"/>
    <w:rsid w:val="0043048B"/>
    <w:rsid w:val="0043341E"/>
    <w:rsid w:val="00433AB3"/>
    <w:rsid w:val="004354DD"/>
    <w:rsid w:val="00435CCC"/>
    <w:rsid w:val="00437FC6"/>
    <w:rsid w:val="00443ADF"/>
    <w:rsid w:val="00447F19"/>
    <w:rsid w:val="00466C0C"/>
    <w:rsid w:val="00474F7F"/>
    <w:rsid w:val="004802D3"/>
    <w:rsid w:val="00483912"/>
    <w:rsid w:val="00484A56"/>
    <w:rsid w:val="00490A3D"/>
    <w:rsid w:val="00493D06"/>
    <w:rsid w:val="00495C0B"/>
    <w:rsid w:val="004A06F4"/>
    <w:rsid w:val="004A0914"/>
    <w:rsid w:val="004A116F"/>
    <w:rsid w:val="004A4DCF"/>
    <w:rsid w:val="004B7130"/>
    <w:rsid w:val="004C19CD"/>
    <w:rsid w:val="004C6518"/>
    <w:rsid w:val="004C7E82"/>
    <w:rsid w:val="004D26B6"/>
    <w:rsid w:val="004D2DB1"/>
    <w:rsid w:val="004D3DB7"/>
    <w:rsid w:val="004E58C1"/>
    <w:rsid w:val="004E6F0C"/>
    <w:rsid w:val="004F1406"/>
    <w:rsid w:val="004F3728"/>
    <w:rsid w:val="004F47D1"/>
    <w:rsid w:val="00501711"/>
    <w:rsid w:val="00502C2B"/>
    <w:rsid w:val="00502D86"/>
    <w:rsid w:val="00511DE5"/>
    <w:rsid w:val="0051394A"/>
    <w:rsid w:val="0051590A"/>
    <w:rsid w:val="00516848"/>
    <w:rsid w:val="00520C32"/>
    <w:rsid w:val="00521C89"/>
    <w:rsid w:val="0052402B"/>
    <w:rsid w:val="005303A0"/>
    <w:rsid w:val="00533D58"/>
    <w:rsid w:val="00533E30"/>
    <w:rsid w:val="00543B59"/>
    <w:rsid w:val="00545F72"/>
    <w:rsid w:val="0055244E"/>
    <w:rsid w:val="00552E22"/>
    <w:rsid w:val="005531CE"/>
    <w:rsid w:val="005557C7"/>
    <w:rsid w:val="00565E4A"/>
    <w:rsid w:val="005676C6"/>
    <w:rsid w:val="0057017B"/>
    <w:rsid w:val="00570B2A"/>
    <w:rsid w:val="00577FDB"/>
    <w:rsid w:val="00580B5C"/>
    <w:rsid w:val="00587DA0"/>
    <w:rsid w:val="005903EF"/>
    <w:rsid w:val="00590575"/>
    <w:rsid w:val="005A22EF"/>
    <w:rsid w:val="005A4650"/>
    <w:rsid w:val="005A4BEE"/>
    <w:rsid w:val="005B23E5"/>
    <w:rsid w:val="005B2F46"/>
    <w:rsid w:val="005B4309"/>
    <w:rsid w:val="005B6EC0"/>
    <w:rsid w:val="005B7759"/>
    <w:rsid w:val="005B79BD"/>
    <w:rsid w:val="005C0B22"/>
    <w:rsid w:val="005D5E2A"/>
    <w:rsid w:val="005D719D"/>
    <w:rsid w:val="005D7B0C"/>
    <w:rsid w:val="005E1393"/>
    <w:rsid w:val="005E3AFD"/>
    <w:rsid w:val="005F06DA"/>
    <w:rsid w:val="005F3BEE"/>
    <w:rsid w:val="005F4D2F"/>
    <w:rsid w:val="005F5A21"/>
    <w:rsid w:val="00602B73"/>
    <w:rsid w:val="00602D71"/>
    <w:rsid w:val="00604E28"/>
    <w:rsid w:val="006114AD"/>
    <w:rsid w:val="0061420F"/>
    <w:rsid w:val="006148AA"/>
    <w:rsid w:val="00614AFA"/>
    <w:rsid w:val="00623B3C"/>
    <w:rsid w:val="00626BC5"/>
    <w:rsid w:val="00632ABA"/>
    <w:rsid w:val="00637C53"/>
    <w:rsid w:val="006450FF"/>
    <w:rsid w:val="00645D51"/>
    <w:rsid w:val="00652778"/>
    <w:rsid w:val="0065293B"/>
    <w:rsid w:val="006549E8"/>
    <w:rsid w:val="006562C8"/>
    <w:rsid w:val="00660460"/>
    <w:rsid w:val="00665FC6"/>
    <w:rsid w:val="0067013E"/>
    <w:rsid w:val="00670176"/>
    <w:rsid w:val="006704AD"/>
    <w:rsid w:val="0067138A"/>
    <w:rsid w:val="00672DFB"/>
    <w:rsid w:val="00677796"/>
    <w:rsid w:val="00677BCE"/>
    <w:rsid w:val="00681B60"/>
    <w:rsid w:val="00683774"/>
    <w:rsid w:val="006849DA"/>
    <w:rsid w:val="00686567"/>
    <w:rsid w:val="00687C9D"/>
    <w:rsid w:val="00690449"/>
    <w:rsid w:val="006908C0"/>
    <w:rsid w:val="006918A1"/>
    <w:rsid w:val="006A0C2A"/>
    <w:rsid w:val="006A1F1C"/>
    <w:rsid w:val="006A340C"/>
    <w:rsid w:val="006A44A7"/>
    <w:rsid w:val="006A5CE6"/>
    <w:rsid w:val="006A6F4B"/>
    <w:rsid w:val="006A78F6"/>
    <w:rsid w:val="006A7F46"/>
    <w:rsid w:val="006B4557"/>
    <w:rsid w:val="006C09E6"/>
    <w:rsid w:val="006D201E"/>
    <w:rsid w:val="006D2568"/>
    <w:rsid w:val="006D49C1"/>
    <w:rsid w:val="006D79D8"/>
    <w:rsid w:val="006E5472"/>
    <w:rsid w:val="006E5A39"/>
    <w:rsid w:val="006F0A87"/>
    <w:rsid w:val="006F7520"/>
    <w:rsid w:val="00702ECB"/>
    <w:rsid w:val="0071207F"/>
    <w:rsid w:val="007128A9"/>
    <w:rsid w:val="00725A28"/>
    <w:rsid w:val="0072627B"/>
    <w:rsid w:val="00726D6A"/>
    <w:rsid w:val="007329BC"/>
    <w:rsid w:val="007344A0"/>
    <w:rsid w:val="00737A91"/>
    <w:rsid w:val="00737C4E"/>
    <w:rsid w:val="00740DAD"/>
    <w:rsid w:val="00741916"/>
    <w:rsid w:val="00747BCE"/>
    <w:rsid w:val="007505C0"/>
    <w:rsid w:val="0075250D"/>
    <w:rsid w:val="0075347B"/>
    <w:rsid w:val="0075429C"/>
    <w:rsid w:val="00754B8C"/>
    <w:rsid w:val="00763941"/>
    <w:rsid w:val="00765B2A"/>
    <w:rsid w:val="00767380"/>
    <w:rsid w:val="007701E5"/>
    <w:rsid w:val="00770E15"/>
    <w:rsid w:val="00771E9C"/>
    <w:rsid w:val="00772655"/>
    <w:rsid w:val="00772C6F"/>
    <w:rsid w:val="0077617A"/>
    <w:rsid w:val="00780E1A"/>
    <w:rsid w:val="007811EC"/>
    <w:rsid w:val="00784A3E"/>
    <w:rsid w:val="007867CC"/>
    <w:rsid w:val="00786ABB"/>
    <w:rsid w:val="00790821"/>
    <w:rsid w:val="007934E3"/>
    <w:rsid w:val="007953BC"/>
    <w:rsid w:val="00796A52"/>
    <w:rsid w:val="007A7AE9"/>
    <w:rsid w:val="007B317B"/>
    <w:rsid w:val="007B5780"/>
    <w:rsid w:val="007B6814"/>
    <w:rsid w:val="007C544C"/>
    <w:rsid w:val="007C73C1"/>
    <w:rsid w:val="007C76B6"/>
    <w:rsid w:val="007E075A"/>
    <w:rsid w:val="007E0D88"/>
    <w:rsid w:val="007E1558"/>
    <w:rsid w:val="007E1C6B"/>
    <w:rsid w:val="007F1613"/>
    <w:rsid w:val="007F1E28"/>
    <w:rsid w:val="007F2290"/>
    <w:rsid w:val="007F28B1"/>
    <w:rsid w:val="007F3CE7"/>
    <w:rsid w:val="007F4C92"/>
    <w:rsid w:val="007F7FB8"/>
    <w:rsid w:val="008012CF"/>
    <w:rsid w:val="008013CC"/>
    <w:rsid w:val="00806232"/>
    <w:rsid w:val="0080715D"/>
    <w:rsid w:val="00807EA7"/>
    <w:rsid w:val="00813778"/>
    <w:rsid w:val="00823E9D"/>
    <w:rsid w:val="00824899"/>
    <w:rsid w:val="00831179"/>
    <w:rsid w:val="00833D2C"/>
    <w:rsid w:val="0083509C"/>
    <w:rsid w:val="00837ED9"/>
    <w:rsid w:val="00841807"/>
    <w:rsid w:val="008450AD"/>
    <w:rsid w:val="0085365D"/>
    <w:rsid w:val="0085558F"/>
    <w:rsid w:val="00855ABB"/>
    <w:rsid w:val="00860C8A"/>
    <w:rsid w:val="00861FCB"/>
    <w:rsid w:val="008646A1"/>
    <w:rsid w:val="0086566B"/>
    <w:rsid w:val="00866FDD"/>
    <w:rsid w:val="00867020"/>
    <w:rsid w:val="008721AA"/>
    <w:rsid w:val="00872DCD"/>
    <w:rsid w:val="00874089"/>
    <w:rsid w:val="0087705E"/>
    <w:rsid w:val="0088437D"/>
    <w:rsid w:val="008864F8"/>
    <w:rsid w:val="008868BA"/>
    <w:rsid w:val="00891882"/>
    <w:rsid w:val="00895F52"/>
    <w:rsid w:val="008966D2"/>
    <w:rsid w:val="0089684C"/>
    <w:rsid w:val="008A2FCF"/>
    <w:rsid w:val="008A564E"/>
    <w:rsid w:val="008A57E3"/>
    <w:rsid w:val="008A6670"/>
    <w:rsid w:val="008B0F79"/>
    <w:rsid w:val="008B1B9D"/>
    <w:rsid w:val="008B4F6D"/>
    <w:rsid w:val="008B618F"/>
    <w:rsid w:val="008B7333"/>
    <w:rsid w:val="008C13CC"/>
    <w:rsid w:val="008C2BB4"/>
    <w:rsid w:val="008D190D"/>
    <w:rsid w:val="008D35D0"/>
    <w:rsid w:val="008D4652"/>
    <w:rsid w:val="008E1257"/>
    <w:rsid w:val="008E7FE3"/>
    <w:rsid w:val="008F2678"/>
    <w:rsid w:val="008F3410"/>
    <w:rsid w:val="008F3E23"/>
    <w:rsid w:val="008F6A46"/>
    <w:rsid w:val="008F7E8D"/>
    <w:rsid w:val="0090162D"/>
    <w:rsid w:val="00922E69"/>
    <w:rsid w:val="009258D0"/>
    <w:rsid w:val="00925BA6"/>
    <w:rsid w:val="009307B1"/>
    <w:rsid w:val="009308EB"/>
    <w:rsid w:val="00931260"/>
    <w:rsid w:val="009344D8"/>
    <w:rsid w:val="0093461B"/>
    <w:rsid w:val="0094278D"/>
    <w:rsid w:val="009436F0"/>
    <w:rsid w:val="00943841"/>
    <w:rsid w:val="0094477E"/>
    <w:rsid w:val="00945A56"/>
    <w:rsid w:val="00946930"/>
    <w:rsid w:val="00956361"/>
    <w:rsid w:val="00961092"/>
    <w:rsid w:val="00961B07"/>
    <w:rsid w:val="009652B3"/>
    <w:rsid w:val="00970784"/>
    <w:rsid w:val="00974C7D"/>
    <w:rsid w:val="009754AD"/>
    <w:rsid w:val="00982316"/>
    <w:rsid w:val="00993874"/>
    <w:rsid w:val="00994433"/>
    <w:rsid w:val="009A2E13"/>
    <w:rsid w:val="009A333D"/>
    <w:rsid w:val="009A4E6B"/>
    <w:rsid w:val="009A5EB8"/>
    <w:rsid w:val="009B06D1"/>
    <w:rsid w:val="009B1BBE"/>
    <w:rsid w:val="009C1E9D"/>
    <w:rsid w:val="009C3A3C"/>
    <w:rsid w:val="009C5CDA"/>
    <w:rsid w:val="009C5D7C"/>
    <w:rsid w:val="009C6FF2"/>
    <w:rsid w:val="009D6A8A"/>
    <w:rsid w:val="009D6F26"/>
    <w:rsid w:val="009E1296"/>
    <w:rsid w:val="009E4D6D"/>
    <w:rsid w:val="009E5629"/>
    <w:rsid w:val="009E79C8"/>
    <w:rsid w:val="009E7A33"/>
    <w:rsid w:val="009E7B76"/>
    <w:rsid w:val="009F1589"/>
    <w:rsid w:val="009F4DFE"/>
    <w:rsid w:val="009F7B5B"/>
    <w:rsid w:val="00A008D4"/>
    <w:rsid w:val="00A0317F"/>
    <w:rsid w:val="00A0635F"/>
    <w:rsid w:val="00A125D5"/>
    <w:rsid w:val="00A16A87"/>
    <w:rsid w:val="00A16FA6"/>
    <w:rsid w:val="00A20915"/>
    <w:rsid w:val="00A219B1"/>
    <w:rsid w:val="00A23F07"/>
    <w:rsid w:val="00A313EB"/>
    <w:rsid w:val="00A43F82"/>
    <w:rsid w:val="00A4442E"/>
    <w:rsid w:val="00A45A25"/>
    <w:rsid w:val="00A46147"/>
    <w:rsid w:val="00A542A9"/>
    <w:rsid w:val="00A57128"/>
    <w:rsid w:val="00A6057C"/>
    <w:rsid w:val="00A61A0A"/>
    <w:rsid w:val="00A632D5"/>
    <w:rsid w:val="00A65125"/>
    <w:rsid w:val="00A668C5"/>
    <w:rsid w:val="00A66D36"/>
    <w:rsid w:val="00A70F3C"/>
    <w:rsid w:val="00A76187"/>
    <w:rsid w:val="00A768DA"/>
    <w:rsid w:val="00A86FB3"/>
    <w:rsid w:val="00A9586D"/>
    <w:rsid w:val="00A96E1F"/>
    <w:rsid w:val="00AA63EB"/>
    <w:rsid w:val="00AB1465"/>
    <w:rsid w:val="00AB17D1"/>
    <w:rsid w:val="00AC2F69"/>
    <w:rsid w:val="00AC4722"/>
    <w:rsid w:val="00AC4D7E"/>
    <w:rsid w:val="00AC6230"/>
    <w:rsid w:val="00AC78CA"/>
    <w:rsid w:val="00AD09E0"/>
    <w:rsid w:val="00AE340A"/>
    <w:rsid w:val="00AE678D"/>
    <w:rsid w:val="00AE7182"/>
    <w:rsid w:val="00AF11CB"/>
    <w:rsid w:val="00AF4314"/>
    <w:rsid w:val="00AF50BC"/>
    <w:rsid w:val="00AF6C2C"/>
    <w:rsid w:val="00B00272"/>
    <w:rsid w:val="00B072DC"/>
    <w:rsid w:val="00B11E6F"/>
    <w:rsid w:val="00B122A3"/>
    <w:rsid w:val="00B1624C"/>
    <w:rsid w:val="00B16B2B"/>
    <w:rsid w:val="00B17DF2"/>
    <w:rsid w:val="00B22062"/>
    <w:rsid w:val="00B24B0F"/>
    <w:rsid w:val="00B261AD"/>
    <w:rsid w:val="00B27A43"/>
    <w:rsid w:val="00B36193"/>
    <w:rsid w:val="00B377ED"/>
    <w:rsid w:val="00B40F2B"/>
    <w:rsid w:val="00B44783"/>
    <w:rsid w:val="00B457A9"/>
    <w:rsid w:val="00B475F9"/>
    <w:rsid w:val="00B527E1"/>
    <w:rsid w:val="00B52997"/>
    <w:rsid w:val="00B544AE"/>
    <w:rsid w:val="00B66265"/>
    <w:rsid w:val="00B704C0"/>
    <w:rsid w:val="00B70684"/>
    <w:rsid w:val="00B70F83"/>
    <w:rsid w:val="00B72F27"/>
    <w:rsid w:val="00B744EF"/>
    <w:rsid w:val="00B74EBE"/>
    <w:rsid w:val="00B76A87"/>
    <w:rsid w:val="00B800FC"/>
    <w:rsid w:val="00B82CC6"/>
    <w:rsid w:val="00B8579E"/>
    <w:rsid w:val="00B910EE"/>
    <w:rsid w:val="00B92DAA"/>
    <w:rsid w:val="00B93719"/>
    <w:rsid w:val="00B95D03"/>
    <w:rsid w:val="00B96D6D"/>
    <w:rsid w:val="00B96F96"/>
    <w:rsid w:val="00BA05CD"/>
    <w:rsid w:val="00BA0F25"/>
    <w:rsid w:val="00BB099B"/>
    <w:rsid w:val="00BB1638"/>
    <w:rsid w:val="00BB542B"/>
    <w:rsid w:val="00BB6F70"/>
    <w:rsid w:val="00BB787E"/>
    <w:rsid w:val="00BC05F9"/>
    <w:rsid w:val="00BC073F"/>
    <w:rsid w:val="00BC3C02"/>
    <w:rsid w:val="00BC7840"/>
    <w:rsid w:val="00BD44C7"/>
    <w:rsid w:val="00BD57B1"/>
    <w:rsid w:val="00BD6C60"/>
    <w:rsid w:val="00BE03CB"/>
    <w:rsid w:val="00BE120E"/>
    <w:rsid w:val="00BE4513"/>
    <w:rsid w:val="00BF4411"/>
    <w:rsid w:val="00BF58BC"/>
    <w:rsid w:val="00BF7C04"/>
    <w:rsid w:val="00C02E2D"/>
    <w:rsid w:val="00C03604"/>
    <w:rsid w:val="00C06F4D"/>
    <w:rsid w:val="00C124F4"/>
    <w:rsid w:val="00C137D4"/>
    <w:rsid w:val="00C147A3"/>
    <w:rsid w:val="00C15088"/>
    <w:rsid w:val="00C2072B"/>
    <w:rsid w:val="00C24031"/>
    <w:rsid w:val="00C25083"/>
    <w:rsid w:val="00C25318"/>
    <w:rsid w:val="00C32345"/>
    <w:rsid w:val="00C32C50"/>
    <w:rsid w:val="00C40DD9"/>
    <w:rsid w:val="00C50D08"/>
    <w:rsid w:val="00C55E67"/>
    <w:rsid w:val="00C57631"/>
    <w:rsid w:val="00C57852"/>
    <w:rsid w:val="00C57D83"/>
    <w:rsid w:val="00C6087C"/>
    <w:rsid w:val="00C61DF9"/>
    <w:rsid w:val="00C623B1"/>
    <w:rsid w:val="00C679B2"/>
    <w:rsid w:val="00C700AF"/>
    <w:rsid w:val="00C74B46"/>
    <w:rsid w:val="00C82930"/>
    <w:rsid w:val="00C834DF"/>
    <w:rsid w:val="00C83FDA"/>
    <w:rsid w:val="00C949B3"/>
    <w:rsid w:val="00CA07CC"/>
    <w:rsid w:val="00CA4BCB"/>
    <w:rsid w:val="00CA4BDA"/>
    <w:rsid w:val="00CA5C45"/>
    <w:rsid w:val="00CB3D0F"/>
    <w:rsid w:val="00CB450B"/>
    <w:rsid w:val="00CB60D7"/>
    <w:rsid w:val="00CB7A3B"/>
    <w:rsid w:val="00CC645A"/>
    <w:rsid w:val="00CC6A69"/>
    <w:rsid w:val="00CE3A80"/>
    <w:rsid w:val="00CE55E2"/>
    <w:rsid w:val="00CE7D40"/>
    <w:rsid w:val="00CF03A4"/>
    <w:rsid w:val="00CF19FD"/>
    <w:rsid w:val="00CF3AD1"/>
    <w:rsid w:val="00D15BA4"/>
    <w:rsid w:val="00D214DA"/>
    <w:rsid w:val="00D22F1C"/>
    <w:rsid w:val="00D2323D"/>
    <w:rsid w:val="00D261A5"/>
    <w:rsid w:val="00D31AAD"/>
    <w:rsid w:val="00D3343B"/>
    <w:rsid w:val="00D34209"/>
    <w:rsid w:val="00D36665"/>
    <w:rsid w:val="00D37FF8"/>
    <w:rsid w:val="00D4128B"/>
    <w:rsid w:val="00D4131D"/>
    <w:rsid w:val="00D413BE"/>
    <w:rsid w:val="00D43A77"/>
    <w:rsid w:val="00D4465C"/>
    <w:rsid w:val="00D447E5"/>
    <w:rsid w:val="00D455D0"/>
    <w:rsid w:val="00D478F3"/>
    <w:rsid w:val="00D50A9F"/>
    <w:rsid w:val="00D54CE0"/>
    <w:rsid w:val="00D5688D"/>
    <w:rsid w:val="00D60EED"/>
    <w:rsid w:val="00D613AF"/>
    <w:rsid w:val="00D61F26"/>
    <w:rsid w:val="00D6261F"/>
    <w:rsid w:val="00D630D3"/>
    <w:rsid w:val="00D63670"/>
    <w:rsid w:val="00D65B63"/>
    <w:rsid w:val="00D71A6A"/>
    <w:rsid w:val="00D72E7B"/>
    <w:rsid w:val="00D73743"/>
    <w:rsid w:val="00D75204"/>
    <w:rsid w:val="00D840EF"/>
    <w:rsid w:val="00D91ABB"/>
    <w:rsid w:val="00D92271"/>
    <w:rsid w:val="00D9468E"/>
    <w:rsid w:val="00D95B4F"/>
    <w:rsid w:val="00D97226"/>
    <w:rsid w:val="00DA209C"/>
    <w:rsid w:val="00DA2C5F"/>
    <w:rsid w:val="00DA40C5"/>
    <w:rsid w:val="00DA537A"/>
    <w:rsid w:val="00DA729E"/>
    <w:rsid w:val="00DB4DD0"/>
    <w:rsid w:val="00DB7817"/>
    <w:rsid w:val="00DC1B6E"/>
    <w:rsid w:val="00DD0505"/>
    <w:rsid w:val="00DD1C43"/>
    <w:rsid w:val="00DD58D6"/>
    <w:rsid w:val="00DF2802"/>
    <w:rsid w:val="00DF7F1D"/>
    <w:rsid w:val="00E062A9"/>
    <w:rsid w:val="00E06EF9"/>
    <w:rsid w:val="00E121B1"/>
    <w:rsid w:val="00E127B7"/>
    <w:rsid w:val="00E209A8"/>
    <w:rsid w:val="00E21883"/>
    <w:rsid w:val="00E21DE7"/>
    <w:rsid w:val="00E235BA"/>
    <w:rsid w:val="00E2543D"/>
    <w:rsid w:val="00E26BFA"/>
    <w:rsid w:val="00E27B08"/>
    <w:rsid w:val="00E325AD"/>
    <w:rsid w:val="00E35934"/>
    <w:rsid w:val="00E40008"/>
    <w:rsid w:val="00E54A5E"/>
    <w:rsid w:val="00E61D7D"/>
    <w:rsid w:val="00E7198C"/>
    <w:rsid w:val="00E72F0E"/>
    <w:rsid w:val="00E73119"/>
    <w:rsid w:val="00E741BE"/>
    <w:rsid w:val="00E751EB"/>
    <w:rsid w:val="00E76135"/>
    <w:rsid w:val="00E904CF"/>
    <w:rsid w:val="00E90A4C"/>
    <w:rsid w:val="00E91981"/>
    <w:rsid w:val="00E932AF"/>
    <w:rsid w:val="00E94F78"/>
    <w:rsid w:val="00E95006"/>
    <w:rsid w:val="00E96561"/>
    <w:rsid w:val="00EA7DD0"/>
    <w:rsid w:val="00EB18CA"/>
    <w:rsid w:val="00EB4887"/>
    <w:rsid w:val="00EB530D"/>
    <w:rsid w:val="00EB7AB4"/>
    <w:rsid w:val="00EB7D2B"/>
    <w:rsid w:val="00EC247D"/>
    <w:rsid w:val="00EC290C"/>
    <w:rsid w:val="00EC758E"/>
    <w:rsid w:val="00ED1634"/>
    <w:rsid w:val="00EE16A7"/>
    <w:rsid w:val="00EE265D"/>
    <w:rsid w:val="00EE3780"/>
    <w:rsid w:val="00EE4E5D"/>
    <w:rsid w:val="00EF0925"/>
    <w:rsid w:val="00EF358C"/>
    <w:rsid w:val="00F0197C"/>
    <w:rsid w:val="00F0533A"/>
    <w:rsid w:val="00F07291"/>
    <w:rsid w:val="00F0729C"/>
    <w:rsid w:val="00F144EF"/>
    <w:rsid w:val="00F15BF2"/>
    <w:rsid w:val="00F253FF"/>
    <w:rsid w:val="00F26027"/>
    <w:rsid w:val="00F3198C"/>
    <w:rsid w:val="00F33275"/>
    <w:rsid w:val="00F35F7C"/>
    <w:rsid w:val="00F50F13"/>
    <w:rsid w:val="00F5204B"/>
    <w:rsid w:val="00F532AC"/>
    <w:rsid w:val="00F53C81"/>
    <w:rsid w:val="00F56A09"/>
    <w:rsid w:val="00F56C7A"/>
    <w:rsid w:val="00F61021"/>
    <w:rsid w:val="00F61829"/>
    <w:rsid w:val="00F62BBE"/>
    <w:rsid w:val="00F63529"/>
    <w:rsid w:val="00F654F0"/>
    <w:rsid w:val="00F70E6B"/>
    <w:rsid w:val="00F71217"/>
    <w:rsid w:val="00F80107"/>
    <w:rsid w:val="00F81EC1"/>
    <w:rsid w:val="00F844CC"/>
    <w:rsid w:val="00F87FAA"/>
    <w:rsid w:val="00F91F37"/>
    <w:rsid w:val="00F91F9A"/>
    <w:rsid w:val="00F9312D"/>
    <w:rsid w:val="00F96761"/>
    <w:rsid w:val="00F97045"/>
    <w:rsid w:val="00FA4694"/>
    <w:rsid w:val="00FB7F17"/>
    <w:rsid w:val="00FC143A"/>
    <w:rsid w:val="00FC7880"/>
    <w:rsid w:val="00FE0978"/>
    <w:rsid w:val="00FE0A68"/>
    <w:rsid w:val="00FE2FF0"/>
    <w:rsid w:val="00FE40F7"/>
    <w:rsid w:val="00FE57AF"/>
    <w:rsid w:val="00FE67AC"/>
    <w:rsid w:val="00FF1211"/>
    <w:rsid w:val="00FF3945"/>
    <w:rsid w:val="00FF4808"/>
    <w:rsid w:val="00FF50A1"/>
    <w:rsid w:val="00FF5DC3"/>
    <w:rsid w:val="00FF6C83"/>
    <w:rsid w:val="00FF7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B635"/>
  <w15:chartTrackingRefBased/>
  <w15:docId w15:val="{AC75A863-21D4-43D3-8C08-E69F11B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AB4"/>
    <w:pPr>
      <w:overflowPunct w:val="0"/>
      <w:autoSpaceDE w:val="0"/>
      <w:autoSpaceDN w:val="0"/>
      <w:adjustRightInd w:val="0"/>
      <w:spacing w:after="0" w:line="240" w:lineRule="auto"/>
      <w:textAlignment w:val="baseline"/>
    </w:pPr>
    <w:rPr>
      <w:rFonts w:ascii="Times New Roman" w:eastAsia="細明體" w:hAnsi="Times New Roman" w:cs="Times New Roman"/>
      <w:sz w:val="20"/>
      <w:szCs w:val="20"/>
      <w:lang w:val="en-GB"/>
    </w:rPr>
  </w:style>
  <w:style w:type="paragraph" w:styleId="1">
    <w:name w:val="heading 1"/>
    <w:basedOn w:val="a"/>
    <w:next w:val="a"/>
    <w:link w:val="10"/>
    <w:qFormat/>
    <w:rsid w:val="001E4A55"/>
    <w:pPr>
      <w:keepNext/>
      <w:outlineLvl w:val="0"/>
    </w:pPr>
    <w:rPr>
      <w:b/>
      <w:sz w:val="24"/>
    </w:rPr>
  </w:style>
  <w:style w:type="paragraph" w:styleId="2">
    <w:name w:val="heading 2"/>
    <w:basedOn w:val="a"/>
    <w:next w:val="a"/>
    <w:link w:val="20"/>
    <w:qFormat/>
    <w:rsid w:val="001E4A55"/>
    <w:pPr>
      <w:keepNext/>
      <w:jc w:val="both"/>
      <w:outlineLvl w:val="1"/>
    </w:pPr>
    <w:rPr>
      <w:b/>
      <w:sz w:val="24"/>
    </w:rPr>
  </w:style>
  <w:style w:type="paragraph" w:styleId="3">
    <w:name w:val="heading 3"/>
    <w:basedOn w:val="a"/>
    <w:next w:val="a0"/>
    <w:link w:val="30"/>
    <w:qFormat/>
    <w:rsid w:val="001E4A55"/>
    <w:pPr>
      <w:keepNext/>
      <w:spacing w:line="360" w:lineRule="auto"/>
      <w:ind w:left="1080"/>
      <w:outlineLvl w:val="2"/>
    </w:pPr>
    <w:rPr>
      <w:rFonts w:ascii="CG Times (W1)" w:hAnsi="CG Times (W1)"/>
      <w:sz w:val="24"/>
      <w:lang w:val="en-US"/>
    </w:rPr>
  </w:style>
  <w:style w:type="paragraph" w:styleId="4">
    <w:name w:val="heading 4"/>
    <w:basedOn w:val="a"/>
    <w:next w:val="a0"/>
    <w:link w:val="40"/>
    <w:qFormat/>
    <w:rsid w:val="001E4A55"/>
    <w:pPr>
      <w:keepNext/>
      <w:jc w:val="center"/>
      <w:outlineLvl w:val="3"/>
    </w:pPr>
    <w:rPr>
      <w:rFonts w:ascii="CG Times (W1)" w:hAnsi="CG Times (W1)"/>
      <w:b/>
      <w:sz w:val="24"/>
      <w:lang w:val="en-US"/>
    </w:rPr>
  </w:style>
  <w:style w:type="paragraph" w:styleId="5">
    <w:name w:val="heading 5"/>
    <w:basedOn w:val="a"/>
    <w:next w:val="a0"/>
    <w:link w:val="50"/>
    <w:qFormat/>
    <w:rsid w:val="001E4A55"/>
    <w:pPr>
      <w:keepNext/>
      <w:jc w:val="both"/>
      <w:outlineLvl w:val="4"/>
    </w:pPr>
    <w:rPr>
      <w:rFonts w:ascii="CG Times (W1)" w:hAnsi="CG Times (W1)"/>
      <w:b/>
      <w:sz w:val="22"/>
      <w:lang w:val="en-US"/>
    </w:rPr>
  </w:style>
  <w:style w:type="paragraph" w:styleId="6">
    <w:name w:val="heading 6"/>
    <w:basedOn w:val="a"/>
    <w:next w:val="a0"/>
    <w:link w:val="60"/>
    <w:qFormat/>
    <w:rsid w:val="001E4A55"/>
    <w:pPr>
      <w:keepNext/>
      <w:tabs>
        <w:tab w:val="left" w:pos="-1080"/>
        <w:tab w:val="left" w:pos="-720"/>
        <w:tab w:val="left" w:pos="0"/>
        <w:tab w:val="left" w:pos="720"/>
        <w:tab w:val="left" w:pos="1440"/>
        <w:tab w:val="left" w:pos="1710"/>
      </w:tabs>
      <w:spacing w:line="268" w:lineRule="auto"/>
      <w:ind w:left="1920"/>
      <w:jc w:val="both"/>
      <w:outlineLvl w:val="5"/>
    </w:pPr>
    <w:rPr>
      <w:i/>
      <w:sz w:val="24"/>
      <w:u w:val="single"/>
    </w:rPr>
  </w:style>
  <w:style w:type="paragraph" w:styleId="7">
    <w:name w:val="heading 7"/>
    <w:basedOn w:val="a"/>
    <w:next w:val="a0"/>
    <w:link w:val="70"/>
    <w:qFormat/>
    <w:rsid w:val="001E4A55"/>
    <w:pPr>
      <w:keepNext/>
      <w:tabs>
        <w:tab w:val="left" w:pos="-1080"/>
        <w:tab w:val="left" w:pos="-720"/>
        <w:tab w:val="left" w:pos="0"/>
        <w:tab w:val="left" w:pos="720"/>
        <w:tab w:val="left" w:pos="1440"/>
        <w:tab w:val="left" w:pos="1710"/>
      </w:tabs>
      <w:ind w:left="1680"/>
      <w:jc w:val="both"/>
      <w:outlineLvl w:val="6"/>
    </w:pPr>
    <w:rPr>
      <w:i/>
      <w:sz w:val="24"/>
      <w:u w:val="single"/>
    </w:rPr>
  </w:style>
  <w:style w:type="paragraph" w:styleId="8">
    <w:name w:val="heading 8"/>
    <w:basedOn w:val="a"/>
    <w:next w:val="a0"/>
    <w:link w:val="80"/>
    <w:qFormat/>
    <w:rsid w:val="001E4A55"/>
    <w:pPr>
      <w:keepNext/>
      <w:tabs>
        <w:tab w:val="left" w:pos="-1080"/>
        <w:tab w:val="left" w:pos="-720"/>
      </w:tabs>
      <w:ind w:left="1080"/>
      <w:jc w:val="both"/>
      <w:outlineLvl w:val="7"/>
    </w:pPr>
    <w:rPr>
      <w:sz w:val="24"/>
    </w:rPr>
  </w:style>
  <w:style w:type="paragraph" w:styleId="9">
    <w:name w:val="heading 9"/>
    <w:basedOn w:val="a"/>
    <w:next w:val="a0"/>
    <w:link w:val="90"/>
    <w:qFormat/>
    <w:rsid w:val="001E4A55"/>
    <w:pPr>
      <w:keepNext/>
      <w:numPr>
        <w:ilvl w:val="12"/>
      </w:numPr>
      <w:tabs>
        <w:tab w:val="left" w:pos="4608"/>
        <w:tab w:val="left" w:pos="5328"/>
        <w:tab w:val="left" w:pos="6048"/>
        <w:tab w:val="left" w:pos="6768"/>
        <w:tab w:val="left" w:pos="7488"/>
        <w:tab w:val="left" w:pos="8208"/>
        <w:tab w:val="left" w:pos="8928"/>
      </w:tabs>
      <w:spacing w:after="58"/>
      <w:ind w:left="720"/>
      <w:outlineLvl w:val="8"/>
    </w:pPr>
    <w:rPr>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1E4A55"/>
    <w:rPr>
      <w:rFonts w:ascii="Times New Roman" w:eastAsia="細明體" w:hAnsi="Times New Roman" w:cs="Times New Roman"/>
      <w:b/>
      <w:sz w:val="24"/>
      <w:szCs w:val="20"/>
      <w:lang w:val="en-GB"/>
    </w:rPr>
  </w:style>
  <w:style w:type="character" w:customStyle="1" w:styleId="20">
    <w:name w:val="標題 2 字元"/>
    <w:basedOn w:val="a1"/>
    <w:link w:val="2"/>
    <w:rsid w:val="001E4A55"/>
    <w:rPr>
      <w:rFonts w:ascii="Times New Roman" w:eastAsia="細明體" w:hAnsi="Times New Roman" w:cs="Times New Roman"/>
      <w:b/>
      <w:sz w:val="24"/>
      <w:szCs w:val="20"/>
      <w:lang w:val="en-GB"/>
    </w:rPr>
  </w:style>
  <w:style w:type="character" w:customStyle="1" w:styleId="30">
    <w:name w:val="標題 3 字元"/>
    <w:basedOn w:val="a1"/>
    <w:link w:val="3"/>
    <w:rsid w:val="001E4A55"/>
    <w:rPr>
      <w:rFonts w:ascii="CG Times (W1)" w:eastAsia="細明體" w:hAnsi="CG Times (W1)" w:cs="Times New Roman"/>
      <w:sz w:val="24"/>
      <w:szCs w:val="20"/>
    </w:rPr>
  </w:style>
  <w:style w:type="character" w:customStyle="1" w:styleId="40">
    <w:name w:val="標題 4 字元"/>
    <w:basedOn w:val="a1"/>
    <w:link w:val="4"/>
    <w:rsid w:val="001E4A55"/>
    <w:rPr>
      <w:rFonts w:ascii="CG Times (W1)" w:eastAsia="細明體" w:hAnsi="CG Times (W1)" w:cs="Times New Roman"/>
      <w:b/>
      <w:sz w:val="24"/>
      <w:szCs w:val="20"/>
    </w:rPr>
  </w:style>
  <w:style w:type="character" w:customStyle="1" w:styleId="50">
    <w:name w:val="標題 5 字元"/>
    <w:basedOn w:val="a1"/>
    <w:link w:val="5"/>
    <w:rsid w:val="001E4A55"/>
    <w:rPr>
      <w:rFonts w:ascii="CG Times (W1)" w:eastAsia="細明體" w:hAnsi="CG Times (W1)" w:cs="Times New Roman"/>
      <w:b/>
      <w:szCs w:val="20"/>
    </w:rPr>
  </w:style>
  <w:style w:type="character" w:customStyle="1" w:styleId="60">
    <w:name w:val="標題 6 字元"/>
    <w:basedOn w:val="a1"/>
    <w:link w:val="6"/>
    <w:rsid w:val="001E4A55"/>
    <w:rPr>
      <w:rFonts w:ascii="Times New Roman" w:eastAsia="細明體" w:hAnsi="Times New Roman" w:cs="Times New Roman"/>
      <w:i/>
      <w:sz w:val="24"/>
      <w:szCs w:val="20"/>
      <w:u w:val="single"/>
      <w:lang w:val="en-GB"/>
    </w:rPr>
  </w:style>
  <w:style w:type="character" w:customStyle="1" w:styleId="70">
    <w:name w:val="標題 7 字元"/>
    <w:basedOn w:val="a1"/>
    <w:link w:val="7"/>
    <w:rsid w:val="001E4A55"/>
    <w:rPr>
      <w:rFonts w:ascii="Times New Roman" w:eastAsia="細明體" w:hAnsi="Times New Roman" w:cs="Times New Roman"/>
      <w:i/>
      <w:sz w:val="24"/>
      <w:szCs w:val="20"/>
      <w:u w:val="single"/>
      <w:lang w:val="en-GB"/>
    </w:rPr>
  </w:style>
  <w:style w:type="character" w:customStyle="1" w:styleId="80">
    <w:name w:val="標題 8 字元"/>
    <w:basedOn w:val="a1"/>
    <w:link w:val="8"/>
    <w:rsid w:val="001E4A55"/>
    <w:rPr>
      <w:rFonts w:ascii="Times New Roman" w:eastAsia="細明體" w:hAnsi="Times New Roman" w:cs="Times New Roman"/>
      <w:sz w:val="24"/>
      <w:szCs w:val="20"/>
      <w:lang w:val="en-GB"/>
    </w:rPr>
  </w:style>
  <w:style w:type="character" w:customStyle="1" w:styleId="90">
    <w:name w:val="標題 9 字元"/>
    <w:basedOn w:val="a1"/>
    <w:link w:val="9"/>
    <w:rsid w:val="001E4A55"/>
    <w:rPr>
      <w:rFonts w:ascii="Times New Roman" w:eastAsia="細明體" w:hAnsi="Times New Roman" w:cs="Times New Roman"/>
      <w:i/>
      <w:sz w:val="24"/>
      <w:szCs w:val="20"/>
      <w:lang w:val="en-GB"/>
    </w:rPr>
  </w:style>
  <w:style w:type="paragraph" w:styleId="a0">
    <w:name w:val="Normal Indent"/>
    <w:basedOn w:val="a"/>
    <w:rsid w:val="001E4A55"/>
    <w:pPr>
      <w:ind w:left="480"/>
    </w:pPr>
  </w:style>
  <w:style w:type="paragraph" w:styleId="a4">
    <w:name w:val="Body Text"/>
    <w:basedOn w:val="a"/>
    <w:link w:val="a5"/>
    <w:rsid w:val="001E4A55"/>
    <w:rPr>
      <w:sz w:val="24"/>
    </w:rPr>
  </w:style>
  <w:style w:type="character" w:customStyle="1" w:styleId="a5">
    <w:name w:val="本文 字元"/>
    <w:basedOn w:val="a1"/>
    <w:link w:val="a4"/>
    <w:rsid w:val="001E4A55"/>
    <w:rPr>
      <w:rFonts w:ascii="Times New Roman" w:eastAsia="細明體" w:hAnsi="Times New Roman" w:cs="Times New Roman"/>
      <w:sz w:val="24"/>
      <w:szCs w:val="20"/>
      <w:lang w:val="en-GB"/>
    </w:rPr>
  </w:style>
  <w:style w:type="paragraph" w:customStyle="1" w:styleId="BodyText21">
    <w:name w:val="Body Text 21"/>
    <w:basedOn w:val="a"/>
    <w:rsid w:val="001E4A55"/>
    <w:pPr>
      <w:jc w:val="both"/>
    </w:pPr>
    <w:rPr>
      <w:sz w:val="24"/>
    </w:rPr>
  </w:style>
  <w:style w:type="paragraph" w:styleId="a6">
    <w:name w:val="header"/>
    <w:basedOn w:val="a"/>
    <w:link w:val="a7"/>
    <w:uiPriority w:val="99"/>
    <w:rsid w:val="001E4A55"/>
    <w:pPr>
      <w:tabs>
        <w:tab w:val="center" w:pos="4153"/>
        <w:tab w:val="right" w:pos="8306"/>
      </w:tabs>
    </w:pPr>
  </w:style>
  <w:style w:type="character" w:customStyle="1" w:styleId="a7">
    <w:name w:val="頁首 字元"/>
    <w:basedOn w:val="a1"/>
    <w:link w:val="a6"/>
    <w:uiPriority w:val="99"/>
    <w:rsid w:val="001E4A55"/>
    <w:rPr>
      <w:rFonts w:ascii="Times New Roman" w:eastAsia="細明體" w:hAnsi="Times New Roman" w:cs="Times New Roman"/>
      <w:sz w:val="20"/>
      <w:szCs w:val="20"/>
      <w:lang w:val="en-GB"/>
    </w:rPr>
  </w:style>
  <w:style w:type="paragraph" w:styleId="a8">
    <w:name w:val="footer"/>
    <w:basedOn w:val="a"/>
    <w:link w:val="a9"/>
    <w:uiPriority w:val="99"/>
    <w:rsid w:val="001E4A55"/>
    <w:pPr>
      <w:tabs>
        <w:tab w:val="center" w:pos="4153"/>
        <w:tab w:val="right" w:pos="8306"/>
      </w:tabs>
    </w:pPr>
  </w:style>
  <w:style w:type="character" w:customStyle="1" w:styleId="a9">
    <w:name w:val="頁尾 字元"/>
    <w:basedOn w:val="a1"/>
    <w:link w:val="a8"/>
    <w:uiPriority w:val="99"/>
    <w:rsid w:val="001E4A55"/>
    <w:rPr>
      <w:rFonts w:ascii="Times New Roman" w:eastAsia="細明體" w:hAnsi="Times New Roman" w:cs="Times New Roman"/>
      <w:sz w:val="20"/>
      <w:szCs w:val="20"/>
      <w:lang w:val="en-GB"/>
    </w:rPr>
  </w:style>
  <w:style w:type="character" w:styleId="aa">
    <w:name w:val="page number"/>
    <w:basedOn w:val="a1"/>
    <w:rsid w:val="001E4A55"/>
  </w:style>
  <w:style w:type="paragraph" w:styleId="ab">
    <w:name w:val="Title"/>
    <w:basedOn w:val="a"/>
    <w:link w:val="ac"/>
    <w:qFormat/>
    <w:rsid w:val="001E4A55"/>
    <w:pPr>
      <w:jc w:val="center"/>
    </w:pPr>
    <w:rPr>
      <w:rFonts w:ascii="CG Times (W1)" w:hAnsi="CG Times (W1)"/>
      <w:b/>
      <w:sz w:val="24"/>
    </w:rPr>
  </w:style>
  <w:style w:type="character" w:customStyle="1" w:styleId="ac">
    <w:name w:val="標題 字元"/>
    <w:basedOn w:val="a1"/>
    <w:link w:val="ab"/>
    <w:rsid w:val="001E4A55"/>
    <w:rPr>
      <w:rFonts w:ascii="CG Times (W1)" w:eastAsia="細明體" w:hAnsi="CG Times (W1)" w:cs="Times New Roman"/>
      <w:b/>
      <w:sz w:val="24"/>
      <w:szCs w:val="20"/>
      <w:lang w:val="en-GB"/>
    </w:rPr>
  </w:style>
  <w:style w:type="paragraph" w:styleId="21">
    <w:name w:val="Body Text 2"/>
    <w:basedOn w:val="a"/>
    <w:link w:val="22"/>
    <w:rsid w:val="001E4A55"/>
    <w:rPr>
      <w:rFonts w:ascii="CG Times (W1)" w:hAnsi="CG Times (W1)"/>
      <w:sz w:val="22"/>
      <w:lang w:val="en-US"/>
    </w:rPr>
  </w:style>
  <w:style w:type="character" w:customStyle="1" w:styleId="22">
    <w:name w:val="本文 2 字元"/>
    <w:basedOn w:val="a1"/>
    <w:link w:val="21"/>
    <w:rsid w:val="001E4A55"/>
    <w:rPr>
      <w:rFonts w:ascii="CG Times (W1)" w:eastAsia="細明體" w:hAnsi="CG Times (W1)" w:cs="Times New Roman"/>
      <w:szCs w:val="20"/>
    </w:rPr>
  </w:style>
  <w:style w:type="paragraph" w:styleId="ad">
    <w:name w:val="Body Text Indent"/>
    <w:basedOn w:val="a"/>
    <w:link w:val="ae"/>
    <w:rsid w:val="001E4A55"/>
    <w:pPr>
      <w:ind w:left="104" w:hanging="104"/>
    </w:pPr>
    <w:rPr>
      <w:rFonts w:ascii="CG Times (W1)" w:hAnsi="CG Times (W1)"/>
      <w:sz w:val="22"/>
      <w:lang w:val="en-US"/>
    </w:rPr>
  </w:style>
  <w:style w:type="character" w:customStyle="1" w:styleId="ae">
    <w:name w:val="本文縮排 字元"/>
    <w:basedOn w:val="a1"/>
    <w:link w:val="ad"/>
    <w:rsid w:val="001E4A55"/>
    <w:rPr>
      <w:rFonts w:ascii="CG Times (W1)" w:eastAsia="細明體" w:hAnsi="CG Times (W1)" w:cs="Times New Roman"/>
      <w:szCs w:val="20"/>
    </w:rPr>
  </w:style>
  <w:style w:type="paragraph" w:styleId="23">
    <w:name w:val="Body Text Indent 2"/>
    <w:basedOn w:val="a"/>
    <w:link w:val="24"/>
    <w:rsid w:val="001E4A55"/>
    <w:pPr>
      <w:ind w:left="1134"/>
      <w:jc w:val="both"/>
    </w:pPr>
    <w:rPr>
      <w:rFonts w:ascii="CG Times (W1)" w:hAnsi="CG Times (W1)"/>
      <w:sz w:val="24"/>
      <w:lang w:val="en-US"/>
    </w:rPr>
  </w:style>
  <w:style w:type="character" w:customStyle="1" w:styleId="24">
    <w:name w:val="本文縮排 2 字元"/>
    <w:basedOn w:val="a1"/>
    <w:link w:val="23"/>
    <w:rsid w:val="001E4A55"/>
    <w:rPr>
      <w:rFonts w:ascii="CG Times (W1)" w:eastAsia="細明體" w:hAnsi="CG Times (W1)" w:cs="Times New Roman"/>
      <w:sz w:val="24"/>
      <w:szCs w:val="20"/>
    </w:rPr>
  </w:style>
  <w:style w:type="paragraph" w:styleId="31">
    <w:name w:val="Body Text Indent 3"/>
    <w:basedOn w:val="a"/>
    <w:link w:val="32"/>
    <w:rsid w:val="001E4A55"/>
    <w:pPr>
      <w:ind w:left="1134"/>
      <w:jc w:val="both"/>
    </w:pPr>
    <w:rPr>
      <w:rFonts w:ascii="CG Times (W1)" w:hAnsi="CG Times (W1)"/>
      <w:i/>
      <w:sz w:val="24"/>
      <w:lang w:val="en-US"/>
    </w:rPr>
  </w:style>
  <w:style w:type="character" w:customStyle="1" w:styleId="32">
    <w:name w:val="本文縮排 3 字元"/>
    <w:basedOn w:val="a1"/>
    <w:link w:val="31"/>
    <w:rsid w:val="001E4A55"/>
    <w:rPr>
      <w:rFonts w:ascii="CG Times (W1)" w:eastAsia="細明體" w:hAnsi="CG Times (W1)" w:cs="Times New Roman"/>
      <w:i/>
      <w:sz w:val="24"/>
      <w:szCs w:val="20"/>
    </w:rPr>
  </w:style>
  <w:style w:type="paragraph" w:customStyle="1" w:styleId="Level1">
    <w:name w:val="Level 1"/>
    <w:basedOn w:val="a"/>
    <w:rsid w:val="001E4A55"/>
    <w:pPr>
      <w:widowControl w:val="0"/>
      <w:tabs>
        <w:tab w:val="num" w:pos="0"/>
      </w:tabs>
      <w:overflowPunct/>
      <w:ind w:left="720" w:hanging="720"/>
      <w:textAlignment w:val="auto"/>
      <w:outlineLvl w:val="0"/>
    </w:pPr>
    <w:rPr>
      <w:rFonts w:eastAsia="新細明體"/>
      <w:lang w:val="en-US"/>
    </w:rPr>
  </w:style>
  <w:style w:type="paragraph" w:customStyle="1" w:styleId="Level2">
    <w:name w:val="Level 2"/>
    <w:basedOn w:val="a"/>
    <w:rsid w:val="001E4A55"/>
    <w:pPr>
      <w:widowControl w:val="0"/>
      <w:numPr>
        <w:numId w:val="2"/>
      </w:numPr>
      <w:overflowPunct/>
      <w:ind w:left="1440" w:hanging="720"/>
      <w:textAlignment w:val="auto"/>
      <w:outlineLvl w:val="1"/>
    </w:pPr>
    <w:rPr>
      <w:rFonts w:eastAsia="新細明體"/>
      <w:lang w:val="en-US"/>
    </w:rPr>
  </w:style>
  <w:style w:type="paragraph" w:customStyle="1" w:styleId="Level3">
    <w:name w:val="Level 3"/>
    <w:basedOn w:val="a"/>
    <w:rsid w:val="001E4A55"/>
    <w:pPr>
      <w:widowControl w:val="0"/>
      <w:numPr>
        <w:ilvl w:val="1"/>
        <w:numId w:val="2"/>
      </w:numPr>
      <w:tabs>
        <w:tab w:val="clear" w:pos="0"/>
        <w:tab w:val="num" w:pos="720"/>
      </w:tabs>
      <w:overflowPunct/>
      <w:ind w:left="1980" w:hanging="540"/>
      <w:textAlignment w:val="auto"/>
      <w:outlineLvl w:val="2"/>
    </w:pPr>
    <w:rPr>
      <w:rFonts w:eastAsia="新細明體"/>
      <w:lang w:val="en-US"/>
    </w:rPr>
  </w:style>
  <w:style w:type="paragraph" w:styleId="af">
    <w:name w:val="Document Map"/>
    <w:basedOn w:val="a"/>
    <w:link w:val="af0"/>
    <w:semiHidden/>
    <w:rsid w:val="001E4A55"/>
    <w:pPr>
      <w:shd w:val="clear" w:color="auto" w:fill="000080"/>
    </w:pPr>
    <w:rPr>
      <w:rFonts w:ascii="Arial" w:eastAsia="新細明體" w:hAnsi="Arial"/>
    </w:rPr>
  </w:style>
  <w:style w:type="character" w:customStyle="1" w:styleId="af0">
    <w:name w:val="文件引導模式 字元"/>
    <w:basedOn w:val="a1"/>
    <w:link w:val="af"/>
    <w:semiHidden/>
    <w:rsid w:val="001E4A55"/>
    <w:rPr>
      <w:rFonts w:ascii="Arial" w:eastAsia="新細明體" w:hAnsi="Arial" w:cs="Times New Roman"/>
      <w:sz w:val="20"/>
      <w:szCs w:val="20"/>
      <w:shd w:val="clear" w:color="auto" w:fill="000080"/>
      <w:lang w:val="en-GB"/>
    </w:rPr>
  </w:style>
  <w:style w:type="paragraph" w:styleId="af1">
    <w:name w:val="Block Text"/>
    <w:basedOn w:val="a"/>
    <w:rsid w:val="001E4A55"/>
    <w:pPr>
      <w:numPr>
        <w:ilvl w:val="12"/>
      </w:numPr>
      <w:tabs>
        <w:tab w:val="left" w:pos="-1440"/>
      </w:tabs>
      <w:ind w:left="2160" w:right="-29" w:hanging="720"/>
      <w:jc w:val="both"/>
    </w:pPr>
    <w:rPr>
      <w:i/>
      <w:sz w:val="24"/>
    </w:rPr>
  </w:style>
  <w:style w:type="paragraph" w:customStyle="1" w:styleId="para">
    <w:name w:val="para"/>
    <w:basedOn w:val="a"/>
    <w:rsid w:val="001E4A55"/>
    <w:pPr>
      <w:numPr>
        <w:numId w:val="1"/>
      </w:numPr>
      <w:overflowPunct/>
      <w:autoSpaceDE/>
      <w:autoSpaceDN/>
      <w:adjustRightInd/>
      <w:spacing w:line="360" w:lineRule="auto"/>
      <w:ind w:left="720" w:hanging="720"/>
      <w:textAlignment w:val="auto"/>
    </w:pPr>
    <w:rPr>
      <w:rFonts w:eastAsia="新細明體"/>
      <w:sz w:val="28"/>
      <w:lang w:val="en-US"/>
    </w:rPr>
  </w:style>
  <w:style w:type="paragraph" w:customStyle="1" w:styleId="subheading">
    <w:name w:val="subheading"/>
    <w:basedOn w:val="a"/>
    <w:rsid w:val="001E4A55"/>
    <w:pPr>
      <w:overflowPunct/>
      <w:autoSpaceDE/>
      <w:autoSpaceDN/>
      <w:adjustRightInd/>
      <w:spacing w:before="240" w:line="360" w:lineRule="auto"/>
      <w:textAlignment w:val="auto"/>
    </w:pPr>
    <w:rPr>
      <w:rFonts w:eastAsia="新細明體"/>
      <w:i/>
      <w:sz w:val="28"/>
      <w:lang w:val="en-US"/>
    </w:rPr>
  </w:style>
  <w:style w:type="paragraph" w:customStyle="1" w:styleId="Quote1">
    <w:name w:val="Quote1"/>
    <w:basedOn w:val="a"/>
    <w:rsid w:val="001E4A55"/>
    <w:pPr>
      <w:overflowPunct/>
      <w:autoSpaceDE/>
      <w:autoSpaceDN/>
      <w:adjustRightInd/>
      <w:spacing w:before="120" w:after="240"/>
      <w:ind w:left="1440" w:right="720"/>
      <w:textAlignment w:val="auto"/>
    </w:pPr>
    <w:rPr>
      <w:rFonts w:eastAsia="新細明體"/>
      <w:sz w:val="28"/>
      <w:lang w:val="en-US"/>
    </w:rPr>
  </w:style>
  <w:style w:type="paragraph" w:styleId="af2">
    <w:name w:val="caption"/>
    <w:basedOn w:val="a"/>
    <w:next w:val="a"/>
    <w:qFormat/>
    <w:rsid w:val="001E4A55"/>
    <w:pPr>
      <w:widowControl w:val="0"/>
      <w:tabs>
        <w:tab w:val="left" w:pos="900"/>
      </w:tabs>
      <w:overflowPunct/>
      <w:autoSpaceDE/>
      <w:autoSpaceDN/>
      <w:adjustRightInd/>
      <w:snapToGrid w:val="0"/>
      <w:spacing w:before="360" w:line="360" w:lineRule="auto"/>
      <w:ind w:left="900"/>
      <w:jc w:val="both"/>
      <w:textAlignment w:val="auto"/>
    </w:pPr>
    <w:rPr>
      <w:rFonts w:ascii="Garamond" w:eastAsia="新細明體" w:hAnsi="Garamond"/>
      <w:i/>
      <w:kern w:val="2"/>
      <w:sz w:val="24"/>
      <w:lang w:val="en-US"/>
    </w:rPr>
  </w:style>
  <w:style w:type="paragraph" w:styleId="33">
    <w:name w:val="Body Text 3"/>
    <w:basedOn w:val="a"/>
    <w:link w:val="34"/>
    <w:rsid w:val="001E4A55"/>
    <w:pPr>
      <w:jc w:val="center"/>
    </w:pPr>
    <w:rPr>
      <w:b/>
      <w:sz w:val="24"/>
    </w:rPr>
  </w:style>
  <w:style w:type="character" w:customStyle="1" w:styleId="34">
    <w:name w:val="本文 3 字元"/>
    <w:basedOn w:val="a1"/>
    <w:link w:val="33"/>
    <w:rsid w:val="001E4A55"/>
    <w:rPr>
      <w:rFonts w:ascii="Times New Roman" w:eastAsia="細明體" w:hAnsi="Times New Roman" w:cs="Times New Roman"/>
      <w:b/>
      <w:sz w:val="24"/>
      <w:szCs w:val="20"/>
      <w:lang w:val="en-GB"/>
    </w:rPr>
  </w:style>
  <w:style w:type="paragraph" w:styleId="af3">
    <w:name w:val="footnote text"/>
    <w:basedOn w:val="a"/>
    <w:link w:val="af4"/>
    <w:semiHidden/>
    <w:rsid w:val="001E4A55"/>
    <w:pPr>
      <w:overflowPunct/>
      <w:autoSpaceDE/>
      <w:autoSpaceDN/>
      <w:adjustRightInd/>
      <w:textAlignment w:val="auto"/>
    </w:pPr>
    <w:rPr>
      <w:rFonts w:eastAsia="新細明體"/>
      <w:noProof/>
    </w:rPr>
  </w:style>
  <w:style w:type="character" w:customStyle="1" w:styleId="af4">
    <w:name w:val="註腳文字 字元"/>
    <w:basedOn w:val="a1"/>
    <w:link w:val="af3"/>
    <w:semiHidden/>
    <w:rsid w:val="001E4A55"/>
    <w:rPr>
      <w:rFonts w:ascii="Times New Roman" w:eastAsia="新細明體" w:hAnsi="Times New Roman" w:cs="Times New Roman"/>
      <w:noProof/>
      <w:sz w:val="20"/>
      <w:szCs w:val="20"/>
      <w:lang w:val="en-GB"/>
    </w:rPr>
  </w:style>
  <w:style w:type="character" w:styleId="af5">
    <w:name w:val="footnote reference"/>
    <w:basedOn w:val="a1"/>
    <w:semiHidden/>
    <w:rsid w:val="001E4A55"/>
    <w:rPr>
      <w:vertAlign w:val="superscript"/>
    </w:rPr>
  </w:style>
  <w:style w:type="paragraph" w:styleId="af6">
    <w:name w:val="endnote text"/>
    <w:basedOn w:val="a"/>
    <w:link w:val="af7"/>
    <w:semiHidden/>
    <w:rsid w:val="001E4A55"/>
    <w:pPr>
      <w:snapToGrid w:val="0"/>
    </w:pPr>
  </w:style>
  <w:style w:type="character" w:customStyle="1" w:styleId="af7">
    <w:name w:val="章節附註文字 字元"/>
    <w:basedOn w:val="a1"/>
    <w:link w:val="af6"/>
    <w:semiHidden/>
    <w:rsid w:val="001E4A55"/>
    <w:rPr>
      <w:rFonts w:ascii="Times New Roman" w:eastAsia="細明體" w:hAnsi="Times New Roman" w:cs="Times New Roman"/>
      <w:sz w:val="20"/>
      <w:szCs w:val="20"/>
      <w:lang w:val="en-GB"/>
    </w:rPr>
  </w:style>
  <w:style w:type="character" w:styleId="af8">
    <w:name w:val="endnote reference"/>
    <w:basedOn w:val="a1"/>
    <w:semiHidden/>
    <w:rsid w:val="001E4A55"/>
    <w:rPr>
      <w:vertAlign w:val="superscript"/>
    </w:rPr>
  </w:style>
  <w:style w:type="paragraph" w:styleId="af9">
    <w:name w:val="Subtitle"/>
    <w:basedOn w:val="a"/>
    <w:link w:val="afa"/>
    <w:qFormat/>
    <w:rsid w:val="001E4A55"/>
    <w:pPr>
      <w:widowControl w:val="0"/>
      <w:overflowPunct/>
      <w:autoSpaceDE/>
      <w:autoSpaceDN/>
      <w:adjustRightInd/>
      <w:textAlignment w:val="auto"/>
    </w:pPr>
    <w:rPr>
      <w:rFonts w:eastAsia="新細明體"/>
      <w:b/>
      <w:kern w:val="2"/>
      <w:sz w:val="26"/>
      <w:lang w:val="en-US"/>
    </w:rPr>
  </w:style>
  <w:style w:type="character" w:customStyle="1" w:styleId="afa">
    <w:name w:val="副標題 字元"/>
    <w:basedOn w:val="a1"/>
    <w:link w:val="af9"/>
    <w:rsid w:val="001E4A55"/>
    <w:rPr>
      <w:rFonts w:ascii="Times New Roman" w:eastAsia="新細明體" w:hAnsi="Times New Roman" w:cs="Times New Roman"/>
      <w:b/>
      <w:kern w:val="2"/>
      <w:sz w:val="26"/>
      <w:szCs w:val="20"/>
    </w:rPr>
  </w:style>
  <w:style w:type="paragraph" w:styleId="afb">
    <w:name w:val="Salutation"/>
    <w:basedOn w:val="a"/>
    <w:next w:val="a"/>
    <w:link w:val="afc"/>
    <w:rsid w:val="001E4A55"/>
    <w:pPr>
      <w:widowControl w:val="0"/>
      <w:overflowPunct/>
      <w:autoSpaceDE/>
      <w:autoSpaceDN/>
      <w:adjustRightInd/>
      <w:textAlignment w:val="auto"/>
    </w:pPr>
    <w:rPr>
      <w:rFonts w:eastAsia="華康楷書體W5"/>
      <w:kern w:val="2"/>
      <w:sz w:val="26"/>
      <w:lang w:val="en-US"/>
    </w:rPr>
  </w:style>
  <w:style w:type="character" w:customStyle="1" w:styleId="afc">
    <w:name w:val="問候 字元"/>
    <w:basedOn w:val="a1"/>
    <w:link w:val="afb"/>
    <w:rsid w:val="001E4A55"/>
    <w:rPr>
      <w:rFonts w:ascii="Times New Roman" w:eastAsia="華康楷書體W5" w:hAnsi="Times New Roman" w:cs="Times New Roman"/>
      <w:kern w:val="2"/>
      <w:sz w:val="26"/>
      <w:szCs w:val="20"/>
    </w:rPr>
  </w:style>
  <w:style w:type="character" w:customStyle="1" w:styleId="style11">
    <w:name w:val="style11"/>
    <w:basedOn w:val="a1"/>
    <w:rsid w:val="001E4A55"/>
    <w:rPr>
      <w:rFonts w:ascii="Verdana" w:hAnsi="Verdana" w:hint="default"/>
      <w:sz w:val="12"/>
      <w:szCs w:val="12"/>
    </w:rPr>
  </w:style>
  <w:style w:type="paragraph" w:styleId="afd">
    <w:name w:val="Closing"/>
    <w:basedOn w:val="a"/>
    <w:link w:val="afe"/>
    <w:uiPriority w:val="99"/>
    <w:unhideWhenUsed/>
    <w:rsid w:val="001606D9"/>
    <w:pPr>
      <w:ind w:left="4320"/>
    </w:pPr>
    <w:rPr>
      <w:rFonts w:eastAsia="華康楷書體W5"/>
      <w:sz w:val="24"/>
      <w:szCs w:val="24"/>
    </w:rPr>
  </w:style>
  <w:style w:type="character" w:customStyle="1" w:styleId="afe">
    <w:name w:val="結語 字元"/>
    <w:basedOn w:val="a1"/>
    <w:link w:val="afd"/>
    <w:uiPriority w:val="99"/>
    <w:rsid w:val="001606D9"/>
    <w:rPr>
      <w:rFonts w:ascii="Times New Roman" w:eastAsia="華康楷書體W5" w:hAnsi="Times New Roman" w:cs="Times New Roman"/>
      <w:sz w:val="24"/>
      <w:szCs w:val="24"/>
      <w:lang w:val="en-GB"/>
    </w:rPr>
  </w:style>
  <w:style w:type="paragraph" w:styleId="aff">
    <w:name w:val="List Paragraph"/>
    <w:basedOn w:val="a"/>
    <w:uiPriority w:val="34"/>
    <w:qFormat/>
    <w:rsid w:val="005F06DA"/>
    <w:pPr>
      <w:ind w:left="720"/>
      <w:contextualSpacing/>
    </w:pPr>
  </w:style>
  <w:style w:type="paragraph" w:styleId="aff0">
    <w:name w:val="Balloon Text"/>
    <w:basedOn w:val="a"/>
    <w:link w:val="aff1"/>
    <w:uiPriority w:val="99"/>
    <w:semiHidden/>
    <w:unhideWhenUsed/>
    <w:rsid w:val="00266D14"/>
    <w:rPr>
      <w:rFonts w:asciiTheme="majorHAnsi" w:eastAsiaTheme="majorEastAsia" w:hAnsiTheme="majorHAnsi" w:cstheme="majorBidi"/>
      <w:sz w:val="18"/>
      <w:szCs w:val="18"/>
    </w:rPr>
  </w:style>
  <w:style w:type="character" w:customStyle="1" w:styleId="aff1">
    <w:name w:val="註解方塊文字 字元"/>
    <w:basedOn w:val="a1"/>
    <w:link w:val="aff0"/>
    <w:uiPriority w:val="99"/>
    <w:semiHidden/>
    <w:rsid w:val="00266D14"/>
    <w:rPr>
      <w:rFonts w:asciiTheme="majorHAnsi" w:eastAsiaTheme="majorEastAsia" w:hAnsiTheme="majorHAnsi" w:cstheme="majorBidi"/>
      <w:sz w:val="18"/>
      <w:szCs w:val="18"/>
      <w:lang w:val="en-GB"/>
    </w:rPr>
  </w:style>
  <w:style w:type="table" w:styleId="aff2">
    <w:name w:val="Table Grid"/>
    <w:basedOn w:val="a2"/>
    <w:uiPriority w:val="39"/>
    <w:rsid w:val="00401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7808">
      <w:bodyDiv w:val="1"/>
      <w:marLeft w:val="0"/>
      <w:marRight w:val="0"/>
      <w:marTop w:val="0"/>
      <w:marBottom w:val="0"/>
      <w:divBdr>
        <w:top w:val="none" w:sz="0" w:space="0" w:color="auto"/>
        <w:left w:val="none" w:sz="0" w:space="0" w:color="auto"/>
        <w:bottom w:val="none" w:sz="0" w:space="0" w:color="auto"/>
        <w:right w:val="none" w:sz="0" w:space="0" w:color="auto"/>
      </w:divBdr>
    </w:div>
    <w:div w:id="83310155">
      <w:bodyDiv w:val="1"/>
      <w:marLeft w:val="0"/>
      <w:marRight w:val="0"/>
      <w:marTop w:val="0"/>
      <w:marBottom w:val="0"/>
      <w:divBdr>
        <w:top w:val="none" w:sz="0" w:space="0" w:color="auto"/>
        <w:left w:val="none" w:sz="0" w:space="0" w:color="auto"/>
        <w:bottom w:val="none" w:sz="0" w:space="0" w:color="auto"/>
        <w:right w:val="none" w:sz="0" w:space="0" w:color="auto"/>
      </w:divBdr>
    </w:div>
    <w:div w:id="132870304">
      <w:bodyDiv w:val="1"/>
      <w:marLeft w:val="0"/>
      <w:marRight w:val="0"/>
      <w:marTop w:val="0"/>
      <w:marBottom w:val="0"/>
      <w:divBdr>
        <w:top w:val="none" w:sz="0" w:space="0" w:color="auto"/>
        <w:left w:val="none" w:sz="0" w:space="0" w:color="auto"/>
        <w:bottom w:val="none" w:sz="0" w:space="0" w:color="auto"/>
        <w:right w:val="none" w:sz="0" w:space="0" w:color="auto"/>
      </w:divBdr>
    </w:div>
    <w:div w:id="218367704">
      <w:bodyDiv w:val="1"/>
      <w:marLeft w:val="0"/>
      <w:marRight w:val="0"/>
      <w:marTop w:val="0"/>
      <w:marBottom w:val="0"/>
      <w:divBdr>
        <w:top w:val="none" w:sz="0" w:space="0" w:color="auto"/>
        <w:left w:val="none" w:sz="0" w:space="0" w:color="auto"/>
        <w:bottom w:val="none" w:sz="0" w:space="0" w:color="auto"/>
        <w:right w:val="none" w:sz="0" w:space="0" w:color="auto"/>
      </w:divBdr>
    </w:div>
    <w:div w:id="275455677">
      <w:bodyDiv w:val="1"/>
      <w:marLeft w:val="0"/>
      <w:marRight w:val="0"/>
      <w:marTop w:val="0"/>
      <w:marBottom w:val="0"/>
      <w:divBdr>
        <w:top w:val="none" w:sz="0" w:space="0" w:color="auto"/>
        <w:left w:val="none" w:sz="0" w:space="0" w:color="auto"/>
        <w:bottom w:val="none" w:sz="0" w:space="0" w:color="auto"/>
        <w:right w:val="none" w:sz="0" w:space="0" w:color="auto"/>
      </w:divBdr>
    </w:div>
    <w:div w:id="288778621">
      <w:bodyDiv w:val="1"/>
      <w:marLeft w:val="0"/>
      <w:marRight w:val="0"/>
      <w:marTop w:val="0"/>
      <w:marBottom w:val="0"/>
      <w:divBdr>
        <w:top w:val="none" w:sz="0" w:space="0" w:color="auto"/>
        <w:left w:val="none" w:sz="0" w:space="0" w:color="auto"/>
        <w:bottom w:val="none" w:sz="0" w:space="0" w:color="auto"/>
        <w:right w:val="none" w:sz="0" w:space="0" w:color="auto"/>
      </w:divBdr>
    </w:div>
    <w:div w:id="308558024">
      <w:bodyDiv w:val="1"/>
      <w:marLeft w:val="0"/>
      <w:marRight w:val="0"/>
      <w:marTop w:val="0"/>
      <w:marBottom w:val="0"/>
      <w:divBdr>
        <w:top w:val="none" w:sz="0" w:space="0" w:color="auto"/>
        <w:left w:val="none" w:sz="0" w:space="0" w:color="auto"/>
        <w:bottom w:val="none" w:sz="0" w:space="0" w:color="auto"/>
        <w:right w:val="none" w:sz="0" w:space="0" w:color="auto"/>
      </w:divBdr>
    </w:div>
    <w:div w:id="313607854">
      <w:bodyDiv w:val="1"/>
      <w:marLeft w:val="0"/>
      <w:marRight w:val="0"/>
      <w:marTop w:val="0"/>
      <w:marBottom w:val="0"/>
      <w:divBdr>
        <w:top w:val="none" w:sz="0" w:space="0" w:color="auto"/>
        <w:left w:val="none" w:sz="0" w:space="0" w:color="auto"/>
        <w:bottom w:val="none" w:sz="0" w:space="0" w:color="auto"/>
        <w:right w:val="none" w:sz="0" w:space="0" w:color="auto"/>
      </w:divBdr>
    </w:div>
    <w:div w:id="370038026">
      <w:bodyDiv w:val="1"/>
      <w:marLeft w:val="0"/>
      <w:marRight w:val="0"/>
      <w:marTop w:val="0"/>
      <w:marBottom w:val="0"/>
      <w:divBdr>
        <w:top w:val="none" w:sz="0" w:space="0" w:color="auto"/>
        <w:left w:val="none" w:sz="0" w:space="0" w:color="auto"/>
        <w:bottom w:val="none" w:sz="0" w:space="0" w:color="auto"/>
        <w:right w:val="none" w:sz="0" w:space="0" w:color="auto"/>
      </w:divBdr>
    </w:div>
    <w:div w:id="383454433">
      <w:bodyDiv w:val="1"/>
      <w:marLeft w:val="0"/>
      <w:marRight w:val="0"/>
      <w:marTop w:val="0"/>
      <w:marBottom w:val="0"/>
      <w:divBdr>
        <w:top w:val="none" w:sz="0" w:space="0" w:color="auto"/>
        <w:left w:val="none" w:sz="0" w:space="0" w:color="auto"/>
        <w:bottom w:val="none" w:sz="0" w:space="0" w:color="auto"/>
        <w:right w:val="none" w:sz="0" w:space="0" w:color="auto"/>
      </w:divBdr>
    </w:div>
    <w:div w:id="419107622">
      <w:bodyDiv w:val="1"/>
      <w:marLeft w:val="0"/>
      <w:marRight w:val="0"/>
      <w:marTop w:val="0"/>
      <w:marBottom w:val="0"/>
      <w:divBdr>
        <w:top w:val="none" w:sz="0" w:space="0" w:color="auto"/>
        <w:left w:val="none" w:sz="0" w:space="0" w:color="auto"/>
        <w:bottom w:val="none" w:sz="0" w:space="0" w:color="auto"/>
        <w:right w:val="none" w:sz="0" w:space="0" w:color="auto"/>
      </w:divBdr>
    </w:div>
    <w:div w:id="469783672">
      <w:bodyDiv w:val="1"/>
      <w:marLeft w:val="0"/>
      <w:marRight w:val="0"/>
      <w:marTop w:val="0"/>
      <w:marBottom w:val="0"/>
      <w:divBdr>
        <w:top w:val="none" w:sz="0" w:space="0" w:color="auto"/>
        <w:left w:val="none" w:sz="0" w:space="0" w:color="auto"/>
        <w:bottom w:val="none" w:sz="0" w:space="0" w:color="auto"/>
        <w:right w:val="none" w:sz="0" w:space="0" w:color="auto"/>
      </w:divBdr>
    </w:div>
    <w:div w:id="685209652">
      <w:bodyDiv w:val="1"/>
      <w:marLeft w:val="0"/>
      <w:marRight w:val="0"/>
      <w:marTop w:val="0"/>
      <w:marBottom w:val="0"/>
      <w:divBdr>
        <w:top w:val="none" w:sz="0" w:space="0" w:color="auto"/>
        <w:left w:val="none" w:sz="0" w:space="0" w:color="auto"/>
        <w:bottom w:val="none" w:sz="0" w:space="0" w:color="auto"/>
        <w:right w:val="none" w:sz="0" w:space="0" w:color="auto"/>
      </w:divBdr>
    </w:div>
    <w:div w:id="789398977">
      <w:bodyDiv w:val="1"/>
      <w:marLeft w:val="0"/>
      <w:marRight w:val="0"/>
      <w:marTop w:val="0"/>
      <w:marBottom w:val="0"/>
      <w:divBdr>
        <w:top w:val="none" w:sz="0" w:space="0" w:color="auto"/>
        <w:left w:val="none" w:sz="0" w:space="0" w:color="auto"/>
        <w:bottom w:val="none" w:sz="0" w:space="0" w:color="auto"/>
        <w:right w:val="none" w:sz="0" w:space="0" w:color="auto"/>
      </w:divBdr>
    </w:div>
    <w:div w:id="849762100">
      <w:bodyDiv w:val="1"/>
      <w:marLeft w:val="0"/>
      <w:marRight w:val="0"/>
      <w:marTop w:val="0"/>
      <w:marBottom w:val="0"/>
      <w:divBdr>
        <w:top w:val="none" w:sz="0" w:space="0" w:color="auto"/>
        <w:left w:val="none" w:sz="0" w:space="0" w:color="auto"/>
        <w:bottom w:val="none" w:sz="0" w:space="0" w:color="auto"/>
        <w:right w:val="none" w:sz="0" w:space="0" w:color="auto"/>
      </w:divBdr>
    </w:div>
    <w:div w:id="857503692">
      <w:bodyDiv w:val="1"/>
      <w:marLeft w:val="0"/>
      <w:marRight w:val="0"/>
      <w:marTop w:val="0"/>
      <w:marBottom w:val="0"/>
      <w:divBdr>
        <w:top w:val="none" w:sz="0" w:space="0" w:color="auto"/>
        <w:left w:val="none" w:sz="0" w:space="0" w:color="auto"/>
        <w:bottom w:val="none" w:sz="0" w:space="0" w:color="auto"/>
        <w:right w:val="none" w:sz="0" w:space="0" w:color="auto"/>
      </w:divBdr>
    </w:div>
    <w:div w:id="873154584">
      <w:bodyDiv w:val="1"/>
      <w:marLeft w:val="0"/>
      <w:marRight w:val="0"/>
      <w:marTop w:val="0"/>
      <w:marBottom w:val="0"/>
      <w:divBdr>
        <w:top w:val="none" w:sz="0" w:space="0" w:color="auto"/>
        <w:left w:val="none" w:sz="0" w:space="0" w:color="auto"/>
        <w:bottom w:val="none" w:sz="0" w:space="0" w:color="auto"/>
        <w:right w:val="none" w:sz="0" w:space="0" w:color="auto"/>
      </w:divBdr>
    </w:div>
    <w:div w:id="899512645">
      <w:bodyDiv w:val="1"/>
      <w:marLeft w:val="0"/>
      <w:marRight w:val="0"/>
      <w:marTop w:val="0"/>
      <w:marBottom w:val="0"/>
      <w:divBdr>
        <w:top w:val="none" w:sz="0" w:space="0" w:color="auto"/>
        <w:left w:val="none" w:sz="0" w:space="0" w:color="auto"/>
        <w:bottom w:val="none" w:sz="0" w:space="0" w:color="auto"/>
        <w:right w:val="none" w:sz="0" w:space="0" w:color="auto"/>
      </w:divBdr>
    </w:div>
    <w:div w:id="904413876">
      <w:bodyDiv w:val="1"/>
      <w:marLeft w:val="0"/>
      <w:marRight w:val="0"/>
      <w:marTop w:val="0"/>
      <w:marBottom w:val="0"/>
      <w:divBdr>
        <w:top w:val="none" w:sz="0" w:space="0" w:color="auto"/>
        <w:left w:val="none" w:sz="0" w:space="0" w:color="auto"/>
        <w:bottom w:val="none" w:sz="0" w:space="0" w:color="auto"/>
        <w:right w:val="none" w:sz="0" w:space="0" w:color="auto"/>
      </w:divBdr>
    </w:div>
    <w:div w:id="915087938">
      <w:bodyDiv w:val="1"/>
      <w:marLeft w:val="0"/>
      <w:marRight w:val="0"/>
      <w:marTop w:val="0"/>
      <w:marBottom w:val="0"/>
      <w:divBdr>
        <w:top w:val="none" w:sz="0" w:space="0" w:color="auto"/>
        <w:left w:val="none" w:sz="0" w:space="0" w:color="auto"/>
        <w:bottom w:val="none" w:sz="0" w:space="0" w:color="auto"/>
        <w:right w:val="none" w:sz="0" w:space="0" w:color="auto"/>
      </w:divBdr>
    </w:div>
    <w:div w:id="917978342">
      <w:bodyDiv w:val="1"/>
      <w:marLeft w:val="0"/>
      <w:marRight w:val="0"/>
      <w:marTop w:val="0"/>
      <w:marBottom w:val="0"/>
      <w:divBdr>
        <w:top w:val="none" w:sz="0" w:space="0" w:color="auto"/>
        <w:left w:val="none" w:sz="0" w:space="0" w:color="auto"/>
        <w:bottom w:val="none" w:sz="0" w:space="0" w:color="auto"/>
        <w:right w:val="none" w:sz="0" w:space="0" w:color="auto"/>
      </w:divBdr>
    </w:div>
    <w:div w:id="924801480">
      <w:bodyDiv w:val="1"/>
      <w:marLeft w:val="0"/>
      <w:marRight w:val="0"/>
      <w:marTop w:val="0"/>
      <w:marBottom w:val="0"/>
      <w:divBdr>
        <w:top w:val="none" w:sz="0" w:space="0" w:color="auto"/>
        <w:left w:val="none" w:sz="0" w:space="0" w:color="auto"/>
        <w:bottom w:val="none" w:sz="0" w:space="0" w:color="auto"/>
        <w:right w:val="none" w:sz="0" w:space="0" w:color="auto"/>
      </w:divBdr>
    </w:div>
    <w:div w:id="938148707">
      <w:bodyDiv w:val="1"/>
      <w:marLeft w:val="0"/>
      <w:marRight w:val="0"/>
      <w:marTop w:val="0"/>
      <w:marBottom w:val="0"/>
      <w:divBdr>
        <w:top w:val="none" w:sz="0" w:space="0" w:color="auto"/>
        <w:left w:val="none" w:sz="0" w:space="0" w:color="auto"/>
        <w:bottom w:val="none" w:sz="0" w:space="0" w:color="auto"/>
        <w:right w:val="none" w:sz="0" w:space="0" w:color="auto"/>
      </w:divBdr>
    </w:div>
    <w:div w:id="961614199">
      <w:bodyDiv w:val="1"/>
      <w:marLeft w:val="0"/>
      <w:marRight w:val="0"/>
      <w:marTop w:val="0"/>
      <w:marBottom w:val="0"/>
      <w:divBdr>
        <w:top w:val="none" w:sz="0" w:space="0" w:color="auto"/>
        <w:left w:val="none" w:sz="0" w:space="0" w:color="auto"/>
        <w:bottom w:val="none" w:sz="0" w:space="0" w:color="auto"/>
        <w:right w:val="none" w:sz="0" w:space="0" w:color="auto"/>
      </w:divBdr>
    </w:div>
    <w:div w:id="1072654259">
      <w:bodyDiv w:val="1"/>
      <w:marLeft w:val="0"/>
      <w:marRight w:val="0"/>
      <w:marTop w:val="0"/>
      <w:marBottom w:val="0"/>
      <w:divBdr>
        <w:top w:val="none" w:sz="0" w:space="0" w:color="auto"/>
        <w:left w:val="none" w:sz="0" w:space="0" w:color="auto"/>
        <w:bottom w:val="none" w:sz="0" w:space="0" w:color="auto"/>
        <w:right w:val="none" w:sz="0" w:space="0" w:color="auto"/>
      </w:divBdr>
    </w:div>
    <w:div w:id="1096442087">
      <w:bodyDiv w:val="1"/>
      <w:marLeft w:val="0"/>
      <w:marRight w:val="0"/>
      <w:marTop w:val="0"/>
      <w:marBottom w:val="0"/>
      <w:divBdr>
        <w:top w:val="none" w:sz="0" w:space="0" w:color="auto"/>
        <w:left w:val="none" w:sz="0" w:space="0" w:color="auto"/>
        <w:bottom w:val="none" w:sz="0" w:space="0" w:color="auto"/>
        <w:right w:val="none" w:sz="0" w:space="0" w:color="auto"/>
      </w:divBdr>
    </w:div>
    <w:div w:id="1125005986">
      <w:bodyDiv w:val="1"/>
      <w:marLeft w:val="0"/>
      <w:marRight w:val="0"/>
      <w:marTop w:val="0"/>
      <w:marBottom w:val="0"/>
      <w:divBdr>
        <w:top w:val="none" w:sz="0" w:space="0" w:color="auto"/>
        <w:left w:val="none" w:sz="0" w:space="0" w:color="auto"/>
        <w:bottom w:val="none" w:sz="0" w:space="0" w:color="auto"/>
        <w:right w:val="none" w:sz="0" w:space="0" w:color="auto"/>
      </w:divBdr>
    </w:div>
    <w:div w:id="1154643602">
      <w:bodyDiv w:val="1"/>
      <w:marLeft w:val="0"/>
      <w:marRight w:val="0"/>
      <w:marTop w:val="0"/>
      <w:marBottom w:val="0"/>
      <w:divBdr>
        <w:top w:val="none" w:sz="0" w:space="0" w:color="auto"/>
        <w:left w:val="none" w:sz="0" w:space="0" w:color="auto"/>
        <w:bottom w:val="none" w:sz="0" w:space="0" w:color="auto"/>
        <w:right w:val="none" w:sz="0" w:space="0" w:color="auto"/>
      </w:divBdr>
    </w:div>
    <w:div w:id="1162426206">
      <w:bodyDiv w:val="1"/>
      <w:marLeft w:val="0"/>
      <w:marRight w:val="0"/>
      <w:marTop w:val="0"/>
      <w:marBottom w:val="0"/>
      <w:divBdr>
        <w:top w:val="none" w:sz="0" w:space="0" w:color="auto"/>
        <w:left w:val="none" w:sz="0" w:space="0" w:color="auto"/>
        <w:bottom w:val="none" w:sz="0" w:space="0" w:color="auto"/>
        <w:right w:val="none" w:sz="0" w:space="0" w:color="auto"/>
      </w:divBdr>
    </w:div>
    <w:div w:id="1211844808">
      <w:bodyDiv w:val="1"/>
      <w:marLeft w:val="0"/>
      <w:marRight w:val="0"/>
      <w:marTop w:val="0"/>
      <w:marBottom w:val="0"/>
      <w:divBdr>
        <w:top w:val="none" w:sz="0" w:space="0" w:color="auto"/>
        <w:left w:val="none" w:sz="0" w:space="0" w:color="auto"/>
        <w:bottom w:val="none" w:sz="0" w:space="0" w:color="auto"/>
        <w:right w:val="none" w:sz="0" w:space="0" w:color="auto"/>
      </w:divBdr>
    </w:div>
    <w:div w:id="1255360489">
      <w:bodyDiv w:val="1"/>
      <w:marLeft w:val="0"/>
      <w:marRight w:val="0"/>
      <w:marTop w:val="0"/>
      <w:marBottom w:val="0"/>
      <w:divBdr>
        <w:top w:val="none" w:sz="0" w:space="0" w:color="auto"/>
        <w:left w:val="none" w:sz="0" w:space="0" w:color="auto"/>
        <w:bottom w:val="none" w:sz="0" w:space="0" w:color="auto"/>
        <w:right w:val="none" w:sz="0" w:space="0" w:color="auto"/>
      </w:divBdr>
    </w:div>
    <w:div w:id="1332176250">
      <w:bodyDiv w:val="1"/>
      <w:marLeft w:val="0"/>
      <w:marRight w:val="0"/>
      <w:marTop w:val="0"/>
      <w:marBottom w:val="0"/>
      <w:divBdr>
        <w:top w:val="none" w:sz="0" w:space="0" w:color="auto"/>
        <w:left w:val="none" w:sz="0" w:space="0" w:color="auto"/>
        <w:bottom w:val="none" w:sz="0" w:space="0" w:color="auto"/>
        <w:right w:val="none" w:sz="0" w:space="0" w:color="auto"/>
      </w:divBdr>
    </w:div>
    <w:div w:id="1337221124">
      <w:bodyDiv w:val="1"/>
      <w:marLeft w:val="0"/>
      <w:marRight w:val="0"/>
      <w:marTop w:val="0"/>
      <w:marBottom w:val="0"/>
      <w:divBdr>
        <w:top w:val="none" w:sz="0" w:space="0" w:color="auto"/>
        <w:left w:val="none" w:sz="0" w:space="0" w:color="auto"/>
        <w:bottom w:val="none" w:sz="0" w:space="0" w:color="auto"/>
        <w:right w:val="none" w:sz="0" w:space="0" w:color="auto"/>
      </w:divBdr>
    </w:div>
    <w:div w:id="1348677554">
      <w:bodyDiv w:val="1"/>
      <w:marLeft w:val="0"/>
      <w:marRight w:val="0"/>
      <w:marTop w:val="0"/>
      <w:marBottom w:val="0"/>
      <w:divBdr>
        <w:top w:val="none" w:sz="0" w:space="0" w:color="auto"/>
        <w:left w:val="none" w:sz="0" w:space="0" w:color="auto"/>
        <w:bottom w:val="none" w:sz="0" w:space="0" w:color="auto"/>
        <w:right w:val="none" w:sz="0" w:space="0" w:color="auto"/>
      </w:divBdr>
    </w:div>
    <w:div w:id="1441103020">
      <w:bodyDiv w:val="1"/>
      <w:marLeft w:val="0"/>
      <w:marRight w:val="0"/>
      <w:marTop w:val="0"/>
      <w:marBottom w:val="0"/>
      <w:divBdr>
        <w:top w:val="none" w:sz="0" w:space="0" w:color="auto"/>
        <w:left w:val="none" w:sz="0" w:space="0" w:color="auto"/>
        <w:bottom w:val="none" w:sz="0" w:space="0" w:color="auto"/>
        <w:right w:val="none" w:sz="0" w:space="0" w:color="auto"/>
      </w:divBdr>
    </w:div>
    <w:div w:id="1479687010">
      <w:bodyDiv w:val="1"/>
      <w:marLeft w:val="0"/>
      <w:marRight w:val="0"/>
      <w:marTop w:val="0"/>
      <w:marBottom w:val="0"/>
      <w:divBdr>
        <w:top w:val="none" w:sz="0" w:space="0" w:color="auto"/>
        <w:left w:val="none" w:sz="0" w:space="0" w:color="auto"/>
        <w:bottom w:val="none" w:sz="0" w:space="0" w:color="auto"/>
        <w:right w:val="none" w:sz="0" w:space="0" w:color="auto"/>
      </w:divBdr>
    </w:div>
    <w:div w:id="1492983824">
      <w:bodyDiv w:val="1"/>
      <w:marLeft w:val="0"/>
      <w:marRight w:val="0"/>
      <w:marTop w:val="0"/>
      <w:marBottom w:val="0"/>
      <w:divBdr>
        <w:top w:val="none" w:sz="0" w:space="0" w:color="auto"/>
        <w:left w:val="none" w:sz="0" w:space="0" w:color="auto"/>
        <w:bottom w:val="none" w:sz="0" w:space="0" w:color="auto"/>
        <w:right w:val="none" w:sz="0" w:space="0" w:color="auto"/>
      </w:divBdr>
    </w:div>
    <w:div w:id="1515026006">
      <w:bodyDiv w:val="1"/>
      <w:marLeft w:val="0"/>
      <w:marRight w:val="0"/>
      <w:marTop w:val="0"/>
      <w:marBottom w:val="0"/>
      <w:divBdr>
        <w:top w:val="none" w:sz="0" w:space="0" w:color="auto"/>
        <w:left w:val="none" w:sz="0" w:space="0" w:color="auto"/>
        <w:bottom w:val="none" w:sz="0" w:space="0" w:color="auto"/>
        <w:right w:val="none" w:sz="0" w:space="0" w:color="auto"/>
      </w:divBdr>
    </w:div>
    <w:div w:id="1525633068">
      <w:bodyDiv w:val="1"/>
      <w:marLeft w:val="0"/>
      <w:marRight w:val="0"/>
      <w:marTop w:val="0"/>
      <w:marBottom w:val="0"/>
      <w:divBdr>
        <w:top w:val="none" w:sz="0" w:space="0" w:color="auto"/>
        <w:left w:val="none" w:sz="0" w:space="0" w:color="auto"/>
        <w:bottom w:val="none" w:sz="0" w:space="0" w:color="auto"/>
        <w:right w:val="none" w:sz="0" w:space="0" w:color="auto"/>
      </w:divBdr>
    </w:div>
    <w:div w:id="1528979755">
      <w:bodyDiv w:val="1"/>
      <w:marLeft w:val="0"/>
      <w:marRight w:val="0"/>
      <w:marTop w:val="0"/>
      <w:marBottom w:val="0"/>
      <w:divBdr>
        <w:top w:val="none" w:sz="0" w:space="0" w:color="auto"/>
        <w:left w:val="none" w:sz="0" w:space="0" w:color="auto"/>
        <w:bottom w:val="none" w:sz="0" w:space="0" w:color="auto"/>
        <w:right w:val="none" w:sz="0" w:space="0" w:color="auto"/>
      </w:divBdr>
    </w:div>
    <w:div w:id="1530531218">
      <w:bodyDiv w:val="1"/>
      <w:marLeft w:val="0"/>
      <w:marRight w:val="0"/>
      <w:marTop w:val="0"/>
      <w:marBottom w:val="0"/>
      <w:divBdr>
        <w:top w:val="none" w:sz="0" w:space="0" w:color="auto"/>
        <w:left w:val="none" w:sz="0" w:space="0" w:color="auto"/>
        <w:bottom w:val="none" w:sz="0" w:space="0" w:color="auto"/>
        <w:right w:val="none" w:sz="0" w:space="0" w:color="auto"/>
      </w:divBdr>
    </w:div>
    <w:div w:id="1557425349">
      <w:bodyDiv w:val="1"/>
      <w:marLeft w:val="0"/>
      <w:marRight w:val="0"/>
      <w:marTop w:val="0"/>
      <w:marBottom w:val="0"/>
      <w:divBdr>
        <w:top w:val="none" w:sz="0" w:space="0" w:color="auto"/>
        <w:left w:val="none" w:sz="0" w:space="0" w:color="auto"/>
        <w:bottom w:val="none" w:sz="0" w:space="0" w:color="auto"/>
        <w:right w:val="none" w:sz="0" w:space="0" w:color="auto"/>
      </w:divBdr>
    </w:div>
    <w:div w:id="1581599212">
      <w:bodyDiv w:val="1"/>
      <w:marLeft w:val="0"/>
      <w:marRight w:val="0"/>
      <w:marTop w:val="0"/>
      <w:marBottom w:val="0"/>
      <w:divBdr>
        <w:top w:val="none" w:sz="0" w:space="0" w:color="auto"/>
        <w:left w:val="none" w:sz="0" w:space="0" w:color="auto"/>
        <w:bottom w:val="none" w:sz="0" w:space="0" w:color="auto"/>
        <w:right w:val="none" w:sz="0" w:space="0" w:color="auto"/>
      </w:divBdr>
    </w:div>
    <w:div w:id="1622691193">
      <w:bodyDiv w:val="1"/>
      <w:marLeft w:val="0"/>
      <w:marRight w:val="0"/>
      <w:marTop w:val="0"/>
      <w:marBottom w:val="0"/>
      <w:divBdr>
        <w:top w:val="none" w:sz="0" w:space="0" w:color="auto"/>
        <w:left w:val="none" w:sz="0" w:space="0" w:color="auto"/>
        <w:bottom w:val="none" w:sz="0" w:space="0" w:color="auto"/>
        <w:right w:val="none" w:sz="0" w:space="0" w:color="auto"/>
      </w:divBdr>
    </w:div>
    <w:div w:id="1626234859">
      <w:bodyDiv w:val="1"/>
      <w:marLeft w:val="0"/>
      <w:marRight w:val="0"/>
      <w:marTop w:val="0"/>
      <w:marBottom w:val="0"/>
      <w:divBdr>
        <w:top w:val="none" w:sz="0" w:space="0" w:color="auto"/>
        <w:left w:val="none" w:sz="0" w:space="0" w:color="auto"/>
        <w:bottom w:val="none" w:sz="0" w:space="0" w:color="auto"/>
        <w:right w:val="none" w:sz="0" w:space="0" w:color="auto"/>
      </w:divBdr>
    </w:div>
    <w:div w:id="1632596041">
      <w:bodyDiv w:val="1"/>
      <w:marLeft w:val="0"/>
      <w:marRight w:val="0"/>
      <w:marTop w:val="0"/>
      <w:marBottom w:val="0"/>
      <w:divBdr>
        <w:top w:val="none" w:sz="0" w:space="0" w:color="auto"/>
        <w:left w:val="none" w:sz="0" w:space="0" w:color="auto"/>
        <w:bottom w:val="none" w:sz="0" w:space="0" w:color="auto"/>
        <w:right w:val="none" w:sz="0" w:space="0" w:color="auto"/>
      </w:divBdr>
    </w:div>
    <w:div w:id="1633443338">
      <w:bodyDiv w:val="1"/>
      <w:marLeft w:val="0"/>
      <w:marRight w:val="0"/>
      <w:marTop w:val="0"/>
      <w:marBottom w:val="0"/>
      <w:divBdr>
        <w:top w:val="none" w:sz="0" w:space="0" w:color="auto"/>
        <w:left w:val="none" w:sz="0" w:space="0" w:color="auto"/>
        <w:bottom w:val="none" w:sz="0" w:space="0" w:color="auto"/>
        <w:right w:val="none" w:sz="0" w:space="0" w:color="auto"/>
      </w:divBdr>
    </w:div>
    <w:div w:id="1715620236">
      <w:bodyDiv w:val="1"/>
      <w:marLeft w:val="0"/>
      <w:marRight w:val="0"/>
      <w:marTop w:val="0"/>
      <w:marBottom w:val="0"/>
      <w:divBdr>
        <w:top w:val="none" w:sz="0" w:space="0" w:color="auto"/>
        <w:left w:val="none" w:sz="0" w:space="0" w:color="auto"/>
        <w:bottom w:val="none" w:sz="0" w:space="0" w:color="auto"/>
        <w:right w:val="none" w:sz="0" w:space="0" w:color="auto"/>
      </w:divBdr>
    </w:div>
    <w:div w:id="1792244756">
      <w:bodyDiv w:val="1"/>
      <w:marLeft w:val="0"/>
      <w:marRight w:val="0"/>
      <w:marTop w:val="0"/>
      <w:marBottom w:val="0"/>
      <w:divBdr>
        <w:top w:val="none" w:sz="0" w:space="0" w:color="auto"/>
        <w:left w:val="none" w:sz="0" w:space="0" w:color="auto"/>
        <w:bottom w:val="none" w:sz="0" w:space="0" w:color="auto"/>
        <w:right w:val="none" w:sz="0" w:space="0" w:color="auto"/>
      </w:divBdr>
    </w:div>
    <w:div w:id="1825732417">
      <w:bodyDiv w:val="1"/>
      <w:marLeft w:val="0"/>
      <w:marRight w:val="0"/>
      <w:marTop w:val="0"/>
      <w:marBottom w:val="0"/>
      <w:divBdr>
        <w:top w:val="none" w:sz="0" w:space="0" w:color="auto"/>
        <w:left w:val="none" w:sz="0" w:space="0" w:color="auto"/>
        <w:bottom w:val="none" w:sz="0" w:space="0" w:color="auto"/>
        <w:right w:val="none" w:sz="0" w:space="0" w:color="auto"/>
      </w:divBdr>
    </w:div>
    <w:div w:id="1954482968">
      <w:bodyDiv w:val="1"/>
      <w:marLeft w:val="0"/>
      <w:marRight w:val="0"/>
      <w:marTop w:val="0"/>
      <w:marBottom w:val="0"/>
      <w:divBdr>
        <w:top w:val="none" w:sz="0" w:space="0" w:color="auto"/>
        <w:left w:val="none" w:sz="0" w:space="0" w:color="auto"/>
        <w:bottom w:val="none" w:sz="0" w:space="0" w:color="auto"/>
        <w:right w:val="none" w:sz="0" w:space="0" w:color="auto"/>
      </w:divBdr>
    </w:div>
    <w:div w:id="1967735826">
      <w:bodyDiv w:val="1"/>
      <w:marLeft w:val="0"/>
      <w:marRight w:val="0"/>
      <w:marTop w:val="0"/>
      <w:marBottom w:val="0"/>
      <w:divBdr>
        <w:top w:val="none" w:sz="0" w:space="0" w:color="auto"/>
        <w:left w:val="none" w:sz="0" w:space="0" w:color="auto"/>
        <w:bottom w:val="none" w:sz="0" w:space="0" w:color="auto"/>
        <w:right w:val="none" w:sz="0" w:space="0" w:color="auto"/>
      </w:divBdr>
    </w:div>
    <w:div w:id="2003119264">
      <w:bodyDiv w:val="1"/>
      <w:marLeft w:val="0"/>
      <w:marRight w:val="0"/>
      <w:marTop w:val="0"/>
      <w:marBottom w:val="0"/>
      <w:divBdr>
        <w:top w:val="none" w:sz="0" w:space="0" w:color="auto"/>
        <w:left w:val="none" w:sz="0" w:space="0" w:color="auto"/>
        <w:bottom w:val="none" w:sz="0" w:space="0" w:color="auto"/>
        <w:right w:val="none" w:sz="0" w:space="0" w:color="auto"/>
      </w:divBdr>
    </w:div>
    <w:div w:id="2029717690">
      <w:bodyDiv w:val="1"/>
      <w:marLeft w:val="0"/>
      <w:marRight w:val="0"/>
      <w:marTop w:val="0"/>
      <w:marBottom w:val="0"/>
      <w:divBdr>
        <w:top w:val="none" w:sz="0" w:space="0" w:color="auto"/>
        <w:left w:val="none" w:sz="0" w:space="0" w:color="auto"/>
        <w:bottom w:val="none" w:sz="0" w:space="0" w:color="auto"/>
        <w:right w:val="none" w:sz="0" w:space="0" w:color="auto"/>
      </w:divBdr>
    </w:div>
    <w:div w:id="2032873642">
      <w:bodyDiv w:val="1"/>
      <w:marLeft w:val="0"/>
      <w:marRight w:val="0"/>
      <w:marTop w:val="0"/>
      <w:marBottom w:val="0"/>
      <w:divBdr>
        <w:top w:val="none" w:sz="0" w:space="0" w:color="auto"/>
        <w:left w:val="none" w:sz="0" w:space="0" w:color="auto"/>
        <w:bottom w:val="none" w:sz="0" w:space="0" w:color="auto"/>
        <w:right w:val="none" w:sz="0" w:space="0" w:color="auto"/>
      </w:divBdr>
    </w:div>
    <w:div w:id="21448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CE1B-A699-4521-940C-5A360408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7</cp:revision>
  <cp:lastPrinted>2021-11-17T09:38:00Z</cp:lastPrinted>
  <dcterms:created xsi:type="dcterms:W3CDTF">2021-08-09T03:05:00Z</dcterms:created>
  <dcterms:modified xsi:type="dcterms:W3CDTF">2021-11-17T09:38:00Z</dcterms:modified>
</cp:coreProperties>
</file>