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4036" w14:textId="391E6BE2" w:rsidR="00241519" w:rsidRPr="007B2BE1" w:rsidRDefault="007B2BE1" w:rsidP="001E406E">
      <w:pPr>
        <w:pStyle w:val="af8"/>
        <w:tabs>
          <w:tab w:val="left" w:pos="1276"/>
        </w:tabs>
        <w:rPr>
          <w:rFonts w:ascii="Times New Roman" w:eastAsia="標楷體" w:hAnsi="Times New Roman"/>
          <w:szCs w:val="24"/>
        </w:rPr>
      </w:pPr>
      <w:r w:rsidRPr="007B2BE1">
        <w:rPr>
          <w:rFonts w:ascii="Times New Roman" w:eastAsia="標楷體" w:hAnsi="Times New Roman"/>
          <w:szCs w:val="24"/>
          <w:lang w:eastAsia="zh-CN"/>
        </w:rPr>
        <w:t>Case No. D1/20</w:t>
      </w:r>
    </w:p>
    <w:p w14:paraId="29674D1B" w14:textId="1211A2CD" w:rsidR="00241519" w:rsidRPr="007B2BE1" w:rsidRDefault="00241519" w:rsidP="00A36E21">
      <w:pPr>
        <w:tabs>
          <w:tab w:val="left" w:pos="1276"/>
        </w:tabs>
        <w:overflowPunct w:val="0"/>
        <w:autoSpaceDE w:val="0"/>
        <w:autoSpaceDN w:val="0"/>
        <w:jc w:val="both"/>
        <w:rPr>
          <w:rFonts w:ascii="Times New Roman" w:eastAsia="標楷體" w:hAnsi="Times New Roman" w:cs="Times New Roman"/>
        </w:rPr>
      </w:pPr>
    </w:p>
    <w:p w14:paraId="7B05D774"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rPr>
      </w:pPr>
    </w:p>
    <w:p w14:paraId="2A276465" w14:textId="5EC61813"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GB"/>
        </w:rPr>
      </w:pPr>
    </w:p>
    <w:p w14:paraId="70968231" w14:textId="77777777" w:rsidR="00D458BE" w:rsidRPr="007B2BE1" w:rsidRDefault="00D458BE" w:rsidP="001E406E">
      <w:pPr>
        <w:tabs>
          <w:tab w:val="left" w:pos="1276"/>
        </w:tabs>
        <w:overflowPunct w:val="0"/>
        <w:autoSpaceDE w:val="0"/>
        <w:autoSpaceDN w:val="0"/>
        <w:jc w:val="both"/>
        <w:rPr>
          <w:rFonts w:ascii="Times New Roman" w:eastAsia="標楷體" w:hAnsi="Times New Roman" w:cs="Times New Roman"/>
          <w:lang w:val="en-GB"/>
        </w:rPr>
      </w:pPr>
    </w:p>
    <w:p w14:paraId="444335DB" w14:textId="0D26FFE5" w:rsidR="00241519" w:rsidRPr="007B2BE1" w:rsidRDefault="007B2BE1" w:rsidP="009B4674">
      <w:pPr>
        <w:tabs>
          <w:tab w:val="left" w:pos="1276"/>
        </w:tabs>
        <w:overflowPunct w:val="0"/>
        <w:autoSpaceDE w:val="0"/>
        <w:autoSpaceDN w:val="0"/>
        <w:jc w:val="both"/>
        <w:rPr>
          <w:rFonts w:ascii="Times New Roman" w:eastAsia="標楷體" w:hAnsi="Times New Roman" w:cs="Times New Roman"/>
        </w:rPr>
      </w:pPr>
      <w:r w:rsidRPr="007B2BE1">
        <w:rPr>
          <w:rFonts w:ascii="Times New Roman" w:eastAsia="標楷體" w:hAnsi="Times New Roman" w:cs="Times New Roman"/>
          <w:b/>
          <w:lang w:eastAsia="zh-CN"/>
        </w:rPr>
        <w:t>Penalty tax</w:t>
      </w:r>
      <w:r w:rsidRPr="007B2BE1">
        <w:rPr>
          <w:rFonts w:ascii="Times New Roman" w:eastAsia="標楷體" w:hAnsi="Times New Roman" w:cs="Times New Roman"/>
          <w:lang w:eastAsia="zh-CN"/>
        </w:rPr>
        <w:t xml:space="preserve"> – appeal out of time – reasonable excuse – whether additional tax excessive – sections 82A and 82B of the Inland Revenue Ordinance (‘IRO’) [Decision in Chinese]</w:t>
      </w:r>
    </w:p>
    <w:p w14:paraId="58E1855D" w14:textId="77777777" w:rsidR="00D458BE" w:rsidRPr="007B2BE1" w:rsidRDefault="00D458BE" w:rsidP="009B4674">
      <w:pPr>
        <w:tabs>
          <w:tab w:val="left" w:pos="1276"/>
        </w:tabs>
        <w:overflowPunct w:val="0"/>
        <w:autoSpaceDE w:val="0"/>
        <w:autoSpaceDN w:val="0"/>
        <w:jc w:val="both"/>
        <w:rPr>
          <w:rFonts w:ascii="Times New Roman" w:eastAsia="標楷體" w:hAnsi="Times New Roman" w:cs="Times New Roman"/>
        </w:rPr>
      </w:pPr>
    </w:p>
    <w:p w14:paraId="6175F11E" w14:textId="43F78CED" w:rsidR="00241519" w:rsidRPr="007B2BE1" w:rsidRDefault="007B2BE1" w:rsidP="009B4674">
      <w:pPr>
        <w:tabs>
          <w:tab w:val="left" w:pos="840"/>
          <w:tab w:val="left" w:pos="1276"/>
        </w:tabs>
        <w:overflowPunct w:val="0"/>
        <w:autoSpaceDE w:val="0"/>
        <w:autoSpaceDN w:val="0"/>
        <w:ind w:left="720" w:hangingChars="300" w:hanging="720"/>
        <w:jc w:val="both"/>
        <w:rPr>
          <w:rFonts w:ascii="Times New Roman" w:eastAsia="標楷體" w:hAnsi="Times New Roman" w:cs="Times New Roman"/>
        </w:rPr>
      </w:pPr>
      <w:r w:rsidRPr="007B2BE1">
        <w:rPr>
          <w:rFonts w:ascii="Times New Roman" w:eastAsia="標楷體" w:hAnsi="Times New Roman" w:cs="Times New Roman"/>
          <w:lang w:eastAsia="zh-CN"/>
        </w:rPr>
        <w:t>Panel: Lo Pui Yin (chairman), Hui Lap Tak and Wu Pui Ching Teresa.</w:t>
      </w:r>
    </w:p>
    <w:p w14:paraId="04AFEE95" w14:textId="77777777" w:rsidR="00241519" w:rsidRPr="007B2BE1" w:rsidRDefault="00241519" w:rsidP="009B4674">
      <w:pPr>
        <w:tabs>
          <w:tab w:val="left" w:pos="840"/>
          <w:tab w:val="left" w:pos="1276"/>
        </w:tabs>
        <w:overflowPunct w:val="0"/>
        <w:autoSpaceDE w:val="0"/>
        <w:autoSpaceDN w:val="0"/>
        <w:jc w:val="both"/>
        <w:rPr>
          <w:rFonts w:ascii="Times New Roman" w:eastAsia="標楷體" w:hAnsi="Times New Roman" w:cs="Times New Roman"/>
        </w:rPr>
      </w:pPr>
    </w:p>
    <w:p w14:paraId="6C608612" w14:textId="108177E0" w:rsidR="00241519" w:rsidRPr="007B2BE1" w:rsidRDefault="007B2BE1" w:rsidP="009B4674">
      <w:pPr>
        <w:tabs>
          <w:tab w:val="left" w:pos="840"/>
          <w:tab w:val="left" w:pos="1276"/>
        </w:tabs>
        <w:overflowPunct w:val="0"/>
        <w:autoSpaceDE w:val="0"/>
        <w:autoSpaceDN w:val="0"/>
        <w:jc w:val="both"/>
        <w:rPr>
          <w:rFonts w:ascii="Times New Roman" w:eastAsia="標楷體" w:hAnsi="Times New Roman" w:cs="Times New Roman"/>
        </w:rPr>
      </w:pPr>
      <w:r w:rsidRPr="007B2BE1">
        <w:rPr>
          <w:rFonts w:ascii="Times New Roman" w:eastAsia="標楷體" w:hAnsi="Times New Roman" w:cs="Times New Roman"/>
          <w:lang w:eastAsia="zh-CN"/>
        </w:rPr>
        <w:t>Dates of hearing: 4-5 September 2019.</w:t>
      </w:r>
    </w:p>
    <w:p w14:paraId="4E04465E" w14:textId="42BF5C99" w:rsidR="00241519" w:rsidRPr="007B2BE1" w:rsidRDefault="007B2BE1" w:rsidP="009B4674">
      <w:pPr>
        <w:tabs>
          <w:tab w:val="left" w:pos="840"/>
          <w:tab w:val="left" w:pos="1276"/>
        </w:tabs>
        <w:overflowPunct w:val="0"/>
        <w:autoSpaceDE w:val="0"/>
        <w:autoSpaceDN w:val="0"/>
        <w:jc w:val="both"/>
        <w:rPr>
          <w:rFonts w:ascii="Times New Roman" w:eastAsia="標楷體" w:hAnsi="Times New Roman" w:cs="Times New Roman"/>
        </w:rPr>
      </w:pPr>
      <w:r w:rsidRPr="007B2BE1">
        <w:rPr>
          <w:rFonts w:ascii="Times New Roman" w:eastAsia="標楷體" w:hAnsi="Times New Roman" w:cs="Times New Roman"/>
          <w:lang w:eastAsia="zh-CN"/>
        </w:rPr>
        <w:t>Date of decision: 21 April 2020.</w:t>
      </w:r>
    </w:p>
    <w:p w14:paraId="150C584C" w14:textId="77777777" w:rsidR="00241519" w:rsidRPr="007B2BE1" w:rsidRDefault="00241519" w:rsidP="009B4674">
      <w:pPr>
        <w:tabs>
          <w:tab w:val="left" w:pos="840"/>
          <w:tab w:val="left" w:pos="1276"/>
        </w:tabs>
        <w:overflowPunct w:val="0"/>
        <w:autoSpaceDE w:val="0"/>
        <w:autoSpaceDN w:val="0"/>
        <w:jc w:val="both"/>
        <w:rPr>
          <w:rFonts w:ascii="Times New Roman" w:eastAsia="標楷體" w:hAnsi="Times New Roman" w:cs="Times New Roman"/>
          <w:lang w:eastAsia="zh-HK"/>
        </w:rPr>
      </w:pPr>
    </w:p>
    <w:p w14:paraId="15A40E6A" w14:textId="77777777" w:rsidR="00241519" w:rsidRPr="007B2BE1" w:rsidRDefault="00241519" w:rsidP="009B4674">
      <w:pPr>
        <w:tabs>
          <w:tab w:val="left" w:pos="840"/>
          <w:tab w:val="left" w:pos="1276"/>
        </w:tabs>
        <w:overflowPunct w:val="0"/>
        <w:autoSpaceDE w:val="0"/>
        <w:autoSpaceDN w:val="0"/>
        <w:jc w:val="both"/>
        <w:rPr>
          <w:rFonts w:ascii="Times New Roman" w:eastAsia="標楷體" w:hAnsi="Times New Roman" w:cs="Times New Roman"/>
          <w:lang w:eastAsia="zh-HK"/>
        </w:rPr>
      </w:pPr>
    </w:p>
    <w:p w14:paraId="3BC48420" w14:textId="1B5604E5" w:rsidR="00D458BE" w:rsidRPr="007B2BE1" w:rsidRDefault="007B2BE1" w:rsidP="009B4674">
      <w:pPr>
        <w:overflowPunct w:val="0"/>
        <w:autoSpaceDE w:val="0"/>
        <w:autoSpaceDN w:val="0"/>
        <w:ind w:firstLineChars="450" w:firstLine="1080"/>
        <w:jc w:val="both"/>
        <w:rPr>
          <w:rFonts w:ascii="Times New Roman" w:eastAsia="標楷體" w:hAnsi="Times New Roman" w:cs="Times New Roman"/>
        </w:rPr>
      </w:pPr>
      <w:r w:rsidRPr="007B2BE1">
        <w:rPr>
          <w:rFonts w:ascii="Times New Roman" w:eastAsia="標楷體" w:hAnsi="Times New Roman" w:cs="Times New Roman"/>
          <w:lang w:eastAsia="zh-CN"/>
        </w:rPr>
        <w:t>Mr B is a director of Company C. Mr B established Company A in 2011 and is its sole shareholder and director. Mr B transferred the income earned under his name and profit from Company C as operating income of Company A. Mr B received remuneration from Company A as its director. Company A purchased Property F in 2012 and provided it to Mr B as his residence. Mr B and his mother jointly owned property G, which was leased in 2007/08 and 2008/09. Mr B wholly-owned H Property. G Property was a leased property in 2007/08 and 2008/09. Company A and Mr B appointed three tax representatives between 2011 and 2018.</w:t>
      </w:r>
    </w:p>
    <w:p w14:paraId="7D0D920B" w14:textId="77777777" w:rsidR="00D458BE" w:rsidRPr="007B2BE1" w:rsidRDefault="00D458BE" w:rsidP="009B4674">
      <w:pPr>
        <w:overflowPunct w:val="0"/>
        <w:autoSpaceDE w:val="0"/>
        <w:autoSpaceDN w:val="0"/>
        <w:ind w:firstLineChars="450" w:firstLine="1080"/>
        <w:jc w:val="both"/>
        <w:rPr>
          <w:rFonts w:ascii="Times New Roman" w:eastAsia="標楷體" w:hAnsi="Times New Roman" w:cs="Times New Roman"/>
        </w:rPr>
      </w:pPr>
    </w:p>
    <w:p w14:paraId="0CA8A8B6" w14:textId="21047335" w:rsidR="00D458BE" w:rsidRPr="007B2BE1" w:rsidRDefault="007B2BE1" w:rsidP="009B4674">
      <w:pPr>
        <w:overflowPunct w:val="0"/>
        <w:autoSpaceDE w:val="0"/>
        <w:autoSpaceDN w:val="0"/>
        <w:ind w:firstLineChars="450" w:firstLine="1080"/>
        <w:jc w:val="both"/>
        <w:rPr>
          <w:rFonts w:ascii="Times New Roman" w:eastAsia="標楷體" w:hAnsi="Times New Roman" w:cs="Times New Roman"/>
        </w:rPr>
      </w:pPr>
      <w:r w:rsidRPr="007B2BE1">
        <w:rPr>
          <w:rFonts w:ascii="Times New Roman" w:eastAsia="標楷體" w:hAnsi="Times New Roman" w:cs="Times New Roman"/>
          <w:lang w:eastAsia="zh-CN"/>
        </w:rPr>
        <w:t>From 2011/2012 to 2015/2016, Mr J was the first tax representative and submitted taxable profits of the said period to IRD. After IRD issued the 2011/12 to 2014/2015 Profits Tax Assessment form together with the 2015/2016 amended Profits Tax Assessment, Company A raised no objections or lodged appeal, which became the final and conclusive assessment under the Inland Revenue Ordinance. Mr B submitted tax returns from 2007/2008 to 2015/2016 to IRD to state his rental income and salaries of the said period. IRD issued different annual Property Tax and Salaries Tax Assessments to Mr B based on the filed information.</w:t>
      </w:r>
    </w:p>
    <w:p w14:paraId="3D5CF335" w14:textId="77777777" w:rsidR="00D458BE" w:rsidRPr="007B2BE1" w:rsidRDefault="00D458BE" w:rsidP="009B4674">
      <w:pPr>
        <w:overflowPunct w:val="0"/>
        <w:autoSpaceDE w:val="0"/>
        <w:autoSpaceDN w:val="0"/>
        <w:ind w:firstLineChars="450" w:firstLine="1080"/>
        <w:jc w:val="both"/>
        <w:rPr>
          <w:rFonts w:ascii="Times New Roman" w:eastAsia="標楷體" w:hAnsi="Times New Roman" w:cs="Times New Roman"/>
        </w:rPr>
      </w:pPr>
    </w:p>
    <w:p w14:paraId="31EB0EB9" w14:textId="4F06D9B4" w:rsidR="00D458BE" w:rsidRPr="007B2BE1" w:rsidRDefault="007B2BE1" w:rsidP="009B4674">
      <w:pPr>
        <w:overflowPunct w:val="0"/>
        <w:autoSpaceDE w:val="0"/>
        <w:autoSpaceDN w:val="0"/>
        <w:ind w:firstLineChars="450" w:firstLine="1080"/>
        <w:jc w:val="both"/>
        <w:rPr>
          <w:rFonts w:ascii="Times New Roman" w:eastAsia="標楷體" w:hAnsi="Times New Roman" w:cs="Times New Roman"/>
        </w:rPr>
      </w:pPr>
      <w:r w:rsidRPr="007B2BE1">
        <w:rPr>
          <w:rFonts w:ascii="Times New Roman" w:eastAsia="標楷體" w:hAnsi="Times New Roman" w:cs="Times New Roman"/>
          <w:lang w:eastAsia="zh-CN"/>
        </w:rPr>
        <w:t>During the review and investigation of the tax returns of Mr B and its affiliated companies, the IRD invited Mr B to have a meeting. After the discussion, the IRD made three settlement proposals to Company A and Mr B between the period of 21 July 2017 and 12 September 2017 to put the case into settlement, but they were rejected. Finally, on  21 September, 2017, IRD proposed to Company A and Mr B to settle the case for the fourth time, and Company A and Mr B accepted and signed the settlement agreement on the same date. IRD then issued the relevant Additional Profits Tax Assessment, Profits Tax Assessment, and revised Property Tax Assessment, revised Salaries Tax Assessment, Salaries Tax Assessment and Additional Salaries Tax Assessment to Company A and Mr B on 27 November 2017, based on the settlement agreement.</w:t>
      </w:r>
      <w:r w:rsidR="00D458BE" w:rsidRPr="007B2BE1">
        <w:rPr>
          <w:rFonts w:ascii="Times New Roman" w:eastAsia="標楷體" w:hAnsi="Times New Roman" w:cs="Times New Roman"/>
        </w:rPr>
        <w:t xml:space="preserve"> </w:t>
      </w:r>
    </w:p>
    <w:p w14:paraId="21A09A36" w14:textId="77777777" w:rsidR="00D458BE" w:rsidRPr="007B2BE1" w:rsidRDefault="00D458BE" w:rsidP="009B4674">
      <w:pPr>
        <w:overflowPunct w:val="0"/>
        <w:autoSpaceDE w:val="0"/>
        <w:autoSpaceDN w:val="0"/>
        <w:ind w:firstLineChars="450" w:firstLine="1080"/>
        <w:jc w:val="both"/>
        <w:rPr>
          <w:rFonts w:ascii="Times New Roman" w:eastAsia="標楷體" w:hAnsi="Times New Roman" w:cs="Times New Roman"/>
        </w:rPr>
      </w:pPr>
    </w:p>
    <w:p w14:paraId="2948DCA4" w14:textId="1A94B310" w:rsidR="00D458BE" w:rsidRPr="007B2BE1" w:rsidRDefault="007B2BE1" w:rsidP="009B4674">
      <w:pPr>
        <w:overflowPunct w:val="0"/>
        <w:autoSpaceDE w:val="0"/>
        <w:autoSpaceDN w:val="0"/>
        <w:ind w:firstLineChars="450" w:firstLine="1080"/>
        <w:jc w:val="both"/>
        <w:rPr>
          <w:rFonts w:ascii="Times New Roman" w:eastAsia="標楷體" w:hAnsi="Times New Roman" w:cs="Times New Roman"/>
        </w:rPr>
      </w:pPr>
      <w:r w:rsidRPr="007B2BE1">
        <w:rPr>
          <w:rFonts w:ascii="Times New Roman" w:eastAsia="標楷體" w:hAnsi="Times New Roman" w:cs="Times New Roman"/>
          <w:lang w:eastAsia="zh-CN"/>
        </w:rPr>
        <w:t xml:space="preserve">Company A and Mr B and their second tax representatives did not raise objections or lodge appeal in relation to the tax assessment to IRD within the prescribed time limit. Mr B pointed out that his lack of professional tax knowledge and the irresponsibility of the first tax representative caused Company A and Mr B to passively </w:t>
      </w:r>
      <w:r w:rsidRPr="007B2BE1">
        <w:rPr>
          <w:rFonts w:ascii="Times New Roman" w:eastAsia="標楷體" w:hAnsi="Times New Roman" w:cs="Times New Roman"/>
          <w:lang w:eastAsia="zh-CN"/>
        </w:rPr>
        <w:lastRenderedPageBreak/>
        <w:t>agree to the relevant settlement agreement. Company A and Mr B also pointed out in their appeal that they did not agree with the additional tax amount of the relevant tax assessment.</w:t>
      </w:r>
    </w:p>
    <w:p w14:paraId="5F9B9295" w14:textId="77777777" w:rsidR="00D458BE" w:rsidRPr="007B2BE1" w:rsidRDefault="00D458BE" w:rsidP="009B4674">
      <w:pPr>
        <w:overflowPunct w:val="0"/>
        <w:autoSpaceDE w:val="0"/>
        <w:autoSpaceDN w:val="0"/>
        <w:jc w:val="both"/>
        <w:rPr>
          <w:rFonts w:ascii="Times New Roman" w:eastAsia="標楷體" w:hAnsi="Times New Roman" w:cs="Times New Roman"/>
        </w:rPr>
      </w:pPr>
    </w:p>
    <w:p w14:paraId="6E534561" w14:textId="77777777" w:rsidR="00D458BE" w:rsidRPr="007B2BE1" w:rsidRDefault="00D458BE" w:rsidP="009B4674">
      <w:pPr>
        <w:overflowPunct w:val="0"/>
        <w:autoSpaceDE w:val="0"/>
        <w:autoSpaceDN w:val="0"/>
        <w:jc w:val="both"/>
        <w:rPr>
          <w:rFonts w:ascii="Times New Roman" w:eastAsia="標楷體" w:hAnsi="Times New Roman" w:cs="Times New Roman"/>
        </w:rPr>
      </w:pPr>
    </w:p>
    <w:p w14:paraId="0B997F9F" w14:textId="61DE00CB" w:rsidR="00D458BE" w:rsidRPr="007B2BE1" w:rsidRDefault="007B2BE1" w:rsidP="009B4674">
      <w:pPr>
        <w:overflowPunct w:val="0"/>
        <w:autoSpaceDE w:val="0"/>
        <w:autoSpaceDN w:val="0"/>
        <w:ind w:leftChars="450" w:left="1080"/>
        <w:jc w:val="both"/>
        <w:rPr>
          <w:rFonts w:ascii="Times New Roman" w:eastAsia="標楷體" w:hAnsi="Times New Roman" w:cs="Times New Roman"/>
          <w:b/>
        </w:rPr>
      </w:pPr>
      <w:r w:rsidRPr="007B2BE1">
        <w:rPr>
          <w:rFonts w:ascii="Times New Roman" w:eastAsia="標楷體" w:hAnsi="Times New Roman" w:cs="Times New Roman"/>
          <w:b/>
          <w:lang w:eastAsia="zh-CN"/>
        </w:rPr>
        <w:t>Held:</w:t>
      </w:r>
    </w:p>
    <w:p w14:paraId="1AC1A119" w14:textId="77777777" w:rsidR="00D458BE" w:rsidRPr="007B2BE1" w:rsidRDefault="00D458BE" w:rsidP="009B4674">
      <w:pPr>
        <w:overflowPunct w:val="0"/>
        <w:autoSpaceDE w:val="0"/>
        <w:autoSpaceDN w:val="0"/>
        <w:ind w:leftChars="450" w:left="1560" w:hangingChars="200" w:hanging="480"/>
        <w:jc w:val="both"/>
        <w:rPr>
          <w:rFonts w:ascii="Times New Roman" w:eastAsia="標楷體" w:hAnsi="Times New Roman" w:cs="Times New Roman"/>
          <w:b/>
        </w:rPr>
      </w:pPr>
    </w:p>
    <w:p w14:paraId="114E079D" w14:textId="4BDEDD44" w:rsidR="00D458BE" w:rsidRPr="007B2BE1" w:rsidRDefault="007B2BE1" w:rsidP="009B4674">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Cs/>
        </w:rPr>
      </w:pPr>
      <w:r w:rsidRPr="007B2BE1">
        <w:rPr>
          <w:rFonts w:ascii="Times New Roman" w:eastAsia="標楷體" w:hAnsi="Times New Roman" w:cs="Times New Roman"/>
          <w:bCs/>
          <w:lang w:eastAsia="zh-CN"/>
        </w:rPr>
        <w:t>The Board summed up the case into two legal arguments in accordance with section 82B(2) of the Inland Revenue Ordinance: (1) not liable to additional tax, and (2) the amount of additional tax, although not in excess of that for which he is liable under section 82A, is excessive having regard to the circumstances.</w:t>
      </w:r>
    </w:p>
    <w:p w14:paraId="7986C91B" w14:textId="77777777" w:rsidR="00D458BE" w:rsidRPr="007B2BE1" w:rsidRDefault="00D458BE" w:rsidP="009B4674">
      <w:pPr>
        <w:overflowPunct w:val="0"/>
        <w:autoSpaceDE w:val="0"/>
        <w:autoSpaceDN w:val="0"/>
        <w:ind w:leftChars="450" w:left="1560" w:hangingChars="200" w:hanging="480"/>
        <w:jc w:val="both"/>
        <w:rPr>
          <w:rFonts w:ascii="Times New Roman" w:eastAsia="標楷體" w:hAnsi="Times New Roman" w:cs="Times New Roman"/>
          <w:bCs/>
        </w:rPr>
      </w:pPr>
    </w:p>
    <w:p w14:paraId="42DDFE0E" w14:textId="159EC441" w:rsidR="00D458BE" w:rsidRPr="007B2BE1" w:rsidRDefault="007B2BE1" w:rsidP="009B4674">
      <w:pPr>
        <w:overflowPunct w:val="0"/>
        <w:autoSpaceDE w:val="0"/>
        <w:autoSpaceDN w:val="0"/>
        <w:ind w:leftChars="450" w:left="1560" w:hangingChars="200" w:hanging="480"/>
        <w:jc w:val="both"/>
        <w:rPr>
          <w:rFonts w:ascii="Times New Roman" w:eastAsia="標楷體" w:hAnsi="Times New Roman" w:cs="Times New Roman"/>
          <w:bCs/>
          <w:u w:val="single"/>
        </w:rPr>
      </w:pPr>
      <w:r w:rsidRPr="007B2BE1">
        <w:rPr>
          <w:rFonts w:ascii="Times New Roman" w:eastAsia="標楷體" w:hAnsi="Times New Roman" w:cs="Times New Roman"/>
          <w:bCs/>
          <w:u w:val="single"/>
          <w:lang w:eastAsia="zh-CN"/>
        </w:rPr>
        <w:t>Not liable to additional tax</w:t>
      </w:r>
    </w:p>
    <w:p w14:paraId="330AE42B" w14:textId="77777777" w:rsidR="00D458BE" w:rsidRPr="007B2BE1" w:rsidRDefault="00D458BE" w:rsidP="009B4674">
      <w:pPr>
        <w:overflowPunct w:val="0"/>
        <w:autoSpaceDE w:val="0"/>
        <w:autoSpaceDN w:val="0"/>
        <w:ind w:leftChars="450" w:left="1560" w:hangingChars="200" w:hanging="480"/>
        <w:jc w:val="both"/>
        <w:rPr>
          <w:rFonts w:ascii="Times New Roman" w:eastAsia="標楷體" w:hAnsi="Times New Roman" w:cs="Times New Roman"/>
          <w:bCs/>
          <w:u w:val="single"/>
        </w:rPr>
      </w:pPr>
    </w:p>
    <w:p w14:paraId="596832A1" w14:textId="5CF2FFF1" w:rsidR="00D458BE" w:rsidRPr="007B2BE1" w:rsidRDefault="007B2BE1" w:rsidP="009B4674">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Cs/>
        </w:rPr>
      </w:pPr>
      <w:r w:rsidRPr="007B2BE1">
        <w:rPr>
          <w:rFonts w:ascii="Times New Roman" w:eastAsia="標楷體" w:hAnsi="Times New Roman" w:cs="Times New Roman"/>
          <w:bCs/>
          <w:lang w:eastAsia="zh-CN"/>
        </w:rPr>
        <w:t>The Board considered that Company A and Mr B failed to prove that they were not liable for the payment of additional taxes. There are three reasons: (1) Mr B signed the settlement agreement on 21 September 2017 as a director of Company A with the understanding and knowledge of the consequences, (2) did not raise an objection or lodge an appeal within the objection period, and section 70 of the Inland Revenue Ordinance stipulates that the relevant tax assessment is final and conclusive, and (3) there is no reasonable excuse to exempt the appellants from the legal liability for the payment of additional tax.</w:t>
      </w:r>
    </w:p>
    <w:p w14:paraId="0D6B38A3" w14:textId="77777777" w:rsidR="00D458BE" w:rsidRPr="007B2BE1" w:rsidRDefault="00D458BE" w:rsidP="009B4674">
      <w:pPr>
        <w:pStyle w:val="ac"/>
        <w:overflowPunct w:val="0"/>
        <w:autoSpaceDE w:val="0"/>
        <w:autoSpaceDN w:val="0"/>
        <w:ind w:leftChars="450" w:left="1560" w:hangingChars="200" w:hanging="480"/>
        <w:jc w:val="both"/>
        <w:rPr>
          <w:rFonts w:ascii="Times New Roman" w:eastAsia="標楷體" w:hAnsi="Times New Roman" w:cs="Times New Roman"/>
          <w:bCs/>
        </w:rPr>
      </w:pPr>
    </w:p>
    <w:p w14:paraId="65687923" w14:textId="719D0816" w:rsidR="00D458BE" w:rsidRPr="007B2BE1" w:rsidRDefault="007B2BE1" w:rsidP="009B4674">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Cs/>
        </w:rPr>
      </w:pPr>
      <w:r w:rsidRPr="007B2BE1">
        <w:rPr>
          <w:rFonts w:ascii="Times New Roman" w:eastAsia="標楷體" w:hAnsi="Times New Roman" w:cs="Times New Roman"/>
          <w:bCs/>
          <w:lang w:eastAsia="zh-CN"/>
        </w:rPr>
        <w:t xml:space="preserve">The taxpayer’s statutory responsibility for providing the correct tax return and the legal liability incurred due to the failure to provide the correct tax return cannot be reduced or exempted because he has entrusted others to help him perform his responsibilities (refer to cases </w:t>
      </w:r>
      <w:r w:rsidRPr="007B2BE1">
        <w:rPr>
          <w:rFonts w:ascii="Times New Roman" w:eastAsia="標楷體" w:hAnsi="Times New Roman" w:cs="Times New Roman"/>
          <w:bCs/>
          <w:u w:val="single"/>
          <w:lang w:eastAsia="zh-CN"/>
        </w:rPr>
        <w:t>D26/08</w:t>
      </w:r>
      <w:r w:rsidRPr="007B2BE1">
        <w:rPr>
          <w:rFonts w:ascii="Times New Roman" w:eastAsia="標楷體" w:hAnsi="Times New Roman" w:cs="Times New Roman"/>
          <w:bCs/>
          <w:lang w:eastAsia="zh-CN"/>
        </w:rPr>
        <w:t xml:space="preserve">, </w:t>
      </w:r>
      <w:r w:rsidRPr="007B2BE1">
        <w:rPr>
          <w:rFonts w:ascii="Times New Roman" w:eastAsia="標楷體" w:hAnsi="Times New Roman" w:cs="Times New Roman"/>
          <w:bCs/>
          <w:u w:val="single"/>
          <w:lang w:eastAsia="zh-CN"/>
        </w:rPr>
        <w:t>D46/01</w:t>
      </w:r>
      <w:r w:rsidRPr="007B2BE1">
        <w:rPr>
          <w:rFonts w:ascii="Times New Roman" w:eastAsia="標楷體" w:hAnsi="Times New Roman" w:cs="Times New Roman"/>
          <w:bCs/>
          <w:lang w:eastAsia="zh-CN"/>
        </w:rPr>
        <w:t xml:space="preserve"> and </w:t>
      </w:r>
      <w:r w:rsidRPr="007B2BE1">
        <w:rPr>
          <w:rFonts w:ascii="Times New Roman" w:eastAsia="標楷體" w:hAnsi="Times New Roman" w:cs="Times New Roman"/>
          <w:bCs/>
          <w:u w:val="single"/>
          <w:lang w:eastAsia="zh-CN"/>
        </w:rPr>
        <w:t>D52/02</w:t>
      </w:r>
      <w:r w:rsidRPr="007B2BE1">
        <w:rPr>
          <w:rFonts w:ascii="Times New Roman" w:eastAsia="標楷體" w:hAnsi="Times New Roman" w:cs="Times New Roman"/>
          <w:bCs/>
          <w:lang w:eastAsia="zh-CN"/>
        </w:rPr>
        <w:t>).</w:t>
      </w:r>
    </w:p>
    <w:p w14:paraId="73FC2F32" w14:textId="77777777" w:rsidR="00D458BE" w:rsidRPr="007B2BE1" w:rsidRDefault="00D458BE" w:rsidP="009B4674">
      <w:pPr>
        <w:pStyle w:val="ac"/>
        <w:overflowPunct w:val="0"/>
        <w:autoSpaceDE w:val="0"/>
        <w:autoSpaceDN w:val="0"/>
        <w:ind w:leftChars="450" w:left="1560" w:hangingChars="200" w:hanging="480"/>
        <w:rPr>
          <w:rFonts w:ascii="Times New Roman" w:eastAsia="標楷體" w:hAnsi="Times New Roman" w:cs="Times New Roman"/>
          <w:bCs/>
        </w:rPr>
      </w:pPr>
    </w:p>
    <w:p w14:paraId="2CAB7831" w14:textId="5E45D7AC" w:rsidR="00D458BE" w:rsidRPr="007B2BE1" w:rsidRDefault="007B2BE1" w:rsidP="009B4674">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Cs/>
        </w:rPr>
      </w:pPr>
      <w:r w:rsidRPr="007B2BE1">
        <w:rPr>
          <w:rFonts w:ascii="Times New Roman" w:eastAsia="標楷體" w:hAnsi="Times New Roman" w:cs="Times New Roman"/>
          <w:bCs/>
          <w:lang w:eastAsia="zh-CN"/>
        </w:rPr>
        <w:t>The Board considers that the tax assessments of the Inland Revenue Department have not been overestimated. Appellant Company A, after a period of years’ discussion with the Inland Revenue Department, signed the settlement agreement to conclude its objection to the tax assessment. Company A cannot rely on the reason that the tax assessment is overestimated at the stage of the tax appeal against assessment to additional tax to claim that it has a reasonable justification for not being liable to pay the additional tax.</w:t>
      </w:r>
    </w:p>
    <w:p w14:paraId="492EC059" w14:textId="77777777" w:rsidR="00D458BE" w:rsidRPr="007B2BE1" w:rsidRDefault="00D458BE" w:rsidP="009B4674">
      <w:pPr>
        <w:pStyle w:val="ac"/>
        <w:overflowPunct w:val="0"/>
        <w:autoSpaceDE w:val="0"/>
        <w:autoSpaceDN w:val="0"/>
        <w:ind w:leftChars="450" w:left="1560" w:hangingChars="200" w:hanging="480"/>
        <w:rPr>
          <w:rFonts w:ascii="Times New Roman" w:eastAsia="標楷體" w:hAnsi="Times New Roman" w:cs="Times New Roman"/>
          <w:lang w:eastAsia="zh-HK"/>
        </w:rPr>
      </w:pPr>
    </w:p>
    <w:p w14:paraId="2195FA4A" w14:textId="00DBE528" w:rsidR="00D458BE" w:rsidRPr="007B2BE1" w:rsidRDefault="007B2BE1" w:rsidP="009B4674">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Cs/>
        </w:rPr>
      </w:pPr>
      <w:r w:rsidRPr="007B2BE1">
        <w:rPr>
          <w:rFonts w:ascii="Times New Roman" w:eastAsia="標楷體" w:hAnsi="Times New Roman" w:cs="Times New Roman"/>
          <w:lang w:eastAsia="zh-CN"/>
        </w:rPr>
        <w:t>Regarding Appellant Company A and Mr B’s objection to the Inland Revenue Department’s classification of their case as a penalty policy group (b) and that both cases should belong to group (c), the Board accepts the respondent’s submissions and considers that although Appellant Company A and Mr. B had no criminal intent, the violation of the Inland Revenue Ordinance has persisted for a number of years. In the end, it necessitated the Inland Revenue Department to review different accounting documents during the tax review in assessing the tax.</w:t>
      </w:r>
    </w:p>
    <w:p w14:paraId="11AFA833" w14:textId="77777777" w:rsidR="00D458BE" w:rsidRPr="007B2BE1" w:rsidRDefault="00D458BE" w:rsidP="009B4674">
      <w:pPr>
        <w:pStyle w:val="ac"/>
        <w:overflowPunct w:val="0"/>
        <w:autoSpaceDE w:val="0"/>
        <w:autoSpaceDN w:val="0"/>
        <w:ind w:leftChars="450" w:left="1560" w:hangingChars="200" w:hanging="480"/>
        <w:rPr>
          <w:rFonts w:ascii="Times New Roman" w:eastAsia="標楷體" w:hAnsi="Times New Roman" w:cs="Times New Roman"/>
          <w:bCs/>
        </w:rPr>
      </w:pPr>
    </w:p>
    <w:p w14:paraId="1AD472AA" w14:textId="3FC6328C" w:rsidR="00D458BE" w:rsidRPr="007B2BE1" w:rsidRDefault="007B2BE1" w:rsidP="009B4674">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Cs/>
        </w:rPr>
      </w:pPr>
      <w:r w:rsidRPr="007B2BE1">
        <w:rPr>
          <w:rFonts w:ascii="Times New Roman" w:eastAsia="標楷體" w:hAnsi="Times New Roman" w:cs="Times New Roman"/>
          <w:bCs/>
          <w:lang w:eastAsia="zh-CN"/>
        </w:rPr>
        <w:t xml:space="preserve">The general rule established in case </w:t>
      </w:r>
      <w:r w:rsidRPr="007B2BE1">
        <w:rPr>
          <w:rFonts w:ascii="Times New Roman" w:eastAsia="標楷體" w:hAnsi="Times New Roman" w:cs="Times New Roman"/>
          <w:bCs/>
          <w:u w:val="single"/>
          <w:lang w:eastAsia="zh-CN"/>
        </w:rPr>
        <w:t>D53/88</w:t>
      </w:r>
      <w:r w:rsidRPr="007B2BE1">
        <w:rPr>
          <w:rFonts w:ascii="Times New Roman" w:eastAsia="標楷體" w:hAnsi="Times New Roman" w:cs="Times New Roman"/>
          <w:bCs/>
          <w:lang w:eastAsia="zh-CN"/>
        </w:rPr>
        <w:t xml:space="preserve"> is that a starting point for assessing penalties should be 100% of the tax undercharged in cases where: (1)</w:t>
      </w:r>
      <w:r w:rsidRPr="007B2BE1">
        <w:rPr>
          <w:rFonts w:ascii="Times New Roman" w:eastAsia="標楷體" w:hAnsi="Times New Roman" w:cs="Times New Roman"/>
          <w:lang w:eastAsia="zh-CN"/>
        </w:rPr>
        <w:t xml:space="preserve"> </w:t>
      </w:r>
      <w:r w:rsidRPr="007B2BE1">
        <w:rPr>
          <w:rFonts w:ascii="Times New Roman" w:eastAsia="標楷體" w:hAnsi="Times New Roman" w:cs="Times New Roman"/>
          <w:bCs/>
          <w:lang w:eastAsia="zh-CN"/>
        </w:rPr>
        <w:t>a taxpayer has totally failed to comply with its obligations but without criminal intent; (2)</w:t>
      </w:r>
      <w:r w:rsidRPr="007B2BE1">
        <w:rPr>
          <w:rFonts w:ascii="Times New Roman" w:eastAsia="標楷體" w:hAnsi="Times New Roman" w:cs="Times New Roman"/>
          <w:lang w:eastAsia="zh-CN"/>
        </w:rPr>
        <w:t xml:space="preserve"> </w:t>
      </w:r>
      <w:r w:rsidRPr="007B2BE1">
        <w:rPr>
          <w:rFonts w:ascii="Times New Roman" w:eastAsia="標楷體" w:hAnsi="Times New Roman" w:cs="Times New Roman"/>
          <w:bCs/>
          <w:lang w:eastAsia="zh-CN"/>
        </w:rPr>
        <w:t>the IRD has had to resort to an investigation or the preparation of an assets betterment statement or has otherwise had difficulty in assessing the tax; and (3) a taxpayer’s default has persisted for a number of years.</w:t>
      </w:r>
    </w:p>
    <w:p w14:paraId="633F97D5" w14:textId="77777777" w:rsidR="00D458BE" w:rsidRPr="007B2BE1" w:rsidRDefault="00D458BE" w:rsidP="009B4674">
      <w:pPr>
        <w:pStyle w:val="ac"/>
        <w:overflowPunct w:val="0"/>
        <w:autoSpaceDE w:val="0"/>
        <w:autoSpaceDN w:val="0"/>
        <w:ind w:leftChars="450" w:left="1560" w:hangingChars="200" w:hanging="480"/>
        <w:rPr>
          <w:rFonts w:ascii="Times New Roman" w:eastAsia="標楷體" w:hAnsi="Times New Roman" w:cs="Times New Roman"/>
          <w:bCs/>
        </w:rPr>
      </w:pPr>
    </w:p>
    <w:p w14:paraId="19B0A970" w14:textId="2F17CEB6" w:rsidR="00D458BE" w:rsidRPr="007B2BE1" w:rsidRDefault="007B2BE1" w:rsidP="009B4674">
      <w:pPr>
        <w:pStyle w:val="ac"/>
        <w:overflowPunct w:val="0"/>
        <w:autoSpaceDE w:val="0"/>
        <w:autoSpaceDN w:val="0"/>
        <w:ind w:leftChars="450" w:left="1080"/>
        <w:jc w:val="both"/>
        <w:rPr>
          <w:rFonts w:ascii="Times New Roman" w:eastAsia="標楷體" w:hAnsi="Times New Roman" w:cs="Times New Roman"/>
          <w:bCs/>
          <w:u w:val="single"/>
        </w:rPr>
      </w:pPr>
      <w:r w:rsidRPr="007B2BE1">
        <w:rPr>
          <w:rFonts w:ascii="Times New Roman" w:eastAsia="標楷體" w:hAnsi="Times New Roman" w:cs="Times New Roman"/>
          <w:bCs/>
          <w:u w:val="single"/>
          <w:lang w:eastAsia="zh-CN"/>
        </w:rPr>
        <w:t>The amount of additional tax, although not in excess of that for which he is liable under section 82A, is excessive having regard to the circumstances</w:t>
      </w:r>
    </w:p>
    <w:p w14:paraId="2317BFC7" w14:textId="77777777" w:rsidR="00DF0799" w:rsidRPr="007B2BE1" w:rsidRDefault="00DF0799" w:rsidP="009B4674">
      <w:pPr>
        <w:pStyle w:val="ac"/>
        <w:overflowPunct w:val="0"/>
        <w:autoSpaceDE w:val="0"/>
        <w:autoSpaceDN w:val="0"/>
        <w:ind w:leftChars="450" w:left="1560" w:hangingChars="200" w:hanging="480"/>
        <w:jc w:val="both"/>
        <w:rPr>
          <w:rFonts w:ascii="Times New Roman" w:eastAsia="標楷體" w:hAnsi="Times New Roman" w:cs="Times New Roman"/>
          <w:bCs/>
          <w:u w:val="single"/>
        </w:rPr>
      </w:pPr>
    </w:p>
    <w:p w14:paraId="2960E61C" w14:textId="6897FE8D" w:rsidR="00D458BE" w:rsidRPr="007B2BE1" w:rsidRDefault="007B2BE1" w:rsidP="009B4674">
      <w:pPr>
        <w:pStyle w:val="ac"/>
        <w:numPr>
          <w:ilvl w:val="0"/>
          <w:numId w:val="28"/>
        </w:numPr>
        <w:overflowPunct w:val="0"/>
        <w:autoSpaceDE w:val="0"/>
        <w:autoSpaceDN w:val="0"/>
        <w:ind w:leftChars="450" w:left="1560" w:hangingChars="200" w:hanging="480"/>
        <w:jc w:val="both"/>
        <w:rPr>
          <w:rFonts w:ascii="Times New Roman" w:eastAsia="標楷體" w:hAnsi="Times New Roman" w:cs="Times New Roman"/>
          <w:bCs/>
        </w:rPr>
      </w:pPr>
      <w:r w:rsidRPr="007B2BE1">
        <w:rPr>
          <w:rFonts w:ascii="Times New Roman" w:eastAsia="標楷體" w:hAnsi="Times New Roman" w:cs="Times New Roman"/>
          <w:bCs/>
          <w:lang w:eastAsia="zh-CN"/>
        </w:rPr>
        <w:t>In considering whether the amount of additional tax to be paid by the two appellants is excessive under the relevant circumstances, the Board accepts that the case has sufficient reasons to increase the penalty from the starting point of 100% of the tax undercharged. The reasons include: (1) the extent of the tax undercharged is substantial, (2) the relevant personnel should be able to know or obtain relevant information and fill in the tax return correctly so that IRD’s extensive investigation was avoidable, and (3) IRD incurred actual financial loss as a result of the delay of paying tax by the appellants. However, having considered the background of the case and Mr B’s circumstances, the Board is of the view that the actual amount payable should be adjusted.</w:t>
      </w:r>
    </w:p>
    <w:p w14:paraId="2CADBA37" w14:textId="77777777" w:rsidR="00241519" w:rsidRPr="007B2BE1" w:rsidRDefault="00241519" w:rsidP="009B4674">
      <w:pPr>
        <w:tabs>
          <w:tab w:val="left" w:pos="840"/>
          <w:tab w:val="left" w:pos="1276"/>
        </w:tabs>
        <w:overflowPunct w:val="0"/>
        <w:autoSpaceDE w:val="0"/>
        <w:autoSpaceDN w:val="0"/>
        <w:jc w:val="both"/>
        <w:rPr>
          <w:rFonts w:ascii="Times New Roman" w:eastAsia="標楷體" w:hAnsi="Times New Roman" w:cs="Times New Roman"/>
          <w:lang w:eastAsia="zh-HK"/>
        </w:rPr>
      </w:pPr>
    </w:p>
    <w:p w14:paraId="1FCDA002" w14:textId="77777777" w:rsidR="00241519" w:rsidRPr="007B2BE1" w:rsidRDefault="00241519" w:rsidP="009B4674">
      <w:pPr>
        <w:tabs>
          <w:tab w:val="left" w:pos="840"/>
          <w:tab w:val="left" w:pos="1276"/>
        </w:tabs>
        <w:overflowPunct w:val="0"/>
        <w:autoSpaceDE w:val="0"/>
        <w:autoSpaceDN w:val="0"/>
        <w:jc w:val="both"/>
        <w:rPr>
          <w:rFonts w:ascii="Times New Roman" w:eastAsia="標楷體" w:hAnsi="Times New Roman" w:cs="Times New Roman"/>
          <w:lang w:eastAsia="zh-HK"/>
        </w:rPr>
      </w:pPr>
    </w:p>
    <w:p w14:paraId="2E801FE7" w14:textId="6C8D80F3" w:rsidR="00241519" w:rsidRPr="007B2BE1" w:rsidRDefault="007B2BE1" w:rsidP="009B4674">
      <w:pPr>
        <w:tabs>
          <w:tab w:val="left" w:pos="1276"/>
        </w:tabs>
        <w:overflowPunct w:val="0"/>
        <w:autoSpaceDE w:val="0"/>
        <w:autoSpaceDN w:val="0"/>
        <w:jc w:val="both"/>
        <w:rPr>
          <w:rFonts w:ascii="Times New Roman" w:eastAsia="標楷體" w:hAnsi="Times New Roman" w:cs="Times New Roman"/>
          <w:b/>
          <w:lang w:val="en-US" w:eastAsia="zh-HK"/>
        </w:rPr>
      </w:pPr>
      <w:r w:rsidRPr="007B2BE1">
        <w:rPr>
          <w:rFonts w:ascii="Times New Roman" w:eastAsia="標楷體" w:hAnsi="Times New Roman" w:cs="Times New Roman"/>
          <w:b/>
          <w:lang w:val="en-US" w:eastAsia="zh-CN"/>
        </w:rPr>
        <w:t>Appeal allowed in part.</w:t>
      </w:r>
    </w:p>
    <w:p w14:paraId="0454BD15" w14:textId="77777777" w:rsidR="00241519" w:rsidRPr="007B2BE1" w:rsidRDefault="00241519" w:rsidP="009B4674">
      <w:pPr>
        <w:tabs>
          <w:tab w:val="left" w:pos="1276"/>
        </w:tabs>
        <w:overflowPunct w:val="0"/>
        <w:autoSpaceDE w:val="0"/>
        <w:autoSpaceDN w:val="0"/>
        <w:jc w:val="both"/>
        <w:rPr>
          <w:rFonts w:ascii="Times New Roman" w:eastAsia="標楷體" w:hAnsi="Times New Roman" w:cs="Times New Roman"/>
          <w:lang w:val="en-US" w:eastAsia="zh-HK"/>
        </w:rPr>
      </w:pPr>
    </w:p>
    <w:p w14:paraId="41E69224" w14:textId="7F663C1B" w:rsidR="00241519" w:rsidRPr="007B2BE1" w:rsidRDefault="007B2BE1" w:rsidP="009B4674">
      <w:pPr>
        <w:tabs>
          <w:tab w:val="left" w:pos="1276"/>
        </w:tabs>
        <w:overflowPunct w:val="0"/>
        <w:autoSpaceDE w:val="0"/>
        <w:autoSpaceDN w:val="0"/>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Cases referred to:</w:t>
      </w:r>
    </w:p>
    <w:p w14:paraId="7E5307EB" w14:textId="77777777" w:rsidR="00831ACD" w:rsidRPr="007B2BE1" w:rsidRDefault="00831ACD" w:rsidP="00831ACD">
      <w:pPr>
        <w:tabs>
          <w:tab w:val="left" w:pos="1276"/>
        </w:tabs>
        <w:overflowPunct w:val="0"/>
        <w:autoSpaceDE w:val="0"/>
        <w:autoSpaceDN w:val="0"/>
        <w:jc w:val="both"/>
        <w:rPr>
          <w:rFonts w:ascii="Times New Roman" w:eastAsia="標楷體" w:hAnsi="Times New Roman" w:cs="Times New Roman"/>
          <w:lang w:val="en-US" w:eastAsia="zh-HK"/>
        </w:rPr>
      </w:pPr>
    </w:p>
    <w:p w14:paraId="0488E3CD" w14:textId="3E0D9776" w:rsidR="00F83689"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D26/08, (2008-09) IRBRD, vol 23, 547</w:t>
      </w:r>
    </w:p>
    <w:p w14:paraId="1297E520" w14:textId="6531A3F8" w:rsidR="00F83689"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D46/01, IRBRD, vol 16, 412</w:t>
      </w:r>
    </w:p>
    <w:p w14:paraId="683DB232" w14:textId="241CDAF3" w:rsidR="00F83689"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D52/02, IRBRD, vol 17, 790</w:t>
      </w:r>
    </w:p>
    <w:p w14:paraId="21EA2380" w14:textId="14F98481" w:rsidR="00F83689"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D53/88, IRBRD, vol 4, 10</w:t>
      </w:r>
    </w:p>
    <w:p w14:paraId="1F4A0ABD" w14:textId="600A6CA2" w:rsidR="00831ACD"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D9/05, (2005-06) IRBRD, vol 20, 272</w:t>
      </w:r>
    </w:p>
    <w:p w14:paraId="05141AFE" w14:textId="77777777" w:rsidR="00F83689" w:rsidRPr="007B2BE1" w:rsidRDefault="00F83689" w:rsidP="00F83689">
      <w:pPr>
        <w:tabs>
          <w:tab w:val="left" w:pos="1276"/>
        </w:tabs>
        <w:overflowPunct w:val="0"/>
        <w:autoSpaceDE w:val="0"/>
        <w:autoSpaceDN w:val="0"/>
        <w:jc w:val="both"/>
        <w:rPr>
          <w:rFonts w:ascii="Times New Roman" w:eastAsia="標楷體" w:hAnsi="Times New Roman" w:cs="Times New Roman"/>
          <w:lang w:val="en-US" w:eastAsia="zh-HK"/>
        </w:rPr>
      </w:pPr>
    </w:p>
    <w:p w14:paraId="76242A0D" w14:textId="40AC917B" w:rsidR="00241519" w:rsidRPr="007B2BE1" w:rsidRDefault="007B2BE1" w:rsidP="009B4674">
      <w:pPr>
        <w:tabs>
          <w:tab w:val="left" w:pos="1276"/>
        </w:tabs>
        <w:overflowPunct w:val="0"/>
        <w:autoSpaceDE w:val="0"/>
        <w:autoSpaceDN w:val="0"/>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Au King Man Gin, Tax Representative of Appellant, for the Appellant.</w:t>
      </w:r>
      <w:r w:rsidR="00241519" w:rsidRPr="007B2BE1">
        <w:rPr>
          <w:rFonts w:ascii="Times New Roman" w:eastAsia="標楷體" w:hAnsi="Times New Roman" w:cs="Times New Roman"/>
          <w:lang w:val="en-US" w:eastAsia="zh-HK"/>
        </w:rPr>
        <w:t xml:space="preserve"> </w:t>
      </w:r>
    </w:p>
    <w:p w14:paraId="646E2DCE" w14:textId="6874CF8D" w:rsidR="00241519" w:rsidRPr="007B2BE1" w:rsidRDefault="007B2BE1" w:rsidP="00831ACD">
      <w:pPr>
        <w:tabs>
          <w:tab w:val="left" w:pos="1276"/>
        </w:tabs>
        <w:overflowPunct w:val="0"/>
        <w:autoSpaceDE w:val="0"/>
        <w:autoSpaceDN w:val="0"/>
        <w:ind w:left="360" w:hangingChars="150" w:hanging="360"/>
        <w:jc w:val="both"/>
        <w:rPr>
          <w:rFonts w:ascii="Times New Roman" w:eastAsia="標楷體" w:hAnsi="Times New Roman" w:cs="Times New Roman"/>
          <w:lang w:val="en-GB" w:eastAsia="zh-HK"/>
        </w:rPr>
      </w:pPr>
      <w:r w:rsidRPr="007B2BE1">
        <w:rPr>
          <w:rFonts w:ascii="Times New Roman" w:eastAsia="標楷體" w:hAnsi="Times New Roman" w:cs="Times New Roman"/>
          <w:lang w:val="en-US" w:eastAsia="zh-CN"/>
        </w:rPr>
        <w:t xml:space="preserve">Pak Wai Man, Pan Hiu Yan and Yeung Ching Lam, for the </w:t>
      </w:r>
      <w:r w:rsidRPr="007B2BE1">
        <w:rPr>
          <w:rFonts w:ascii="Times New Roman" w:eastAsia="標楷體" w:hAnsi="Times New Roman" w:cs="Times New Roman"/>
          <w:lang w:eastAsia="zh-CN"/>
        </w:rPr>
        <w:t>Commissioner of Inland Revenue.</w:t>
      </w:r>
    </w:p>
    <w:p w14:paraId="71E0260D"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HK"/>
        </w:rPr>
        <w:t xml:space="preserve"> </w:t>
      </w:r>
    </w:p>
    <w:p w14:paraId="3F20C858"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67B2A91D"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4C0EB2DF"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6AF10015"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3A9D151F"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37402AE4"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33BA447F"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0BE2838C"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HK"/>
        </w:rPr>
        <w:br w:type="page"/>
      </w:r>
    </w:p>
    <w:p w14:paraId="0BDD494F" w14:textId="2D771B08" w:rsidR="00241519" w:rsidRPr="007B2BE1" w:rsidRDefault="007B2BE1" w:rsidP="001E406E">
      <w:pPr>
        <w:tabs>
          <w:tab w:val="left" w:pos="1276"/>
        </w:tabs>
        <w:overflowPunct w:val="0"/>
        <w:autoSpaceDE w:val="0"/>
        <w:autoSpaceDN w:val="0"/>
        <w:jc w:val="center"/>
        <w:rPr>
          <w:rFonts w:ascii="Times New Roman" w:eastAsia="標楷體" w:hAnsi="Times New Roman" w:cs="Times New Roman"/>
          <w:color w:val="FF0000"/>
          <w:sz w:val="28"/>
          <w:szCs w:val="28"/>
          <w:lang w:val="en-GB" w:eastAsia="zh-HK"/>
        </w:rPr>
      </w:pPr>
      <w:r w:rsidRPr="007B2BE1">
        <w:rPr>
          <w:rFonts w:ascii="Times New Roman" w:eastAsia="標楷體" w:hAnsi="Times New Roman" w:cs="Times New Roman"/>
          <w:b/>
          <w:sz w:val="28"/>
          <w:szCs w:val="28"/>
          <w:lang w:val="en-US" w:eastAsia="zh-CN"/>
        </w:rPr>
        <w:lastRenderedPageBreak/>
        <w:t>案件编号</w:t>
      </w:r>
      <w:r w:rsidRPr="007B2BE1">
        <w:rPr>
          <w:rFonts w:ascii="Times New Roman" w:eastAsia="標楷體" w:hAnsi="Times New Roman" w:cs="Times New Roman"/>
          <w:b/>
          <w:sz w:val="28"/>
          <w:szCs w:val="28"/>
          <w:lang w:val="en-US" w:eastAsia="zh-CN"/>
        </w:rPr>
        <w:t xml:space="preserve"> D1/20</w:t>
      </w:r>
    </w:p>
    <w:p w14:paraId="43521F0F"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color w:val="FF0000"/>
          <w:lang w:val="en-US" w:eastAsia="zh-TW"/>
        </w:rPr>
      </w:pPr>
    </w:p>
    <w:p w14:paraId="407E679A" w14:textId="3C451ECE" w:rsidR="00241519" w:rsidRPr="007B2BE1" w:rsidRDefault="00241519" w:rsidP="001E406E">
      <w:pPr>
        <w:tabs>
          <w:tab w:val="left" w:pos="1276"/>
        </w:tabs>
        <w:overflowPunct w:val="0"/>
        <w:autoSpaceDE w:val="0"/>
        <w:autoSpaceDN w:val="0"/>
        <w:jc w:val="both"/>
        <w:rPr>
          <w:rFonts w:ascii="Times New Roman" w:eastAsia="標楷體" w:hAnsi="Times New Roman" w:cs="Times New Roman"/>
          <w:color w:val="FF0000"/>
          <w:lang w:val="en-GB"/>
        </w:rPr>
      </w:pPr>
    </w:p>
    <w:p w14:paraId="42BB8E57" w14:textId="305080B7" w:rsidR="00D458BE" w:rsidRPr="007B2BE1" w:rsidRDefault="00D458BE" w:rsidP="001E406E">
      <w:pPr>
        <w:tabs>
          <w:tab w:val="left" w:pos="1276"/>
        </w:tabs>
        <w:overflowPunct w:val="0"/>
        <w:autoSpaceDE w:val="0"/>
        <w:autoSpaceDN w:val="0"/>
        <w:jc w:val="both"/>
        <w:rPr>
          <w:rFonts w:ascii="Times New Roman" w:eastAsia="標楷體" w:hAnsi="Times New Roman" w:cs="Times New Roman"/>
          <w:color w:val="FF0000"/>
          <w:lang w:val="en-GB"/>
        </w:rPr>
      </w:pPr>
    </w:p>
    <w:p w14:paraId="1B66AF8B" w14:textId="77777777" w:rsidR="00D458BE" w:rsidRPr="007B2BE1" w:rsidRDefault="00D458BE" w:rsidP="001E406E">
      <w:pPr>
        <w:tabs>
          <w:tab w:val="left" w:pos="1276"/>
        </w:tabs>
        <w:overflowPunct w:val="0"/>
        <w:autoSpaceDE w:val="0"/>
        <w:autoSpaceDN w:val="0"/>
        <w:jc w:val="both"/>
        <w:rPr>
          <w:rFonts w:ascii="Times New Roman" w:eastAsia="標楷體" w:hAnsi="Times New Roman" w:cs="Times New Roman"/>
          <w:color w:val="FF0000"/>
          <w:lang w:val="en-GB"/>
        </w:rPr>
      </w:pPr>
    </w:p>
    <w:p w14:paraId="179EA5A3" w14:textId="22FF5028" w:rsidR="00D458BE" w:rsidRPr="007B2BE1" w:rsidRDefault="007B2BE1" w:rsidP="00DF0799">
      <w:pPr>
        <w:autoSpaceDE w:val="0"/>
        <w:autoSpaceDN w:val="0"/>
        <w:rPr>
          <w:rFonts w:ascii="Times New Roman" w:eastAsia="標楷體" w:hAnsi="Times New Roman" w:cs="Times New Roman"/>
        </w:rPr>
      </w:pPr>
      <w:r w:rsidRPr="007B2BE1">
        <w:rPr>
          <w:rFonts w:ascii="Times New Roman" w:eastAsia="標楷體" w:hAnsi="Times New Roman" w:cs="Times New Roman"/>
          <w:b/>
          <w:bCs/>
          <w:sz w:val="28"/>
          <w:szCs w:val="28"/>
          <w:lang w:eastAsia="zh-CN"/>
        </w:rPr>
        <w:t>补加税</w:t>
      </w:r>
      <w:r w:rsidRPr="007B2BE1">
        <w:rPr>
          <w:rFonts w:ascii="Times New Roman" w:eastAsia="標楷體" w:hAnsi="Times New Roman" w:cs="Times New Roman"/>
          <w:b/>
          <w:bCs/>
          <w:lang w:eastAsia="zh-CN"/>
        </w:rPr>
        <w:t xml:space="preserve"> </w:t>
      </w:r>
      <w:r w:rsidRPr="007B2BE1">
        <w:rPr>
          <w:rFonts w:ascii="Times New Roman" w:eastAsia="標楷體" w:hAnsi="Times New Roman" w:cs="Times New Roman"/>
          <w:lang w:eastAsia="zh-CN"/>
        </w:rPr>
        <w:t xml:space="preserve">– </w:t>
      </w:r>
      <w:r w:rsidRPr="007B2BE1">
        <w:rPr>
          <w:rFonts w:ascii="Times New Roman" w:eastAsia="標楷體" w:hAnsi="Times New Roman" w:cs="Times New Roman"/>
          <w:lang w:eastAsia="zh-CN"/>
        </w:rPr>
        <w:t>逾期上诉</w:t>
      </w:r>
      <w:r w:rsidRPr="007B2BE1">
        <w:rPr>
          <w:rFonts w:ascii="Times New Roman" w:eastAsia="標楷體" w:hAnsi="Times New Roman" w:cs="Times New Roman"/>
          <w:lang w:eastAsia="zh-CN"/>
        </w:rPr>
        <w:t xml:space="preserve"> – </w:t>
      </w:r>
      <w:r w:rsidRPr="007B2BE1">
        <w:rPr>
          <w:rFonts w:ascii="Times New Roman" w:eastAsia="標楷體" w:hAnsi="Times New Roman" w:cs="Times New Roman"/>
          <w:lang w:eastAsia="zh-CN"/>
        </w:rPr>
        <w:t>合理原因</w:t>
      </w:r>
      <w:r w:rsidRPr="007B2BE1">
        <w:rPr>
          <w:rFonts w:ascii="Times New Roman" w:eastAsia="標楷體" w:hAnsi="Times New Roman" w:cs="Times New Roman"/>
          <w:lang w:eastAsia="zh-CN"/>
        </w:rPr>
        <w:t xml:space="preserve"> – </w:t>
      </w:r>
      <w:r w:rsidRPr="007B2BE1">
        <w:rPr>
          <w:rFonts w:ascii="Times New Roman" w:eastAsia="標楷體" w:hAnsi="Times New Roman" w:cs="Times New Roman"/>
          <w:lang w:eastAsia="zh-CN"/>
        </w:rPr>
        <w:t>评税额是否过多</w:t>
      </w:r>
      <w:r w:rsidRPr="007B2BE1">
        <w:rPr>
          <w:rFonts w:ascii="Times New Roman" w:eastAsia="標楷體" w:hAnsi="Times New Roman" w:cs="Times New Roman"/>
          <w:lang w:eastAsia="zh-CN"/>
        </w:rPr>
        <w:t xml:space="preserve"> –</w:t>
      </w:r>
      <w:r w:rsidRPr="007B2BE1">
        <w:rPr>
          <w:rFonts w:ascii="Times New Roman" w:eastAsia="標楷體" w:hAnsi="Times New Roman" w:cs="Times New Roman"/>
          <w:lang w:eastAsia="zh-CN"/>
        </w:rPr>
        <w:t>《税务条例》第</w:t>
      </w:r>
      <w:r w:rsidRPr="007B2BE1">
        <w:rPr>
          <w:rFonts w:ascii="Times New Roman" w:eastAsia="標楷體" w:hAnsi="Times New Roman" w:cs="Times New Roman"/>
          <w:lang w:eastAsia="zh-CN"/>
        </w:rPr>
        <w:t>82A</w:t>
      </w:r>
      <w:r w:rsidRPr="007B2BE1">
        <w:rPr>
          <w:rFonts w:ascii="Times New Roman" w:eastAsia="標楷體" w:hAnsi="Times New Roman" w:cs="Times New Roman"/>
          <w:lang w:eastAsia="zh-CN"/>
        </w:rPr>
        <w:t>和</w:t>
      </w:r>
      <w:r w:rsidRPr="007B2BE1">
        <w:rPr>
          <w:rFonts w:ascii="Times New Roman" w:eastAsia="標楷體" w:hAnsi="Times New Roman" w:cs="Times New Roman"/>
          <w:lang w:eastAsia="zh-CN"/>
        </w:rPr>
        <w:t>82B</w:t>
      </w:r>
      <w:r w:rsidRPr="007B2BE1">
        <w:rPr>
          <w:rFonts w:ascii="Times New Roman" w:eastAsia="標楷體" w:hAnsi="Times New Roman" w:cs="Times New Roman"/>
          <w:lang w:eastAsia="zh-CN"/>
        </w:rPr>
        <w:t>条</w:t>
      </w:r>
    </w:p>
    <w:p w14:paraId="4C596107" w14:textId="4D6930C7" w:rsidR="00241519" w:rsidRPr="007B2BE1" w:rsidRDefault="00241519" w:rsidP="00DF0799">
      <w:pPr>
        <w:tabs>
          <w:tab w:val="left" w:pos="1276"/>
        </w:tabs>
        <w:overflowPunct w:val="0"/>
        <w:autoSpaceDE w:val="0"/>
        <w:autoSpaceDN w:val="0"/>
        <w:jc w:val="both"/>
        <w:rPr>
          <w:rFonts w:ascii="Times New Roman" w:eastAsia="標楷體" w:hAnsi="Times New Roman" w:cs="Times New Roman"/>
          <w:color w:val="FF0000"/>
        </w:rPr>
      </w:pPr>
    </w:p>
    <w:p w14:paraId="1BEC1A78" w14:textId="4189B069" w:rsidR="00241519" w:rsidRPr="007B2BE1" w:rsidRDefault="007B2BE1" w:rsidP="00DF0799">
      <w:pPr>
        <w:tabs>
          <w:tab w:val="left" w:pos="840"/>
          <w:tab w:val="left" w:pos="1276"/>
        </w:tabs>
        <w:overflowPunct w:val="0"/>
        <w:autoSpaceDE w:val="0"/>
        <w:autoSpaceDN w:val="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委员会：罗沛然（主席）、许立德及乌佩贞</w:t>
      </w:r>
    </w:p>
    <w:p w14:paraId="4BC027AA" w14:textId="77777777" w:rsidR="00241519" w:rsidRPr="007B2BE1" w:rsidRDefault="00241519" w:rsidP="00DF0799">
      <w:pPr>
        <w:tabs>
          <w:tab w:val="left" w:pos="840"/>
          <w:tab w:val="left" w:pos="1276"/>
        </w:tabs>
        <w:overflowPunct w:val="0"/>
        <w:autoSpaceDE w:val="0"/>
        <w:autoSpaceDN w:val="0"/>
        <w:jc w:val="both"/>
        <w:rPr>
          <w:rFonts w:ascii="Times New Roman" w:eastAsia="標楷體" w:hAnsi="Times New Roman" w:cs="Times New Roman"/>
          <w:lang w:eastAsia="zh-HK"/>
        </w:rPr>
      </w:pPr>
    </w:p>
    <w:p w14:paraId="25BE75D5" w14:textId="56130589" w:rsidR="00241519" w:rsidRPr="007B2BE1" w:rsidRDefault="007B2BE1" w:rsidP="00DF0799">
      <w:pPr>
        <w:tabs>
          <w:tab w:val="left" w:pos="840"/>
          <w:tab w:val="left" w:pos="1276"/>
        </w:tabs>
        <w:overflowPunct w:val="0"/>
        <w:autoSpaceDE w:val="0"/>
        <w:autoSpaceDN w:val="0"/>
        <w:rPr>
          <w:rFonts w:ascii="Times New Roman" w:eastAsia="標楷體" w:hAnsi="Times New Roman" w:cs="Times New Roman"/>
          <w:lang w:eastAsia="zh-HK"/>
        </w:rPr>
      </w:pPr>
      <w:r w:rsidRPr="007B2BE1">
        <w:rPr>
          <w:rFonts w:ascii="Times New Roman" w:eastAsia="標楷體" w:hAnsi="Times New Roman" w:cs="Times New Roman"/>
          <w:lang w:eastAsia="zh-CN"/>
        </w:rPr>
        <w:t>聆讯日期：</w:t>
      </w:r>
      <w:r w:rsidRPr="007B2BE1">
        <w:rPr>
          <w:rFonts w:ascii="Times New Roman" w:eastAsia="標楷體" w:hAnsi="Times New Roman" w:cs="Times New Roman"/>
          <w:lang w:eastAsia="zh-CN"/>
        </w:rPr>
        <w:t>2019</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9</w:t>
      </w:r>
      <w:r w:rsidRPr="007B2BE1">
        <w:rPr>
          <w:rFonts w:ascii="Times New Roman" w:eastAsia="標楷體" w:hAnsi="Times New Roman" w:cs="Times New Roman"/>
          <w:lang w:eastAsia="zh-CN"/>
        </w:rPr>
        <w:t>月</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日及</w:t>
      </w:r>
      <w:r w:rsidRPr="007B2BE1">
        <w:rPr>
          <w:rFonts w:ascii="Times New Roman" w:eastAsia="標楷體" w:hAnsi="Times New Roman" w:cs="Times New Roman"/>
          <w:lang w:val="en-US" w:eastAsia="zh-CN"/>
        </w:rPr>
        <w:t>5</w:t>
      </w:r>
      <w:r w:rsidRPr="007B2BE1">
        <w:rPr>
          <w:rFonts w:ascii="Times New Roman" w:eastAsia="標楷體" w:hAnsi="Times New Roman" w:cs="Times New Roman"/>
          <w:lang w:val="en-US" w:eastAsia="zh-CN"/>
        </w:rPr>
        <w:t>日</w:t>
      </w:r>
    </w:p>
    <w:p w14:paraId="16BB3463" w14:textId="0E43BA1C" w:rsidR="00241519" w:rsidRPr="007B2BE1" w:rsidRDefault="007B2BE1" w:rsidP="00DF0799">
      <w:pPr>
        <w:tabs>
          <w:tab w:val="left" w:pos="840"/>
          <w:tab w:val="left" w:pos="1276"/>
        </w:tabs>
        <w:overflowPunct w:val="0"/>
        <w:autoSpaceDE w:val="0"/>
        <w:autoSpaceDN w:val="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裁决日期：</w:t>
      </w:r>
      <w:r w:rsidRPr="007B2BE1">
        <w:rPr>
          <w:rFonts w:ascii="Times New Roman" w:eastAsia="標楷體" w:hAnsi="Times New Roman" w:cs="Times New Roman"/>
          <w:lang w:eastAsia="zh-CN"/>
        </w:rPr>
        <w:t>2020</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4</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21</w:t>
      </w:r>
      <w:r w:rsidRPr="007B2BE1">
        <w:rPr>
          <w:rFonts w:ascii="Times New Roman" w:eastAsia="標楷體" w:hAnsi="Times New Roman" w:cs="Times New Roman"/>
          <w:lang w:eastAsia="zh-CN"/>
        </w:rPr>
        <w:t>日</w:t>
      </w:r>
    </w:p>
    <w:p w14:paraId="26D582CC" w14:textId="77777777" w:rsidR="00241519" w:rsidRPr="007B2BE1" w:rsidRDefault="00241519" w:rsidP="00DF0799">
      <w:pPr>
        <w:tabs>
          <w:tab w:val="left" w:pos="840"/>
          <w:tab w:val="left" w:pos="1276"/>
        </w:tabs>
        <w:overflowPunct w:val="0"/>
        <w:autoSpaceDE w:val="0"/>
        <w:autoSpaceDN w:val="0"/>
        <w:jc w:val="both"/>
        <w:rPr>
          <w:rFonts w:ascii="Times New Roman" w:eastAsia="標楷體" w:hAnsi="Times New Roman" w:cs="Times New Roman"/>
          <w:color w:val="FF0000"/>
          <w:lang w:eastAsia="zh-HK"/>
        </w:rPr>
      </w:pPr>
    </w:p>
    <w:p w14:paraId="680794DD" w14:textId="77777777" w:rsidR="00241519" w:rsidRPr="007B2BE1" w:rsidRDefault="00241519" w:rsidP="00DF0799">
      <w:pPr>
        <w:tabs>
          <w:tab w:val="left" w:pos="840"/>
          <w:tab w:val="left" w:pos="1276"/>
        </w:tabs>
        <w:overflowPunct w:val="0"/>
        <w:autoSpaceDE w:val="0"/>
        <w:autoSpaceDN w:val="0"/>
        <w:jc w:val="both"/>
        <w:rPr>
          <w:rFonts w:ascii="Times New Roman" w:eastAsia="標楷體" w:hAnsi="Times New Roman" w:cs="Times New Roman"/>
          <w:color w:val="FF0000"/>
          <w:lang w:eastAsia="zh-HK"/>
        </w:rPr>
      </w:pPr>
    </w:p>
    <w:p w14:paraId="7DC203FF" w14:textId="46C3639C" w:rsidR="00D458BE" w:rsidRPr="007B2BE1" w:rsidRDefault="007B2BE1" w:rsidP="00DF0799">
      <w:pPr>
        <w:autoSpaceDE w:val="0"/>
        <w:autoSpaceDN w:val="0"/>
        <w:ind w:firstLineChars="450" w:firstLine="10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先生是</w:t>
      </w:r>
      <w:r w:rsidRPr="007B2BE1">
        <w:rPr>
          <w:rFonts w:ascii="Times New Roman" w:eastAsia="標楷體" w:hAnsi="Times New Roman" w:cs="Times New Roman"/>
          <w:lang w:eastAsia="zh-CN"/>
        </w:rPr>
        <w:t>C</w:t>
      </w:r>
      <w:r w:rsidRPr="007B2BE1">
        <w:rPr>
          <w:rFonts w:ascii="Times New Roman" w:eastAsia="標楷體" w:hAnsi="Times New Roman" w:cs="Times New Roman"/>
          <w:lang w:eastAsia="zh-CN"/>
        </w:rPr>
        <w:t>公司的董事。</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先生在</w:t>
      </w:r>
      <w:r w:rsidRPr="007B2BE1">
        <w:rPr>
          <w:rFonts w:ascii="Times New Roman" w:eastAsia="標楷體" w:hAnsi="Times New Roman" w:cs="Times New Roman"/>
          <w:lang w:eastAsia="zh-CN"/>
        </w:rPr>
        <w:t>2011</w:t>
      </w:r>
      <w:r w:rsidRPr="007B2BE1">
        <w:rPr>
          <w:rFonts w:ascii="Times New Roman" w:eastAsia="標楷體" w:hAnsi="Times New Roman" w:cs="Times New Roman"/>
          <w:lang w:eastAsia="zh-CN"/>
        </w:rPr>
        <w:t>年成立</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公司，并为其唯一股东和董事。</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先生将其从私人名义赚取或从</w:t>
      </w:r>
      <w:r w:rsidRPr="007B2BE1">
        <w:rPr>
          <w:rFonts w:ascii="Times New Roman" w:eastAsia="標楷體" w:hAnsi="Times New Roman" w:cs="Times New Roman"/>
          <w:lang w:eastAsia="zh-CN"/>
        </w:rPr>
        <w:t>C</w:t>
      </w:r>
      <w:r w:rsidRPr="007B2BE1">
        <w:rPr>
          <w:rFonts w:ascii="Times New Roman" w:eastAsia="標楷體" w:hAnsi="Times New Roman" w:cs="Times New Roman"/>
          <w:lang w:eastAsia="zh-CN"/>
        </w:rPr>
        <w:t>公司以拆帐方式收取的入息拨归成为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公司之营业收入，</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先生再从</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公司以董事身份支取薪酬。</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公司在</w:t>
      </w:r>
      <w:r w:rsidRPr="007B2BE1">
        <w:rPr>
          <w:rFonts w:ascii="Times New Roman" w:eastAsia="標楷體" w:hAnsi="Times New Roman" w:cs="Times New Roman"/>
          <w:lang w:eastAsia="zh-CN"/>
        </w:rPr>
        <w:t>2012</w:t>
      </w:r>
      <w:r w:rsidRPr="007B2BE1">
        <w:rPr>
          <w:rFonts w:ascii="Times New Roman" w:eastAsia="標楷體" w:hAnsi="Times New Roman" w:cs="Times New Roman"/>
          <w:lang w:eastAsia="zh-CN"/>
        </w:rPr>
        <w:t>年购入</w:t>
      </w:r>
      <w:r w:rsidRPr="007B2BE1">
        <w:rPr>
          <w:rFonts w:ascii="Times New Roman" w:eastAsia="標楷體" w:hAnsi="Times New Roman" w:cs="Times New Roman"/>
          <w:lang w:eastAsia="zh-CN"/>
        </w:rPr>
        <w:t>F</w:t>
      </w:r>
      <w:r w:rsidRPr="007B2BE1">
        <w:rPr>
          <w:rFonts w:ascii="Times New Roman" w:eastAsia="標楷體" w:hAnsi="Times New Roman" w:cs="Times New Roman"/>
          <w:lang w:eastAsia="zh-CN"/>
        </w:rPr>
        <w:t>物业并提供此物业予</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先生作其居所。</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先生与母亲联权拥有</w:t>
      </w:r>
      <w:r w:rsidRPr="007B2BE1">
        <w:rPr>
          <w:rFonts w:ascii="Times New Roman" w:eastAsia="標楷體" w:hAnsi="Times New Roman" w:cs="Times New Roman"/>
          <w:lang w:eastAsia="zh-CN"/>
        </w:rPr>
        <w:t>G</w:t>
      </w:r>
      <w:r w:rsidRPr="007B2BE1">
        <w:rPr>
          <w:rFonts w:ascii="Times New Roman" w:eastAsia="標楷體" w:hAnsi="Times New Roman" w:cs="Times New Roman"/>
          <w:lang w:eastAsia="zh-CN"/>
        </w:rPr>
        <w:t>物业，</w:t>
      </w:r>
      <w:r w:rsidRPr="007B2BE1">
        <w:rPr>
          <w:rFonts w:ascii="Times New Roman" w:eastAsia="標楷體" w:hAnsi="Times New Roman" w:cs="Times New Roman"/>
          <w:lang w:eastAsia="zh-CN"/>
        </w:rPr>
        <w:t>G</w:t>
      </w:r>
      <w:r w:rsidRPr="007B2BE1">
        <w:rPr>
          <w:rFonts w:ascii="Times New Roman" w:eastAsia="標楷體" w:hAnsi="Times New Roman" w:cs="Times New Roman"/>
          <w:lang w:eastAsia="zh-CN"/>
        </w:rPr>
        <w:t>物业在</w:t>
      </w:r>
      <w:r w:rsidRPr="007B2BE1">
        <w:rPr>
          <w:rFonts w:ascii="Times New Roman" w:eastAsia="標楷體" w:hAnsi="Times New Roman" w:cs="Times New Roman"/>
          <w:lang w:eastAsia="zh-CN"/>
        </w:rPr>
        <w:t>2007/08</w:t>
      </w:r>
      <w:r w:rsidRPr="007B2BE1">
        <w:rPr>
          <w:rFonts w:ascii="Times New Roman" w:eastAsia="標楷體" w:hAnsi="Times New Roman" w:cs="Times New Roman"/>
          <w:lang w:eastAsia="zh-CN"/>
        </w:rPr>
        <w:t>及</w:t>
      </w:r>
      <w:r w:rsidRPr="007B2BE1">
        <w:rPr>
          <w:rFonts w:ascii="Times New Roman" w:eastAsia="標楷體" w:hAnsi="Times New Roman" w:cs="Times New Roman"/>
          <w:lang w:eastAsia="zh-CN"/>
        </w:rPr>
        <w:t>2008/09</w:t>
      </w:r>
      <w:r w:rsidRPr="007B2BE1">
        <w:rPr>
          <w:rFonts w:ascii="Times New Roman" w:eastAsia="標楷體" w:hAnsi="Times New Roman" w:cs="Times New Roman"/>
          <w:lang w:eastAsia="zh-CN"/>
        </w:rPr>
        <w:t>为出租物业。</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先生亦是</w:t>
      </w:r>
      <w:r w:rsidRPr="007B2BE1">
        <w:rPr>
          <w:rFonts w:ascii="Times New Roman" w:eastAsia="標楷體" w:hAnsi="Times New Roman" w:cs="Times New Roman"/>
          <w:lang w:eastAsia="zh-CN"/>
        </w:rPr>
        <w:t>H</w:t>
      </w:r>
      <w:r w:rsidRPr="007B2BE1">
        <w:rPr>
          <w:rFonts w:ascii="Times New Roman" w:eastAsia="標楷體" w:hAnsi="Times New Roman" w:cs="Times New Roman"/>
          <w:lang w:eastAsia="zh-CN"/>
        </w:rPr>
        <w:t>物业的全资拥有人，</w:t>
      </w:r>
      <w:r w:rsidRPr="007B2BE1">
        <w:rPr>
          <w:rFonts w:ascii="Times New Roman" w:eastAsia="標楷體" w:hAnsi="Times New Roman" w:cs="Times New Roman"/>
          <w:lang w:eastAsia="zh-CN"/>
        </w:rPr>
        <w:t>G</w:t>
      </w:r>
      <w:r w:rsidRPr="007B2BE1">
        <w:rPr>
          <w:rFonts w:ascii="Times New Roman" w:eastAsia="標楷體" w:hAnsi="Times New Roman" w:cs="Times New Roman"/>
          <w:lang w:eastAsia="zh-CN"/>
        </w:rPr>
        <w:t>物业在</w:t>
      </w:r>
      <w:r w:rsidRPr="007B2BE1">
        <w:rPr>
          <w:rFonts w:ascii="Times New Roman" w:eastAsia="標楷體" w:hAnsi="Times New Roman" w:cs="Times New Roman"/>
          <w:lang w:eastAsia="zh-CN"/>
        </w:rPr>
        <w:t>2007/08</w:t>
      </w:r>
      <w:r w:rsidRPr="007B2BE1">
        <w:rPr>
          <w:rFonts w:ascii="Times New Roman" w:eastAsia="標楷體" w:hAnsi="Times New Roman" w:cs="Times New Roman"/>
          <w:lang w:eastAsia="zh-CN"/>
        </w:rPr>
        <w:t>及</w:t>
      </w:r>
      <w:r w:rsidRPr="007B2BE1">
        <w:rPr>
          <w:rFonts w:ascii="Times New Roman" w:eastAsia="標楷體" w:hAnsi="Times New Roman" w:cs="Times New Roman"/>
          <w:lang w:eastAsia="zh-CN"/>
        </w:rPr>
        <w:t>2008/09</w:t>
      </w:r>
      <w:r w:rsidRPr="007B2BE1">
        <w:rPr>
          <w:rFonts w:ascii="Times New Roman" w:eastAsia="標楷體" w:hAnsi="Times New Roman" w:cs="Times New Roman"/>
          <w:lang w:eastAsia="zh-CN"/>
        </w:rPr>
        <w:t>为出租物业。</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先生在</w:t>
      </w:r>
      <w:r w:rsidRPr="007B2BE1">
        <w:rPr>
          <w:rFonts w:ascii="Times New Roman" w:eastAsia="標楷體" w:hAnsi="Times New Roman" w:cs="Times New Roman"/>
          <w:lang w:eastAsia="zh-CN"/>
        </w:rPr>
        <w:t>2011</w:t>
      </w:r>
      <w:r w:rsidRPr="007B2BE1">
        <w:rPr>
          <w:rFonts w:ascii="Times New Roman" w:eastAsia="標楷體" w:hAnsi="Times New Roman" w:cs="Times New Roman"/>
          <w:lang w:eastAsia="zh-CN"/>
        </w:rPr>
        <w:t>年至</w:t>
      </w:r>
      <w:r w:rsidRPr="007B2BE1">
        <w:rPr>
          <w:rFonts w:ascii="Times New Roman" w:eastAsia="標楷體" w:hAnsi="Times New Roman" w:cs="Times New Roman"/>
          <w:lang w:eastAsia="zh-CN"/>
        </w:rPr>
        <w:t>2018</w:t>
      </w:r>
      <w:r w:rsidRPr="007B2BE1">
        <w:rPr>
          <w:rFonts w:ascii="Times New Roman" w:eastAsia="標楷體" w:hAnsi="Times New Roman" w:cs="Times New Roman"/>
          <w:lang w:eastAsia="zh-CN"/>
        </w:rPr>
        <w:t>年期间前后委任了三名税务代表。</w:t>
      </w:r>
    </w:p>
    <w:p w14:paraId="17205316" w14:textId="77777777" w:rsidR="00D458BE" w:rsidRPr="007B2BE1" w:rsidRDefault="00D458BE" w:rsidP="00DF0799">
      <w:pPr>
        <w:autoSpaceDE w:val="0"/>
        <w:autoSpaceDN w:val="0"/>
        <w:ind w:firstLineChars="450" w:firstLine="1080"/>
        <w:jc w:val="both"/>
        <w:rPr>
          <w:rFonts w:ascii="Times New Roman" w:eastAsia="標楷體" w:hAnsi="Times New Roman" w:cs="Times New Roman"/>
          <w:lang w:eastAsia="zh-HK"/>
        </w:rPr>
      </w:pPr>
    </w:p>
    <w:p w14:paraId="4E2039CD" w14:textId="7F43AC0F" w:rsidR="00D458BE" w:rsidRPr="007B2BE1" w:rsidRDefault="007B2BE1" w:rsidP="00DF0799">
      <w:pPr>
        <w:autoSpaceDE w:val="0"/>
        <w:autoSpaceDN w:val="0"/>
        <w:ind w:firstLineChars="450" w:firstLine="10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在</w:t>
      </w:r>
      <w:r w:rsidRPr="007B2BE1">
        <w:rPr>
          <w:rFonts w:ascii="Times New Roman" w:eastAsia="標楷體" w:hAnsi="Times New Roman" w:cs="Times New Roman"/>
          <w:lang w:eastAsia="zh-CN"/>
        </w:rPr>
        <w:t>2011/2012</w:t>
      </w:r>
      <w:r w:rsidRPr="007B2BE1">
        <w:rPr>
          <w:rFonts w:ascii="Times New Roman" w:eastAsia="標楷體" w:hAnsi="Times New Roman" w:cs="Times New Roman"/>
          <w:lang w:eastAsia="zh-CN"/>
        </w:rPr>
        <w:t>至</w:t>
      </w:r>
      <w:r w:rsidRPr="007B2BE1">
        <w:rPr>
          <w:rFonts w:ascii="Times New Roman" w:eastAsia="標楷體" w:hAnsi="Times New Roman" w:cs="Times New Roman"/>
          <w:lang w:eastAsia="zh-CN"/>
        </w:rPr>
        <w:t>2015/2016</w:t>
      </w:r>
      <w:r w:rsidRPr="007B2BE1">
        <w:rPr>
          <w:rFonts w:ascii="Times New Roman" w:eastAsia="標楷體" w:hAnsi="Times New Roman" w:cs="Times New Roman"/>
          <w:lang w:eastAsia="zh-CN"/>
        </w:rPr>
        <w:t>年度，</w:t>
      </w:r>
      <w:r w:rsidRPr="007B2BE1">
        <w:rPr>
          <w:rFonts w:ascii="Times New Roman" w:eastAsia="標楷體" w:hAnsi="Times New Roman" w:cs="Times New Roman"/>
          <w:lang w:eastAsia="zh-CN"/>
        </w:rPr>
        <w:t>J</w:t>
      </w:r>
      <w:r w:rsidRPr="007B2BE1">
        <w:rPr>
          <w:rFonts w:ascii="Times New Roman" w:eastAsia="標楷體" w:hAnsi="Times New Roman" w:cs="Times New Roman"/>
          <w:lang w:eastAsia="zh-CN"/>
        </w:rPr>
        <w:t>先生为其第一税务代表，并向税务局提交有关应评税利润。在税务局发出</w:t>
      </w:r>
      <w:r w:rsidRPr="007B2BE1">
        <w:rPr>
          <w:rFonts w:ascii="Times New Roman" w:eastAsia="標楷體" w:hAnsi="Times New Roman" w:cs="Times New Roman"/>
          <w:lang w:eastAsia="zh-CN"/>
        </w:rPr>
        <w:t>2011/12</w:t>
      </w:r>
      <w:r w:rsidRPr="007B2BE1">
        <w:rPr>
          <w:rFonts w:ascii="Times New Roman" w:eastAsia="標楷體" w:hAnsi="Times New Roman" w:cs="Times New Roman"/>
          <w:lang w:eastAsia="zh-CN"/>
        </w:rPr>
        <w:t>至</w:t>
      </w:r>
      <w:r w:rsidRPr="007B2BE1">
        <w:rPr>
          <w:rFonts w:ascii="Times New Roman" w:eastAsia="標楷體" w:hAnsi="Times New Roman" w:cs="Times New Roman"/>
          <w:lang w:eastAsia="zh-CN"/>
        </w:rPr>
        <w:t>2014/2015</w:t>
      </w:r>
      <w:r w:rsidRPr="007B2BE1">
        <w:rPr>
          <w:rFonts w:ascii="Times New Roman" w:eastAsia="標楷體" w:hAnsi="Times New Roman" w:cs="Times New Roman"/>
          <w:lang w:eastAsia="zh-CN"/>
        </w:rPr>
        <w:t>年度的利得税评税计算表连同</w:t>
      </w:r>
      <w:r w:rsidRPr="007B2BE1">
        <w:rPr>
          <w:rFonts w:ascii="Times New Roman" w:eastAsia="標楷體" w:hAnsi="Times New Roman" w:cs="Times New Roman"/>
          <w:lang w:eastAsia="zh-CN"/>
        </w:rPr>
        <w:t>2015/2016</w:t>
      </w:r>
      <w:r w:rsidRPr="007B2BE1">
        <w:rPr>
          <w:rFonts w:ascii="Times New Roman" w:eastAsia="標楷體" w:hAnsi="Times New Roman" w:cs="Times New Roman"/>
          <w:lang w:eastAsia="zh-CN"/>
        </w:rPr>
        <w:t>的利得税修订评税后，</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公司没有提出反对或异议，根据税务条例这成为最终及决定性评税。</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先生向税务局提交有关</w:t>
      </w:r>
      <w:r w:rsidRPr="007B2BE1">
        <w:rPr>
          <w:rFonts w:ascii="Times New Roman" w:eastAsia="標楷體" w:hAnsi="Times New Roman" w:cs="Times New Roman"/>
          <w:lang w:eastAsia="zh-CN"/>
        </w:rPr>
        <w:t>2007/2008</w:t>
      </w:r>
      <w:r w:rsidRPr="007B2BE1">
        <w:rPr>
          <w:rFonts w:ascii="Times New Roman" w:eastAsia="標楷體" w:hAnsi="Times New Roman" w:cs="Times New Roman"/>
          <w:lang w:eastAsia="zh-CN"/>
        </w:rPr>
        <w:t>至</w:t>
      </w:r>
      <w:r w:rsidRPr="007B2BE1">
        <w:rPr>
          <w:rFonts w:ascii="Times New Roman" w:eastAsia="標楷體" w:hAnsi="Times New Roman" w:cs="Times New Roman"/>
          <w:lang w:eastAsia="zh-CN"/>
        </w:rPr>
        <w:t>2015/2016</w:t>
      </w:r>
      <w:r w:rsidRPr="007B2BE1">
        <w:rPr>
          <w:rFonts w:ascii="Times New Roman" w:eastAsia="標楷體" w:hAnsi="Times New Roman" w:cs="Times New Roman"/>
          <w:lang w:eastAsia="zh-CN"/>
        </w:rPr>
        <w:t>的报税表，申报其租金及薪俸收入。税务局根据提交的资料向</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先生发出不同年度的物业税及薪俸税评税。</w:t>
      </w:r>
    </w:p>
    <w:p w14:paraId="455639E6" w14:textId="77777777" w:rsidR="00D458BE" w:rsidRPr="007B2BE1" w:rsidRDefault="00D458BE" w:rsidP="00DF0799">
      <w:pPr>
        <w:autoSpaceDE w:val="0"/>
        <w:autoSpaceDN w:val="0"/>
        <w:ind w:firstLineChars="450" w:firstLine="1080"/>
        <w:jc w:val="both"/>
        <w:rPr>
          <w:rFonts w:ascii="Times New Roman" w:eastAsia="標楷體" w:hAnsi="Times New Roman" w:cs="Times New Roman"/>
          <w:lang w:eastAsia="zh-HK"/>
        </w:rPr>
      </w:pPr>
    </w:p>
    <w:p w14:paraId="17F810E3" w14:textId="6AA062AF" w:rsidR="00D458BE" w:rsidRPr="007B2BE1" w:rsidRDefault="007B2BE1" w:rsidP="00DF0799">
      <w:pPr>
        <w:autoSpaceDE w:val="0"/>
        <w:autoSpaceDN w:val="0"/>
        <w:ind w:firstLineChars="450" w:firstLine="10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在审核及调查</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先生及其关联公司的报税表期间，税务局邀请</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先生进行会晤。在讨论后，税务局在</w:t>
      </w:r>
      <w:r w:rsidRPr="007B2BE1">
        <w:rPr>
          <w:rFonts w:ascii="Times New Roman" w:eastAsia="標楷體" w:hAnsi="Times New Roman" w:cs="Times New Roman"/>
          <w:lang w:eastAsia="zh-CN"/>
        </w:rPr>
        <w:t>2017</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7</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21</w:t>
      </w:r>
      <w:r w:rsidRPr="007B2BE1">
        <w:rPr>
          <w:rFonts w:ascii="Times New Roman" w:eastAsia="標楷體" w:hAnsi="Times New Roman" w:cs="Times New Roman"/>
          <w:lang w:eastAsia="zh-CN"/>
        </w:rPr>
        <w:t>日至</w:t>
      </w:r>
      <w:r w:rsidRPr="007B2BE1">
        <w:rPr>
          <w:rFonts w:ascii="Times New Roman" w:eastAsia="標楷體" w:hAnsi="Times New Roman" w:cs="Times New Roman"/>
          <w:lang w:eastAsia="zh-CN"/>
        </w:rPr>
        <w:t>2017</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9</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12</w:t>
      </w:r>
      <w:r w:rsidRPr="007B2BE1">
        <w:rPr>
          <w:rFonts w:ascii="Times New Roman" w:eastAsia="標楷體" w:hAnsi="Times New Roman" w:cs="Times New Roman"/>
          <w:lang w:eastAsia="zh-CN"/>
        </w:rPr>
        <w:t>日期间先后三次向</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先生提出了结个案建议，但皆不被接纳。最后在</w:t>
      </w:r>
      <w:r w:rsidRPr="007B2BE1">
        <w:rPr>
          <w:rFonts w:ascii="Times New Roman" w:eastAsia="標楷體" w:hAnsi="Times New Roman" w:cs="Times New Roman"/>
          <w:lang w:eastAsia="zh-CN"/>
        </w:rPr>
        <w:t>2017</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9</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21</w:t>
      </w:r>
      <w:r w:rsidRPr="007B2BE1">
        <w:rPr>
          <w:rFonts w:ascii="Times New Roman" w:eastAsia="標楷體" w:hAnsi="Times New Roman" w:cs="Times New Roman"/>
          <w:lang w:eastAsia="zh-CN"/>
        </w:rPr>
        <w:t>日税务局再向</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先生提出第四次了结个案建议并获</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先生在</w:t>
      </w:r>
      <w:r w:rsidRPr="007B2BE1">
        <w:rPr>
          <w:rFonts w:ascii="Times New Roman" w:eastAsia="標楷體" w:hAnsi="Times New Roman" w:cs="Times New Roman"/>
          <w:lang w:eastAsia="zh-CN"/>
        </w:rPr>
        <w:t>2017</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9</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21</w:t>
      </w:r>
      <w:r w:rsidRPr="007B2BE1">
        <w:rPr>
          <w:rFonts w:ascii="Times New Roman" w:eastAsia="標楷體" w:hAnsi="Times New Roman" w:cs="Times New Roman"/>
          <w:lang w:eastAsia="zh-CN"/>
        </w:rPr>
        <w:t>日签发了结个案建议书。税务局及后根据建议书的了结个案基准在</w:t>
      </w:r>
      <w:r w:rsidRPr="007B2BE1">
        <w:rPr>
          <w:rFonts w:ascii="Times New Roman" w:eastAsia="標楷體" w:hAnsi="Times New Roman" w:cs="Times New Roman"/>
          <w:lang w:eastAsia="zh-CN"/>
        </w:rPr>
        <w:t>2017</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11</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27</w:t>
      </w:r>
      <w:r w:rsidRPr="007B2BE1">
        <w:rPr>
          <w:rFonts w:ascii="Times New Roman" w:eastAsia="標楷體" w:hAnsi="Times New Roman" w:cs="Times New Roman"/>
          <w:lang w:eastAsia="zh-CN"/>
        </w:rPr>
        <w:t>日分别向</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先生发出了相关年度的利得税补加评税，利得税评税，和物业税修订评税，薪俸税修订评税，薪俸税评税及薪俸税补加评税。</w:t>
      </w:r>
    </w:p>
    <w:p w14:paraId="22AC9042" w14:textId="77777777" w:rsidR="00D458BE" w:rsidRPr="007B2BE1" w:rsidRDefault="00D458BE" w:rsidP="00DF0799">
      <w:pPr>
        <w:autoSpaceDE w:val="0"/>
        <w:autoSpaceDN w:val="0"/>
        <w:ind w:firstLineChars="450" w:firstLine="1080"/>
        <w:jc w:val="both"/>
        <w:rPr>
          <w:rFonts w:ascii="Times New Roman" w:eastAsia="標楷體" w:hAnsi="Times New Roman" w:cs="Times New Roman"/>
          <w:lang w:eastAsia="zh-HK"/>
        </w:rPr>
      </w:pPr>
    </w:p>
    <w:p w14:paraId="51270BDE" w14:textId="3BB86AB1" w:rsidR="00D458BE" w:rsidRPr="007B2BE1" w:rsidRDefault="007B2BE1" w:rsidP="00DF0799">
      <w:pPr>
        <w:autoSpaceDE w:val="0"/>
        <w:autoSpaceDN w:val="0"/>
        <w:ind w:firstLineChars="450" w:firstLine="10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公司和</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先生以及他们的第二税务代表并没有在反对期限内就相关评税提出异议或作出反对。</w:t>
      </w:r>
    </w:p>
    <w:p w14:paraId="61FF1FF5" w14:textId="77777777" w:rsidR="00D458BE" w:rsidRPr="007B2BE1" w:rsidRDefault="00D458BE" w:rsidP="00DF0799">
      <w:pPr>
        <w:autoSpaceDE w:val="0"/>
        <w:autoSpaceDN w:val="0"/>
        <w:ind w:firstLineChars="450" w:firstLine="1080"/>
        <w:jc w:val="both"/>
        <w:rPr>
          <w:rFonts w:ascii="Times New Roman" w:eastAsia="標楷體" w:hAnsi="Times New Roman" w:cs="Times New Roman"/>
          <w:lang w:eastAsia="zh-HK"/>
        </w:rPr>
      </w:pPr>
    </w:p>
    <w:p w14:paraId="1379F1D1" w14:textId="011F0E95" w:rsidR="00D458BE" w:rsidRPr="007B2BE1" w:rsidRDefault="007B2BE1" w:rsidP="00DF0799">
      <w:pPr>
        <w:autoSpaceDE w:val="0"/>
        <w:autoSpaceDN w:val="0"/>
        <w:ind w:firstLineChars="450" w:firstLine="10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上诉人</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先生指出自身缺乏专业税务知识以及第一税务代表的不负责任，导致</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先生被动同意相关的了结个案建议。</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先生在上诉时亦指出他们并不同意相关税款的补加税金额。</w:t>
      </w:r>
    </w:p>
    <w:p w14:paraId="483EA369" w14:textId="74038AE0" w:rsidR="00D458BE" w:rsidRPr="007B2BE1" w:rsidRDefault="00D458BE" w:rsidP="00DF0799">
      <w:pPr>
        <w:autoSpaceDE w:val="0"/>
        <w:autoSpaceDN w:val="0"/>
        <w:jc w:val="both"/>
        <w:rPr>
          <w:rFonts w:ascii="Times New Roman" w:eastAsia="標楷體" w:hAnsi="Times New Roman" w:cs="Times New Roman"/>
        </w:rPr>
      </w:pPr>
    </w:p>
    <w:p w14:paraId="46F39A7A" w14:textId="77777777" w:rsidR="00DF0799" w:rsidRPr="007B2BE1" w:rsidRDefault="00DF0799" w:rsidP="00DF0799">
      <w:pPr>
        <w:autoSpaceDE w:val="0"/>
        <w:autoSpaceDN w:val="0"/>
        <w:jc w:val="both"/>
        <w:rPr>
          <w:rFonts w:ascii="Times New Roman" w:eastAsia="標楷體" w:hAnsi="Times New Roman" w:cs="Times New Roman"/>
        </w:rPr>
      </w:pPr>
    </w:p>
    <w:p w14:paraId="260FCDBC" w14:textId="674F376B" w:rsidR="00D458BE" w:rsidRPr="007B2BE1" w:rsidRDefault="007B2BE1" w:rsidP="00DF0799">
      <w:pPr>
        <w:autoSpaceDE w:val="0"/>
        <w:autoSpaceDN w:val="0"/>
        <w:ind w:leftChars="450" w:left="1080"/>
        <w:rPr>
          <w:rFonts w:ascii="Times New Roman" w:eastAsia="標楷體" w:hAnsi="Times New Roman" w:cs="Times New Roman"/>
          <w:b/>
          <w:sz w:val="28"/>
          <w:szCs w:val="28"/>
          <w:lang w:eastAsia="zh-HK"/>
        </w:rPr>
      </w:pPr>
      <w:r w:rsidRPr="007B2BE1">
        <w:rPr>
          <w:rFonts w:ascii="Times New Roman" w:eastAsia="標楷體" w:hAnsi="Times New Roman" w:cs="Times New Roman"/>
          <w:b/>
          <w:sz w:val="28"/>
          <w:szCs w:val="28"/>
          <w:lang w:eastAsia="zh-CN"/>
        </w:rPr>
        <w:t>裁决</w:t>
      </w:r>
      <w:r w:rsidRPr="007B2BE1">
        <w:rPr>
          <w:rFonts w:ascii="Times New Roman" w:eastAsia="標楷體" w:hAnsi="Times New Roman" w:cs="Times New Roman"/>
          <w:b/>
          <w:sz w:val="28"/>
          <w:szCs w:val="28"/>
          <w:lang w:eastAsia="zh-CN"/>
        </w:rPr>
        <w:t>:</w:t>
      </w:r>
    </w:p>
    <w:p w14:paraId="4A173A04" w14:textId="0EA160A9" w:rsidR="00DF0799" w:rsidRPr="007B2BE1" w:rsidRDefault="00DF0799" w:rsidP="00DF0799">
      <w:pPr>
        <w:autoSpaceDE w:val="0"/>
        <w:autoSpaceDN w:val="0"/>
        <w:ind w:leftChars="450" w:left="1080"/>
        <w:rPr>
          <w:rFonts w:ascii="Times New Roman" w:eastAsia="標楷體" w:hAnsi="Times New Roman" w:cs="Times New Roman"/>
          <w:lang w:eastAsia="zh-HK"/>
        </w:rPr>
      </w:pPr>
    </w:p>
    <w:p w14:paraId="47546FED" w14:textId="36818A2B" w:rsidR="00D458BE" w:rsidRPr="007B2BE1" w:rsidRDefault="007B2BE1"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委员会按照《税务条例》第</w:t>
      </w:r>
      <w:r w:rsidRPr="007B2BE1">
        <w:rPr>
          <w:rFonts w:ascii="Times New Roman" w:eastAsia="標楷體" w:hAnsi="Times New Roman" w:cs="Times New Roman"/>
          <w:lang w:eastAsia="zh-CN"/>
        </w:rPr>
        <w:t>82B(2)</w:t>
      </w:r>
      <w:r w:rsidRPr="007B2BE1">
        <w:rPr>
          <w:rFonts w:ascii="Times New Roman" w:eastAsia="標楷體" w:hAnsi="Times New Roman" w:cs="Times New Roman"/>
          <w:lang w:eastAsia="zh-CN"/>
        </w:rPr>
        <w:t>条归纳至两个法律上可争辩的论点：</w:t>
      </w:r>
      <w:r w:rsidRPr="007B2BE1">
        <w:rPr>
          <w:rFonts w:ascii="Times New Roman" w:eastAsia="標楷體" w:hAnsi="Times New Roman" w:cs="Times New Roman"/>
          <w:lang w:eastAsia="zh-CN"/>
        </w:rPr>
        <w:t>(1)</w:t>
      </w:r>
      <w:r w:rsidRPr="007B2BE1">
        <w:rPr>
          <w:rFonts w:ascii="Times New Roman" w:eastAsia="標楷體" w:hAnsi="Times New Roman" w:cs="Times New Roman"/>
          <w:lang w:eastAsia="zh-CN"/>
        </w:rPr>
        <w:t>无须负上缴付补加税的法律责任，及</w:t>
      </w:r>
      <w:r w:rsidRPr="007B2BE1">
        <w:rPr>
          <w:rFonts w:ascii="Times New Roman" w:eastAsia="標楷體" w:hAnsi="Times New Roman" w:cs="Times New Roman"/>
          <w:lang w:eastAsia="zh-CN"/>
        </w:rPr>
        <w:t>(2)</w:t>
      </w:r>
      <w:r w:rsidRPr="007B2BE1">
        <w:rPr>
          <w:rFonts w:ascii="Times New Roman" w:eastAsia="標楷體" w:hAnsi="Times New Roman" w:cs="Times New Roman"/>
          <w:lang w:eastAsia="zh-CN"/>
        </w:rPr>
        <w:t>对其评定的补加税额虽没有超出其根据第</w:t>
      </w:r>
      <w:r w:rsidRPr="007B2BE1">
        <w:rPr>
          <w:rFonts w:ascii="Times New Roman" w:eastAsia="標楷體" w:hAnsi="Times New Roman" w:cs="Times New Roman"/>
          <w:lang w:eastAsia="zh-CN"/>
        </w:rPr>
        <w:t>82A</w:t>
      </w:r>
      <w:r w:rsidRPr="007B2BE1">
        <w:rPr>
          <w:rFonts w:ascii="Times New Roman" w:eastAsia="標楷體" w:hAnsi="Times New Roman" w:cs="Times New Roman"/>
          <w:lang w:eastAsia="zh-CN"/>
        </w:rPr>
        <w:t>条有法律责任缴付的款额，但在有关情况下仍属过多。</w:t>
      </w:r>
    </w:p>
    <w:p w14:paraId="0D56ADA5" w14:textId="77777777" w:rsidR="00D458BE" w:rsidRPr="007B2BE1" w:rsidRDefault="00D458BE" w:rsidP="00DF0799">
      <w:pPr>
        <w:overflowPunct w:val="0"/>
        <w:autoSpaceDE w:val="0"/>
        <w:autoSpaceDN w:val="0"/>
        <w:ind w:leftChars="450" w:left="1560" w:hangingChars="200" w:hanging="480"/>
        <w:jc w:val="both"/>
        <w:rPr>
          <w:rFonts w:ascii="Times New Roman" w:eastAsia="標楷體" w:hAnsi="Times New Roman" w:cs="Times New Roman"/>
          <w:lang w:eastAsia="zh-HK"/>
        </w:rPr>
      </w:pPr>
    </w:p>
    <w:p w14:paraId="51503E8D" w14:textId="31EB8446" w:rsidR="00D458BE" w:rsidRPr="007B2BE1" w:rsidRDefault="007B2BE1" w:rsidP="00DF0799">
      <w:pPr>
        <w:overflowPunct w:val="0"/>
        <w:autoSpaceDE w:val="0"/>
        <w:autoSpaceDN w:val="0"/>
        <w:ind w:leftChars="450" w:left="1640" w:hangingChars="200" w:hanging="560"/>
        <w:jc w:val="both"/>
        <w:rPr>
          <w:rFonts w:ascii="Times New Roman" w:eastAsia="標楷體" w:hAnsi="Times New Roman" w:cs="Times New Roman"/>
          <w:sz w:val="28"/>
          <w:szCs w:val="28"/>
          <w:u w:val="single"/>
          <w:lang w:eastAsia="zh-HK"/>
        </w:rPr>
      </w:pPr>
      <w:r w:rsidRPr="007B2BE1">
        <w:rPr>
          <w:rFonts w:ascii="Times New Roman" w:eastAsia="標楷體" w:hAnsi="Times New Roman" w:cs="Times New Roman"/>
          <w:sz w:val="28"/>
          <w:szCs w:val="28"/>
          <w:u w:val="single"/>
          <w:lang w:eastAsia="zh-CN"/>
        </w:rPr>
        <w:t>无须负上缴付补加税的法律责任</w:t>
      </w:r>
    </w:p>
    <w:p w14:paraId="08406738" w14:textId="77777777" w:rsidR="00DF0799" w:rsidRPr="007B2BE1" w:rsidRDefault="00DF0799" w:rsidP="00DF0799">
      <w:pPr>
        <w:overflowPunct w:val="0"/>
        <w:autoSpaceDE w:val="0"/>
        <w:autoSpaceDN w:val="0"/>
        <w:ind w:leftChars="450" w:left="1560" w:hangingChars="200" w:hanging="480"/>
        <w:jc w:val="both"/>
        <w:rPr>
          <w:rFonts w:ascii="Times New Roman" w:eastAsia="標楷體" w:hAnsi="Times New Roman" w:cs="Times New Roman"/>
          <w:u w:val="single"/>
          <w:lang w:eastAsia="zh-HK"/>
        </w:rPr>
      </w:pPr>
    </w:p>
    <w:p w14:paraId="0E7C7620" w14:textId="12FA0F5F" w:rsidR="00D458BE" w:rsidRPr="007B2BE1" w:rsidRDefault="007B2BE1"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lang w:eastAsia="zh-HK"/>
        </w:rPr>
      </w:pPr>
      <w:bookmarkStart w:id="0" w:name="OLE_LINK3"/>
      <w:bookmarkStart w:id="1" w:name="OLE_LINK4"/>
      <w:r w:rsidRPr="007B2BE1">
        <w:rPr>
          <w:rFonts w:ascii="Times New Roman" w:eastAsia="標楷體" w:hAnsi="Times New Roman" w:cs="Times New Roman"/>
          <w:lang w:eastAsia="zh-CN"/>
        </w:rPr>
        <w:t>委员会认为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先生未能证明它无须负上缴付补加税的法律责任。原因有三：</w:t>
      </w:r>
      <w:r w:rsidRPr="007B2BE1">
        <w:rPr>
          <w:rFonts w:ascii="Times New Roman" w:eastAsia="標楷體" w:hAnsi="Times New Roman" w:cs="Times New Roman"/>
          <w:lang w:eastAsia="zh-CN"/>
        </w:rPr>
        <w:t>(1)B</w:t>
      </w:r>
      <w:r w:rsidRPr="007B2BE1">
        <w:rPr>
          <w:rFonts w:ascii="Times New Roman" w:eastAsia="標楷體" w:hAnsi="Times New Roman" w:cs="Times New Roman"/>
          <w:lang w:eastAsia="zh-CN"/>
        </w:rPr>
        <w:t>先生是在知情及知悉后果的情况下以</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公司的董事身份签署</w:t>
      </w:r>
      <w:r w:rsidRPr="007B2BE1">
        <w:rPr>
          <w:rFonts w:ascii="Times New Roman" w:eastAsia="標楷體" w:hAnsi="Times New Roman" w:cs="Times New Roman"/>
          <w:lang w:eastAsia="zh-CN"/>
        </w:rPr>
        <w:t>2017</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9</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21</w:t>
      </w:r>
      <w:r w:rsidRPr="007B2BE1">
        <w:rPr>
          <w:rFonts w:ascii="Times New Roman" w:eastAsia="標楷體" w:hAnsi="Times New Roman" w:cs="Times New Roman"/>
          <w:lang w:eastAsia="zh-CN"/>
        </w:rPr>
        <w:t>日的了结建议书、</w:t>
      </w:r>
      <w:r w:rsidRPr="007B2BE1">
        <w:rPr>
          <w:rFonts w:ascii="Times New Roman" w:eastAsia="標楷體" w:hAnsi="Times New Roman" w:cs="Times New Roman"/>
          <w:lang w:eastAsia="zh-CN"/>
        </w:rPr>
        <w:t>(2)</w:t>
      </w:r>
      <w:r w:rsidRPr="007B2BE1">
        <w:rPr>
          <w:rFonts w:ascii="Times New Roman" w:eastAsia="標楷體" w:hAnsi="Times New Roman" w:cs="Times New Roman"/>
          <w:lang w:eastAsia="zh-CN"/>
        </w:rPr>
        <w:t>没有在反对期限内提出反对或上诉，而《税务条例》第</w:t>
      </w:r>
      <w:r w:rsidRPr="007B2BE1">
        <w:rPr>
          <w:rFonts w:ascii="Times New Roman" w:eastAsia="標楷體" w:hAnsi="Times New Roman" w:cs="Times New Roman"/>
          <w:lang w:eastAsia="zh-CN"/>
        </w:rPr>
        <w:t>70</w:t>
      </w:r>
      <w:r w:rsidRPr="007B2BE1">
        <w:rPr>
          <w:rFonts w:ascii="Times New Roman" w:eastAsia="標楷體" w:hAnsi="Times New Roman" w:cs="Times New Roman"/>
          <w:lang w:eastAsia="zh-CN"/>
        </w:rPr>
        <w:t>条表明有关的评税是最终及决定性，及</w:t>
      </w:r>
      <w:r w:rsidRPr="007B2BE1">
        <w:rPr>
          <w:rFonts w:ascii="Times New Roman" w:eastAsia="標楷體" w:hAnsi="Times New Roman" w:cs="Times New Roman"/>
          <w:lang w:eastAsia="zh-CN"/>
        </w:rPr>
        <w:t>(3)</w:t>
      </w:r>
      <w:r w:rsidRPr="007B2BE1">
        <w:rPr>
          <w:rFonts w:ascii="Times New Roman" w:eastAsia="標楷體" w:hAnsi="Times New Roman" w:cs="Times New Roman"/>
          <w:lang w:eastAsia="zh-CN"/>
        </w:rPr>
        <w:t>没有合理辩解以免除其缴付补加税的法律责任。</w:t>
      </w:r>
    </w:p>
    <w:bookmarkEnd w:id="0"/>
    <w:bookmarkEnd w:id="1"/>
    <w:p w14:paraId="57CC675D" w14:textId="77777777" w:rsidR="00D458BE" w:rsidRPr="007B2BE1" w:rsidRDefault="00D458BE" w:rsidP="00DF0799">
      <w:pPr>
        <w:overflowPunct w:val="0"/>
        <w:autoSpaceDE w:val="0"/>
        <w:autoSpaceDN w:val="0"/>
        <w:ind w:leftChars="450" w:left="1560" w:hangingChars="200" w:hanging="480"/>
        <w:jc w:val="both"/>
        <w:rPr>
          <w:rFonts w:ascii="Times New Roman" w:eastAsia="標楷體" w:hAnsi="Times New Roman" w:cs="Times New Roman"/>
        </w:rPr>
      </w:pPr>
    </w:p>
    <w:p w14:paraId="57A64E66" w14:textId="075CC715" w:rsidR="00D458BE" w:rsidRPr="007B2BE1" w:rsidRDefault="007B2BE1"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纳税人的提供正确填报报税表的法定责任和其因没有提供正确填报报税表而招致的法律责任不能够因为曾委托他人帮助其履行责任而可得到减免</w:t>
      </w:r>
      <w:r w:rsidRPr="007B2BE1">
        <w:rPr>
          <w:rFonts w:ascii="Times New Roman" w:eastAsia="標楷體" w:hAnsi="Times New Roman" w:cs="Times New Roman"/>
          <w:lang w:eastAsia="zh-CN"/>
        </w:rPr>
        <w:t>(</w:t>
      </w:r>
      <w:r w:rsidRPr="007B2BE1">
        <w:rPr>
          <w:rFonts w:ascii="Times New Roman" w:eastAsia="標楷體" w:hAnsi="Times New Roman" w:cs="Times New Roman"/>
          <w:lang w:eastAsia="zh-CN"/>
        </w:rPr>
        <w:t>参考个案</w:t>
      </w:r>
      <w:r w:rsidRPr="007B2BE1">
        <w:rPr>
          <w:rFonts w:ascii="Times New Roman" w:eastAsia="標楷體" w:hAnsi="Times New Roman" w:cs="Times New Roman"/>
          <w:u w:val="single"/>
          <w:lang w:eastAsia="zh-CN"/>
        </w:rPr>
        <w:t>D26/08</w:t>
      </w:r>
      <w:r w:rsidRPr="007B2BE1">
        <w:rPr>
          <w:rFonts w:ascii="Times New Roman" w:eastAsia="標楷體" w:hAnsi="Times New Roman" w:cs="Times New Roman"/>
          <w:lang w:eastAsia="zh-CN"/>
        </w:rPr>
        <w:t>、</w:t>
      </w:r>
      <w:r w:rsidRPr="007B2BE1">
        <w:rPr>
          <w:rFonts w:ascii="Times New Roman" w:eastAsia="標楷體" w:hAnsi="Times New Roman" w:cs="Times New Roman"/>
          <w:u w:val="single"/>
          <w:lang w:eastAsia="zh-CN"/>
        </w:rPr>
        <w:t>D46/01</w:t>
      </w:r>
      <w:r w:rsidRPr="007B2BE1">
        <w:rPr>
          <w:rFonts w:ascii="Times New Roman" w:eastAsia="標楷體" w:hAnsi="Times New Roman" w:cs="Times New Roman"/>
          <w:lang w:eastAsia="zh-CN"/>
        </w:rPr>
        <w:t>及</w:t>
      </w:r>
      <w:r w:rsidRPr="007B2BE1">
        <w:rPr>
          <w:rFonts w:ascii="Times New Roman" w:eastAsia="標楷體" w:hAnsi="Times New Roman" w:cs="Times New Roman"/>
          <w:u w:val="single"/>
          <w:lang w:eastAsia="zh-CN"/>
        </w:rPr>
        <w:t>D52/02</w:t>
      </w:r>
      <w:r w:rsidRPr="007B2BE1">
        <w:rPr>
          <w:rFonts w:ascii="Times New Roman" w:eastAsia="標楷體" w:hAnsi="Times New Roman" w:cs="Times New Roman"/>
          <w:lang w:eastAsia="zh-CN"/>
        </w:rPr>
        <w:t>)</w:t>
      </w:r>
      <w:r w:rsidRPr="007B2BE1">
        <w:rPr>
          <w:rFonts w:ascii="Times New Roman" w:eastAsia="標楷體" w:hAnsi="Times New Roman" w:cs="Times New Roman"/>
          <w:lang w:eastAsia="zh-CN"/>
        </w:rPr>
        <w:t>。</w:t>
      </w:r>
    </w:p>
    <w:p w14:paraId="221A8350" w14:textId="77777777" w:rsidR="00D458BE" w:rsidRPr="007B2BE1" w:rsidRDefault="00D458BE" w:rsidP="00DF0799">
      <w:pPr>
        <w:overflowPunct w:val="0"/>
        <w:autoSpaceDE w:val="0"/>
        <w:autoSpaceDN w:val="0"/>
        <w:ind w:leftChars="450" w:left="1560" w:hangingChars="200" w:hanging="480"/>
        <w:jc w:val="both"/>
        <w:rPr>
          <w:rFonts w:ascii="Times New Roman" w:eastAsia="標楷體" w:hAnsi="Times New Roman" w:cs="Times New Roman"/>
          <w:lang w:eastAsia="zh-HK"/>
        </w:rPr>
      </w:pPr>
    </w:p>
    <w:p w14:paraId="6E2C48E2" w14:textId="4BB6795E" w:rsidR="00D458BE" w:rsidRPr="007B2BE1" w:rsidRDefault="007B2BE1"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委员会认为税务局的结案评税并没有被高估。上诉人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公司经过税务局的商讨是以年计算后才签署了结建议书来终结对评税的反对。</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公司不能在补加税税务上诉的阶段依赖评税是被高估的理由来指称对缴交补加税的法律责任有合理辩解。</w:t>
      </w:r>
    </w:p>
    <w:p w14:paraId="33F5087A" w14:textId="77777777" w:rsidR="00D458BE" w:rsidRPr="007B2BE1" w:rsidRDefault="00D458BE" w:rsidP="00DF0799">
      <w:pPr>
        <w:overflowPunct w:val="0"/>
        <w:autoSpaceDE w:val="0"/>
        <w:autoSpaceDN w:val="0"/>
        <w:ind w:leftChars="450" w:left="1560" w:hangingChars="200" w:hanging="480"/>
        <w:jc w:val="both"/>
        <w:rPr>
          <w:rFonts w:ascii="Times New Roman" w:eastAsia="標楷體" w:hAnsi="Times New Roman" w:cs="Times New Roman"/>
          <w:lang w:eastAsia="zh-HK"/>
        </w:rPr>
      </w:pPr>
      <w:bookmarkStart w:id="2" w:name="OLE_LINK5"/>
      <w:bookmarkStart w:id="3" w:name="OLE_LINK6"/>
    </w:p>
    <w:p w14:paraId="5A530C42" w14:textId="7518E23A" w:rsidR="00D458BE" w:rsidRPr="007B2BE1" w:rsidRDefault="007B2BE1"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就上诉人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先生反对税局将他们的个案列为罚款政策的组别</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并提出两个个案都应属于组别</w:t>
      </w:r>
      <w:r w:rsidRPr="007B2BE1">
        <w:rPr>
          <w:rFonts w:ascii="Times New Roman" w:eastAsia="標楷體" w:hAnsi="Times New Roman" w:cs="Times New Roman"/>
          <w:lang w:eastAsia="zh-CN"/>
        </w:rPr>
        <w:t>(c)</w:t>
      </w:r>
      <w:r w:rsidRPr="007B2BE1">
        <w:rPr>
          <w:rFonts w:ascii="Times New Roman" w:eastAsia="標楷體" w:hAnsi="Times New Roman" w:cs="Times New Roman"/>
          <w:lang w:eastAsia="zh-CN"/>
        </w:rPr>
        <w:t>，委员会接受答辩人的陈述，并认为上诉人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先生虽然没有犯罪意图，但违反《税务条例》持续多年。税务局最后需要税务审查时复核不同会计文件才得以确定应评税的金额。</w:t>
      </w:r>
    </w:p>
    <w:bookmarkEnd w:id="2"/>
    <w:bookmarkEnd w:id="3"/>
    <w:p w14:paraId="3F0A14F2" w14:textId="77777777" w:rsidR="00D458BE" w:rsidRPr="007B2BE1" w:rsidRDefault="00D458BE" w:rsidP="00DF0799">
      <w:pPr>
        <w:overflowPunct w:val="0"/>
        <w:autoSpaceDE w:val="0"/>
        <w:autoSpaceDN w:val="0"/>
        <w:ind w:leftChars="450" w:left="1560" w:hangingChars="200" w:hanging="480"/>
        <w:jc w:val="both"/>
        <w:rPr>
          <w:rFonts w:ascii="Times New Roman" w:eastAsia="標楷體" w:hAnsi="Times New Roman" w:cs="Times New Roman"/>
          <w:lang w:eastAsia="zh-HK"/>
        </w:rPr>
      </w:pPr>
    </w:p>
    <w:p w14:paraId="00D26102" w14:textId="501DBC1E" w:rsidR="00D458BE" w:rsidRPr="007B2BE1" w:rsidRDefault="007B2BE1"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上诉委员会在</w:t>
      </w:r>
      <w:r w:rsidRPr="007B2BE1">
        <w:rPr>
          <w:rFonts w:ascii="Times New Roman" w:eastAsia="標楷體" w:hAnsi="Times New Roman" w:cs="Times New Roman"/>
          <w:u w:val="single"/>
          <w:lang w:eastAsia="zh-CN"/>
        </w:rPr>
        <w:t>D53/88</w:t>
      </w:r>
      <w:r w:rsidRPr="007B2BE1">
        <w:rPr>
          <w:rFonts w:ascii="Times New Roman" w:eastAsia="標楷體" w:hAnsi="Times New Roman" w:cs="Times New Roman"/>
          <w:lang w:eastAsia="zh-CN"/>
        </w:rPr>
        <w:t>的决定指明如个案具有罚款政策组别</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的三个界定因素，即</w:t>
      </w:r>
      <w:r w:rsidRPr="007B2BE1">
        <w:rPr>
          <w:rFonts w:ascii="Times New Roman" w:eastAsia="標楷體" w:hAnsi="Times New Roman" w:cs="Times New Roman"/>
          <w:lang w:eastAsia="zh-CN"/>
        </w:rPr>
        <w:t>(1)</w:t>
      </w:r>
      <w:r w:rsidRPr="007B2BE1">
        <w:rPr>
          <w:rFonts w:ascii="Times New Roman" w:eastAsia="標楷體" w:hAnsi="Times New Roman" w:cs="Times New Roman"/>
          <w:lang w:eastAsia="zh-CN"/>
        </w:rPr>
        <w:t>纳税人完全未有履行税务条例规定的责任，但个案没有涉及任何刑事意图、</w:t>
      </w:r>
      <w:r w:rsidRPr="007B2BE1">
        <w:rPr>
          <w:rFonts w:ascii="Times New Roman" w:eastAsia="標楷體" w:hAnsi="Times New Roman" w:cs="Times New Roman"/>
          <w:lang w:eastAsia="zh-CN"/>
        </w:rPr>
        <w:t>(2)</w:t>
      </w:r>
      <w:r w:rsidRPr="007B2BE1">
        <w:rPr>
          <w:rFonts w:ascii="Times New Roman" w:eastAsia="標楷體" w:hAnsi="Times New Roman" w:cs="Times New Roman"/>
          <w:lang w:eastAsia="zh-CN"/>
        </w:rPr>
        <w:t>局长需要进行调查或编制资产递增表，否则难以作出评税，及</w:t>
      </w:r>
      <w:r w:rsidRPr="007B2BE1">
        <w:rPr>
          <w:rFonts w:ascii="Times New Roman" w:eastAsia="標楷體" w:hAnsi="Times New Roman" w:cs="Times New Roman"/>
          <w:lang w:eastAsia="zh-CN"/>
        </w:rPr>
        <w:t>(3)</w:t>
      </w:r>
      <w:r w:rsidRPr="007B2BE1">
        <w:rPr>
          <w:rFonts w:ascii="Times New Roman" w:eastAsia="標楷體" w:hAnsi="Times New Roman" w:cs="Times New Roman"/>
          <w:lang w:eastAsia="zh-CN"/>
        </w:rPr>
        <w:t>个案中的纳税人已持续多年未有履行税务条例所规定的责任，则补加税的罚款起点为少征收税款的</w:t>
      </w:r>
      <w:r w:rsidRPr="007B2BE1">
        <w:rPr>
          <w:rFonts w:ascii="Times New Roman" w:eastAsia="標楷體" w:hAnsi="Times New Roman" w:cs="Times New Roman"/>
          <w:lang w:eastAsia="zh-CN"/>
        </w:rPr>
        <w:t>100%</w:t>
      </w:r>
      <w:r w:rsidRPr="007B2BE1">
        <w:rPr>
          <w:rFonts w:ascii="Times New Roman" w:eastAsia="標楷體" w:hAnsi="Times New Roman" w:cs="Times New Roman"/>
          <w:lang w:eastAsia="zh-CN"/>
        </w:rPr>
        <w:t>。</w:t>
      </w:r>
    </w:p>
    <w:p w14:paraId="21E03C15" w14:textId="0A7A11C4" w:rsidR="00D458BE" w:rsidRPr="007B2BE1" w:rsidRDefault="00D458BE" w:rsidP="00DF0799">
      <w:pPr>
        <w:overflowPunct w:val="0"/>
        <w:autoSpaceDE w:val="0"/>
        <w:autoSpaceDN w:val="0"/>
        <w:ind w:leftChars="450" w:left="1560" w:hangingChars="200" w:hanging="480"/>
        <w:jc w:val="both"/>
        <w:rPr>
          <w:rFonts w:ascii="Times New Roman" w:eastAsia="標楷體" w:hAnsi="Times New Roman" w:cs="Times New Roman"/>
          <w:u w:val="single"/>
        </w:rPr>
      </w:pPr>
    </w:p>
    <w:p w14:paraId="326DA781" w14:textId="2F240336" w:rsidR="00D458BE" w:rsidRPr="007B2BE1" w:rsidRDefault="007B2BE1" w:rsidP="00DF0799">
      <w:pPr>
        <w:overflowPunct w:val="0"/>
        <w:autoSpaceDE w:val="0"/>
        <w:autoSpaceDN w:val="0"/>
        <w:ind w:leftChars="450" w:left="1080"/>
        <w:jc w:val="both"/>
        <w:rPr>
          <w:rFonts w:ascii="Times New Roman" w:eastAsia="標楷體" w:hAnsi="Times New Roman" w:cs="Times New Roman"/>
          <w:sz w:val="28"/>
          <w:szCs w:val="28"/>
          <w:u w:val="single"/>
          <w:lang w:eastAsia="zh-HK"/>
        </w:rPr>
      </w:pPr>
      <w:r w:rsidRPr="007B2BE1">
        <w:rPr>
          <w:rFonts w:ascii="Times New Roman" w:eastAsia="標楷體" w:hAnsi="Times New Roman" w:cs="Times New Roman"/>
          <w:sz w:val="28"/>
          <w:szCs w:val="28"/>
          <w:u w:val="single"/>
          <w:lang w:eastAsia="zh-CN"/>
        </w:rPr>
        <w:t>对其评定的补加税额虽没有超出其根据第</w:t>
      </w:r>
      <w:r w:rsidRPr="007B2BE1">
        <w:rPr>
          <w:rFonts w:ascii="Times New Roman" w:eastAsia="標楷體" w:hAnsi="Times New Roman" w:cs="Times New Roman"/>
          <w:sz w:val="28"/>
          <w:szCs w:val="28"/>
          <w:u w:val="single"/>
          <w:lang w:eastAsia="zh-CN"/>
        </w:rPr>
        <w:t>82A</w:t>
      </w:r>
      <w:r w:rsidRPr="007B2BE1">
        <w:rPr>
          <w:rFonts w:ascii="Times New Roman" w:eastAsia="標楷體" w:hAnsi="Times New Roman" w:cs="Times New Roman"/>
          <w:sz w:val="28"/>
          <w:szCs w:val="28"/>
          <w:u w:val="single"/>
          <w:lang w:eastAsia="zh-CN"/>
        </w:rPr>
        <w:t>条有法律责任缴付的款额，但在有关情况下仍属过多</w:t>
      </w:r>
    </w:p>
    <w:p w14:paraId="67B05D98" w14:textId="77777777" w:rsidR="00DF0799" w:rsidRPr="007B2BE1" w:rsidRDefault="00DF0799" w:rsidP="00DF0799">
      <w:pPr>
        <w:overflowPunct w:val="0"/>
        <w:autoSpaceDE w:val="0"/>
        <w:autoSpaceDN w:val="0"/>
        <w:ind w:leftChars="450" w:left="1080"/>
        <w:jc w:val="both"/>
        <w:rPr>
          <w:rFonts w:ascii="Times New Roman" w:eastAsia="標楷體" w:hAnsi="Times New Roman" w:cs="Times New Roman"/>
          <w:u w:val="single"/>
          <w:lang w:eastAsia="zh-HK"/>
        </w:rPr>
      </w:pPr>
    </w:p>
    <w:p w14:paraId="33BFD5D8" w14:textId="74F85AD7" w:rsidR="00D458BE" w:rsidRPr="007B2BE1" w:rsidRDefault="007B2BE1"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lang w:eastAsia="zh-HK"/>
        </w:rPr>
      </w:pPr>
      <w:r w:rsidRPr="007B2BE1">
        <w:rPr>
          <w:rFonts w:ascii="Times New Roman" w:eastAsia="標楷體" w:hAnsi="Times New Roman" w:cs="Times New Roman"/>
          <w:lang w:eastAsia="zh-CN"/>
        </w:rPr>
        <w:t>在考虑两位上诉人需缴付的补加税的金额是否在有关情况下仍属过多这议题，委员会接纳本案有足够理由将处罚从少征收税款的</w:t>
      </w:r>
      <w:r w:rsidRPr="007B2BE1">
        <w:rPr>
          <w:rFonts w:ascii="Times New Roman" w:eastAsia="標楷體" w:hAnsi="Times New Roman" w:cs="Times New Roman"/>
          <w:lang w:eastAsia="zh-CN"/>
        </w:rPr>
        <w:t>100%</w:t>
      </w:r>
      <w:r w:rsidRPr="007B2BE1">
        <w:rPr>
          <w:rFonts w:ascii="Times New Roman" w:eastAsia="標楷體" w:hAnsi="Times New Roman" w:cs="Times New Roman"/>
          <w:lang w:eastAsia="zh-CN"/>
        </w:rPr>
        <w:lastRenderedPageBreak/>
        <w:t>的起点上调，当中包括：</w:t>
      </w:r>
      <w:r w:rsidRPr="007B2BE1">
        <w:rPr>
          <w:rFonts w:ascii="Times New Roman" w:eastAsia="標楷體" w:hAnsi="Times New Roman" w:cs="Times New Roman"/>
          <w:lang w:eastAsia="zh-CN"/>
        </w:rPr>
        <w:t>(1)</w:t>
      </w:r>
      <w:r w:rsidRPr="007B2BE1">
        <w:rPr>
          <w:rFonts w:ascii="Times New Roman" w:eastAsia="標楷體" w:hAnsi="Times New Roman" w:cs="Times New Roman"/>
          <w:lang w:eastAsia="zh-CN"/>
        </w:rPr>
        <w:t>少收的税额幅度属重大误差、</w:t>
      </w:r>
      <w:r w:rsidRPr="007B2BE1">
        <w:rPr>
          <w:rFonts w:ascii="Times New Roman" w:eastAsia="標楷體" w:hAnsi="Times New Roman" w:cs="Times New Roman"/>
          <w:lang w:eastAsia="zh-CN"/>
        </w:rPr>
        <w:t>(2)</w:t>
      </w:r>
      <w:r w:rsidRPr="007B2BE1">
        <w:rPr>
          <w:rFonts w:ascii="Times New Roman" w:eastAsia="標楷體" w:hAnsi="Times New Roman" w:cs="Times New Roman"/>
          <w:lang w:eastAsia="zh-CN"/>
        </w:rPr>
        <w:t>有关人员应有能力知悉或取得相关的资料及正确填报税表以致税务局要动员资源作原可避免的调查，及</w:t>
      </w:r>
      <w:r w:rsidRPr="007B2BE1">
        <w:rPr>
          <w:rFonts w:ascii="Times New Roman" w:eastAsia="標楷體" w:hAnsi="Times New Roman" w:cs="Times New Roman"/>
          <w:lang w:eastAsia="zh-CN"/>
        </w:rPr>
        <w:t>(3)</w:t>
      </w:r>
      <w:r w:rsidRPr="007B2BE1">
        <w:rPr>
          <w:rFonts w:ascii="Times New Roman" w:eastAsia="標楷體" w:hAnsi="Times New Roman" w:cs="Times New Roman"/>
          <w:lang w:eastAsia="zh-CN"/>
        </w:rPr>
        <w:t>征收应缴税款的过程延误，税务局有实际财务损失。但在全面理解</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先生的案情及景况后委员会认为应从应缴金额上有所调整。</w:t>
      </w:r>
    </w:p>
    <w:p w14:paraId="4D658B4E" w14:textId="77777777" w:rsidR="00241519" w:rsidRPr="007B2BE1" w:rsidRDefault="00241519" w:rsidP="00DF0799">
      <w:pPr>
        <w:tabs>
          <w:tab w:val="left" w:pos="840"/>
          <w:tab w:val="left" w:pos="1276"/>
        </w:tabs>
        <w:overflowPunct w:val="0"/>
        <w:autoSpaceDE w:val="0"/>
        <w:autoSpaceDN w:val="0"/>
        <w:jc w:val="both"/>
        <w:rPr>
          <w:rFonts w:ascii="Times New Roman" w:eastAsia="標楷體" w:hAnsi="Times New Roman" w:cs="Times New Roman"/>
          <w:color w:val="FF0000"/>
          <w:lang w:eastAsia="zh-HK"/>
        </w:rPr>
      </w:pPr>
    </w:p>
    <w:p w14:paraId="4B9E020E" w14:textId="77777777" w:rsidR="00241519" w:rsidRPr="007B2BE1" w:rsidRDefault="00241519" w:rsidP="00DF0799">
      <w:pPr>
        <w:tabs>
          <w:tab w:val="left" w:pos="840"/>
          <w:tab w:val="left" w:pos="1276"/>
        </w:tabs>
        <w:overflowPunct w:val="0"/>
        <w:autoSpaceDE w:val="0"/>
        <w:autoSpaceDN w:val="0"/>
        <w:jc w:val="both"/>
        <w:rPr>
          <w:rFonts w:ascii="Times New Roman" w:eastAsia="標楷體" w:hAnsi="Times New Roman" w:cs="Times New Roman"/>
          <w:color w:val="FF0000"/>
          <w:lang w:eastAsia="zh-HK"/>
        </w:rPr>
      </w:pPr>
    </w:p>
    <w:p w14:paraId="07C1C14F" w14:textId="2B4A5255" w:rsidR="00241519" w:rsidRPr="007B2BE1" w:rsidRDefault="007B2BE1" w:rsidP="001E406E">
      <w:pPr>
        <w:tabs>
          <w:tab w:val="left" w:pos="1276"/>
        </w:tabs>
        <w:overflowPunct w:val="0"/>
        <w:autoSpaceDE w:val="0"/>
        <w:autoSpaceDN w:val="0"/>
        <w:jc w:val="both"/>
        <w:rPr>
          <w:rFonts w:ascii="Times New Roman" w:eastAsia="標楷體" w:hAnsi="Times New Roman" w:cs="Times New Roman"/>
          <w:b/>
          <w:sz w:val="28"/>
          <w:szCs w:val="28"/>
          <w:lang w:eastAsia="zh-HK"/>
        </w:rPr>
      </w:pPr>
      <w:r w:rsidRPr="007B2BE1">
        <w:rPr>
          <w:rFonts w:ascii="Times New Roman" w:eastAsia="標楷體" w:hAnsi="Times New Roman" w:cs="Times New Roman"/>
          <w:b/>
          <w:sz w:val="28"/>
          <w:szCs w:val="28"/>
          <w:lang w:eastAsia="zh-CN"/>
        </w:rPr>
        <w:t>上诉部份得直。</w:t>
      </w:r>
    </w:p>
    <w:p w14:paraId="2F21AE98" w14:textId="77777777" w:rsidR="00241519" w:rsidRPr="007B2BE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3A33CE38" w14:textId="44B9DCC6" w:rsidR="00241519" w:rsidRPr="007B2BE1" w:rsidRDefault="007B2BE1" w:rsidP="001E406E">
      <w:pPr>
        <w:tabs>
          <w:tab w:val="left" w:pos="1276"/>
        </w:tabs>
        <w:overflowPunct w:val="0"/>
        <w:autoSpaceDE w:val="0"/>
        <w:autoSpaceDN w:val="0"/>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参考案例：</w:t>
      </w:r>
    </w:p>
    <w:p w14:paraId="707AFB61" w14:textId="5BEFF85E" w:rsidR="00241519" w:rsidRPr="007B2BE1" w:rsidRDefault="00241519" w:rsidP="001E406E">
      <w:pPr>
        <w:tabs>
          <w:tab w:val="left" w:pos="1276"/>
        </w:tabs>
        <w:overflowPunct w:val="0"/>
        <w:autoSpaceDE w:val="0"/>
        <w:autoSpaceDN w:val="0"/>
        <w:jc w:val="both"/>
        <w:rPr>
          <w:rFonts w:ascii="Times New Roman" w:eastAsia="標楷體" w:hAnsi="Times New Roman" w:cs="Times New Roman"/>
          <w:color w:val="FF0000"/>
          <w:lang w:val="en-US" w:eastAsia="zh-HK"/>
        </w:rPr>
      </w:pPr>
      <w:bookmarkStart w:id="4" w:name="_GoBack"/>
      <w:bookmarkEnd w:id="4"/>
    </w:p>
    <w:p w14:paraId="76CEAC84" w14:textId="18E9EF0D" w:rsidR="00F83689"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D26/08, (2008-09) IRBRD, vol 23, 547</w:t>
      </w:r>
    </w:p>
    <w:p w14:paraId="71BD2D3A" w14:textId="31D70EF3" w:rsidR="00F83689"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D46/01, IRBRD, vol 16, 412</w:t>
      </w:r>
    </w:p>
    <w:p w14:paraId="017CEBDB" w14:textId="25D75BB8" w:rsidR="00F83689"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D52/02, IRBRD, vol 17, 790</w:t>
      </w:r>
    </w:p>
    <w:p w14:paraId="3070E5AF" w14:textId="0E1608F0" w:rsidR="00F83689"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D53/88, IRBRD, vol 4, 10</w:t>
      </w:r>
    </w:p>
    <w:p w14:paraId="76283C18" w14:textId="5A5180BC" w:rsidR="00F83689" w:rsidRPr="007B2BE1" w:rsidRDefault="007B2BE1"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D9/05, (2005-06) IRBRD, vol 20, 272</w:t>
      </w:r>
    </w:p>
    <w:p w14:paraId="6C0D400B" w14:textId="77777777" w:rsidR="00831ACD" w:rsidRPr="007B2BE1" w:rsidRDefault="00831ACD" w:rsidP="001E406E">
      <w:pPr>
        <w:tabs>
          <w:tab w:val="left" w:pos="1276"/>
        </w:tabs>
        <w:overflowPunct w:val="0"/>
        <w:autoSpaceDE w:val="0"/>
        <w:autoSpaceDN w:val="0"/>
        <w:jc w:val="both"/>
        <w:rPr>
          <w:rFonts w:ascii="Times New Roman" w:eastAsia="標楷體" w:hAnsi="Times New Roman" w:cs="Times New Roman"/>
          <w:color w:val="FF0000"/>
          <w:lang w:val="en-US" w:eastAsia="zh-HK"/>
        </w:rPr>
      </w:pPr>
    </w:p>
    <w:p w14:paraId="7B759513" w14:textId="28FB349E" w:rsidR="00241519" w:rsidRPr="007B2BE1" w:rsidRDefault="007B2BE1" w:rsidP="001E406E">
      <w:pPr>
        <w:tabs>
          <w:tab w:val="left" w:pos="1276"/>
        </w:tabs>
        <w:overflowPunct w:val="0"/>
        <w:autoSpaceDE w:val="0"/>
        <w:autoSpaceDN w:val="0"/>
        <w:jc w:val="both"/>
        <w:rPr>
          <w:rFonts w:ascii="Times New Roman" w:eastAsia="標楷體" w:hAnsi="Times New Roman" w:cs="Times New Roman"/>
          <w:lang w:val="en-GB" w:eastAsia="zh-HK"/>
        </w:rPr>
      </w:pPr>
      <w:r w:rsidRPr="007B2BE1">
        <w:rPr>
          <w:rFonts w:ascii="Times New Roman" w:eastAsia="標楷體" w:hAnsi="Times New Roman" w:cs="Times New Roman"/>
          <w:lang w:val="en-US" w:eastAsia="zh-CN"/>
        </w:rPr>
        <w:t>上诉人的税务代表区敬文代表上诉人出席聆讯。</w:t>
      </w:r>
    </w:p>
    <w:p w14:paraId="68E503B1" w14:textId="149E4231" w:rsidR="00241519" w:rsidRPr="007B2BE1" w:rsidRDefault="007B2BE1" w:rsidP="001E406E">
      <w:pPr>
        <w:tabs>
          <w:tab w:val="left" w:pos="1276"/>
        </w:tabs>
        <w:overflowPunct w:val="0"/>
        <w:autoSpaceDE w:val="0"/>
        <w:autoSpaceDN w:val="0"/>
        <w:jc w:val="both"/>
        <w:rPr>
          <w:rFonts w:ascii="Times New Roman" w:eastAsia="標楷體" w:hAnsi="Times New Roman" w:cs="Times New Roman"/>
          <w:lang w:val="en-US" w:eastAsia="zh-HK"/>
        </w:rPr>
      </w:pPr>
      <w:r w:rsidRPr="007B2BE1">
        <w:rPr>
          <w:rFonts w:ascii="Times New Roman" w:eastAsia="標楷體" w:hAnsi="Times New Roman" w:cs="Times New Roman"/>
          <w:lang w:val="en-US" w:eastAsia="zh-CN"/>
        </w:rPr>
        <w:t>白伟文、潘晓欣及杨晴蓝代表税务</w:t>
      </w:r>
      <w:r w:rsidRPr="007B2BE1">
        <w:rPr>
          <w:rFonts w:ascii="Times New Roman" w:eastAsia="標楷體" w:hAnsi="Times New Roman" w:cs="Times New Roman"/>
          <w:lang w:eastAsia="zh-CN"/>
        </w:rPr>
        <w:t>局局长出席聆讯。</w:t>
      </w:r>
    </w:p>
    <w:p w14:paraId="0BD35AFC" w14:textId="23C5AC37" w:rsidR="001D1C66" w:rsidRPr="007B2BE1" w:rsidRDefault="001D1C66"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center"/>
        <w:rPr>
          <w:rFonts w:ascii="Times New Roman" w:eastAsia="標楷體" w:hAnsi="Times New Roman" w:cs="Times New Roman"/>
          <w:lang w:val="en-US" w:eastAsia="zh-TW"/>
        </w:rPr>
      </w:pPr>
    </w:p>
    <w:p w14:paraId="716C8BB9" w14:textId="3B9D9402" w:rsidR="001D1C66" w:rsidRPr="007B2BE1" w:rsidRDefault="001D1C66"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center"/>
        <w:rPr>
          <w:rFonts w:ascii="Times New Roman" w:eastAsia="標楷體" w:hAnsi="Times New Roman" w:cs="Times New Roman"/>
          <w:lang w:eastAsia="zh-TW"/>
        </w:rPr>
      </w:pPr>
    </w:p>
    <w:p w14:paraId="69A8C7B0" w14:textId="3E51DD56" w:rsidR="003868B3" w:rsidRPr="007B2BE1" w:rsidRDefault="007B2BE1"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b/>
          <w:sz w:val="28"/>
          <w:szCs w:val="28"/>
          <w:lang w:eastAsia="zh-TW"/>
        </w:rPr>
      </w:pPr>
      <w:r w:rsidRPr="007B2BE1">
        <w:rPr>
          <w:rFonts w:ascii="Times New Roman" w:eastAsia="標楷體" w:hAnsi="Times New Roman" w:cs="Times New Roman"/>
          <w:b/>
          <w:sz w:val="28"/>
          <w:szCs w:val="28"/>
          <w:lang w:eastAsia="zh-CN"/>
        </w:rPr>
        <w:t>决</w:t>
      </w:r>
      <w:r w:rsidRPr="007B2BE1">
        <w:rPr>
          <w:rFonts w:ascii="Times New Roman" w:eastAsia="標楷體" w:hAnsi="Times New Roman" w:cs="Times New Roman"/>
          <w:b/>
          <w:sz w:val="28"/>
          <w:szCs w:val="28"/>
          <w:lang w:eastAsia="zh-CN"/>
        </w:rPr>
        <w:t xml:space="preserve"> </w:t>
      </w:r>
      <w:r w:rsidRPr="007B2BE1">
        <w:rPr>
          <w:rFonts w:ascii="Times New Roman" w:eastAsia="標楷體" w:hAnsi="Times New Roman" w:cs="Times New Roman"/>
          <w:b/>
          <w:sz w:val="28"/>
          <w:szCs w:val="28"/>
          <w:lang w:eastAsia="zh-CN"/>
        </w:rPr>
        <w:t>定</w:t>
      </w:r>
      <w:r w:rsidRPr="007B2BE1">
        <w:rPr>
          <w:rFonts w:ascii="Times New Roman" w:eastAsia="標楷體" w:hAnsi="Times New Roman" w:cs="Times New Roman"/>
          <w:b/>
          <w:sz w:val="28"/>
          <w:szCs w:val="28"/>
          <w:lang w:eastAsia="zh-CN"/>
        </w:rPr>
        <w:t xml:space="preserve"> </w:t>
      </w:r>
      <w:r w:rsidRPr="007B2BE1">
        <w:rPr>
          <w:rFonts w:ascii="Times New Roman" w:eastAsia="標楷體" w:hAnsi="Times New Roman" w:cs="Times New Roman"/>
          <w:b/>
          <w:sz w:val="28"/>
          <w:szCs w:val="28"/>
          <w:lang w:eastAsia="zh-CN"/>
        </w:rPr>
        <w:t>书</w:t>
      </w:r>
      <w:r w:rsidRPr="007B2BE1">
        <w:rPr>
          <w:rFonts w:ascii="Times New Roman" w:eastAsia="標楷體" w:hAnsi="Times New Roman" w:cs="Times New Roman"/>
          <w:b/>
          <w:sz w:val="28"/>
          <w:szCs w:val="28"/>
          <w:lang w:eastAsia="zh-CN"/>
        </w:rPr>
        <w:t>:</w:t>
      </w:r>
    </w:p>
    <w:p w14:paraId="5442C2B7" w14:textId="77777777" w:rsidR="003868B3" w:rsidRPr="007B2BE1" w:rsidRDefault="003868B3"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360"/>
        <w:rPr>
          <w:rFonts w:ascii="Times New Roman" w:eastAsia="標楷體" w:hAnsi="Times New Roman" w:cs="Times New Roman"/>
          <w:u w:val="single"/>
          <w:lang w:eastAsia="zh-TW"/>
        </w:rPr>
      </w:pPr>
    </w:p>
    <w:p w14:paraId="45735B85" w14:textId="77777777" w:rsidR="003868B3" w:rsidRPr="007B2BE1" w:rsidRDefault="003868B3"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360"/>
        <w:rPr>
          <w:rFonts w:ascii="Times New Roman" w:eastAsia="標楷體" w:hAnsi="Times New Roman" w:cs="Times New Roman"/>
          <w:u w:val="single"/>
          <w:lang w:eastAsia="zh-TW"/>
        </w:rPr>
      </w:pPr>
    </w:p>
    <w:p w14:paraId="2B753CB6" w14:textId="07FB18E4" w:rsidR="00167DB9" w:rsidRPr="007B2BE1" w:rsidRDefault="007B2BE1" w:rsidP="001E406E">
      <w:pPr>
        <w:widowControl w:val="0"/>
        <w:overflowPunct w:val="0"/>
        <w:autoSpaceDE w:val="0"/>
        <w:autoSpaceDN w:val="0"/>
        <w:adjustRightInd w:val="0"/>
        <w:rPr>
          <w:rFonts w:ascii="Times New Roman" w:eastAsia="標楷體" w:hAnsi="Times New Roman" w:cs="Times New Roman"/>
          <w:b/>
          <w:sz w:val="28"/>
          <w:szCs w:val="28"/>
          <w:lang w:eastAsia="zh-TW"/>
        </w:rPr>
      </w:pPr>
      <w:r w:rsidRPr="007B2BE1">
        <w:rPr>
          <w:rFonts w:ascii="Times New Roman" w:eastAsia="標楷體" w:hAnsi="Times New Roman" w:cs="Times New Roman"/>
          <w:b/>
          <w:sz w:val="28"/>
          <w:szCs w:val="28"/>
          <w:lang w:eastAsia="zh-CN"/>
        </w:rPr>
        <w:t>引言</w:t>
      </w:r>
    </w:p>
    <w:p w14:paraId="4BA6E12B" w14:textId="77777777" w:rsidR="00167DB9" w:rsidRPr="007B2BE1" w:rsidRDefault="00167DB9"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eastAsia="zh-TW"/>
        </w:rPr>
      </w:pPr>
    </w:p>
    <w:p w14:paraId="5C18FA4C" w14:textId="0CC37A41" w:rsidR="009C25AE" w:rsidRPr="007B2BE1" w:rsidRDefault="007B2BE1" w:rsidP="001E406E">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税务上诉第</w:t>
      </w:r>
      <w:r w:rsidRPr="007B2BE1">
        <w:rPr>
          <w:rFonts w:ascii="Times New Roman" w:eastAsia="標楷體" w:hAnsi="Times New Roman" w:cs="Times New Roman"/>
          <w:lang w:eastAsia="zh-CN"/>
        </w:rPr>
        <w:t>X/XXXX</w:t>
      </w:r>
      <w:r w:rsidRPr="007B2BE1">
        <w:rPr>
          <w:rFonts w:ascii="Times New Roman" w:eastAsia="標楷體" w:hAnsi="Times New Roman" w:cs="Times New Roman"/>
          <w:lang w:eastAsia="zh-CN"/>
        </w:rPr>
        <w:t>号的上诉人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w:t>
      </w:r>
      <w:r w:rsidRPr="007B2BE1">
        <w:rPr>
          <w:rFonts w:ascii="Times New Roman" w:eastAsia="標楷體" w:hAnsi="Times New Roman" w:cs="Times New Roman"/>
          <w:lang w:val="en-US" w:eastAsia="zh-CN"/>
        </w:rPr>
        <w:t>提出上诉，要求减低</w:t>
      </w:r>
      <w:r w:rsidRPr="007B2BE1">
        <w:rPr>
          <w:rFonts w:ascii="Times New Roman" w:eastAsia="標楷體" w:hAnsi="Times New Roman" w:cs="Times New Roman"/>
          <w:lang w:eastAsia="zh-CN"/>
        </w:rPr>
        <w:t>税务局</w:t>
      </w:r>
      <w:r w:rsidRPr="007B2BE1">
        <w:rPr>
          <w:rFonts w:ascii="Times New Roman" w:eastAsia="標楷體" w:hAnsi="Times New Roman" w:cs="Times New Roman"/>
          <w:lang w:val="en-US" w:eastAsia="zh-CN"/>
        </w:rPr>
        <w:t>局长</w:t>
      </w:r>
      <w:r w:rsidRPr="007B2BE1">
        <w:rPr>
          <w:rFonts w:ascii="Times New Roman" w:eastAsia="標楷體" w:hAnsi="Times New Roman" w:cs="Times New Roman"/>
          <w:lang w:eastAsia="zh-CN"/>
        </w:rPr>
        <w:t>(</w:t>
      </w:r>
      <w:r w:rsidRPr="007B2BE1">
        <w:rPr>
          <w:rFonts w:ascii="Times New Roman" w:eastAsia="標楷體" w:hAnsi="Times New Roman" w:cs="Times New Roman"/>
          <w:lang w:eastAsia="zh-CN"/>
        </w:rPr>
        <w:t>「答辩人」</w:t>
      </w:r>
      <w:r w:rsidRPr="007B2BE1">
        <w:rPr>
          <w:rFonts w:ascii="Times New Roman" w:eastAsia="標楷體" w:hAnsi="Times New Roman" w:cs="Times New Roman"/>
          <w:lang w:eastAsia="zh-CN"/>
        </w:rPr>
        <w:t>)</w:t>
      </w:r>
      <w:r w:rsidRPr="007B2BE1">
        <w:rPr>
          <w:rFonts w:ascii="Times New Roman" w:eastAsia="標楷體" w:hAnsi="Times New Roman" w:cs="Times New Roman"/>
          <w:lang w:val="en-US" w:eastAsia="zh-CN"/>
        </w:rPr>
        <w:t>根据《税务条例》</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第</w:t>
      </w:r>
      <w:r w:rsidRPr="007B2BE1">
        <w:rPr>
          <w:rFonts w:ascii="Times New Roman" w:eastAsia="標楷體" w:hAnsi="Times New Roman" w:cs="Times New Roman"/>
          <w:lang w:val="en-US" w:eastAsia="zh-CN"/>
        </w:rPr>
        <w:t>112</w:t>
      </w:r>
      <w:r w:rsidRPr="007B2BE1">
        <w:rPr>
          <w:rFonts w:ascii="Times New Roman" w:eastAsia="標楷體" w:hAnsi="Times New Roman" w:cs="Times New Roman"/>
          <w:lang w:val="en-US" w:eastAsia="zh-CN"/>
        </w:rPr>
        <w:t>章</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「税例」</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条向其作出的关于</w:t>
      </w:r>
      <w:r w:rsidRPr="007B2BE1">
        <w:rPr>
          <w:rFonts w:ascii="Times New Roman" w:eastAsia="標楷體" w:hAnsi="Times New Roman" w:cs="Times New Roman"/>
          <w:lang w:val="en-US" w:eastAsia="zh-CN"/>
        </w:rPr>
        <w:t>2011/12</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课税年度利得税补加税评税的款额。</w:t>
      </w:r>
    </w:p>
    <w:p w14:paraId="5030D38A" w14:textId="77777777" w:rsidR="009A4864" w:rsidRPr="007B2BE1" w:rsidRDefault="009A4864" w:rsidP="001E406E">
      <w:pPr>
        <w:widowControl w:val="0"/>
        <w:overflowPunct w:val="0"/>
        <w:autoSpaceDE w:val="0"/>
        <w:autoSpaceDN w:val="0"/>
        <w:adjustRightInd w:val="0"/>
        <w:jc w:val="both"/>
        <w:rPr>
          <w:rFonts w:ascii="Times New Roman" w:eastAsia="標楷體" w:hAnsi="Times New Roman" w:cs="Times New Roman"/>
          <w:lang w:eastAsia="zh-TW"/>
        </w:rPr>
      </w:pPr>
    </w:p>
    <w:p w14:paraId="20008D13" w14:textId="44B41CEE" w:rsidR="009A4864" w:rsidRPr="007B2BE1" w:rsidRDefault="007B2BE1" w:rsidP="001E406E">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税务上诉第</w:t>
      </w:r>
      <w:r w:rsidRPr="007B2BE1">
        <w:rPr>
          <w:rFonts w:ascii="Times New Roman" w:eastAsia="標楷體" w:hAnsi="Times New Roman" w:cs="Times New Roman"/>
          <w:lang w:eastAsia="zh-CN"/>
        </w:rPr>
        <w:t>X/XXXX</w:t>
      </w:r>
      <w:r w:rsidRPr="007B2BE1">
        <w:rPr>
          <w:rFonts w:ascii="Times New Roman" w:eastAsia="標楷體" w:hAnsi="Times New Roman" w:cs="Times New Roman"/>
          <w:lang w:eastAsia="zh-CN"/>
        </w:rPr>
        <w:t>号的上诉人</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w:t>
      </w:r>
      <w:r w:rsidRPr="007B2BE1">
        <w:rPr>
          <w:rFonts w:ascii="Times New Roman" w:eastAsia="標楷體" w:hAnsi="Times New Roman" w:cs="Times New Roman"/>
          <w:lang w:val="en-US" w:eastAsia="zh-CN"/>
        </w:rPr>
        <w:t>提出上诉，要求减低</w:t>
      </w:r>
      <w:r w:rsidRPr="007B2BE1">
        <w:rPr>
          <w:rFonts w:ascii="Times New Roman" w:eastAsia="標楷體" w:hAnsi="Times New Roman" w:cs="Times New Roman"/>
          <w:lang w:eastAsia="zh-CN"/>
        </w:rPr>
        <w:t>税务局</w:t>
      </w:r>
      <w:r w:rsidRPr="007B2BE1">
        <w:rPr>
          <w:rFonts w:ascii="Times New Roman" w:eastAsia="標楷體" w:hAnsi="Times New Roman" w:cs="Times New Roman"/>
          <w:lang w:val="en-US" w:eastAsia="zh-CN"/>
        </w:rPr>
        <w:t>局长</w:t>
      </w:r>
      <w:r w:rsidRPr="007B2BE1">
        <w:rPr>
          <w:rFonts w:ascii="Times New Roman" w:eastAsia="標楷體" w:hAnsi="Times New Roman" w:cs="Times New Roman"/>
          <w:lang w:eastAsia="zh-CN"/>
        </w:rPr>
        <w:t>(</w:t>
      </w:r>
      <w:r w:rsidRPr="007B2BE1">
        <w:rPr>
          <w:rFonts w:ascii="Times New Roman" w:eastAsia="標楷體" w:hAnsi="Times New Roman" w:cs="Times New Roman"/>
          <w:lang w:eastAsia="zh-CN"/>
        </w:rPr>
        <w:t>「答辩人」</w:t>
      </w:r>
      <w:r w:rsidRPr="007B2BE1">
        <w:rPr>
          <w:rFonts w:ascii="Times New Roman" w:eastAsia="標楷體" w:hAnsi="Times New Roman" w:cs="Times New Roman"/>
          <w:lang w:eastAsia="zh-CN"/>
        </w:rPr>
        <w:t>)</w:t>
      </w:r>
      <w:r w:rsidRPr="007B2BE1">
        <w:rPr>
          <w:rFonts w:ascii="Times New Roman" w:eastAsia="標楷體" w:hAnsi="Times New Roman" w:cs="Times New Roman"/>
          <w:lang w:val="en-US" w:eastAsia="zh-CN"/>
        </w:rPr>
        <w:t>根据税例第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条向其作出的：</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关于</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2009/10</w:t>
      </w:r>
      <w:r w:rsidRPr="007B2BE1">
        <w:rPr>
          <w:rFonts w:ascii="Times New Roman" w:eastAsia="標楷體" w:hAnsi="Times New Roman" w:cs="Times New Roman"/>
          <w:lang w:val="en-US" w:eastAsia="zh-CN"/>
        </w:rPr>
        <w:t>课税年度物业税补加税评税的款额；及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关于</w:t>
      </w:r>
      <w:r w:rsidRPr="007B2BE1">
        <w:rPr>
          <w:rFonts w:ascii="Times New Roman" w:eastAsia="標楷體" w:hAnsi="Times New Roman" w:cs="Times New Roman"/>
          <w:lang w:val="en-US" w:eastAsia="zh-CN"/>
        </w:rPr>
        <w:t>2009/10</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2010/11</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2014/15</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课税年度薪俸税补加税评税的款额。</w:t>
      </w:r>
    </w:p>
    <w:p w14:paraId="454720FB" w14:textId="77777777" w:rsidR="009C25AE" w:rsidRPr="007B2BE1" w:rsidRDefault="009C25AE" w:rsidP="001E406E">
      <w:pPr>
        <w:pStyle w:val="ac"/>
        <w:widowControl w:val="0"/>
        <w:overflowPunct w:val="0"/>
        <w:autoSpaceDE w:val="0"/>
        <w:autoSpaceDN w:val="0"/>
        <w:adjustRightInd w:val="0"/>
        <w:ind w:left="0"/>
        <w:jc w:val="both"/>
        <w:rPr>
          <w:rFonts w:ascii="Times New Roman" w:eastAsia="標楷體" w:hAnsi="Times New Roman" w:cs="Times New Roman"/>
          <w:lang w:eastAsia="zh-TW"/>
        </w:rPr>
      </w:pPr>
    </w:p>
    <w:p w14:paraId="54C92230" w14:textId="2AFADC32" w:rsidR="009C25AE" w:rsidRPr="007B2BE1" w:rsidRDefault="007B2BE1" w:rsidP="001E406E">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CN"/>
        </w:rPr>
      </w:pPr>
      <w:r w:rsidRPr="007B2BE1">
        <w:rPr>
          <w:rFonts w:ascii="Times New Roman" w:eastAsia="標楷體" w:hAnsi="Times New Roman" w:cs="Times New Roman"/>
          <w:lang w:eastAsia="zh-CN"/>
        </w:rPr>
        <w:t>上诉</w:t>
      </w:r>
      <w:r w:rsidRPr="007B2BE1">
        <w:rPr>
          <w:rFonts w:ascii="Times New Roman" w:eastAsia="標楷體" w:hAnsi="Times New Roman" w:cs="Times New Roman"/>
          <w:lang w:val="en-US" w:eastAsia="zh-CN"/>
        </w:rPr>
        <w:t>双方于聆讯前就本上诉的事实达成共识，并且就每一上诉拟定了一份事实陈述。经本委员会查询</w:t>
      </w:r>
      <w:r w:rsidRPr="007B2BE1">
        <w:rPr>
          <w:rFonts w:ascii="Times New Roman" w:eastAsia="標楷體" w:hAnsi="Times New Roman" w:cs="Times New Roman"/>
          <w:lang w:eastAsia="zh-CN"/>
        </w:rPr>
        <w:t>上诉人代表区先生和答辩人代表白高级评税主任对于区先生先前提出的修改提议的意见后，得到上诉</w:t>
      </w:r>
      <w:r w:rsidRPr="007B2BE1">
        <w:rPr>
          <w:rFonts w:ascii="Times New Roman" w:eastAsia="標楷體" w:hAnsi="Times New Roman" w:cs="Times New Roman"/>
          <w:lang w:val="en-US" w:eastAsia="zh-CN"/>
        </w:rPr>
        <w:t>双方同意将两份事实陈述在稍作修改后成为同意事实。</w:t>
      </w:r>
    </w:p>
    <w:p w14:paraId="43315F95" w14:textId="77777777" w:rsidR="004078B2" w:rsidRPr="007B2BE1" w:rsidRDefault="004078B2"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jc w:val="both"/>
        <w:rPr>
          <w:rFonts w:ascii="Times New Roman" w:eastAsia="標楷體" w:hAnsi="Times New Roman" w:cs="Times New Roman"/>
          <w:lang w:eastAsia="zh-CN"/>
        </w:rPr>
      </w:pPr>
    </w:p>
    <w:p w14:paraId="582CB04B" w14:textId="0AF28DEC" w:rsidR="004078B2" w:rsidRPr="007B2BE1" w:rsidRDefault="007B2BE1" w:rsidP="001E406E">
      <w:pPr>
        <w:pStyle w:val="ac"/>
        <w:widowControl w:val="0"/>
        <w:overflowPunct w:val="0"/>
        <w:autoSpaceDE w:val="0"/>
        <w:autoSpaceDN w:val="0"/>
        <w:adjustRightInd w:val="0"/>
        <w:ind w:left="0"/>
        <w:jc w:val="both"/>
        <w:rPr>
          <w:rFonts w:ascii="Times New Roman" w:eastAsia="標楷體" w:hAnsi="Times New Roman" w:cs="Times New Roman"/>
          <w:b/>
          <w:sz w:val="28"/>
          <w:szCs w:val="28"/>
        </w:rPr>
      </w:pPr>
      <w:r w:rsidRPr="007B2BE1">
        <w:rPr>
          <w:rFonts w:ascii="Times New Roman" w:eastAsia="標楷體" w:hAnsi="Times New Roman" w:cs="Times New Roman"/>
          <w:b/>
          <w:sz w:val="28"/>
          <w:szCs w:val="28"/>
          <w:lang w:val="en-US" w:eastAsia="zh-CN"/>
        </w:rPr>
        <w:t>事实裁定</w:t>
      </w:r>
    </w:p>
    <w:p w14:paraId="45740CEE" w14:textId="77777777" w:rsidR="00206B29" w:rsidRPr="007B2BE1" w:rsidRDefault="00206B29"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1020DE94" w14:textId="1F72FB98" w:rsidR="00D20CA7" w:rsidRPr="007B2BE1" w:rsidRDefault="007B2BE1" w:rsidP="001E406E">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根据</w:t>
      </w:r>
      <w:r w:rsidRPr="007B2BE1">
        <w:rPr>
          <w:rFonts w:ascii="Times New Roman" w:eastAsia="標楷體" w:hAnsi="Times New Roman" w:cs="Times New Roman"/>
          <w:lang w:eastAsia="zh-CN"/>
        </w:rPr>
        <w:t>上诉</w:t>
      </w:r>
      <w:r w:rsidRPr="007B2BE1">
        <w:rPr>
          <w:rFonts w:ascii="Times New Roman" w:eastAsia="標楷體" w:hAnsi="Times New Roman" w:cs="Times New Roman"/>
          <w:lang w:val="en-US" w:eastAsia="zh-CN"/>
        </w:rPr>
        <w:t>双方同意的两份事实陈述，</w:t>
      </w:r>
      <w:r w:rsidRPr="007B2BE1">
        <w:rPr>
          <w:rFonts w:ascii="Times New Roman" w:eastAsia="標楷體" w:hAnsi="Times New Roman" w:cs="Times New Roman"/>
          <w:lang w:eastAsia="zh-CN"/>
        </w:rPr>
        <w:t>上诉</w:t>
      </w:r>
      <w:r w:rsidRPr="007B2BE1">
        <w:rPr>
          <w:rFonts w:ascii="Times New Roman" w:eastAsia="標楷體" w:hAnsi="Times New Roman" w:cs="Times New Roman"/>
          <w:lang w:val="en-US" w:eastAsia="zh-CN"/>
        </w:rPr>
        <w:t>双方于聆讯前提交的所有</w:t>
      </w:r>
      <w:r w:rsidRPr="007B2BE1">
        <w:rPr>
          <w:rFonts w:ascii="Times New Roman" w:eastAsia="標楷體" w:hAnsi="Times New Roman" w:cs="Times New Roman"/>
          <w:lang w:val="en-US" w:eastAsia="zh-CN"/>
        </w:rPr>
        <w:lastRenderedPageBreak/>
        <w:t>文件资料，以及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eastAsia="zh-CN"/>
        </w:rPr>
        <w:t>先生</w:t>
      </w:r>
      <w:r w:rsidRPr="007B2BE1">
        <w:rPr>
          <w:rFonts w:ascii="Times New Roman" w:eastAsia="標楷體" w:hAnsi="Times New Roman" w:cs="Times New Roman"/>
          <w:lang w:val="en-US" w:eastAsia="zh-CN"/>
        </w:rPr>
        <w:t>在宣誓下的作供，本委员会裁定与</w:t>
      </w:r>
      <w:r w:rsidRPr="007B2BE1">
        <w:rPr>
          <w:rFonts w:ascii="Times New Roman" w:eastAsia="標楷體" w:hAnsi="Times New Roman" w:cs="Times New Roman"/>
          <w:lang w:eastAsia="zh-CN"/>
        </w:rPr>
        <w:t>税务上诉第</w:t>
      </w:r>
      <w:r w:rsidRPr="007B2BE1">
        <w:rPr>
          <w:rFonts w:ascii="Times New Roman" w:eastAsia="標楷體" w:hAnsi="Times New Roman" w:cs="Times New Roman"/>
          <w:lang w:eastAsia="zh-CN"/>
        </w:rPr>
        <w:t>X/XXXX</w:t>
      </w:r>
      <w:r w:rsidRPr="007B2BE1">
        <w:rPr>
          <w:rFonts w:ascii="Times New Roman" w:eastAsia="標楷體" w:hAnsi="Times New Roman" w:cs="Times New Roman"/>
          <w:lang w:eastAsia="zh-CN"/>
        </w:rPr>
        <w:t>号的上诉个案及与税务上诉第</w:t>
      </w:r>
      <w:r w:rsidRPr="007B2BE1">
        <w:rPr>
          <w:rFonts w:ascii="Times New Roman" w:eastAsia="標楷體" w:hAnsi="Times New Roman" w:cs="Times New Roman"/>
          <w:lang w:eastAsia="zh-CN"/>
        </w:rPr>
        <w:t>X/XXXX</w:t>
      </w:r>
      <w:r w:rsidRPr="007B2BE1">
        <w:rPr>
          <w:rFonts w:ascii="Times New Roman" w:eastAsia="標楷體" w:hAnsi="Times New Roman" w:cs="Times New Roman"/>
          <w:lang w:eastAsia="zh-CN"/>
        </w:rPr>
        <w:t>号的上诉个案</w:t>
      </w:r>
      <w:r w:rsidRPr="007B2BE1">
        <w:rPr>
          <w:rFonts w:ascii="Times New Roman" w:eastAsia="標楷體" w:hAnsi="Times New Roman" w:cs="Times New Roman"/>
          <w:lang w:val="en-US" w:eastAsia="zh-CN"/>
        </w:rPr>
        <w:t>有关的基本事实如下：</w:t>
      </w:r>
    </w:p>
    <w:p w14:paraId="58079E9E" w14:textId="77777777" w:rsidR="00D20CA7" w:rsidRPr="007B2BE1" w:rsidRDefault="00D20CA7" w:rsidP="001E406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rPr>
          <w:rFonts w:ascii="Times New Roman" w:eastAsia="標楷體" w:hAnsi="Times New Roman" w:cs="Times New Roman"/>
          <w:lang w:val="en-US" w:eastAsia="zh-TW"/>
        </w:rPr>
      </w:pPr>
    </w:p>
    <w:p w14:paraId="375CFED9" w14:textId="1C336F1C" w:rsidR="00D20CA7"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先生为</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公司的四名董事的其中一名董事。</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公司于</w:t>
      </w:r>
      <w:r w:rsidRPr="007B2BE1">
        <w:rPr>
          <w:rFonts w:ascii="Times New Roman" w:eastAsia="標楷體" w:hAnsi="Times New Roman" w:cs="Times New Roman"/>
          <w:lang w:val="en-US" w:eastAsia="zh-CN"/>
        </w:rPr>
        <w:t>2006</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7</w:t>
      </w:r>
      <w:r w:rsidRPr="007B2BE1">
        <w:rPr>
          <w:rFonts w:ascii="Times New Roman" w:eastAsia="標楷體" w:hAnsi="Times New Roman" w:cs="Times New Roman"/>
          <w:lang w:val="en-US" w:eastAsia="zh-CN"/>
        </w:rPr>
        <w:t>月成立；于有关年度，</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公司经营发型屋并共有四名董事</w:t>
      </w:r>
      <w:r w:rsidRPr="007B2BE1">
        <w:rPr>
          <w:rFonts w:ascii="Times New Roman" w:eastAsia="標楷體" w:hAnsi="Times New Roman" w:cs="Times New Roman"/>
          <w:lang w:eastAsia="zh-CN"/>
        </w:rPr>
        <w:t>。</w:t>
      </w:r>
    </w:p>
    <w:p w14:paraId="0740146B" w14:textId="77777777" w:rsidR="00A113D1" w:rsidRPr="007B2BE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2C1A0E71" w14:textId="5163C749" w:rsidR="00EF30ED"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2010</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月成立</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公司并为其唯一董事及股东。</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公司的年结为每年的</w:t>
      </w:r>
      <w:r w:rsidRPr="007B2BE1">
        <w:rPr>
          <w:rFonts w:ascii="Times New Roman" w:eastAsia="標楷體" w:hAnsi="Times New Roman" w:cs="Times New Roman"/>
          <w:lang w:val="en-US" w:eastAsia="zh-CN"/>
        </w:rPr>
        <w:t>3</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31</w:t>
      </w:r>
      <w:r w:rsidRPr="007B2BE1">
        <w:rPr>
          <w:rFonts w:ascii="Times New Roman" w:eastAsia="標楷體" w:hAnsi="Times New Roman" w:cs="Times New Roman"/>
          <w:lang w:val="en-US" w:eastAsia="zh-CN"/>
        </w:rPr>
        <w:t>日，首年年结为</w:t>
      </w:r>
      <w:r w:rsidRPr="007B2BE1">
        <w:rPr>
          <w:rFonts w:ascii="Times New Roman" w:eastAsia="標楷體" w:hAnsi="Times New Roman" w:cs="Times New Roman"/>
          <w:lang w:val="en-US" w:eastAsia="zh-CN"/>
        </w:rPr>
        <w:t>2012</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3</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31</w:t>
      </w:r>
      <w:r w:rsidRPr="007B2BE1">
        <w:rPr>
          <w:rFonts w:ascii="Times New Roman" w:eastAsia="標楷體" w:hAnsi="Times New Roman" w:cs="Times New Roman"/>
          <w:lang w:val="en-US" w:eastAsia="zh-CN"/>
        </w:rPr>
        <w:t>日。</w:t>
      </w:r>
    </w:p>
    <w:p w14:paraId="0FACCACE" w14:textId="77777777" w:rsidR="00A113D1" w:rsidRPr="007B2BE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7FC778D6" w14:textId="621263DA" w:rsidR="00B2412A"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先生亦是一位发型师。</w:t>
      </w:r>
    </w:p>
    <w:p w14:paraId="764256BC" w14:textId="77777777" w:rsidR="00A113D1" w:rsidRPr="007B2BE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259F07C" w14:textId="4CF2D128" w:rsidR="00591998"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先生的学历是中五程度，他最初在</w:t>
      </w:r>
      <w:r w:rsidRPr="007B2BE1">
        <w:rPr>
          <w:rFonts w:ascii="Times New Roman" w:eastAsia="標楷體" w:hAnsi="Times New Roman" w:cs="Times New Roman"/>
          <w:lang w:val="en-US" w:eastAsia="zh-CN"/>
        </w:rPr>
        <w:t>D</w:t>
      </w:r>
      <w:r w:rsidRPr="007B2BE1">
        <w:rPr>
          <w:rFonts w:ascii="Times New Roman" w:eastAsia="標楷體" w:hAnsi="Times New Roman" w:cs="Times New Roman"/>
          <w:lang w:val="en-US" w:eastAsia="zh-CN"/>
        </w:rPr>
        <w:t>地区一家发型屋当助理，一年半后成为发型师，然后到</w:t>
      </w:r>
      <w:r w:rsidRPr="007B2BE1">
        <w:rPr>
          <w:rFonts w:ascii="Times New Roman" w:eastAsia="標楷體" w:hAnsi="Times New Roman" w:cs="Times New Roman"/>
          <w:lang w:val="en-US" w:eastAsia="zh-CN"/>
        </w:rPr>
        <w:t>E</w:t>
      </w:r>
      <w:r w:rsidRPr="007B2BE1">
        <w:rPr>
          <w:rFonts w:ascii="Times New Roman" w:eastAsia="標楷體" w:hAnsi="Times New Roman" w:cs="Times New Roman"/>
          <w:lang w:val="en-US" w:eastAsia="zh-CN"/>
        </w:rPr>
        <w:t>地区一家发型屋当发型师，约五年后累积有相当熟客，于是考虑创业。那时他与十一或十二个发型师一起开店。这样开业约三年后，他和几个「同门师兄弟」一起合伙开办</w:t>
      </w:r>
      <w:r w:rsidRPr="007B2BE1">
        <w:rPr>
          <w:rFonts w:ascii="Times New Roman" w:eastAsia="標楷體" w:hAnsi="Times New Roman" w:cs="Times New Roman"/>
          <w:lang w:val="en-US" w:eastAsia="zh-CN"/>
        </w:rPr>
        <w:t>N</w:t>
      </w:r>
      <w:r w:rsidRPr="007B2BE1">
        <w:rPr>
          <w:rFonts w:ascii="Times New Roman" w:eastAsia="標楷體" w:hAnsi="Times New Roman" w:cs="Times New Roman"/>
          <w:lang w:val="en-US" w:eastAsia="zh-CN"/>
        </w:rPr>
        <w:t>发型屋，而为了打理发型屋的业务，也开始利用</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w:t>
      </w:r>
    </w:p>
    <w:p w14:paraId="47FCD67B" w14:textId="77777777" w:rsidR="00A113D1" w:rsidRPr="007B2BE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32F5E929" w14:textId="2C596AB4" w:rsidR="00B2412A"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在</w:t>
      </w:r>
      <w:r w:rsidRPr="007B2BE1">
        <w:rPr>
          <w:rFonts w:ascii="Times New Roman" w:eastAsia="標楷體" w:hAnsi="Times New Roman" w:cs="Times New Roman"/>
          <w:lang w:val="en-US" w:eastAsia="zh-CN"/>
        </w:rPr>
        <w:t>2011</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w:t>
      </w:r>
      <w:r w:rsidRPr="007B2BE1">
        <w:rPr>
          <w:rFonts w:ascii="Times New Roman" w:eastAsia="標楷體" w:hAnsi="Times New Roman" w:cs="Times New Roman"/>
          <w:lang w:val="en-US" w:eastAsia="zh-CN"/>
        </w:rPr>
        <w:t>月前，</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先生直接从</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公司以拆账方式收取入息。从</w:t>
      </w:r>
      <w:r w:rsidRPr="007B2BE1">
        <w:rPr>
          <w:rFonts w:ascii="Times New Roman" w:eastAsia="標楷體" w:hAnsi="Times New Roman" w:cs="Times New Roman"/>
          <w:lang w:val="en-US" w:eastAsia="zh-CN"/>
        </w:rPr>
        <w:t>2011</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w:t>
      </w:r>
      <w:r w:rsidRPr="007B2BE1">
        <w:rPr>
          <w:rFonts w:ascii="Times New Roman" w:eastAsia="標楷體" w:hAnsi="Times New Roman" w:cs="Times New Roman"/>
          <w:lang w:val="en-US" w:eastAsia="zh-CN"/>
        </w:rPr>
        <w:t>月起，</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先生将其从私人名义赚取或从</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公司以拆胀方式收取的入息拨归作为</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公司之营业收入，他则以董事身份从</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公司支取薪酬。</w:t>
      </w:r>
    </w:p>
    <w:p w14:paraId="24F7DF9E" w14:textId="77777777" w:rsidR="00A113D1" w:rsidRPr="007B2BE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5640A173" w14:textId="2513772A" w:rsidR="00515897"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N</w:t>
      </w:r>
      <w:r w:rsidRPr="007B2BE1">
        <w:rPr>
          <w:rFonts w:ascii="Times New Roman" w:eastAsia="標楷體" w:hAnsi="Times New Roman" w:cs="Times New Roman"/>
          <w:lang w:val="en-US" w:eastAsia="zh-CN"/>
        </w:rPr>
        <w:t>发型屋各合伙人为了妥善安排各自的需求而每人用一间公司代表自己处理与</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公司之间的金钱来往；</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先生自己用了</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w:t>
      </w:r>
    </w:p>
    <w:p w14:paraId="01FF4F25" w14:textId="77777777" w:rsidR="00A113D1" w:rsidRPr="007B2BE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7685717" w14:textId="1C73196D" w:rsidR="00A175AF"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公司于</w:t>
      </w:r>
      <w:r w:rsidRPr="007B2BE1">
        <w:rPr>
          <w:rFonts w:ascii="Times New Roman" w:eastAsia="標楷體" w:hAnsi="Times New Roman" w:cs="Times New Roman"/>
          <w:lang w:eastAsia="zh-CN"/>
        </w:rPr>
        <w:t>2012</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10</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24</w:t>
      </w:r>
      <w:r w:rsidRPr="007B2BE1">
        <w:rPr>
          <w:rFonts w:ascii="Times New Roman" w:eastAsia="標楷體" w:hAnsi="Times New Roman" w:cs="Times New Roman"/>
          <w:lang w:eastAsia="zh-CN"/>
        </w:rPr>
        <w:t>日购入</w:t>
      </w:r>
      <w:r w:rsidRPr="007B2BE1">
        <w:rPr>
          <w:rFonts w:ascii="Times New Roman" w:eastAsia="標楷體" w:hAnsi="Times New Roman" w:cs="Times New Roman"/>
          <w:lang w:eastAsia="zh-CN"/>
        </w:rPr>
        <w:t>F</w:t>
      </w:r>
      <w:r w:rsidRPr="007B2BE1">
        <w:rPr>
          <w:rFonts w:ascii="Times New Roman" w:eastAsia="標楷體" w:hAnsi="Times New Roman" w:cs="Times New Roman"/>
          <w:lang w:eastAsia="zh-CN"/>
        </w:rPr>
        <w:t>物业，并提供此物业予</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先生作其居所。</w:t>
      </w:r>
    </w:p>
    <w:p w14:paraId="19B4448E" w14:textId="77777777" w:rsidR="00A113D1" w:rsidRPr="007B2BE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8C936A1" w14:textId="7DDD661D" w:rsidR="00A175AF"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eastAsia="zh-CN"/>
        </w:rPr>
        <w:t>于有关年度，</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先生与其母亲联权拥有</w:t>
      </w:r>
      <w:r w:rsidRPr="007B2BE1">
        <w:rPr>
          <w:rFonts w:ascii="Times New Roman" w:eastAsia="標楷體" w:hAnsi="Times New Roman" w:cs="Times New Roman"/>
          <w:lang w:eastAsia="zh-CN"/>
        </w:rPr>
        <w:t>G</w:t>
      </w:r>
      <w:r w:rsidRPr="007B2BE1">
        <w:rPr>
          <w:rFonts w:ascii="Times New Roman" w:eastAsia="標楷體" w:hAnsi="Times New Roman" w:cs="Times New Roman"/>
          <w:lang w:eastAsia="zh-CN"/>
        </w:rPr>
        <w:t>物业，</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先生亦为</w:t>
      </w:r>
      <w:r w:rsidRPr="007B2BE1">
        <w:rPr>
          <w:rFonts w:ascii="Times New Roman" w:eastAsia="標楷體" w:hAnsi="Times New Roman" w:cs="Times New Roman"/>
          <w:lang w:eastAsia="zh-CN"/>
        </w:rPr>
        <w:t>H</w:t>
      </w:r>
      <w:r w:rsidRPr="007B2BE1">
        <w:rPr>
          <w:rFonts w:ascii="Times New Roman" w:eastAsia="標楷體" w:hAnsi="Times New Roman" w:cs="Times New Roman"/>
          <w:lang w:eastAsia="zh-CN"/>
        </w:rPr>
        <w:t>物业的全资拥有人。</w:t>
      </w:r>
      <w:r w:rsidRPr="007B2BE1">
        <w:rPr>
          <w:rFonts w:ascii="Times New Roman" w:eastAsia="標楷體" w:hAnsi="Times New Roman" w:cs="Times New Roman"/>
          <w:lang w:eastAsia="zh-CN"/>
        </w:rPr>
        <w:t>G</w:t>
      </w:r>
      <w:r w:rsidRPr="007B2BE1">
        <w:rPr>
          <w:rFonts w:ascii="Times New Roman" w:eastAsia="標楷體" w:hAnsi="Times New Roman" w:cs="Times New Roman"/>
          <w:lang w:eastAsia="zh-CN"/>
        </w:rPr>
        <w:t>物业于</w:t>
      </w:r>
      <w:r w:rsidRPr="007B2BE1">
        <w:rPr>
          <w:rFonts w:ascii="Times New Roman" w:eastAsia="標楷體" w:hAnsi="Times New Roman" w:cs="Times New Roman"/>
          <w:lang w:eastAsia="zh-CN"/>
        </w:rPr>
        <w:t>2007/08</w:t>
      </w:r>
      <w:r w:rsidRPr="007B2BE1">
        <w:rPr>
          <w:rFonts w:ascii="Times New Roman" w:eastAsia="標楷體" w:hAnsi="Times New Roman" w:cs="Times New Roman"/>
          <w:lang w:eastAsia="zh-CN"/>
        </w:rPr>
        <w:t>及</w:t>
      </w:r>
      <w:r w:rsidRPr="007B2BE1">
        <w:rPr>
          <w:rFonts w:ascii="Times New Roman" w:eastAsia="標楷體" w:hAnsi="Times New Roman" w:cs="Times New Roman"/>
          <w:lang w:eastAsia="zh-CN"/>
        </w:rPr>
        <w:t>2008/09</w:t>
      </w:r>
      <w:r w:rsidRPr="007B2BE1">
        <w:rPr>
          <w:rFonts w:ascii="Times New Roman" w:eastAsia="標楷體" w:hAnsi="Times New Roman" w:cs="Times New Roman"/>
          <w:lang w:eastAsia="zh-CN"/>
        </w:rPr>
        <w:t>课税年度为出租物业，并于</w:t>
      </w:r>
      <w:r w:rsidRPr="007B2BE1">
        <w:rPr>
          <w:rFonts w:ascii="Times New Roman" w:eastAsia="標楷體" w:hAnsi="Times New Roman" w:cs="Times New Roman"/>
          <w:lang w:eastAsia="zh-CN"/>
        </w:rPr>
        <w:t>2008</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5</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30</w:t>
      </w:r>
      <w:r w:rsidRPr="007B2BE1">
        <w:rPr>
          <w:rFonts w:ascii="Times New Roman" w:eastAsia="標楷體" w:hAnsi="Times New Roman" w:cs="Times New Roman"/>
          <w:lang w:eastAsia="zh-CN"/>
        </w:rPr>
        <w:t>日被出售。</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先生亦于</w:t>
      </w:r>
      <w:r w:rsidRPr="007B2BE1">
        <w:rPr>
          <w:rFonts w:ascii="Times New Roman" w:eastAsia="標楷體" w:hAnsi="Times New Roman" w:cs="Times New Roman"/>
          <w:lang w:eastAsia="zh-CN"/>
        </w:rPr>
        <w:t>2007/08</w:t>
      </w:r>
      <w:r w:rsidRPr="007B2BE1">
        <w:rPr>
          <w:rFonts w:ascii="Times New Roman" w:eastAsia="標楷體" w:hAnsi="Times New Roman" w:cs="Times New Roman"/>
          <w:lang w:eastAsia="zh-CN"/>
        </w:rPr>
        <w:t>至</w:t>
      </w:r>
      <w:r w:rsidRPr="007B2BE1">
        <w:rPr>
          <w:rFonts w:ascii="Times New Roman" w:eastAsia="標楷體" w:hAnsi="Times New Roman" w:cs="Times New Roman"/>
          <w:lang w:eastAsia="zh-CN"/>
        </w:rPr>
        <w:t>2009/10</w:t>
      </w:r>
      <w:r w:rsidRPr="007B2BE1">
        <w:rPr>
          <w:rFonts w:ascii="Times New Roman" w:eastAsia="標楷體" w:hAnsi="Times New Roman" w:cs="Times New Roman"/>
          <w:lang w:eastAsia="zh-CN"/>
        </w:rPr>
        <w:t>课税年度将</w:t>
      </w:r>
      <w:r w:rsidRPr="007B2BE1">
        <w:rPr>
          <w:rFonts w:ascii="Times New Roman" w:eastAsia="標楷體" w:hAnsi="Times New Roman" w:cs="Times New Roman"/>
          <w:lang w:eastAsia="zh-CN"/>
        </w:rPr>
        <w:t>H</w:t>
      </w:r>
      <w:r w:rsidRPr="007B2BE1">
        <w:rPr>
          <w:rFonts w:ascii="Times New Roman" w:eastAsia="標楷體" w:hAnsi="Times New Roman" w:cs="Times New Roman"/>
          <w:lang w:eastAsia="zh-CN"/>
        </w:rPr>
        <w:t>物业出租，赚取租金收入。</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先生及后于</w:t>
      </w:r>
      <w:r w:rsidRPr="007B2BE1">
        <w:rPr>
          <w:rFonts w:ascii="Times New Roman" w:eastAsia="標楷體" w:hAnsi="Times New Roman" w:cs="Times New Roman"/>
          <w:lang w:eastAsia="zh-CN"/>
        </w:rPr>
        <w:t>2009</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9</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29</w:t>
      </w:r>
      <w:r w:rsidRPr="007B2BE1">
        <w:rPr>
          <w:rFonts w:ascii="Times New Roman" w:eastAsia="標楷體" w:hAnsi="Times New Roman" w:cs="Times New Roman"/>
          <w:lang w:eastAsia="zh-CN"/>
        </w:rPr>
        <w:t>日将</w:t>
      </w:r>
      <w:r w:rsidRPr="007B2BE1">
        <w:rPr>
          <w:rFonts w:ascii="Times New Roman" w:eastAsia="標楷體" w:hAnsi="Times New Roman" w:cs="Times New Roman"/>
          <w:lang w:eastAsia="zh-CN"/>
        </w:rPr>
        <w:t>H</w:t>
      </w:r>
      <w:r w:rsidRPr="007B2BE1">
        <w:rPr>
          <w:rFonts w:ascii="Times New Roman" w:eastAsia="標楷體" w:hAnsi="Times New Roman" w:cs="Times New Roman"/>
          <w:lang w:eastAsia="zh-CN"/>
        </w:rPr>
        <w:t>物业出售。</w:t>
      </w:r>
    </w:p>
    <w:p w14:paraId="003FF60F" w14:textId="24D54B4F" w:rsidR="00A113D1" w:rsidRPr="007B2BE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E144110" w14:textId="31EA44BC" w:rsidR="00A175AF"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t>税务局在不同日期发出</w:t>
      </w:r>
      <w:r w:rsidRPr="007B2BE1">
        <w:rPr>
          <w:rFonts w:ascii="Times New Roman" w:eastAsia="標楷體" w:hAnsi="Times New Roman" w:cs="Times New Roman"/>
          <w:lang w:eastAsia="zh-CN"/>
        </w:rPr>
        <w:t>2011/12</w:t>
      </w:r>
      <w:r w:rsidRPr="007B2BE1">
        <w:rPr>
          <w:rFonts w:ascii="Times New Roman" w:eastAsia="標楷體" w:hAnsi="Times New Roman" w:cs="Times New Roman"/>
          <w:lang w:eastAsia="zh-CN"/>
        </w:rPr>
        <w:t>至</w:t>
      </w:r>
      <w:r w:rsidRPr="007B2BE1">
        <w:rPr>
          <w:rFonts w:ascii="Times New Roman" w:eastAsia="標楷體" w:hAnsi="Times New Roman" w:cs="Times New Roman"/>
          <w:lang w:eastAsia="zh-CN"/>
        </w:rPr>
        <w:t>2015/16</w:t>
      </w:r>
      <w:r w:rsidRPr="007B2BE1">
        <w:rPr>
          <w:rFonts w:ascii="Times New Roman" w:eastAsia="標楷體" w:hAnsi="Times New Roman" w:cs="Times New Roman"/>
          <w:lang w:eastAsia="zh-CN"/>
        </w:rPr>
        <w:t>课税年度的利得税报税表给</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公司填报。</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公司向税务局提交有关报税表，申报应评税利润如下：</w:t>
      </w:r>
    </w:p>
    <w:p w14:paraId="186949DB" w14:textId="77777777" w:rsidR="00A175AF" w:rsidRPr="007B2BE1" w:rsidRDefault="00A175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val="en-US" w:eastAsia="zh-CN"/>
        </w:rPr>
      </w:pPr>
    </w:p>
    <w:tbl>
      <w:tblPr>
        <w:tblStyle w:val="ad"/>
        <w:tblW w:w="6804" w:type="dxa"/>
        <w:tblInd w:w="1843" w:type="dxa"/>
        <w:tblLook w:val="04A0" w:firstRow="1" w:lastRow="0" w:firstColumn="1" w:lastColumn="0" w:noHBand="0" w:noVBand="1"/>
      </w:tblPr>
      <w:tblGrid>
        <w:gridCol w:w="1418"/>
        <w:gridCol w:w="1701"/>
        <w:gridCol w:w="1658"/>
        <w:gridCol w:w="2027"/>
      </w:tblGrid>
      <w:tr w:rsidR="00E3359A" w:rsidRPr="007B2BE1" w14:paraId="5E9C5810" w14:textId="77777777" w:rsidTr="00DF0799">
        <w:trPr>
          <w:trHeight w:val="227"/>
          <w:tblHeader/>
        </w:trPr>
        <w:tc>
          <w:tcPr>
            <w:tcW w:w="1418" w:type="dxa"/>
            <w:tcBorders>
              <w:top w:val="nil"/>
              <w:left w:val="nil"/>
              <w:bottom w:val="nil"/>
              <w:right w:val="nil"/>
            </w:tcBorders>
          </w:tcPr>
          <w:p w14:paraId="77A74DFD" w14:textId="77777777" w:rsidR="00B2412A" w:rsidRPr="007B2BE1" w:rsidRDefault="00B2412A" w:rsidP="001E406E">
            <w:pPr>
              <w:pStyle w:val="ac"/>
              <w:overflowPunct w:val="0"/>
              <w:autoSpaceDE w:val="0"/>
              <w:autoSpaceDN w:val="0"/>
              <w:ind w:left="0"/>
              <w:jc w:val="center"/>
              <w:rPr>
                <w:rFonts w:ascii="Times New Roman" w:eastAsia="標楷體" w:hAnsi="Times New Roman" w:cs="Times New Roman"/>
                <w:szCs w:val="24"/>
                <w:lang w:eastAsia="zh-CN"/>
              </w:rPr>
            </w:pPr>
          </w:p>
        </w:tc>
        <w:tc>
          <w:tcPr>
            <w:tcW w:w="1701" w:type="dxa"/>
            <w:tcBorders>
              <w:top w:val="nil"/>
              <w:left w:val="nil"/>
              <w:bottom w:val="nil"/>
              <w:right w:val="nil"/>
            </w:tcBorders>
          </w:tcPr>
          <w:p w14:paraId="6867D1F4" w14:textId="426E715D" w:rsidR="00B2412A" w:rsidRPr="007B2BE1" w:rsidRDefault="007B2BE1" w:rsidP="001E406E">
            <w:pPr>
              <w:pStyle w:val="ac"/>
              <w:overflowPunct w:val="0"/>
              <w:autoSpaceDE w:val="0"/>
              <w:autoSpaceDN w:val="0"/>
              <w:ind w:left="0"/>
              <w:jc w:val="center"/>
              <w:rPr>
                <w:rFonts w:ascii="Times New Roman" w:eastAsia="標楷體" w:hAnsi="Times New Roman" w:cs="Times New Roman"/>
                <w:szCs w:val="24"/>
              </w:rPr>
            </w:pPr>
            <w:r w:rsidRPr="007B2BE1">
              <w:rPr>
                <w:rFonts w:ascii="Times New Roman" w:eastAsia="標楷體" w:hAnsi="Times New Roman" w:cs="Times New Roman"/>
                <w:szCs w:val="24"/>
                <w:u w:val="single"/>
                <w:lang w:eastAsia="zh-CN"/>
              </w:rPr>
              <w:t>报税表</w:t>
            </w:r>
          </w:p>
        </w:tc>
        <w:tc>
          <w:tcPr>
            <w:tcW w:w="1658" w:type="dxa"/>
            <w:tcBorders>
              <w:top w:val="nil"/>
              <w:left w:val="nil"/>
              <w:bottom w:val="nil"/>
              <w:right w:val="nil"/>
            </w:tcBorders>
          </w:tcPr>
          <w:p w14:paraId="71EE5EF8" w14:textId="6C80C4D3" w:rsidR="00B2412A" w:rsidRPr="007B2BE1" w:rsidRDefault="007B2BE1" w:rsidP="001E406E">
            <w:pPr>
              <w:pStyle w:val="ac"/>
              <w:overflowPunct w:val="0"/>
              <w:autoSpaceDE w:val="0"/>
              <w:autoSpaceDN w:val="0"/>
              <w:ind w:left="0"/>
              <w:jc w:val="center"/>
              <w:rPr>
                <w:rFonts w:ascii="Times New Roman" w:eastAsia="標楷體" w:hAnsi="Times New Roman" w:cs="Times New Roman"/>
                <w:szCs w:val="24"/>
              </w:rPr>
            </w:pPr>
            <w:r w:rsidRPr="007B2BE1">
              <w:rPr>
                <w:rFonts w:ascii="Times New Roman" w:eastAsia="標楷體" w:hAnsi="Times New Roman" w:cs="Times New Roman"/>
                <w:szCs w:val="24"/>
                <w:u w:val="single"/>
                <w:lang w:eastAsia="zh-CN"/>
              </w:rPr>
              <w:t>报税表</w:t>
            </w:r>
          </w:p>
        </w:tc>
        <w:tc>
          <w:tcPr>
            <w:tcW w:w="2027" w:type="dxa"/>
            <w:tcBorders>
              <w:top w:val="nil"/>
              <w:left w:val="nil"/>
              <w:bottom w:val="nil"/>
              <w:right w:val="nil"/>
            </w:tcBorders>
          </w:tcPr>
          <w:p w14:paraId="60BE4E6C" w14:textId="1E1687B0" w:rsidR="00B2412A" w:rsidRPr="007B2BE1" w:rsidRDefault="007B2BE1" w:rsidP="009C556F">
            <w:pPr>
              <w:pStyle w:val="ac"/>
              <w:overflowPunct w:val="0"/>
              <w:autoSpaceDE w:val="0"/>
              <w:autoSpaceDN w:val="0"/>
              <w:ind w:left="0" w:rightChars="75" w:right="180"/>
              <w:jc w:val="center"/>
              <w:rPr>
                <w:rFonts w:ascii="Times New Roman" w:eastAsia="標楷體" w:hAnsi="Times New Roman" w:cs="Times New Roman"/>
                <w:szCs w:val="24"/>
              </w:rPr>
            </w:pPr>
            <w:r w:rsidRPr="007B2BE1">
              <w:rPr>
                <w:rFonts w:ascii="Times New Roman" w:eastAsia="標楷體" w:hAnsi="Times New Roman" w:cs="Times New Roman"/>
                <w:szCs w:val="24"/>
                <w:u w:val="single"/>
                <w:lang w:eastAsia="zh-CN"/>
              </w:rPr>
              <w:t>申报的应评税</w:t>
            </w:r>
          </w:p>
        </w:tc>
      </w:tr>
      <w:tr w:rsidR="00E3359A" w:rsidRPr="007B2BE1" w14:paraId="02698D34" w14:textId="77777777" w:rsidTr="00DF0799">
        <w:trPr>
          <w:trHeight w:val="227"/>
          <w:tblHeader/>
        </w:trPr>
        <w:tc>
          <w:tcPr>
            <w:tcW w:w="1418" w:type="dxa"/>
            <w:tcBorders>
              <w:top w:val="nil"/>
              <w:left w:val="nil"/>
              <w:bottom w:val="nil"/>
              <w:right w:val="nil"/>
            </w:tcBorders>
          </w:tcPr>
          <w:p w14:paraId="6C631D05" w14:textId="3F5BFB9A" w:rsidR="00B2412A" w:rsidRPr="007B2BE1" w:rsidRDefault="007B2BE1" w:rsidP="001E406E">
            <w:pPr>
              <w:pStyle w:val="ac"/>
              <w:overflowPunct w:val="0"/>
              <w:autoSpaceDE w:val="0"/>
              <w:autoSpaceDN w:val="0"/>
              <w:ind w:left="0"/>
              <w:jc w:val="center"/>
              <w:rPr>
                <w:rFonts w:ascii="Times New Roman" w:eastAsia="標楷體" w:hAnsi="Times New Roman" w:cs="Times New Roman"/>
                <w:szCs w:val="24"/>
              </w:rPr>
            </w:pPr>
            <w:r w:rsidRPr="007B2BE1">
              <w:rPr>
                <w:rFonts w:ascii="Times New Roman" w:eastAsia="標楷體" w:hAnsi="Times New Roman" w:cs="Times New Roman"/>
                <w:szCs w:val="24"/>
                <w:u w:val="single"/>
                <w:lang w:eastAsia="zh-CN"/>
              </w:rPr>
              <w:t>课税年度</w:t>
            </w:r>
          </w:p>
        </w:tc>
        <w:tc>
          <w:tcPr>
            <w:tcW w:w="1701" w:type="dxa"/>
            <w:tcBorders>
              <w:top w:val="nil"/>
              <w:left w:val="nil"/>
              <w:bottom w:val="nil"/>
              <w:right w:val="nil"/>
            </w:tcBorders>
          </w:tcPr>
          <w:p w14:paraId="315D2BF3" w14:textId="39E73171" w:rsidR="00B2412A" w:rsidRPr="007B2BE1" w:rsidRDefault="007B2BE1" w:rsidP="001E406E">
            <w:pPr>
              <w:pStyle w:val="ac"/>
              <w:overflowPunct w:val="0"/>
              <w:autoSpaceDE w:val="0"/>
              <w:autoSpaceDN w:val="0"/>
              <w:ind w:left="0"/>
              <w:jc w:val="center"/>
              <w:rPr>
                <w:rFonts w:ascii="Times New Roman" w:eastAsia="標楷體" w:hAnsi="Times New Roman" w:cs="Times New Roman"/>
                <w:szCs w:val="24"/>
              </w:rPr>
            </w:pPr>
            <w:r w:rsidRPr="007B2BE1">
              <w:rPr>
                <w:rFonts w:ascii="Times New Roman" w:eastAsia="標楷體" w:hAnsi="Times New Roman" w:cs="Times New Roman"/>
                <w:szCs w:val="24"/>
                <w:u w:val="single"/>
                <w:lang w:eastAsia="zh-CN"/>
              </w:rPr>
              <w:t>发出日期</w:t>
            </w:r>
          </w:p>
        </w:tc>
        <w:tc>
          <w:tcPr>
            <w:tcW w:w="1658" w:type="dxa"/>
            <w:tcBorders>
              <w:top w:val="nil"/>
              <w:left w:val="nil"/>
              <w:bottom w:val="nil"/>
              <w:right w:val="nil"/>
            </w:tcBorders>
          </w:tcPr>
          <w:p w14:paraId="5E6BC8BD" w14:textId="1355152B" w:rsidR="00B2412A" w:rsidRPr="007B2BE1" w:rsidRDefault="007B2BE1" w:rsidP="001E406E">
            <w:pPr>
              <w:pStyle w:val="ac"/>
              <w:overflowPunct w:val="0"/>
              <w:autoSpaceDE w:val="0"/>
              <w:autoSpaceDN w:val="0"/>
              <w:ind w:left="0"/>
              <w:jc w:val="center"/>
              <w:rPr>
                <w:rFonts w:ascii="Times New Roman" w:eastAsia="標楷體" w:hAnsi="Times New Roman" w:cs="Times New Roman"/>
                <w:szCs w:val="24"/>
              </w:rPr>
            </w:pPr>
            <w:r w:rsidRPr="007B2BE1">
              <w:rPr>
                <w:rFonts w:ascii="Times New Roman" w:eastAsia="標楷體" w:hAnsi="Times New Roman" w:cs="Times New Roman"/>
                <w:szCs w:val="24"/>
                <w:u w:val="single"/>
                <w:lang w:eastAsia="zh-CN"/>
              </w:rPr>
              <w:t>提交日期</w:t>
            </w:r>
          </w:p>
        </w:tc>
        <w:tc>
          <w:tcPr>
            <w:tcW w:w="2027" w:type="dxa"/>
            <w:tcBorders>
              <w:top w:val="nil"/>
              <w:left w:val="nil"/>
              <w:bottom w:val="nil"/>
              <w:right w:val="nil"/>
            </w:tcBorders>
          </w:tcPr>
          <w:p w14:paraId="006B9216" w14:textId="26A43E4C" w:rsidR="00B2412A" w:rsidRPr="007B2BE1" w:rsidRDefault="007B2BE1" w:rsidP="009C556F">
            <w:pPr>
              <w:pStyle w:val="ac"/>
              <w:overflowPunct w:val="0"/>
              <w:autoSpaceDE w:val="0"/>
              <w:autoSpaceDN w:val="0"/>
              <w:ind w:left="0" w:rightChars="75" w:right="180"/>
              <w:jc w:val="center"/>
              <w:rPr>
                <w:rFonts w:ascii="Times New Roman" w:eastAsia="標楷體" w:hAnsi="Times New Roman" w:cs="Times New Roman"/>
                <w:szCs w:val="24"/>
                <w:u w:val="single"/>
              </w:rPr>
            </w:pPr>
            <w:r w:rsidRPr="007B2BE1">
              <w:rPr>
                <w:rFonts w:ascii="Times New Roman" w:eastAsia="標楷體" w:hAnsi="Times New Roman" w:cs="Times New Roman"/>
                <w:szCs w:val="24"/>
                <w:u w:val="single"/>
                <w:lang w:eastAsia="zh-CN"/>
              </w:rPr>
              <w:t>利润或</w:t>
            </w:r>
            <w:r w:rsidRPr="007B2BE1">
              <w:rPr>
                <w:rFonts w:ascii="Times New Roman" w:eastAsia="標楷體" w:hAnsi="Times New Roman" w:cs="Times New Roman"/>
                <w:szCs w:val="24"/>
                <w:u w:val="single"/>
                <w:lang w:eastAsia="zh-CN"/>
              </w:rPr>
              <w:t>(</w:t>
            </w:r>
            <w:r w:rsidRPr="007B2BE1">
              <w:rPr>
                <w:rFonts w:ascii="Times New Roman" w:eastAsia="標楷體" w:hAnsi="Times New Roman" w:cs="Times New Roman"/>
                <w:szCs w:val="24"/>
                <w:u w:val="single"/>
                <w:lang w:eastAsia="zh-CN"/>
              </w:rPr>
              <w:t>亏损</w:t>
            </w:r>
            <w:r w:rsidRPr="007B2BE1">
              <w:rPr>
                <w:rFonts w:ascii="Times New Roman" w:eastAsia="標楷體" w:hAnsi="Times New Roman" w:cs="Times New Roman"/>
                <w:szCs w:val="24"/>
                <w:u w:val="single"/>
                <w:lang w:eastAsia="zh-CN"/>
              </w:rPr>
              <w:t>)</w:t>
            </w:r>
          </w:p>
          <w:p w14:paraId="6800F517" w14:textId="6547D4DF" w:rsidR="005A3D14" w:rsidRPr="007B2BE1" w:rsidRDefault="007B2BE1" w:rsidP="009C556F">
            <w:pPr>
              <w:pStyle w:val="ac"/>
              <w:overflowPunct w:val="0"/>
              <w:autoSpaceDE w:val="0"/>
              <w:autoSpaceDN w:val="0"/>
              <w:ind w:left="0" w:rightChars="75" w:right="18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元</w:t>
            </w:r>
          </w:p>
        </w:tc>
      </w:tr>
      <w:tr w:rsidR="00E3359A" w:rsidRPr="007B2BE1" w14:paraId="61855ECC" w14:textId="77777777" w:rsidTr="009C556F">
        <w:trPr>
          <w:trHeight w:val="227"/>
        </w:trPr>
        <w:tc>
          <w:tcPr>
            <w:tcW w:w="1418" w:type="dxa"/>
            <w:tcBorders>
              <w:top w:val="nil"/>
              <w:left w:val="nil"/>
              <w:bottom w:val="nil"/>
              <w:right w:val="nil"/>
            </w:tcBorders>
          </w:tcPr>
          <w:p w14:paraId="0883D3D1" w14:textId="159E1B19"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2011/12</w:t>
            </w:r>
          </w:p>
        </w:tc>
        <w:tc>
          <w:tcPr>
            <w:tcW w:w="1701" w:type="dxa"/>
            <w:tcBorders>
              <w:top w:val="nil"/>
              <w:left w:val="nil"/>
              <w:bottom w:val="nil"/>
              <w:right w:val="nil"/>
            </w:tcBorders>
          </w:tcPr>
          <w:p w14:paraId="4461AA4E" w14:textId="694E5926"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04-06-2012</w:t>
            </w:r>
          </w:p>
        </w:tc>
        <w:tc>
          <w:tcPr>
            <w:tcW w:w="1658" w:type="dxa"/>
            <w:tcBorders>
              <w:top w:val="nil"/>
              <w:left w:val="nil"/>
              <w:bottom w:val="nil"/>
              <w:right w:val="nil"/>
            </w:tcBorders>
          </w:tcPr>
          <w:p w14:paraId="71CF40B5" w14:textId="0590E31E"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30-08-2012</w:t>
            </w:r>
          </w:p>
        </w:tc>
        <w:tc>
          <w:tcPr>
            <w:tcW w:w="2027" w:type="dxa"/>
            <w:tcBorders>
              <w:top w:val="nil"/>
              <w:left w:val="nil"/>
              <w:bottom w:val="nil"/>
              <w:right w:val="nil"/>
            </w:tcBorders>
          </w:tcPr>
          <w:p w14:paraId="36F25FCF" w14:textId="3369FF2A" w:rsidR="00B2412A" w:rsidRPr="007B2BE1" w:rsidRDefault="007B2BE1" w:rsidP="001E406E">
            <w:pPr>
              <w:overflowPunct w:val="0"/>
              <w:autoSpaceDE w:val="0"/>
              <w:autoSpaceDN w:val="0"/>
              <w:ind w:rightChars="248" w:right="595"/>
              <w:jc w:val="right"/>
              <w:rPr>
                <w:rFonts w:ascii="Times New Roman" w:eastAsia="標楷體" w:hAnsi="Times New Roman" w:cs="Times New Roman"/>
                <w:szCs w:val="24"/>
              </w:rPr>
            </w:pPr>
            <w:r w:rsidRPr="007B2BE1">
              <w:rPr>
                <w:rFonts w:ascii="Times New Roman" w:eastAsia="標楷體" w:hAnsi="Times New Roman" w:cs="Times New Roman"/>
                <w:szCs w:val="24"/>
                <w:lang w:eastAsia="zh-CN"/>
              </w:rPr>
              <w:t>2,896</w:t>
            </w:r>
          </w:p>
        </w:tc>
      </w:tr>
      <w:tr w:rsidR="00E3359A" w:rsidRPr="007B2BE1" w14:paraId="2B819C64" w14:textId="77777777" w:rsidTr="009C556F">
        <w:trPr>
          <w:trHeight w:val="227"/>
        </w:trPr>
        <w:tc>
          <w:tcPr>
            <w:tcW w:w="1418" w:type="dxa"/>
            <w:tcBorders>
              <w:top w:val="nil"/>
              <w:left w:val="nil"/>
              <w:bottom w:val="nil"/>
              <w:right w:val="nil"/>
            </w:tcBorders>
          </w:tcPr>
          <w:p w14:paraId="6F3AD153" w14:textId="296C73D7"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2012/13</w:t>
            </w:r>
          </w:p>
        </w:tc>
        <w:tc>
          <w:tcPr>
            <w:tcW w:w="1701" w:type="dxa"/>
            <w:tcBorders>
              <w:top w:val="nil"/>
              <w:left w:val="nil"/>
              <w:bottom w:val="nil"/>
              <w:right w:val="nil"/>
            </w:tcBorders>
          </w:tcPr>
          <w:p w14:paraId="3E7D4CDF" w14:textId="56BC7363"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02-04-2013</w:t>
            </w:r>
          </w:p>
        </w:tc>
        <w:tc>
          <w:tcPr>
            <w:tcW w:w="1658" w:type="dxa"/>
            <w:tcBorders>
              <w:top w:val="nil"/>
              <w:left w:val="nil"/>
              <w:bottom w:val="nil"/>
              <w:right w:val="nil"/>
            </w:tcBorders>
          </w:tcPr>
          <w:p w14:paraId="67FADA41" w14:textId="0CBA52CB"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25-11-2013</w:t>
            </w:r>
          </w:p>
        </w:tc>
        <w:tc>
          <w:tcPr>
            <w:tcW w:w="2027" w:type="dxa"/>
            <w:tcBorders>
              <w:top w:val="nil"/>
              <w:left w:val="nil"/>
              <w:bottom w:val="nil"/>
              <w:right w:val="nil"/>
            </w:tcBorders>
          </w:tcPr>
          <w:p w14:paraId="1D93E840" w14:textId="1A1FCD8A" w:rsidR="00B2412A" w:rsidRPr="007B2BE1" w:rsidRDefault="007B2BE1" w:rsidP="001E406E">
            <w:pPr>
              <w:overflowPunct w:val="0"/>
              <w:autoSpaceDE w:val="0"/>
              <w:autoSpaceDN w:val="0"/>
              <w:ind w:rightChars="248" w:right="595"/>
              <w:jc w:val="right"/>
              <w:rPr>
                <w:rFonts w:ascii="Times New Roman" w:eastAsia="標楷體" w:hAnsi="Times New Roman" w:cs="Times New Roman"/>
                <w:szCs w:val="24"/>
              </w:rPr>
            </w:pPr>
            <w:r w:rsidRPr="007B2BE1">
              <w:rPr>
                <w:rFonts w:ascii="Times New Roman" w:eastAsia="標楷體" w:hAnsi="Times New Roman" w:cs="Times New Roman"/>
                <w:szCs w:val="24"/>
                <w:lang w:eastAsia="zh-CN"/>
              </w:rPr>
              <w:t>(158,249)</w:t>
            </w:r>
          </w:p>
        </w:tc>
      </w:tr>
      <w:tr w:rsidR="00E3359A" w:rsidRPr="007B2BE1" w14:paraId="6FB4D97F" w14:textId="77777777" w:rsidTr="009C556F">
        <w:trPr>
          <w:trHeight w:val="227"/>
        </w:trPr>
        <w:tc>
          <w:tcPr>
            <w:tcW w:w="1418" w:type="dxa"/>
            <w:tcBorders>
              <w:top w:val="nil"/>
              <w:left w:val="nil"/>
              <w:bottom w:val="nil"/>
              <w:right w:val="nil"/>
            </w:tcBorders>
          </w:tcPr>
          <w:p w14:paraId="47305E04" w14:textId="5B79DEA7"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2013/14</w:t>
            </w:r>
          </w:p>
        </w:tc>
        <w:tc>
          <w:tcPr>
            <w:tcW w:w="1701" w:type="dxa"/>
            <w:tcBorders>
              <w:top w:val="nil"/>
              <w:left w:val="nil"/>
              <w:bottom w:val="nil"/>
              <w:right w:val="nil"/>
            </w:tcBorders>
          </w:tcPr>
          <w:p w14:paraId="25938E34" w14:textId="2DC339DC"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01-04-2014</w:t>
            </w:r>
          </w:p>
        </w:tc>
        <w:tc>
          <w:tcPr>
            <w:tcW w:w="1658" w:type="dxa"/>
            <w:tcBorders>
              <w:top w:val="nil"/>
              <w:left w:val="nil"/>
              <w:bottom w:val="nil"/>
              <w:right w:val="nil"/>
            </w:tcBorders>
          </w:tcPr>
          <w:p w14:paraId="28C3370F" w14:textId="5A2D0C62"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26-03-2015</w:t>
            </w:r>
          </w:p>
        </w:tc>
        <w:tc>
          <w:tcPr>
            <w:tcW w:w="2027" w:type="dxa"/>
            <w:tcBorders>
              <w:top w:val="nil"/>
              <w:left w:val="nil"/>
              <w:bottom w:val="nil"/>
              <w:right w:val="nil"/>
            </w:tcBorders>
          </w:tcPr>
          <w:p w14:paraId="64240FF1" w14:textId="4247960F" w:rsidR="00B2412A" w:rsidRPr="007B2BE1" w:rsidRDefault="007B2BE1" w:rsidP="00F74386">
            <w:pPr>
              <w:overflowPunct w:val="0"/>
              <w:autoSpaceDE w:val="0"/>
              <w:autoSpaceDN w:val="0"/>
              <w:ind w:rightChars="12" w:right="29"/>
              <w:jc w:val="right"/>
              <w:rPr>
                <w:rFonts w:ascii="Times New Roman" w:eastAsia="標楷體" w:hAnsi="Times New Roman" w:cs="Times New Roman"/>
                <w:szCs w:val="24"/>
              </w:rPr>
            </w:pPr>
            <w:r w:rsidRPr="007B2BE1">
              <w:rPr>
                <w:rFonts w:ascii="Times New Roman" w:eastAsia="標楷體" w:hAnsi="Times New Roman" w:cs="Times New Roman"/>
                <w:szCs w:val="24"/>
                <w:lang w:eastAsia="zh-CN"/>
              </w:rPr>
              <w:t>168,378 (</w:t>
            </w:r>
            <w:r w:rsidRPr="007B2BE1">
              <w:rPr>
                <w:rFonts w:ascii="Times New Roman" w:eastAsia="標楷體" w:hAnsi="Times New Roman" w:cs="Times New Roman"/>
                <w:szCs w:val="24"/>
                <w:lang w:eastAsia="zh-CN"/>
              </w:rPr>
              <w:t>注</w:t>
            </w:r>
            <w:r w:rsidRPr="007B2BE1">
              <w:rPr>
                <w:rFonts w:ascii="Times New Roman" w:eastAsia="標楷體" w:hAnsi="Times New Roman" w:cs="Times New Roman"/>
                <w:szCs w:val="24"/>
                <w:lang w:eastAsia="zh-CN"/>
              </w:rPr>
              <w:t>1)</w:t>
            </w:r>
          </w:p>
        </w:tc>
      </w:tr>
      <w:tr w:rsidR="00E3359A" w:rsidRPr="007B2BE1" w14:paraId="13032ADE" w14:textId="77777777" w:rsidTr="009C556F">
        <w:trPr>
          <w:trHeight w:val="227"/>
        </w:trPr>
        <w:tc>
          <w:tcPr>
            <w:tcW w:w="1418" w:type="dxa"/>
            <w:tcBorders>
              <w:top w:val="nil"/>
              <w:left w:val="nil"/>
              <w:bottom w:val="nil"/>
              <w:right w:val="nil"/>
            </w:tcBorders>
          </w:tcPr>
          <w:p w14:paraId="78D3800D" w14:textId="7A8A8B92"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2014/15</w:t>
            </w:r>
          </w:p>
        </w:tc>
        <w:tc>
          <w:tcPr>
            <w:tcW w:w="1701" w:type="dxa"/>
            <w:tcBorders>
              <w:top w:val="nil"/>
              <w:left w:val="nil"/>
              <w:bottom w:val="nil"/>
              <w:right w:val="nil"/>
            </w:tcBorders>
          </w:tcPr>
          <w:p w14:paraId="64E47339" w14:textId="3FEE9360"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01-04-2015</w:t>
            </w:r>
          </w:p>
        </w:tc>
        <w:tc>
          <w:tcPr>
            <w:tcW w:w="1658" w:type="dxa"/>
            <w:tcBorders>
              <w:top w:val="nil"/>
              <w:left w:val="nil"/>
              <w:bottom w:val="nil"/>
              <w:right w:val="nil"/>
            </w:tcBorders>
          </w:tcPr>
          <w:p w14:paraId="2B253F54" w14:textId="2F52E300"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15-02-2016</w:t>
            </w:r>
          </w:p>
        </w:tc>
        <w:tc>
          <w:tcPr>
            <w:tcW w:w="2027" w:type="dxa"/>
            <w:tcBorders>
              <w:top w:val="nil"/>
              <w:left w:val="nil"/>
              <w:bottom w:val="nil"/>
              <w:right w:val="nil"/>
            </w:tcBorders>
          </w:tcPr>
          <w:p w14:paraId="4EFB4963" w14:textId="09FEC4B8" w:rsidR="00B2412A" w:rsidRPr="007B2BE1" w:rsidRDefault="007B2BE1" w:rsidP="001E406E">
            <w:pPr>
              <w:overflowPunct w:val="0"/>
              <w:autoSpaceDE w:val="0"/>
              <w:autoSpaceDN w:val="0"/>
              <w:ind w:rightChars="248" w:right="595"/>
              <w:jc w:val="right"/>
              <w:rPr>
                <w:rFonts w:ascii="Times New Roman" w:eastAsia="標楷體" w:hAnsi="Times New Roman" w:cs="Times New Roman"/>
                <w:szCs w:val="24"/>
              </w:rPr>
            </w:pPr>
            <w:r w:rsidRPr="007B2BE1">
              <w:rPr>
                <w:rFonts w:ascii="Times New Roman" w:eastAsia="標楷體" w:hAnsi="Times New Roman" w:cs="Times New Roman"/>
                <w:szCs w:val="24"/>
                <w:lang w:eastAsia="zh-CN"/>
              </w:rPr>
              <w:t>322,640</w:t>
            </w:r>
          </w:p>
        </w:tc>
      </w:tr>
      <w:tr w:rsidR="00E3359A" w:rsidRPr="007B2BE1" w14:paraId="4F56BFA3" w14:textId="77777777" w:rsidTr="009C556F">
        <w:trPr>
          <w:trHeight w:val="227"/>
        </w:trPr>
        <w:tc>
          <w:tcPr>
            <w:tcW w:w="1418" w:type="dxa"/>
            <w:tcBorders>
              <w:top w:val="nil"/>
              <w:left w:val="nil"/>
              <w:bottom w:val="nil"/>
              <w:right w:val="nil"/>
            </w:tcBorders>
          </w:tcPr>
          <w:p w14:paraId="25A9D60F" w14:textId="1CDAC47C"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2015/16</w:t>
            </w:r>
          </w:p>
        </w:tc>
        <w:tc>
          <w:tcPr>
            <w:tcW w:w="1701" w:type="dxa"/>
            <w:tcBorders>
              <w:top w:val="nil"/>
              <w:left w:val="nil"/>
              <w:bottom w:val="nil"/>
              <w:right w:val="nil"/>
            </w:tcBorders>
          </w:tcPr>
          <w:p w14:paraId="7F85D0EA" w14:textId="376449F0"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01-04-2016</w:t>
            </w:r>
          </w:p>
        </w:tc>
        <w:tc>
          <w:tcPr>
            <w:tcW w:w="1658" w:type="dxa"/>
            <w:tcBorders>
              <w:top w:val="nil"/>
              <w:left w:val="nil"/>
              <w:bottom w:val="nil"/>
              <w:right w:val="nil"/>
            </w:tcBorders>
          </w:tcPr>
          <w:p w14:paraId="4BACAE8C" w14:textId="492BE118" w:rsidR="00B2412A" w:rsidRPr="007B2BE1" w:rsidRDefault="007B2BE1" w:rsidP="001E406E">
            <w:pPr>
              <w:overflowPunct w:val="0"/>
              <w:autoSpaceDE w:val="0"/>
              <w:autoSpaceDN w:val="0"/>
              <w:jc w:val="center"/>
              <w:rPr>
                <w:rFonts w:ascii="Times New Roman" w:eastAsia="標楷體" w:hAnsi="Times New Roman" w:cs="Times New Roman"/>
                <w:szCs w:val="24"/>
              </w:rPr>
            </w:pPr>
            <w:r w:rsidRPr="007B2BE1">
              <w:rPr>
                <w:rFonts w:ascii="Times New Roman" w:eastAsia="標楷體" w:hAnsi="Times New Roman" w:cs="Times New Roman"/>
                <w:szCs w:val="24"/>
                <w:lang w:eastAsia="zh-CN"/>
              </w:rPr>
              <w:t>05-01-2017</w:t>
            </w:r>
          </w:p>
        </w:tc>
        <w:tc>
          <w:tcPr>
            <w:tcW w:w="2027" w:type="dxa"/>
            <w:tcBorders>
              <w:top w:val="nil"/>
              <w:left w:val="nil"/>
              <w:bottom w:val="nil"/>
              <w:right w:val="nil"/>
            </w:tcBorders>
          </w:tcPr>
          <w:p w14:paraId="3AB10F58" w14:textId="18563599" w:rsidR="00B2412A" w:rsidRPr="007B2BE1" w:rsidRDefault="007B2BE1" w:rsidP="001E406E">
            <w:pPr>
              <w:overflowPunct w:val="0"/>
              <w:autoSpaceDE w:val="0"/>
              <w:autoSpaceDN w:val="0"/>
              <w:ind w:rightChars="248" w:right="595"/>
              <w:jc w:val="right"/>
              <w:rPr>
                <w:rFonts w:ascii="Times New Roman" w:eastAsia="標楷體" w:hAnsi="Times New Roman" w:cs="Times New Roman"/>
                <w:szCs w:val="24"/>
              </w:rPr>
            </w:pPr>
            <w:r w:rsidRPr="007B2BE1">
              <w:rPr>
                <w:rFonts w:ascii="Times New Roman" w:eastAsia="標楷體" w:hAnsi="Times New Roman" w:cs="Times New Roman"/>
                <w:szCs w:val="24"/>
                <w:lang w:eastAsia="zh-CN"/>
              </w:rPr>
              <w:t>355,151</w:t>
            </w:r>
          </w:p>
        </w:tc>
      </w:tr>
    </w:tbl>
    <w:p w14:paraId="7472139F" w14:textId="77777777" w:rsidR="00A175AF" w:rsidRPr="007B2BE1" w:rsidRDefault="00A175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708" w:left="1699"/>
        <w:rPr>
          <w:rFonts w:ascii="Times New Roman" w:eastAsia="標楷體" w:hAnsi="Times New Roman" w:cs="Times New Roman"/>
          <w:lang w:val="en-US" w:eastAsia="zh-TW"/>
        </w:rPr>
      </w:pPr>
    </w:p>
    <w:p w14:paraId="4A594409" w14:textId="1843B687" w:rsidR="00E3359A" w:rsidRPr="007B2BE1" w:rsidRDefault="007B2BE1" w:rsidP="001E406E">
      <w:pPr>
        <w:overflowPunct w:val="0"/>
        <w:autoSpaceDE w:val="0"/>
        <w:autoSpaceDN w:val="0"/>
        <w:adjustRightInd w:val="0"/>
        <w:ind w:leftChars="878" w:left="2107"/>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注</w:t>
      </w:r>
      <w:r w:rsidRPr="007B2BE1">
        <w:rPr>
          <w:rFonts w:ascii="Times New Roman" w:eastAsia="標楷體" w:hAnsi="Times New Roman" w:cs="Times New Roman"/>
          <w:lang w:val="en-US" w:eastAsia="zh-CN"/>
        </w:rPr>
        <w:t>1</w:t>
      </w:r>
      <w:r w:rsidRPr="007B2BE1">
        <w:rPr>
          <w:rFonts w:ascii="Times New Roman" w:eastAsia="標楷體" w:hAnsi="Times New Roman" w:cs="Times New Roman"/>
          <w:lang w:val="en-US" w:eastAsia="zh-CN"/>
        </w:rPr>
        <w:t>：根据</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公司所提交的</w:t>
      </w:r>
      <w:r w:rsidRPr="007B2BE1">
        <w:rPr>
          <w:rFonts w:ascii="Times New Roman" w:eastAsia="標楷體" w:hAnsi="Times New Roman" w:cs="Times New Roman"/>
          <w:lang w:val="en-US" w:eastAsia="zh-CN"/>
        </w:rPr>
        <w:t>2013/14</w:t>
      </w:r>
      <w:r w:rsidRPr="007B2BE1">
        <w:rPr>
          <w:rFonts w:ascii="Times New Roman" w:eastAsia="標楷體" w:hAnsi="Times New Roman" w:cs="Times New Roman"/>
          <w:lang w:val="en-US" w:eastAsia="zh-CN"/>
        </w:rPr>
        <w:t>课税年度利得税计算表，</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公司于该课税年度在未抵销上一课税年度亏损额的应评税利润应为</w:t>
      </w:r>
      <w:r w:rsidRPr="007B2BE1">
        <w:rPr>
          <w:rFonts w:ascii="Times New Roman" w:eastAsia="標楷體" w:hAnsi="Times New Roman" w:cs="Times New Roman"/>
          <w:lang w:val="en-US" w:eastAsia="zh-CN"/>
        </w:rPr>
        <w:t>326,627</w:t>
      </w:r>
      <w:r w:rsidRPr="007B2BE1">
        <w:rPr>
          <w:rFonts w:ascii="Times New Roman" w:eastAsia="標楷體" w:hAnsi="Times New Roman" w:cs="Times New Roman"/>
          <w:lang w:val="en-US" w:eastAsia="zh-CN"/>
        </w:rPr>
        <w:t>元。</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公司于</w:t>
      </w:r>
      <w:r w:rsidRPr="007B2BE1">
        <w:rPr>
          <w:rFonts w:ascii="Times New Roman" w:eastAsia="標楷體" w:hAnsi="Times New Roman" w:cs="Times New Roman"/>
          <w:lang w:val="en-US" w:eastAsia="zh-CN"/>
        </w:rPr>
        <w:t>2013/14</w:t>
      </w:r>
      <w:r w:rsidRPr="007B2BE1">
        <w:rPr>
          <w:rFonts w:ascii="Times New Roman" w:eastAsia="標楷體" w:hAnsi="Times New Roman" w:cs="Times New Roman"/>
          <w:lang w:val="en-US" w:eastAsia="zh-CN"/>
        </w:rPr>
        <w:t>课税年度利得税报税表第</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部中申报的应评税利润</w:t>
      </w:r>
      <w:r w:rsidRPr="007B2BE1">
        <w:rPr>
          <w:rFonts w:ascii="Times New Roman" w:eastAsia="標楷體" w:hAnsi="Times New Roman" w:cs="Times New Roman"/>
          <w:lang w:val="en-US" w:eastAsia="zh-CN"/>
        </w:rPr>
        <w:t>168,378</w:t>
      </w:r>
      <w:r w:rsidRPr="007B2BE1">
        <w:rPr>
          <w:rFonts w:ascii="Times New Roman" w:eastAsia="標楷體" w:hAnsi="Times New Roman" w:cs="Times New Roman"/>
          <w:lang w:val="en-US" w:eastAsia="zh-CN"/>
        </w:rPr>
        <w:t>元实为已抵销上一课税年度亏损额的净应评税利润。</w:t>
      </w:r>
    </w:p>
    <w:p w14:paraId="65F28708" w14:textId="77777777" w:rsidR="006063A0" w:rsidRPr="007B2BE1" w:rsidRDefault="006063A0" w:rsidP="001E406E">
      <w:pPr>
        <w:tabs>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708" w:left="1699"/>
        <w:jc w:val="both"/>
        <w:rPr>
          <w:rFonts w:ascii="Times New Roman" w:eastAsia="標楷體" w:hAnsi="Times New Roman" w:cs="Times New Roman"/>
          <w:lang w:val="en-US" w:eastAsia="zh-CN"/>
        </w:rPr>
      </w:pPr>
    </w:p>
    <w:p w14:paraId="5D93FCD6" w14:textId="2C498128" w:rsidR="00E3359A"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根据上述各课税年度利得税报税表，</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公司皆委任了「恒宝会计服务有限公司</w:t>
      </w:r>
      <w:r w:rsidRPr="007B2BE1">
        <w:rPr>
          <w:rFonts w:ascii="Times New Roman" w:eastAsia="標楷體" w:hAnsi="Times New Roman" w:cs="Times New Roman"/>
          <w:lang w:val="en-US" w:eastAsia="zh-CN"/>
        </w:rPr>
        <w:t>Hangbel Accounting Service Co Limited</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「第一税务代表」</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为其税务代表。</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先生在该等报税表第</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部内声明所填报的资料均属真确，并签署作实。</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先生除了在</w:t>
      </w:r>
      <w:r w:rsidRPr="007B2BE1">
        <w:rPr>
          <w:rFonts w:ascii="Times New Roman" w:eastAsia="標楷體" w:hAnsi="Times New Roman" w:cs="Times New Roman"/>
          <w:lang w:val="en-US" w:eastAsia="zh-CN"/>
        </w:rPr>
        <w:t>2011/12</w:t>
      </w:r>
      <w:r w:rsidRPr="007B2BE1">
        <w:rPr>
          <w:rFonts w:ascii="Times New Roman" w:eastAsia="標楷體" w:hAnsi="Times New Roman" w:cs="Times New Roman"/>
          <w:lang w:val="en-US" w:eastAsia="zh-CN"/>
        </w:rPr>
        <w:t>课税年度的利得税报税表中没有申明他的职位外，</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课税年度的利得税报税表中均申明他是</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公司的经理。</w:t>
      </w:r>
    </w:p>
    <w:p w14:paraId="707437EF" w14:textId="77777777" w:rsidR="006910C5" w:rsidRPr="007B2BE1" w:rsidRDefault="006910C5"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383F2EF1" w14:textId="0BF5DEC0" w:rsidR="00A175AF"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评税主任根据</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公司所提交的利得税报税表</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上文第</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项</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公司发出以下课税年度利得税评税或退税通知书：</w:t>
      </w:r>
    </w:p>
    <w:p w14:paraId="245DB92D" w14:textId="77777777" w:rsidR="001D1C66" w:rsidRPr="007B2BE1" w:rsidRDefault="001D1C6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4820" w:type="dxa"/>
        <w:tblInd w:w="1843" w:type="dxa"/>
        <w:tblBorders>
          <w:top w:val="nil"/>
          <w:left w:val="nil"/>
          <w:bottom w:val="nil"/>
          <w:right w:val="nil"/>
          <w:insideH w:val="nil"/>
          <w:insideV w:val="nil"/>
        </w:tblBorders>
        <w:tblLayout w:type="fixed"/>
        <w:tblLook w:val="01E0" w:firstRow="1" w:lastRow="1" w:firstColumn="1" w:lastColumn="1" w:noHBand="0" w:noVBand="0"/>
      </w:tblPr>
      <w:tblGrid>
        <w:gridCol w:w="1418"/>
        <w:gridCol w:w="1559"/>
        <w:gridCol w:w="1843"/>
      </w:tblGrid>
      <w:tr w:rsidR="005F18CB" w:rsidRPr="007B2BE1" w14:paraId="1793F9DA" w14:textId="77777777" w:rsidTr="009C556F">
        <w:trPr>
          <w:trHeight w:val="227"/>
        </w:trPr>
        <w:tc>
          <w:tcPr>
            <w:tcW w:w="2977" w:type="dxa"/>
            <w:gridSpan w:val="2"/>
            <w:tcBorders>
              <w:bottom w:val="nil"/>
            </w:tcBorders>
          </w:tcPr>
          <w:p w14:paraId="4EFF8E05" w14:textId="77777777" w:rsidR="005F18CB" w:rsidRPr="007B2BE1" w:rsidRDefault="005F18CB" w:rsidP="001E406E">
            <w:pPr>
              <w:pStyle w:val="ac"/>
              <w:overflowPunct w:val="0"/>
              <w:ind w:left="0"/>
              <w:jc w:val="center"/>
              <w:rPr>
                <w:rFonts w:ascii="Times New Roman" w:eastAsia="標楷體" w:hAnsi="Times New Roman" w:cs="Times New Roman"/>
                <w:sz w:val="24"/>
                <w:szCs w:val="24"/>
                <w:u w:val="single"/>
                <w:lang w:eastAsia="zh-TW"/>
              </w:rPr>
            </w:pPr>
          </w:p>
        </w:tc>
        <w:tc>
          <w:tcPr>
            <w:tcW w:w="1843" w:type="dxa"/>
            <w:tcBorders>
              <w:bottom w:val="nil"/>
            </w:tcBorders>
          </w:tcPr>
          <w:p w14:paraId="3CF82AEF" w14:textId="29EB9E51" w:rsidR="005F18CB" w:rsidRPr="007B2BE1" w:rsidRDefault="007B2BE1" w:rsidP="009C556F">
            <w:pPr>
              <w:pStyle w:val="ac"/>
              <w:overflowPunct w:val="0"/>
              <w:ind w:left="0" w:rightChars="177" w:right="425"/>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应评税利润</w:t>
            </w:r>
          </w:p>
        </w:tc>
      </w:tr>
      <w:tr w:rsidR="005F18CB" w:rsidRPr="007B2BE1" w14:paraId="4D24FC6E" w14:textId="77777777" w:rsidTr="009C556F">
        <w:trPr>
          <w:trHeight w:val="227"/>
        </w:trPr>
        <w:tc>
          <w:tcPr>
            <w:tcW w:w="1418" w:type="dxa"/>
            <w:tcBorders>
              <w:top w:val="nil"/>
              <w:left w:val="nil"/>
              <w:bottom w:val="nil"/>
              <w:right w:val="nil"/>
            </w:tcBorders>
          </w:tcPr>
          <w:p w14:paraId="22E4F0AC" w14:textId="64E8A135" w:rsidR="005F18CB" w:rsidRPr="007B2BE1" w:rsidRDefault="007B2BE1" w:rsidP="001E406E">
            <w:pPr>
              <w:pStyle w:val="ac"/>
              <w:overflowPunct w:val="0"/>
              <w:ind w:left="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课税年度</w:t>
            </w:r>
          </w:p>
        </w:tc>
        <w:tc>
          <w:tcPr>
            <w:tcW w:w="1559" w:type="dxa"/>
            <w:tcBorders>
              <w:top w:val="nil"/>
              <w:left w:val="nil"/>
              <w:bottom w:val="nil"/>
              <w:right w:val="nil"/>
            </w:tcBorders>
          </w:tcPr>
          <w:p w14:paraId="43F1AD1B" w14:textId="20B0CD7A" w:rsidR="005F18CB" w:rsidRPr="007B2BE1" w:rsidRDefault="007B2BE1" w:rsidP="001E406E">
            <w:pPr>
              <w:pStyle w:val="ac"/>
              <w:overflowPunct w:val="0"/>
              <w:ind w:left="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发出日期</w:t>
            </w:r>
          </w:p>
        </w:tc>
        <w:tc>
          <w:tcPr>
            <w:tcW w:w="1843" w:type="dxa"/>
            <w:tcBorders>
              <w:top w:val="nil"/>
              <w:left w:val="nil"/>
              <w:bottom w:val="nil"/>
              <w:right w:val="nil"/>
            </w:tcBorders>
          </w:tcPr>
          <w:p w14:paraId="1D259ACA" w14:textId="42C12276" w:rsidR="005F18CB" w:rsidRPr="007B2BE1" w:rsidRDefault="007B2BE1" w:rsidP="009C556F">
            <w:pPr>
              <w:pStyle w:val="ac"/>
              <w:overflowPunct w:val="0"/>
              <w:ind w:left="0" w:rightChars="177" w:right="425"/>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或</w:t>
            </w:r>
            <w:r w:rsidRPr="007B2BE1">
              <w:rPr>
                <w:rFonts w:ascii="Times New Roman" w:eastAsia="標楷體" w:hAnsi="Times New Roman" w:cs="Times New Roman"/>
                <w:sz w:val="24"/>
                <w:szCs w:val="24"/>
                <w:u w:val="single"/>
                <w:lang w:eastAsia="zh-CN"/>
              </w:rPr>
              <w:t xml:space="preserve"> (</w:t>
            </w:r>
            <w:r w:rsidRPr="007B2BE1">
              <w:rPr>
                <w:rFonts w:ascii="Times New Roman" w:eastAsia="標楷體" w:hAnsi="Times New Roman" w:cs="Times New Roman"/>
                <w:sz w:val="24"/>
                <w:szCs w:val="24"/>
                <w:u w:val="single"/>
                <w:lang w:eastAsia="zh-CN"/>
              </w:rPr>
              <w:t>亏损</w:t>
            </w:r>
            <w:r w:rsidRPr="007B2BE1">
              <w:rPr>
                <w:rFonts w:ascii="Times New Roman" w:eastAsia="標楷體" w:hAnsi="Times New Roman" w:cs="Times New Roman"/>
                <w:sz w:val="24"/>
                <w:szCs w:val="24"/>
                <w:u w:val="single"/>
                <w:lang w:eastAsia="zh-CN"/>
              </w:rPr>
              <w:t>)</w:t>
            </w:r>
          </w:p>
          <w:p w14:paraId="298ACE9C" w14:textId="5A0218E0" w:rsidR="001D1C66" w:rsidRPr="007B2BE1" w:rsidRDefault="007B2BE1" w:rsidP="009C556F">
            <w:pPr>
              <w:pStyle w:val="ac"/>
              <w:overflowPunct w:val="0"/>
              <w:ind w:left="0" w:rightChars="177" w:right="425"/>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元</w:t>
            </w:r>
          </w:p>
        </w:tc>
      </w:tr>
      <w:tr w:rsidR="005F18CB" w:rsidRPr="007B2BE1" w14:paraId="4629EDC3" w14:textId="77777777" w:rsidTr="009C556F">
        <w:trPr>
          <w:trHeight w:val="227"/>
        </w:trPr>
        <w:tc>
          <w:tcPr>
            <w:tcW w:w="1418" w:type="dxa"/>
            <w:tcBorders>
              <w:top w:val="nil"/>
            </w:tcBorders>
          </w:tcPr>
          <w:p w14:paraId="34256008" w14:textId="7F1C7C0B" w:rsidR="005F18CB" w:rsidRPr="007B2BE1" w:rsidRDefault="007B2BE1" w:rsidP="001E406E">
            <w:pPr>
              <w:widowControl/>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2011/12</w:t>
            </w:r>
          </w:p>
        </w:tc>
        <w:tc>
          <w:tcPr>
            <w:tcW w:w="1559" w:type="dxa"/>
            <w:tcBorders>
              <w:top w:val="nil"/>
            </w:tcBorders>
          </w:tcPr>
          <w:p w14:paraId="2EBA07C2" w14:textId="617F7397" w:rsidR="005F18CB" w:rsidRPr="007B2BE1" w:rsidRDefault="007B2BE1" w:rsidP="001E406E">
            <w:pPr>
              <w:widowControl/>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02-11-2012</w:t>
            </w:r>
          </w:p>
        </w:tc>
        <w:tc>
          <w:tcPr>
            <w:tcW w:w="1843" w:type="dxa"/>
            <w:tcBorders>
              <w:top w:val="nil"/>
            </w:tcBorders>
          </w:tcPr>
          <w:p w14:paraId="7031EBA4" w14:textId="31B3E692" w:rsidR="005F18CB" w:rsidRPr="007B2BE1" w:rsidRDefault="007B2BE1" w:rsidP="001E406E">
            <w:pPr>
              <w:widowControl/>
              <w:overflowPunct w:val="0"/>
              <w:ind w:rightChars="296" w:right="710"/>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2,896</w:t>
            </w:r>
          </w:p>
        </w:tc>
      </w:tr>
      <w:tr w:rsidR="005F18CB" w:rsidRPr="007B2BE1" w14:paraId="0A299E43" w14:textId="77777777" w:rsidTr="009C556F">
        <w:trPr>
          <w:trHeight w:val="227"/>
        </w:trPr>
        <w:tc>
          <w:tcPr>
            <w:tcW w:w="1418" w:type="dxa"/>
          </w:tcPr>
          <w:p w14:paraId="51931CFE" w14:textId="1067268D" w:rsidR="005F18CB" w:rsidRPr="007B2BE1" w:rsidRDefault="007B2BE1" w:rsidP="001E406E">
            <w:pPr>
              <w:widowControl/>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2012/13</w:t>
            </w:r>
          </w:p>
        </w:tc>
        <w:tc>
          <w:tcPr>
            <w:tcW w:w="1559" w:type="dxa"/>
          </w:tcPr>
          <w:p w14:paraId="13CC1D3C" w14:textId="36D06D43" w:rsidR="005F18CB" w:rsidRPr="007B2BE1" w:rsidRDefault="007B2BE1" w:rsidP="001E406E">
            <w:pPr>
              <w:widowControl/>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19-12-2013</w:t>
            </w:r>
          </w:p>
        </w:tc>
        <w:tc>
          <w:tcPr>
            <w:tcW w:w="1843" w:type="dxa"/>
          </w:tcPr>
          <w:p w14:paraId="188A3BEC" w14:textId="15EAD8EB" w:rsidR="005F18CB" w:rsidRPr="007B2BE1" w:rsidRDefault="007B2BE1" w:rsidP="001E406E">
            <w:pPr>
              <w:widowControl/>
              <w:overflowPunct w:val="0"/>
              <w:ind w:rightChars="296" w:right="710"/>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(158,249)</w:t>
            </w:r>
          </w:p>
        </w:tc>
      </w:tr>
      <w:tr w:rsidR="005F18CB" w:rsidRPr="007B2BE1" w14:paraId="3282CF7E" w14:textId="77777777" w:rsidTr="009C556F">
        <w:trPr>
          <w:trHeight w:val="227"/>
        </w:trPr>
        <w:tc>
          <w:tcPr>
            <w:tcW w:w="1418" w:type="dxa"/>
          </w:tcPr>
          <w:p w14:paraId="79A9156D" w14:textId="5AB947A3" w:rsidR="005F18CB" w:rsidRPr="007B2BE1" w:rsidRDefault="007B2BE1" w:rsidP="001E406E">
            <w:pPr>
              <w:widowControl/>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2013/14</w:t>
            </w:r>
          </w:p>
        </w:tc>
        <w:tc>
          <w:tcPr>
            <w:tcW w:w="1559" w:type="dxa"/>
          </w:tcPr>
          <w:p w14:paraId="66A7F36D" w14:textId="10338F67" w:rsidR="005F18CB" w:rsidRPr="007B2BE1" w:rsidRDefault="007B2BE1" w:rsidP="001E406E">
            <w:pPr>
              <w:widowControl/>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09-03-2016</w:t>
            </w:r>
          </w:p>
        </w:tc>
        <w:tc>
          <w:tcPr>
            <w:tcW w:w="1843" w:type="dxa"/>
          </w:tcPr>
          <w:p w14:paraId="54328E1D" w14:textId="1E30C4F5" w:rsidR="005F18CB" w:rsidRPr="007B2BE1" w:rsidRDefault="007B2BE1" w:rsidP="001E406E">
            <w:pPr>
              <w:widowControl/>
              <w:overflowPunct w:val="0"/>
              <w:ind w:rightChars="296" w:right="710"/>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326,627</w:t>
            </w:r>
          </w:p>
        </w:tc>
      </w:tr>
      <w:tr w:rsidR="005F18CB" w:rsidRPr="007B2BE1" w14:paraId="2D687121" w14:textId="77777777" w:rsidTr="009C556F">
        <w:trPr>
          <w:trHeight w:val="227"/>
        </w:trPr>
        <w:tc>
          <w:tcPr>
            <w:tcW w:w="1418" w:type="dxa"/>
          </w:tcPr>
          <w:p w14:paraId="5F5EF042" w14:textId="449B7189" w:rsidR="005F18CB" w:rsidRPr="007B2BE1" w:rsidRDefault="007B2BE1" w:rsidP="001E406E">
            <w:pPr>
              <w:widowControl/>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2014/15</w:t>
            </w:r>
          </w:p>
        </w:tc>
        <w:tc>
          <w:tcPr>
            <w:tcW w:w="1559" w:type="dxa"/>
          </w:tcPr>
          <w:p w14:paraId="58340BDC" w14:textId="74B1EA1D" w:rsidR="005F18CB" w:rsidRPr="007B2BE1" w:rsidRDefault="007B2BE1" w:rsidP="001E406E">
            <w:pPr>
              <w:widowControl/>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09-03-2016</w:t>
            </w:r>
          </w:p>
        </w:tc>
        <w:tc>
          <w:tcPr>
            <w:tcW w:w="1843" w:type="dxa"/>
          </w:tcPr>
          <w:p w14:paraId="5FB7E8BD" w14:textId="13AB0E64" w:rsidR="005F18CB" w:rsidRPr="007B2BE1" w:rsidRDefault="007B2BE1" w:rsidP="001E406E">
            <w:pPr>
              <w:widowControl/>
              <w:overflowPunct w:val="0"/>
              <w:ind w:rightChars="296" w:right="710"/>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322,640</w:t>
            </w:r>
          </w:p>
        </w:tc>
      </w:tr>
      <w:tr w:rsidR="009179DC" w:rsidRPr="007B2BE1" w14:paraId="65A1524F" w14:textId="77777777" w:rsidTr="009C556F">
        <w:trPr>
          <w:trHeight w:val="227"/>
        </w:trPr>
        <w:tc>
          <w:tcPr>
            <w:tcW w:w="1418" w:type="dxa"/>
          </w:tcPr>
          <w:p w14:paraId="73036AA5" w14:textId="3FC67FC1" w:rsidR="009179DC"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2015/16</w:t>
            </w:r>
          </w:p>
        </w:tc>
        <w:tc>
          <w:tcPr>
            <w:tcW w:w="1559" w:type="dxa"/>
          </w:tcPr>
          <w:p w14:paraId="651F303A" w14:textId="06091303" w:rsidR="009179DC"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06-12-2016</w:t>
            </w:r>
          </w:p>
        </w:tc>
        <w:tc>
          <w:tcPr>
            <w:tcW w:w="1843" w:type="dxa"/>
          </w:tcPr>
          <w:p w14:paraId="788A1DAC" w14:textId="61C32EEC" w:rsidR="009179DC" w:rsidRPr="007B2BE1" w:rsidRDefault="007B2BE1" w:rsidP="00F74386">
            <w:pPr>
              <w:widowControl/>
              <w:overflowPunct w:val="0"/>
              <w:ind w:rightChars="51" w:right="122"/>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460,000 (</w:t>
            </w:r>
            <w:r w:rsidRPr="007B2BE1">
              <w:rPr>
                <w:rFonts w:ascii="Times New Roman" w:eastAsia="標楷體" w:hAnsi="Times New Roman" w:cs="Times New Roman"/>
                <w:sz w:val="24"/>
                <w:szCs w:val="24"/>
                <w:lang w:eastAsia="zh-CN"/>
              </w:rPr>
              <w:t>注</w:t>
            </w:r>
            <w:r w:rsidRPr="007B2BE1">
              <w:rPr>
                <w:rFonts w:ascii="Times New Roman" w:eastAsia="標楷體" w:hAnsi="Times New Roman" w:cs="Times New Roman"/>
                <w:sz w:val="24"/>
                <w:szCs w:val="24"/>
                <w:lang w:eastAsia="zh-CN"/>
              </w:rPr>
              <w:t>2)</w:t>
            </w:r>
          </w:p>
        </w:tc>
      </w:tr>
      <w:tr w:rsidR="009179DC" w:rsidRPr="007B2BE1" w14:paraId="2E0D112E" w14:textId="77777777" w:rsidTr="009C556F">
        <w:trPr>
          <w:trHeight w:val="227"/>
        </w:trPr>
        <w:tc>
          <w:tcPr>
            <w:tcW w:w="1418" w:type="dxa"/>
          </w:tcPr>
          <w:p w14:paraId="5DD3F75A" w14:textId="55EE198F" w:rsidR="009179DC"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2015/16</w:t>
            </w:r>
          </w:p>
        </w:tc>
        <w:tc>
          <w:tcPr>
            <w:tcW w:w="1559" w:type="dxa"/>
          </w:tcPr>
          <w:p w14:paraId="27C51941" w14:textId="00CBF23F" w:rsidR="009179DC"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13-02-2017</w:t>
            </w:r>
          </w:p>
        </w:tc>
        <w:tc>
          <w:tcPr>
            <w:tcW w:w="1843" w:type="dxa"/>
          </w:tcPr>
          <w:p w14:paraId="4F66991F" w14:textId="70D96199" w:rsidR="009179DC" w:rsidRPr="007B2BE1" w:rsidRDefault="007B2BE1" w:rsidP="00F74386">
            <w:pPr>
              <w:widowControl/>
              <w:overflowPunct w:val="0"/>
              <w:ind w:rightChars="51" w:right="122"/>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355,151 (</w:t>
            </w:r>
            <w:r w:rsidRPr="007B2BE1">
              <w:rPr>
                <w:rFonts w:ascii="Times New Roman" w:eastAsia="標楷體" w:hAnsi="Times New Roman" w:cs="Times New Roman"/>
                <w:sz w:val="24"/>
                <w:szCs w:val="24"/>
                <w:lang w:eastAsia="zh-CN"/>
              </w:rPr>
              <w:t>注</w:t>
            </w:r>
            <w:r w:rsidRPr="007B2BE1">
              <w:rPr>
                <w:rFonts w:ascii="Times New Roman" w:eastAsia="標楷體" w:hAnsi="Times New Roman" w:cs="Times New Roman"/>
                <w:sz w:val="24"/>
                <w:szCs w:val="24"/>
                <w:lang w:eastAsia="zh-CN"/>
              </w:rPr>
              <w:t>3)</w:t>
            </w:r>
          </w:p>
        </w:tc>
      </w:tr>
    </w:tbl>
    <w:p w14:paraId="6EC3BC0B" w14:textId="77777777" w:rsidR="005F18CB" w:rsidRPr="007B2BE1" w:rsidRDefault="005F18CB"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rPr>
          <w:rFonts w:ascii="Times New Roman" w:eastAsia="標楷體" w:hAnsi="Times New Roman" w:cs="Times New Roman"/>
          <w:lang w:val="en-US" w:eastAsia="zh-TW"/>
        </w:rPr>
      </w:pPr>
    </w:p>
    <w:p w14:paraId="6611F57F" w14:textId="13E1CF31" w:rsidR="005F18CB" w:rsidRPr="007B2BE1" w:rsidRDefault="007B2BE1" w:rsidP="001E406E">
      <w:pPr>
        <w:overflowPunct w:val="0"/>
        <w:autoSpaceDE w:val="0"/>
        <w:autoSpaceDN w:val="0"/>
        <w:adjustRightInd w:val="0"/>
        <w:ind w:leftChars="878" w:left="2107"/>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注</w:t>
      </w:r>
      <w:r w:rsidRPr="007B2BE1">
        <w:rPr>
          <w:rFonts w:ascii="Times New Roman" w:eastAsia="標楷體" w:hAnsi="Times New Roman" w:cs="Times New Roman"/>
          <w:lang w:eastAsia="zh-CN"/>
        </w:rPr>
        <w:t>2</w:t>
      </w:r>
      <w:r w:rsidRPr="007B2BE1">
        <w:rPr>
          <w:rFonts w:ascii="Times New Roman" w:eastAsia="標楷體" w:hAnsi="Times New Roman" w:cs="Times New Roman"/>
          <w:lang w:eastAsia="zh-CN"/>
        </w:rPr>
        <w:t>：</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公司未有在限期内提交</w:t>
      </w:r>
      <w:r w:rsidRPr="007B2BE1">
        <w:rPr>
          <w:rFonts w:ascii="Times New Roman" w:eastAsia="標楷體" w:hAnsi="Times New Roman" w:cs="Times New Roman"/>
          <w:lang w:eastAsia="zh-CN"/>
        </w:rPr>
        <w:t>2015/16</w:t>
      </w:r>
      <w:r w:rsidRPr="007B2BE1">
        <w:rPr>
          <w:rFonts w:ascii="Times New Roman" w:eastAsia="標楷體" w:hAnsi="Times New Roman" w:cs="Times New Roman"/>
          <w:lang w:eastAsia="zh-CN"/>
        </w:rPr>
        <w:t>课税年度的利得税报税表，评税主任根据税例第</w:t>
      </w:r>
      <w:r w:rsidRPr="007B2BE1">
        <w:rPr>
          <w:rFonts w:ascii="Times New Roman" w:eastAsia="標楷體" w:hAnsi="Times New Roman" w:cs="Times New Roman"/>
          <w:lang w:eastAsia="zh-CN"/>
        </w:rPr>
        <w:t>59(3)</w:t>
      </w:r>
      <w:r w:rsidRPr="007B2BE1">
        <w:rPr>
          <w:rFonts w:ascii="Times New Roman" w:eastAsia="標楷體" w:hAnsi="Times New Roman" w:cs="Times New Roman"/>
          <w:lang w:eastAsia="zh-CN"/>
        </w:rPr>
        <w:t>条的规定，在未收到利得税报税表的情况下发出该课税年度估计评税。</w:t>
      </w:r>
    </w:p>
    <w:p w14:paraId="55969F38" w14:textId="77777777" w:rsidR="00C94400" w:rsidRPr="007B2BE1" w:rsidRDefault="00C94400"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eastAsia="zh-TW"/>
        </w:rPr>
      </w:pPr>
    </w:p>
    <w:p w14:paraId="0E670562" w14:textId="1EF5F6D5" w:rsidR="00C94400" w:rsidRPr="007B2BE1" w:rsidRDefault="007B2BE1" w:rsidP="001E406E">
      <w:pPr>
        <w:overflowPunct w:val="0"/>
        <w:autoSpaceDE w:val="0"/>
        <w:autoSpaceDN w:val="0"/>
        <w:adjustRightInd w:val="0"/>
        <w:ind w:leftChars="878" w:left="2107"/>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t>注</w:t>
      </w:r>
      <w:r w:rsidRPr="007B2BE1">
        <w:rPr>
          <w:rFonts w:ascii="Times New Roman" w:eastAsia="標楷體" w:hAnsi="Times New Roman" w:cs="Times New Roman"/>
          <w:lang w:eastAsia="zh-CN"/>
        </w:rPr>
        <w:t>3</w:t>
      </w:r>
      <w:r w:rsidRPr="007B2BE1">
        <w:rPr>
          <w:rFonts w:ascii="Times New Roman" w:eastAsia="標楷體" w:hAnsi="Times New Roman" w:cs="Times New Roman"/>
          <w:lang w:eastAsia="zh-CN"/>
        </w:rPr>
        <w:t>：</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公司于</w:t>
      </w:r>
      <w:r w:rsidRPr="007B2BE1">
        <w:rPr>
          <w:rFonts w:ascii="Times New Roman" w:eastAsia="標楷體" w:hAnsi="Times New Roman" w:cs="Times New Roman"/>
          <w:lang w:eastAsia="zh-CN"/>
        </w:rPr>
        <w:t>2017</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1</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5</w:t>
      </w:r>
      <w:r w:rsidRPr="007B2BE1">
        <w:rPr>
          <w:rFonts w:ascii="Times New Roman" w:eastAsia="標楷體" w:hAnsi="Times New Roman" w:cs="Times New Roman"/>
          <w:lang w:eastAsia="zh-CN"/>
        </w:rPr>
        <w:t>日提交</w:t>
      </w:r>
      <w:r w:rsidRPr="007B2BE1">
        <w:rPr>
          <w:rFonts w:ascii="Times New Roman" w:eastAsia="標楷體" w:hAnsi="Times New Roman" w:cs="Times New Roman"/>
          <w:lang w:eastAsia="zh-CN"/>
        </w:rPr>
        <w:t>2015/16</w:t>
      </w:r>
      <w:r w:rsidRPr="007B2BE1">
        <w:rPr>
          <w:rFonts w:ascii="Times New Roman" w:eastAsia="標楷體" w:hAnsi="Times New Roman" w:cs="Times New Roman"/>
          <w:lang w:eastAsia="zh-CN"/>
        </w:rPr>
        <w:t>课税年度的利得税报税表。评税主任随后根据税例第</w:t>
      </w:r>
      <w:r w:rsidRPr="007B2BE1">
        <w:rPr>
          <w:rFonts w:ascii="Times New Roman" w:eastAsia="標楷體" w:hAnsi="Times New Roman" w:cs="Times New Roman"/>
          <w:lang w:eastAsia="zh-CN"/>
        </w:rPr>
        <w:t>64(3)</w:t>
      </w:r>
      <w:r w:rsidRPr="007B2BE1">
        <w:rPr>
          <w:rFonts w:ascii="Times New Roman" w:eastAsia="標楷體" w:hAnsi="Times New Roman" w:cs="Times New Roman"/>
          <w:lang w:eastAsia="zh-CN"/>
        </w:rPr>
        <w:t>条向</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公司发出利得税修订评税，修订该课税年度的应评税利润为</w:t>
      </w:r>
      <w:r w:rsidRPr="007B2BE1">
        <w:rPr>
          <w:rFonts w:ascii="Times New Roman" w:eastAsia="標楷體" w:hAnsi="Times New Roman" w:cs="Times New Roman"/>
          <w:lang w:eastAsia="zh-CN"/>
        </w:rPr>
        <w:t>355,151</w:t>
      </w:r>
      <w:r w:rsidRPr="007B2BE1">
        <w:rPr>
          <w:rFonts w:ascii="Times New Roman" w:eastAsia="標楷體" w:hAnsi="Times New Roman" w:cs="Times New Roman"/>
          <w:lang w:eastAsia="zh-CN"/>
        </w:rPr>
        <w:t>元。</w:t>
      </w:r>
    </w:p>
    <w:p w14:paraId="2D5693F4" w14:textId="77777777" w:rsidR="005F18CB" w:rsidRPr="007B2BE1" w:rsidRDefault="005F18CB"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CN"/>
        </w:rPr>
      </w:pPr>
    </w:p>
    <w:p w14:paraId="4F5452B9" w14:textId="33DD4BFD" w:rsidR="005F18CB"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公司没有就上述</w:t>
      </w:r>
      <w:r w:rsidRPr="007B2BE1">
        <w:rPr>
          <w:rFonts w:ascii="Times New Roman" w:eastAsia="標楷體" w:hAnsi="Times New Roman" w:cs="Times New Roman"/>
          <w:lang w:val="en-US" w:eastAsia="zh-CN"/>
        </w:rPr>
        <w:t>2011/12</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2014/15</w:t>
      </w:r>
      <w:r w:rsidRPr="007B2BE1">
        <w:rPr>
          <w:rFonts w:ascii="Times New Roman" w:eastAsia="標楷體" w:hAnsi="Times New Roman" w:cs="Times New Roman"/>
          <w:lang w:val="en-US" w:eastAsia="zh-CN"/>
        </w:rPr>
        <w:t>课税年度的利得税评税或亏损额计算表提出反对或异议，连同</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课税年度的利得税修订评税，上述利得税评税根据税例第</w:t>
      </w:r>
      <w:r w:rsidRPr="007B2BE1">
        <w:rPr>
          <w:rFonts w:ascii="Times New Roman" w:eastAsia="標楷體" w:hAnsi="Times New Roman" w:cs="Times New Roman"/>
          <w:lang w:val="en-US" w:eastAsia="zh-CN"/>
        </w:rPr>
        <w:t>70</w:t>
      </w:r>
      <w:r w:rsidRPr="007B2BE1">
        <w:rPr>
          <w:rFonts w:ascii="Times New Roman" w:eastAsia="標楷體" w:hAnsi="Times New Roman" w:cs="Times New Roman"/>
          <w:lang w:val="en-US" w:eastAsia="zh-CN"/>
        </w:rPr>
        <w:t>条的规定成为最终及决定性评税。</w:t>
      </w:r>
    </w:p>
    <w:p w14:paraId="2217D178" w14:textId="77777777" w:rsidR="006910C5" w:rsidRPr="007B2BE1" w:rsidRDefault="006910C5"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A481885" w14:textId="5A535D45" w:rsidR="00C94400"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另外，税务局在不同日期发出</w:t>
      </w: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课税年度的个别人士报税表给</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先生填报。</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先生向税务局提交有关报税表，申报其租金及薪俸收</w:t>
      </w:r>
      <w:r w:rsidRPr="007B2BE1">
        <w:rPr>
          <w:rFonts w:ascii="Times New Roman" w:eastAsia="標楷體" w:hAnsi="Times New Roman" w:cs="Times New Roman"/>
          <w:lang w:eastAsia="zh-CN"/>
        </w:rPr>
        <w:t>入</w:t>
      </w:r>
      <w:r w:rsidRPr="007B2BE1">
        <w:rPr>
          <w:rFonts w:ascii="Times New Roman" w:eastAsia="標楷體" w:hAnsi="Times New Roman" w:cs="Times New Roman"/>
          <w:lang w:val="en-US" w:eastAsia="zh-CN"/>
        </w:rPr>
        <w:t>如下：</w:t>
      </w:r>
    </w:p>
    <w:p w14:paraId="7D41BDC1" w14:textId="77777777" w:rsidR="00C24305" w:rsidRPr="007B2BE1" w:rsidRDefault="00C24305"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CN"/>
        </w:rPr>
      </w:pPr>
    </w:p>
    <w:tbl>
      <w:tblPr>
        <w:tblStyle w:val="TableNormal1"/>
        <w:tblW w:w="6804" w:type="dxa"/>
        <w:tblInd w:w="1985" w:type="dxa"/>
        <w:tblBorders>
          <w:top w:val="nil"/>
          <w:left w:val="nil"/>
          <w:bottom w:val="nil"/>
          <w:right w:val="nil"/>
          <w:insideH w:val="nil"/>
          <w:insideV w:val="nil"/>
        </w:tblBorders>
        <w:tblLayout w:type="fixed"/>
        <w:tblLook w:val="01E0" w:firstRow="1" w:lastRow="1" w:firstColumn="1" w:lastColumn="1" w:noHBand="0" w:noVBand="0"/>
      </w:tblPr>
      <w:tblGrid>
        <w:gridCol w:w="1165"/>
        <w:gridCol w:w="1528"/>
        <w:gridCol w:w="1559"/>
        <w:gridCol w:w="1276"/>
        <w:gridCol w:w="1276"/>
      </w:tblGrid>
      <w:tr w:rsidR="00C24305" w:rsidRPr="007B2BE1" w14:paraId="59158648" w14:textId="77777777" w:rsidTr="00747705">
        <w:trPr>
          <w:trHeight w:val="227"/>
          <w:tblHeader/>
        </w:trPr>
        <w:tc>
          <w:tcPr>
            <w:tcW w:w="1165" w:type="dxa"/>
            <w:tcBorders>
              <w:bottom w:val="nil"/>
            </w:tcBorders>
          </w:tcPr>
          <w:p w14:paraId="24848FBA" w14:textId="77777777" w:rsidR="00C24305" w:rsidRPr="007B2BE1" w:rsidRDefault="00C24305" w:rsidP="001E406E">
            <w:pPr>
              <w:pStyle w:val="TableParagraph"/>
              <w:overflowPunct w:val="0"/>
              <w:spacing w:before="0"/>
              <w:ind w:left="31"/>
              <w:rPr>
                <w:rFonts w:eastAsia="標楷體"/>
                <w:sz w:val="24"/>
                <w:szCs w:val="24"/>
                <w:lang w:eastAsia="zh-CN"/>
              </w:rPr>
            </w:pPr>
          </w:p>
        </w:tc>
        <w:tc>
          <w:tcPr>
            <w:tcW w:w="1528" w:type="dxa"/>
            <w:tcBorders>
              <w:bottom w:val="nil"/>
            </w:tcBorders>
          </w:tcPr>
          <w:p w14:paraId="0C8A859A" w14:textId="3F741876" w:rsidR="00C24305" w:rsidRPr="007B2BE1" w:rsidRDefault="007B2BE1" w:rsidP="001E406E">
            <w:pPr>
              <w:pStyle w:val="TableParagraph"/>
              <w:overflowPunct w:val="0"/>
              <w:spacing w:before="0"/>
              <w:ind w:left="127"/>
              <w:rPr>
                <w:rFonts w:eastAsia="標楷體"/>
                <w:sz w:val="24"/>
                <w:szCs w:val="24"/>
                <w:u w:val="single"/>
              </w:rPr>
            </w:pPr>
            <w:r w:rsidRPr="007B2BE1">
              <w:rPr>
                <w:rFonts w:eastAsia="標楷體"/>
                <w:sz w:val="24"/>
                <w:szCs w:val="24"/>
                <w:u w:val="single"/>
                <w:lang w:eastAsia="zh-CN"/>
              </w:rPr>
              <w:t>报税表</w:t>
            </w:r>
          </w:p>
        </w:tc>
        <w:tc>
          <w:tcPr>
            <w:tcW w:w="1559" w:type="dxa"/>
            <w:tcBorders>
              <w:bottom w:val="nil"/>
            </w:tcBorders>
          </w:tcPr>
          <w:p w14:paraId="39340CCF" w14:textId="6B292A20" w:rsidR="00C24305" w:rsidRPr="007B2BE1" w:rsidRDefault="007B2BE1" w:rsidP="001E406E">
            <w:pPr>
              <w:pStyle w:val="TableParagraph"/>
              <w:overflowPunct w:val="0"/>
              <w:spacing w:before="0"/>
              <w:ind w:left="6"/>
              <w:rPr>
                <w:rFonts w:eastAsia="標楷體"/>
                <w:sz w:val="24"/>
                <w:szCs w:val="24"/>
                <w:u w:val="single"/>
              </w:rPr>
            </w:pPr>
            <w:r w:rsidRPr="007B2BE1">
              <w:rPr>
                <w:rFonts w:eastAsia="標楷體"/>
                <w:sz w:val="24"/>
                <w:szCs w:val="24"/>
                <w:u w:val="single"/>
                <w:lang w:eastAsia="zh-CN"/>
              </w:rPr>
              <w:t>报税表</w:t>
            </w:r>
          </w:p>
        </w:tc>
        <w:tc>
          <w:tcPr>
            <w:tcW w:w="1276" w:type="dxa"/>
            <w:tcBorders>
              <w:bottom w:val="nil"/>
            </w:tcBorders>
          </w:tcPr>
          <w:p w14:paraId="1CDC2CF4" w14:textId="6F42108E" w:rsidR="00C24305" w:rsidRPr="007B2BE1" w:rsidRDefault="007B2BE1" w:rsidP="001E406E">
            <w:pPr>
              <w:pStyle w:val="TableParagraph"/>
              <w:tabs>
                <w:tab w:val="left" w:pos="791"/>
              </w:tabs>
              <w:overflowPunct w:val="0"/>
              <w:spacing w:before="0"/>
              <w:rPr>
                <w:rFonts w:eastAsia="標楷體"/>
                <w:sz w:val="24"/>
                <w:szCs w:val="24"/>
                <w:u w:val="single"/>
              </w:rPr>
            </w:pPr>
            <w:r w:rsidRPr="007B2BE1">
              <w:rPr>
                <w:rFonts w:eastAsia="標楷體"/>
                <w:sz w:val="24"/>
                <w:szCs w:val="24"/>
                <w:u w:val="single"/>
                <w:lang w:eastAsia="zh-CN"/>
              </w:rPr>
              <w:t>申报的</w:t>
            </w:r>
          </w:p>
        </w:tc>
        <w:tc>
          <w:tcPr>
            <w:tcW w:w="1276" w:type="dxa"/>
            <w:tcBorders>
              <w:bottom w:val="nil"/>
            </w:tcBorders>
          </w:tcPr>
          <w:p w14:paraId="45B5589E" w14:textId="1B22B160" w:rsidR="00C24305" w:rsidRPr="007B2BE1" w:rsidRDefault="007B2BE1" w:rsidP="001E406E">
            <w:pPr>
              <w:pStyle w:val="TableParagraph"/>
              <w:tabs>
                <w:tab w:val="left" w:pos="753"/>
              </w:tabs>
              <w:overflowPunct w:val="0"/>
              <w:spacing w:before="0"/>
              <w:ind w:left="5"/>
              <w:rPr>
                <w:rFonts w:eastAsia="標楷體"/>
                <w:sz w:val="24"/>
                <w:szCs w:val="24"/>
                <w:u w:val="single"/>
              </w:rPr>
            </w:pPr>
            <w:r w:rsidRPr="007B2BE1">
              <w:rPr>
                <w:rFonts w:eastAsia="標楷體"/>
                <w:sz w:val="24"/>
                <w:szCs w:val="24"/>
                <w:u w:val="single"/>
                <w:lang w:eastAsia="zh-CN"/>
              </w:rPr>
              <w:t>申报的</w:t>
            </w:r>
          </w:p>
        </w:tc>
      </w:tr>
      <w:tr w:rsidR="00C24305" w:rsidRPr="007B2BE1" w14:paraId="3E9D93B9" w14:textId="77777777" w:rsidTr="00747705">
        <w:trPr>
          <w:trHeight w:val="227"/>
          <w:tblHeader/>
        </w:trPr>
        <w:tc>
          <w:tcPr>
            <w:tcW w:w="1165" w:type="dxa"/>
            <w:tcBorders>
              <w:top w:val="nil"/>
              <w:left w:val="nil"/>
              <w:bottom w:val="nil"/>
              <w:right w:val="nil"/>
            </w:tcBorders>
          </w:tcPr>
          <w:p w14:paraId="29CD4CAD" w14:textId="7480D575" w:rsidR="00C24305" w:rsidRPr="007B2BE1" w:rsidRDefault="007B2BE1" w:rsidP="001E406E">
            <w:pPr>
              <w:pStyle w:val="TableParagraph"/>
              <w:overflowPunct w:val="0"/>
              <w:spacing w:before="0"/>
              <w:ind w:left="31"/>
              <w:rPr>
                <w:rFonts w:eastAsia="標楷體"/>
                <w:sz w:val="24"/>
                <w:szCs w:val="24"/>
                <w:u w:val="single"/>
              </w:rPr>
            </w:pPr>
            <w:r w:rsidRPr="007B2BE1">
              <w:rPr>
                <w:rFonts w:eastAsia="標楷體"/>
                <w:sz w:val="24"/>
                <w:szCs w:val="24"/>
                <w:u w:val="single"/>
                <w:lang w:eastAsia="zh-CN"/>
              </w:rPr>
              <w:t>课税年度</w:t>
            </w:r>
          </w:p>
        </w:tc>
        <w:tc>
          <w:tcPr>
            <w:tcW w:w="1528" w:type="dxa"/>
            <w:tcBorders>
              <w:top w:val="nil"/>
              <w:left w:val="nil"/>
              <w:bottom w:val="nil"/>
              <w:right w:val="nil"/>
            </w:tcBorders>
          </w:tcPr>
          <w:p w14:paraId="44035E7E" w14:textId="7D8D054B" w:rsidR="00C24305" w:rsidRPr="007B2BE1" w:rsidRDefault="007B2BE1" w:rsidP="001E406E">
            <w:pPr>
              <w:pStyle w:val="TableParagraph"/>
              <w:overflowPunct w:val="0"/>
              <w:spacing w:before="0"/>
              <w:ind w:left="127"/>
              <w:rPr>
                <w:rFonts w:eastAsia="標楷體"/>
                <w:sz w:val="24"/>
                <w:szCs w:val="24"/>
                <w:u w:val="single"/>
              </w:rPr>
            </w:pPr>
            <w:r w:rsidRPr="007B2BE1">
              <w:rPr>
                <w:rFonts w:eastAsia="標楷體"/>
                <w:sz w:val="24"/>
                <w:szCs w:val="24"/>
                <w:u w:val="single"/>
                <w:lang w:eastAsia="zh-CN"/>
              </w:rPr>
              <w:t>发出日期</w:t>
            </w:r>
          </w:p>
        </w:tc>
        <w:tc>
          <w:tcPr>
            <w:tcW w:w="1559" w:type="dxa"/>
            <w:tcBorders>
              <w:top w:val="nil"/>
              <w:left w:val="nil"/>
              <w:bottom w:val="nil"/>
              <w:right w:val="nil"/>
            </w:tcBorders>
          </w:tcPr>
          <w:p w14:paraId="504CD2DA" w14:textId="795B2CF7" w:rsidR="00C24305" w:rsidRPr="007B2BE1" w:rsidRDefault="007B2BE1" w:rsidP="001E406E">
            <w:pPr>
              <w:pStyle w:val="TableParagraph"/>
              <w:overflowPunct w:val="0"/>
              <w:spacing w:before="0"/>
              <w:ind w:left="6"/>
              <w:rPr>
                <w:rFonts w:eastAsia="標楷體"/>
                <w:sz w:val="24"/>
                <w:szCs w:val="24"/>
                <w:u w:val="single"/>
              </w:rPr>
            </w:pPr>
            <w:r w:rsidRPr="007B2BE1">
              <w:rPr>
                <w:rFonts w:eastAsia="標楷體"/>
                <w:sz w:val="24"/>
                <w:szCs w:val="24"/>
                <w:u w:val="single"/>
                <w:lang w:eastAsia="zh-CN"/>
              </w:rPr>
              <w:t>提交日期</w:t>
            </w:r>
          </w:p>
        </w:tc>
        <w:tc>
          <w:tcPr>
            <w:tcW w:w="1276" w:type="dxa"/>
            <w:tcBorders>
              <w:top w:val="nil"/>
              <w:left w:val="nil"/>
              <w:bottom w:val="nil"/>
              <w:right w:val="nil"/>
            </w:tcBorders>
          </w:tcPr>
          <w:p w14:paraId="7854CA47" w14:textId="524D0343" w:rsidR="00C24305" w:rsidRPr="007B2BE1" w:rsidRDefault="007B2BE1" w:rsidP="001E406E">
            <w:pPr>
              <w:pStyle w:val="TableParagraph"/>
              <w:tabs>
                <w:tab w:val="left" w:pos="791"/>
              </w:tabs>
              <w:overflowPunct w:val="0"/>
              <w:spacing w:before="0"/>
              <w:rPr>
                <w:rFonts w:eastAsia="標楷體"/>
                <w:sz w:val="24"/>
                <w:szCs w:val="24"/>
                <w:u w:val="single"/>
              </w:rPr>
            </w:pPr>
            <w:r w:rsidRPr="007B2BE1">
              <w:rPr>
                <w:rFonts w:eastAsia="標楷體"/>
                <w:sz w:val="24"/>
                <w:szCs w:val="24"/>
                <w:u w:val="single"/>
                <w:lang w:eastAsia="zh-CN"/>
              </w:rPr>
              <w:t>应评税值</w:t>
            </w:r>
          </w:p>
          <w:p w14:paraId="2E41CF30" w14:textId="0EA3089F" w:rsidR="001D1C66" w:rsidRPr="007B2BE1" w:rsidRDefault="007B2BE1" w:rsidP="001E406E">
            <w:pPr>
              <w:pStyle w:val="TableParagraph"/>
              <w:overflowPunct w:val="0"/>
              <w:spacing w:before="0"/>
              <w:rPr>
                <w:rFonts w:eastAsia="標楷體"/>
                <w:sz w:val="24"/>
                <w:szCs w:val="24"/>
              </w:rPr>
            </w:pPr>
            <w:r w:rsidRPr="007B2BE1">
              <w:rPr>
                <w:rFonts w:eastAsia="標楷體"/>
                <w:sz w:val="24"/>
                <w:szCs w:val="24"/>
                <w:lang w:eastAsia="zh-CN"/>
              </w:rPr>
              <w:t>元</w:t>
            </w:r>
          </w:p>
        </w:tc>
        <w:tc>
          <w:tcPr>
            <w:tcW w:w="1276" w:type="dxa"/>
            <w:tcBorders>
              <w:top w:val="nil"/>
              <w:left w:val="nil"/>
              <w:bottom w:val="nil"/>
              <w:right w:val="nil"/>
            </w:tcBorders>
          </w:tcPr>
          <w:p w14:paraId="673441AD" w14:textId="34711E4D" w:rsidR="00C24305" w:rsidRPr="007B2BE1" w:rsidRDefault="007B2BE1" w:rsidP="001E406E">
            <w:pPr>
              <w:pStyle w:val="TableParagraph"/>
              <w:tabs>
                <w:tab w:val="left" w:pos="753"/>
              </w:tabs>
              <w:overflowPunct w:val="0"/>
              <w:spacing w:before="0"/>
              <w:ind w:left="5"/>
              <w:rPr>
                <w:rFonts w:eastAsia="標楷體"/>
                <w:sz w:val="24"/>
                <w:szCs w:val="24"/>
                <w:u w:val="single"/>
              </w:rPr>
            </w:pPr>
            <w:r w:rsidRPr="007B2BE1">
              <w:rPr>
                <w:rFonts w:eastAsia="標楷體"/>
                <w:sz w:val="24"/>
                <w:szCs w:val="24"/>
                <w:u w:val="single"/>
                <w:lang w:eastAsia="zh-CN"/>
              </w:rPr>
              <w:t>应评税入息</w:t>
            </w:r>
          </w:p>
          <w:p w14:paraId="2DB61DAF" w14:textId="22A80E22" w:rsidR="001D1C66" w:rsidRPr="007B2BE1" w:rsidRDefault="007B2BE1" w:rsidP="001E406E">
            <w:pPr>
              <w:pStyle w:val="TableParagraph"/>
              <w:tabs>
                <w:tab w:val="left" w:pos="753"/>
              </w:tabs>
              <w:overflowPunct w:val="0"/>
              <w:spacing w:before="0"/>
              <w:ind w:left="5"/>
              <w:rPr>
                <w:rFonts w:eastAsia="標楷體"/>
                <w:sz w:val="24"/>
                <w:szCs w:val="24"/>
              </w:rPr>
            </w:pPr>
            <w:r w:rsidRPr="007B2BE1">
              <w:rPr>
                <w:rFonts w:eastAsia="標楷體"/>
                <w:sz w:val="24"/>
                <w:szCs w:val="24"/>
                <w:lang w:eastAsia="zh-CN"/>
              </w:rPr>
              <w:t>元</w:t>
            </w:r>
          </w:p>
        </w:tc>
      </w:tr>
      <w:tr w:rsidR="00C24305" w:rsidRPr="007B2BE1" w14:paraId="55098B1B" w14:textId="77777777" w:rsidTr="00747705">
        <w:trPr>
          <w:trHeight w:val="227"/>
        </w:trPr>
        <w:tc>
          <w:tcPr>
            <w:tcW w:w="1165" w:type="dxa"/>
            <w:tcBorders>
              <w:top w:val="nil"/>
            </w:tcBorders>
          </w:tcPr>
          <w:p w14:paraId="293CA2C9" w14:textId="541619C0"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2007/08</w:t>
            </w:r>
          </w:p>
        </w:tc>
        <w:tc>
          <w:tcPr>
            <w:tcW w:w="1528" w:type="dxa"/>
            <w:tcBorders>
              <w:top w:val="nil"/>
            </w:tcBorders>
          </w:tcPr>
          <w:p w14:paraId="5A4E106F" w14:textId="54A700DE"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02-05-2008</w:t>
            </w:r>
          </w:p>
        </w:tc>
        <w:tc>
          <w:tcPr>
            <w:tcW w:w="1559" w:type="dxa"/>
            <w:tcBorders>
              <w:top w:val="nil"/>
            </w:tcBorders>
          </w:tcPr>
          <w:p w14:paraId="4DF85CAE" w14:textId="2DFC80FF"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02-07-2008</w:t>
            </w:r>
          </w:p>
        </w:tc>
        <w:tc>
          <w:tcPr>
            <w:tcW w:w="1276" w:type="dxa"/>
            <w:tcBorders>
              <w:top w:val="nil"/>
            </w:tcBorders>
          </w:tcPr>
          <w:p w14:paraId="77E85268" w14:textId="12DE5742"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40,064</w:t>
            </w:r>
          </w:p>
        </w:tc>
        <w:tc>
          <w:tcPr>
            <w:tcW w:w="1276" w:type="dxa"/>
            <w:tcBorders>
              <w:top w:val="nil"/>
            </w:tcBorders>
          </w:tcPr>
          <w:p w14:paraId="0BB90BE2" w14:textId="2FE8B704"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150,000</w:t>
            </w:r>
          </w:p>
        </w:tc>
      </w:tr>
      <w:tr w:rsidR="00C24305" w:rsidRPr="007B2BE1" w14:paraId="217A0551" w14:textId="77777777" w:rsidTr="00747705">
        <w:trPr>
          <w:trHeight w:val="227"/>
        </w:trPr>
        <w:tc>
          <w:tcPr>
            <w:tcW w:w="1165" w:type="dxa"/>
          </w:tcPr>
          <w:p w14:paraId="6A2A78E0" w14:textId="6286946F"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2008/09</w:t>
            </w:r>
          </w:p>
        </w:tc>
        <w:tc>
          <w:tcPr>
            <w:tcW w:w="1528" w:type="dxa"/>
          </w:tcPr>
          <w:p w14:paraId="7A6C230E" w14:textId="4AF8178D"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04-05-2009</w:t>
            </w:r>
          </w:p>
        </w:tc>
        <w:tc>
          <w:tcPr>
            <w:tcW w:w="1559" w:type="dxa"/>
          </w:tcPr>
          <w:p w14:paraId="2189CFB1" w14:textId="36E13546"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01-12-2009</w:t>
            </w:r>
          </w:p>
        </w:tc>
        <w:tc>
          <w:tcPr>
            <w:tcW w:w="1276" w:type="dxa"/>
          </w:tcPr>
          <w:p w14:paraId="3EF179AA" w14:textId="4D2D9ABB"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276" w:type="dxa"/>
          </w:tcPr>
          <w:p w14:paraId="50D549B8" w14:textId="36F60410"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240,000</w:t>
            </w:r>
          </w:p>
        </w:tc>
      </w:tr>
      <w:tr w:rsidR="00C24305" w:rsidRPr="007B2BE1" w14:paraId="00417ACF" w14:textId="77777777" w:rsidTr="00747705">
        <w:trPr>
          <w:trHeight w:val="227"/>
        </w:trPr>
        <w:tc>
          <w:tcPr>
            <w:tcW w:w="1165" w:type="dxa"/>
          </w:tcPr>
          <w:p w14:paraId="612AB65C" w14:textId="770460E4"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2009/10</w:t>
            </w:r>
          </w:p>
        </w:tc>
        <w:tc>
          <w:tcPr>
            <w:tcW w:w="1528" w:type="dxa"/>
          </w:tcPr>
          <w:p w14:paraId="3EA2E1A1" w14:textId="6B4E22CE"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03-05-2010</w:t>
            </w:r>
          </w:p>
        </w:tc>
        <w:tc>
          <w:tcPr>
            <w:tcW w:w="1559" w:type="dxa"/>
          </w:tcPr>
          <w:p w14:paraId="09B6C126" w14:textId="6E398715"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20-07-2010</w:t>
            </w:r>
          </w:p>
        </w:tc>
        <w:tc>
          <w:tcPr>
            <w:tcW w:w="1276" w:type="dxa"/>
          </w:tcPr>
          <w:p w14:paraId="431C723F" w14:textId="10EE3DAF"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40,064</w:t>
            </w:r>
          </w:p>
        </w:tc>
        <w:tc>
          <w:tcPr>
            <w:tcW w:w="1276" w:type="dxa"/>
          </w:tcPr>
          <w:p w14:paraId="3557B181" w14:textId="7001E7B2"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360,000</w:t>
            </w:r>
          </w:p>
        </w:tc>
      </w:tr>
      <w:tr w:rsidR="00C24305" w:rsidRPr="007B2BE1" w14:paraId="52CDD21A" w14:textId="77777777" w:rsidTr="00747705">
        <w:trPr>
          <w:trHeight w:val="227"/>
        </w:trPr>
        <w:tc>
          <w:tcPr>
            <w:tcW w:w="1165" w:type="dxa"/>
          </w:tcPr>
          <w:p w14:paraId="6B10FB9D" w14:textId="0AAAF98B"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2010/11</w:t>
            </w:r>
          </w:p>
        </w:tc>
        <w:tc>
          <w:tcPr>
            <w:tcW w:w="1528" w:type="dxa"/>
          </w:tcPr>
          <w:p w14:paraId="05919A85" w14:textId="0B72D6C5"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03-05-2011</w:t>
            </w:r>
          </w:p>
        </w:tc>
        <w:tc>
          <w:tcPr>
            <w:tcW w:w="1559" w:type="dxa"/>
          </w:tcPr>
          <w:p w14:paraId="3DE19225" w14:textId="1FCD99DA"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10-06-2011</w:t>
            </w:r>
          </w:p>
        </w:tc>
        <w:tc>
          <w:tcPr>
            <w:tcW w:w="1276" w:type="dxa"/>
          </w:tcPr>
          <w:p w14:paraId="11B06744" w14:textId="23BAD3D6"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276" w:type="dxa"/>
          </w:tcPr>
          <w:p w14:paraId="37765CAB" w14:textId="081051E4"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390,000</w:t>
            </w:r>
          </w:p>
        </w:tc>
      </w:tr>
      <w:tr w:rsidR="00C24305" w:rsidRPr="007B2BE1" w14:paraId="251F3428" w14:textId="77777777" w:rsidTr="00747705">
        <w:trPr>
          <w:trHeight w:val="227"/>
        </w:trPr>
        <w:tc>
          <w:tcPr>
            <w:tcW w:w="1165" w:type="dxa"/>
          </w:tcPr>
          <w:p w14:paraId="3D022250" w14:textId="3F0068E6"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2011/12</w:t>
            </w:r>
          </w:p>
        </w:tc>
        <w:tc>
          <w:tcPr>
            <w:tcW w:w="1528" w:type="dxa"/>
          </w:tcPr>
          <w:p w14:paraId="15EB1C00" w14:textId="479DCBBF"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02-05-2012</w:t>
            </w:r>
          </w:p>
        </w:tc>
        <w:tc>
          <w:tcPr>
            <w:tcW w:w="1559" w:type="dxa"/>
          </w:tcPr>
          <w:p w14:paraId="779DE3AB" w14:textId="6A9E9CCC"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01-06-2012</w:t>
            </w:r>
          </w:p>
        </w:tc>
        <w:tc>
          <w:tcPr>
            <w:tcW w:w="1276" w:type="dxa"/>
          </w:tcPr>
          <w:p w14:paraId="7F3415BF" w14:textId="23422C46"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276" w:type="dxa"/>
          </w:tcPr>
          <w:p w14:paraId="0C333FB2" w14:textId="77777777" w:rsidR="00C24305" w:rsidRPr="007B2BE1" w:rsidRDefault="00C24305" w:rsidP="001E406E">
            <w:pPr>
              <w:overflowPunct w:val="0"/>
              <w:jc w:val="center"/>
              <w:rPr>
                <w:rFonts w:ascii="Times New Roman" w:eastAsia="標楷體" w:hAnsi="Times New Roman" w:cs="Times New Roman"/>
                <w:sz w:val="24"/>
                <w:szCs w:val="24"/>
              </w:rPr>
            </w:pPr>
          </w:p>
        </w:tc>
      </w:tr>
      <w:tr w:rsidR="00C24305" w:rsidRPr="007B2BE1" w14:paraId="1BEE97BE" w14:textId="77777777" w:rsidTr="00747705">
        <w:trPr>
          <w:trHeight w:val="227"/>
        </w:trPr>
        <w:tc>
          <w:tcPr>
            <w:tcW w:w="1165" w:type="dxa"/>
          </w:tcPr>
          <w:p w14:paraId="3920A79E" w14:textId="4445EE42"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2012/13</w:t>
            </w:r>
          </w:p>
        </w:tc>
        <w:tc>
          <w:tcPr>
            <w:tcW w:w="1528" w:type="dxa"/>
          </w:tcPr>
          <w:p w14:paraId="34CB1E02" w14:textId="07A5B474"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23-03-2015</w:t>
            </w:r>
          </w:p>
        </w:tc>
        <w:tc>
          <w:tcPr>
            <w:tcW w:w="1559" w:type="dxa"/>
          </w:tcPr>
          <w:p w14:paraId="6F4B02BF" w14:textId="1B21EBFA"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28-05-2015</w:t>
            </w:r>
          </w:p>
        </w:tc>
        <w:tc>
          <w:tcPr>
            <w:tcW w:w="1276" w:type="dxa"/>
          </w:tcPr>
          <w:p w14:paraId="2BB5594A" w14:textId="1D4EC788"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276" w:type="dxa"/>
          </w:tcPr>
          <w:p w14:paraId="672F481E" w14:textId="0651975C"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300,000</w:t>
            </w:r>
          </w:p>
        </w:tc>
      </w:tr>
      <w:tr w:rsidR="00C24305" w:rsidRPr="007B2BE1" w14:paraId="46CA9A1F" w14:textId="77777777" w:rsidTr="00747705">
        <w:trPr>
          <w:trHeight w:val="227"/>
        </w:trPr>
        <w:tc>
          <w:tcPr>
            <w:tcW w:w="1165" w:type="dxa"/>
          </w:tcPr>
          <w:p w14:paraId="2B401CA1" w14:textId="3F02D5BE"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2013/14</w:t>
            </w:r>
          </w:p>
        </w:tc>
        <w:tc>
          <w:tcPr>
            <w:tcW w:w="1528" w:type="dxa"/>
          </w:tcPr>
          <w:p w14:paraId="559726B3" w14:textId="5C97358E"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23-03-2015</w:t>
            </w:r>
          </w:p>
        </w:tc>
        <w:tc>
          <w:tcPr>
            <w:tcW w:w="1559" w:type="dxa"/>
          </w:tcPr>
          <w:p w14:paraId="22B4958B" w14:textId="40DB5917"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28-05-2015</w:t>
            </w:r>
          </w:p>
        </w:tc>
        <w:tc>
          <w:tcPr>
            <w:tcW w:w="1276" w:type="dxa"/>
          </w:tcPr>
          <w:p w14:paraId="04D9BA49" w14:textId="1D24E4A2"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276" w:type="dxa"/>
          </w:tcPr>
          <w:p w14:paraId="2FCC2C42" w14:textId="3344CC45"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300,000</w:t>
            </w:r>
          </w:p>
        </w:tc>
      </w:tr>
      <w:tr w:rsidR="00C24305" w:rsidRPr="007B2BE1" w14:paraId="02E47C53" w14:textId="77777777" w:rsidTr="00747705">
        <w:trPr>
          <w:trHeight w:val="227"/>
        </w:trPr>
        <w:tc>
          <w:tcPr>
            <w:tcW w:w="1165" w:type="dxa"/>
          </w:tcPr>
          <w:p w14:paraId="65876F4D" w14:textId="209ED183"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2014/15</w:t>
            </w:r>
          </w:p>
        </w:tc>
        <w:tc>
          <w:tcPr>
            <w:tcW w:w="1528" w:type="dxa"/>
          </w:tcPr>
          <w:p w14:paraId="17C5C739" w14:textId="27B6C07F"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04-05-2015</w:t>
            </w:r>
          </w:p>
        </w:tc>
        <w:tc>
          <w:tcPr>
            <w:tcW w:w="1559" w:type="dxa"/>
          </w:tcPr>
          <w:p w14:paraId="19789EEA" w14:textId="24C6A81C"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28-05-2015</w:t>
            </w:r>
          </w:p>
        </w:tc>
        <w:tc>
          <w:tcPr>
            <w:tcW w:w="1276" w:type="dxa"/>
          </w:tcPr>
          <w:p w14:paraId="43753C3E" w14:textId="566252CB"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276" w:type="dxa"/>
          </w:tcPr>
          <w:p w14:paraId="0394EA13" w14:textId="7D4605A0"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400,000</w:t>
            </w:r>
          </w:p>
        </w:tc>
      </w:tr>
      <w:tr w:rsidR="00C24305" w:rsidRPr="007B2BE1" w14:paraId="023408BF" w14:textId="77777777" w:rsidTr="00747705">
        <w:trPr>
          <w:trHeight w:val="227"/>
        </w:trPr>
        <w:tc>
          <w:tcPr>
            <w:tcW w:w="1165" w:type="dxa"/>
          </w:tcPr>
          <w:p w14:paraId="12823015" w14:textId="3F600F78"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2015/16</w:t>
            </w:r>
          </w:p>
        </w:tc>
        <w:tc>
          <w:tcPr>
            <w:tcW w:w="1528" w:type="dxa"/>
          </w:tcPr>
          <w:p w14:paraId="277B4463" w14:textId="441791CF"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03-05-2016</w:t>
            </w:r>
          </w:p>
        </w:tc>
        <w:tc>
          <w:tcPr>
            <w:tcW w:w="1559" w:type="dxa"/>
          </w:tcPr>
          <w:p w14:paraId="3EFB61A2" w14:textId="7867C28A"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01-06-2016</w:t>
            </w:r>
          </w:p>
        </w:tc>
        <w:tc>
          <w:tcPr>
            <w:tcW w:w="1276" w:type="dxa"/>
          </w:tcPr>
          <w:p w14:paraId="4CDD4B42" w14:textId="57E6BC78"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276" w:type="dxa"/>
          </w:tcPr>
          <w:p w14:paraId="609D00C9" w14:textId="2E25DFFC" w:rsidR="00C24305"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500,000</w:t>
            </w:r>
          </w:p>
        </w:tc>
      </w:tr>
    </w:tbl>
    <w:p w14:paraId="67940A9C" w14:textId="77777777" w:rsidR="00C24305" w:rsidRPr="007B2BE1" w:rsidRDefault="00C24305"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427E2AEE" w14:textId="2F81E58C" w:rsidR="00C24305"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先生在该等报税表第</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部内声明所填报的资料均属真确，并签署作实。另</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先生未有在</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课税年度的评税基期结束后</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个月内，以书面通知税务局他须就</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课税年度课税。</w:t>
      </w:r>
    </w:p>
    <w:p w14:paraId="51E7B2FC" w14:textId="77777777" w:rsidR="006910C5" w:rsidRPr="007B2BE1" w:rsidRDefault="006910C5"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33736B19" w14:textId="7F0CC6B7" w:rsidR="000746E2"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评税主任根据</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先生所提交的个别人士报税表</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上文第</w:t>
      </w:r>
      <w:r w:rsidRPr="007B2BE1">
        <w:rPr>
          <w:rFonts w:ascii="Times New Roman" w:eastAsia="標楷體" w:hAnsi="Times New Roman" w:cs="Times New Roman"/>
          <w:lang w:val="en-US" w:eastAsia="zh-CN"/>
        </w:rPr>
        <w:t>13</w:t>
      </w:r>
      <w:r w:rsidRPr="007B2BE1">
        <w:rPr>
          <w:rFonts w:ascii="Times New Roman" w:eastAsia="標楷體" w:hAnsi="Times New Roman" w:cs="Times New Roman"/>
          <w:lang w:val="en-US" w:eastAsia="zh-CN"/>
        </w:rPr>
        <w:t>项</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，向</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先生发出以下课税年度物业税及薪俸税评税：</w:t>
      </w:r>
    </w:p>
    <w:p w14:paraId="58F8EA66" w14:textId="77777777" w:rsidR="00A175AF" w:rsidRPr="007B2BE1" w:rsidRDefault="00A175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4B126DCC" w14:textId="603972BC" w:rsidR="00E3359A" w:rsidRPr="007B2BE1" w:rsidRDefault="007B2BE1" w:rsidP="001E406E">
      <w:pPr>
        <w:pStyle w:val="ac"/>
        <w:numPr>
          <w:ilvl w:val="0"/>
          <w:numId w:val="2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物业税</w:t>
      </w:r>
    </w:p>
    <w:p w14:paraId="1D0AFF1C" w14:textId="77777777" w:rsidR="00E3359A" w:rsidRPr="007B2BE1" w:rsidRDefault="00E3359A"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0" w:type="auto"/>
        <w:tblInd w:w="2552" w:type="dxa"/>
        <w:tblBorders>
          <w:top w:val="nil"/>
          <w:left w:val="nil"/>
          <w:bottom w:val="nil"/>
          <w:right w:val="nil"/>
          <w:insideH w:val="nil"/>
          <w:insideV w:val="nil"/>
        </w:tblBorders>
        <w:tblLayout w:type="fixed"/>
        <w:tblLook w:val="01E0" w:firstRow="1" w:lastRow="1" w:firstColumn="1" w:lastColumn="1" w:noHBand="0" w:noVBand="0"/>
      </w:tblPr>
      <w:tblGrid>
        <w:gridCol w:w="1214"/>
        <w:gridCol w:w="1479"/>
        <w:gridCol w:w="992"/>
      </w:tblGrid>
      <w:tr w:rsidR="000746E2" w:rsidRPr="007B2BE1" w14:paraId="2370A3FA" w14:textId="77777777" w:rsidTr="009C556F">
        <w:trPr>
          <w:trHeight w:val="20"/>
        </w:trPr>
        <w:tc>
          <w:tcPr>
            <w:tcW w:w="1214" w:type="dxa"/>
            <w:tcBorders>
              <w:top w:val="nil"/>
              <w:left w:val="nil"/>
              <w:bottom w:val="nil"/>
              <w:right w:val="nil"/>
            </w:tcBorders>
          </w:tcPr>
          <w:p w14:paraId="3138D34B" w14:textId="1491DB59" w:rsidR="000746E2" w:rsidRPr="007B2BE1" w:rsidRDefault="007B2BE1" w:rsidP="001E406E">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课税年度</w:t>
            </w:r>
          </w:p>
        </w:tc>
        <w:tc>
          <w:tcPr>
            <w:tcW w:w="1479" w:type="dxa"/>
            <w:tcBorders>
              <w:top w:val="nil"/>
              <w:left w:val="nil"/>
              <w:bottom w:val="nil"/>
              <w:right w:val="nil"/>
            </w:tcBorders>
          </w:tcPr>
          <w:p w14:paraId="6C0EA701" w14:textId="0A02FC32" w:rsidR="000746E2" w:rsidRPr="007B2BE1" w:rsidRDefault="007B2BE1" w:rsidP="001E406E">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发出日期</w:t>
            </w:r>
          </w:p>
        </w:tc>
        <w:tc>
          <w:tcPr>
            <w:tcW w:w="992" w:type="dxa"/>
            <w:tcBorders>
              <w:top w:val="nil"/>
              <w:left w:val="nil"/>
              <w:bottom w:val="nil"/>
              <w:right w:val="nil"/>
            </w:tcBorders>
          </w:tcPr>
          <w:p w14:paraId="0929CB80" w14:textId="0572AAC3" w:rsidR="000746E2" w:rsidRPr="007B2BE1" w:rsidRDefault="007B2BE1" w:rsidP="001E406E">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应评税值</w:t>
            </w:r>
          </w:p>
        </w:tc>
      </w:tr>
      <w:tr w:rsidR="000746E2" w:rsidRPr="007B2BE1" w14:paraId="756DF78E" w14:textId="77777777" w:rsidTr="009C556F">
        <w:trPr>
          <w:trHeight w:val="20"/>
        </w:trPr>
        <w:tc>
          <w:tcPr>
            <w:tcW w:w="1214" w:type="dxa"/>
            <w:tcBorders>
              <w:top w:val="nil"/>
            </w:tcBorders>
          </w:tcPr>
          <w:p w14:paraId="334F6352" w14:textId="77777777" w:rsidR="000746E2" w:rsidRPr="007B2BE1" w:rsidRDefault="000746E2" w:rsidP="001E406E">
            <w:pPr>
              <w:overflowPunct w:val="0"/>
              <w:jc w:val="center"/>
              <w:rPr>
                <w:rFonts w:ascii="Times New Roman" w:eastAsia="標楷體" w:hAnsi="Times New Roman" w:cs="Times New Roman"/>
                <w:sz w:val="24"/>
                <w:szCs w:val="24"/>
                <w:lang w:eastAsia="zh-TW"/>
              </w:rPr>
            </w:pPr>
          </w:p>
        </w:tc>
        <w:tc>
          <w:tcPr>
            <w:tcW w:w="1479" w:type="dxa"/>
            <w:tcBorders>
              <w:top w:val="nil"/>
            </w:tcBorders>
          </w:tcPr>
          <w:p w14:paraId="07A20ECB" w14:textId="77777777" w:rsidR="000746E2" w:rsidRPr="007B2BE1" w:rsidRDefault="000746E2" w:rsidP="001E406E">
            <w:pPr>
              <w:overflowPunct w:val="0"/>
              <w:jc w:val="center"/>
              <w:rPr>
                <w:rFonts w:ascii="Times New Roman" w:eastAsia="標楷體" w:hAnsi="Times New Roman" w:cs="Times New Roman"/>
                <w:sz w:val="24"/>
                <w:szCs w:val="24"/>
                <w:lang w:eastAsia="zh-TW"/>
              </w:rPr>
            </w:pPr>
          </w:p>
        </w:tc>
        <w:tc>
          <w:tcPr>
            <w:tcW w:w="992" w:type="dxa"/>
            <w:tcBorders>
              <w:top w:val="nil"/>
            </w:tcBorders>
          </w:tcPr>
          <w:p w14:paraId="6F1E3897" w14:textId="77668546" w:rsidR="000746E2"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元</w:t>
            </w:r>
          </w:p>
        </w:tc>
      </w:tr>
      <w:tr w:rsidR="000746E2" w:rsidRPr="007B2BE1" w14:paraId="3CB393A8" w14:textId="77777777" w:rsidTr="009C556F">
        <w:trPr>
          <w:trHeight w:val="20"/>
        </w:trPr>
        <w:tc>
          <w:tcPr>
            <w:tcW w:w="1214" w:type="dxa"/>
          </w:tcPr>
          <w:p w14:paraId="16BF08C9" w14:textId="1ACE0476" w:rsidR="000746E2"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2007/08</w:t>
            </w:r>
          </w:p>
        </w:tc>
        <w:tc>
          <w:tcPr>
            <w:tcW w:w="1479" w:type="dxa"/>
          </w:tcPr>
          <w:p w14:paraId="39C0C6C9" w14:textId="173DCDC4" w:rsidR="000746E2"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29-08-2008</w:t>
            </w:r>
          </w:p>
        </w:tc>
        <w:tc>
          <w:tcPr>
            <w:tcW w:w="992" w:type="dxa"/>
          </w:tcPr>
          <w:p w14:paraId="3396D69A" w14:textId="0ED73766" w:rsidR="000746E2"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40,064</w:t>
            </w:r>
          </w:p>
        </w:tc>
      </w:tr>
      <w:tr w:rsidR="000746E2" w:rsidRPr="007B2BE1" w14:paraId="587287FA" w14:textId="77777777" w:rsidTr="009C556F">
        <w:trPr>
          <w:trHeight w:val="20"/>
        </w:trPr>
        <w:tc>
          <w:tcPr>
            <w:tcW w:w="1214" w:type="dxa"/>
          </w:tcPr>
          <w:p w14:paraId="50347955" w14:textId="2F7CABC0" w:rsidR="000746E2"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2009/10</w:t>
            </w:r>
          </w:p>
        </w:tc>
        <w:tc>
          <w:tcPr>
            <w:tcW w:w="1479" w:type="dxa"/>
          </w:tcPr>
          <w:p w14:paraId="081FA1E7" w14:textId="186D69B8" w:rsidR="000746E2"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28-09-2010</w:t>
            </w:r>
          </w:p>
        </w:tc>
        <w:tc>
          <w:tcPr>
            <w:tcW w:w="992" w:type="dxa"/>
          </w:tcPr>
          <w:p w14:paraId="4092BD3C" w14:textId="42D5090F" w:rsidR="000746E2"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40,064</w:t>
            </w:r>
          </w:p>
        </w:tc>
      </w:tr>
    </w:tbl>
    <w:p w14:paraId="2202D83B" w14:textId="77777777" w:rsidR="000746E2" w:rsidRPr="007B2BE1" w:rsidRDefault="000746E2"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p w14:paraId="3CD77237" w14:textId="76D7231B" w:rsidR="000746E2" w:rsidRPr="007B2BE1" w:rsidRDefault="007B2BE1" w:rsidP="001E406E">
      <w:pPr>
        <w:overflowPunct w:val="0"/>
        <w:autoSpaceDE w:val="0"/>
        <w:autoSpaceDN w:val="0"/>
        <w:adjustRightInd w:val="0"/>
        <w:ind w:leftChars="1118" w:left="2683"/>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注</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：上文所提述的物业税评税皆属</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先生全资拥有的</w:t>
      </w:r>
      <w:r w:rsidRPr="007B2BE1">
        <w:rPr>
          <w:rFonts w:ascii="Times New Roman" w:eastAsia="標楷體" w:hAnsi="Times New Roman" w:cs="Times New Roman"/>
          <w:lang w:val="en-US" w:eastAsia="zh-CN"/>
        </w:rPr>
        <w:t>H</w:t>
      </w:r>
      <w:r w:rsidRPr="007B2BE1">
        <w:rPr>
          <w:rFonts w:ascii="Times New Roman" w:eastAsia="標楷體" w:hAnsi="Times New Roman" w:cs="Times New Roman"/>
          <w:lang w:val="en-US" w:eastAsia="zh-CN"/>
        </w:rPr>
        <w:t>物业之物业税评税。另因</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先生未有于</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课税年度的个别人士报税表内申报有关</w:t>
      </w:r>
      <w:r w:rsidRPr="007B2BE1">
        <w:rPr>
          <w:rFonts w:ascii="Times New Roman" w:eastAsia="標楷體" w:hAnsi="Times New Roman" w:cs="Times New Roman"/>
          <w:lang w:val="en-US" w:eastAsia="zh-CN"/>
        </w:rPr>
        <w:t>H</w:t>
      </w:r>
      <w:r w:rsidRPr="007B2BE1">
        <w:rPr>
          <w:rFonts w:ascii="Times New Roman" w:eastAsia="標楷體" w:hAnsi="Times New Roman" w:cs="Times New Roman"/>
          <w:lang w:val="en-US" w:eastAsia="zh-CN"/>
        </w:rPr>
        <w:t>物业的租金收入，故</w:t>
      </w:r>
      <w:r w:rsidRPr="007B2BE1">
        <w:rPr>
          <w:rFonts w:ascii="Times New Roman" w:eastAsia="標楷體" w:hAnsi="Times New Roman" w:cs="Times New Roman"/>
          <w:lang w:eastAsia="zh-CN"/>
        </w:rPr>
        <w:t>此</w:t>
      </w:r>
      <w:r w:rsidRPr="007B2BE1">
        <w:rPr>
          <w:rFonts w:ascii="Times New Roman" w:eastAsia="標楷體" w:hAnsi="Times New Roman" w:cs="Times New Roman"/>
          <w:lang w:val="en-US" w:eastAsia="zh-CN"/>
        </w:rPr>
        <w:t>评税主任没有发出该课税年度的物业税评税。</w:t>
      </w:r>
    </w:p>
    <w:p w14:paraId="53A2AB32" w14:textId="72ACD3BC" w:rsidR="00A175AF" w:rsidRPr="007B2BE1" w:rsidRDefault="00A175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CN"/>
        </w:rPr>
      </w:pPr>
    </w:p>
    <w:p w14:paraId="6B43BC58" w14:textId="71229767" w:rsidR="00831ACD" w:rsidRPr="007B2BE1" w:rsidRDefault="00831ACD"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CN"/>
        </w:rPr>
      </w:pPr>
    </w:p>
    <w:p w14:paraId="57174620" w14:textId="77777777" w:rsidR="00831ACD" w:rsidRPr="007B2BE1" w:rsidRDefault="00831ACD"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CN"/>
        </w:rPr>
      </w:pPr>
    </w:p>
    <w:p w14:paraId="2804C86B" w14:textId="38CAFBA2" w:rsidR="000746E2" w:rsidRPr="007B2BE1" w:rsidRDefault="007B2BE1" w:rsidP="001E406E">
      <w:pPr>
        <w:pStyle w:val="ac"/>
        <w:numPr>
          <w:ilvl w:val="0"/>
          <w:numId w:val="2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lastRenderedPageBreak/>
        <w:t>薪俸税</w:t>
      </w:r>
    </w:p>
    <w:p w14:paraId="5A897521" w14:textId="77777777" w:rsidR="000746E2" w:rsidRPr="007B2BE1" w:rsidRDefault="000746E2"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tbl>
      <w:tblPr>
        <w:tblStyle w:val="TableNormal1"/>
        <w:tblW w:w="4252" w:type="dxa"/>
        <w:tblInd w:w="2552" w:type="dxa"/>
        <w:tblBorders>
          <w:top w:val="nil"/>
          <w:left w:val="nil"/>
          <w:bottom w:val="nil"/>
          <w:right w:val="nil"/>
          <w:insideH w:val="nil"/>
          <w:insideV w:val="nil"/>
        </w:tblBorders>
        <w:tblLayout w:type="fixed"/>
        <w:tblLook w:val="01E0" w:firstRow="1" w:lastRow="1" w:firstColumn="1" w:lastColumn="1" w:noHBand="0" w:noVBand="0"/>
      </w:tblPr>
      <w:tblGrid>
        <w:gridCol w:w="1214"/>
        <w:gridCol w:w="1479"/>
        <w:gridCol w:w="1559"/>
      </w:tblGrid>
      <w:tr w:rsidR="002D38B6" w:rsidRPr="007B2BE1" w14:paraId="6AD143B3" w14:textId="77777777" w:rsidTr="009B4674">
        <w:trPr>
          <w:trHeight w:val="227"/>
          <w:tblHeader/>
        </w:trPr>
        <w:tc>
          <w:tcPr>
            <w:tcW w:w="1214" w:type="dxa"/>
            <w:tcBorders>
              <w:top w:val="nil"/>
              <w:left w:val="nil"/>
              <w:bottom w:val="nil"/>
              <w:right w:val="nil"/>
            </w:tcBorders>
          </w:tcPr>
          <w:p w14:paraId="0E8E8FC2" w14:textId="3162B2DD" w:rsidR="002D38B6" w:rsidRPr="007B2BE1" w:rsidRDefault="007B2BE1" w:rsidP="001E406E">
            <w:pPr>
              <w:pStyle w:val="TableParagraph"/>
              <w:overflowPunct w:val="0"/>
              <w:spacing w:before="0"/>
              <w:rPr>
                <w:rFonts w:eastAsia="標楷體"/>
                <w:sz w:val="24"/>
                <w:szCs w:val="24"/>
                <w:u w:val="single"/>
                <w:lang w:eastAsia="zh-TW"/>
              </w:rPr>
            </w:pPr>
            <w:r w:rsidRPr="007B2BE1">
              <w:rPr>
                <w:rFonts w:eastAsia="標楷體"/>
                <w:sz w:val="24"/>
                <w:szCs w:val="24"/>
                <w:u w:val="single"/>
                <w:lang w:eastAsia="zh-CN"/>
              </w:rPr>
              <w:t>课税年度</w:t>
            </w:r>
          </w:p>
        </w:tc>
        <w:tc>
          <w:tcPr>
            <w:tcW w:w="1479" w:type="dxa"/>
            <w:tcBorders>
              <w:top w:val="nil"/>
              <w:left w:val="nil"/>
              <w:bottom w:val="nil"/>
              <w:right w:val="nil"/>
            </w:tcBorders>
          </w:tcPr>
          <w:p w14:paraId="0E2DB73B" w14:textId="3CD8F5B0" w:rsidR="002D38B6" w:rsidRPr="007B2BE1" w:rsidRDefault="007B2BE1" w:rsidP="001E406E">
            <w:pPr>
              <w:pStyle w:val="TableParagraph"/>
              <w:overflowPunct w:val="0"/>
              <w:spacing w:before="0"/>
              <w:rPr>
                <w:rFonts w:eastAsia="標楷體"/>
                <w:sz w:val="24"/>
                <w:szCs w:val="24"/>
                <w:u w:val="single"/>
                <w:lang w:eastAsia="zh-TW"/>
              </w:rPr>
            </w:pPr>
            <w:r w:rsidRPr="007B2BE1">
              <w:rPr>
                <w:rFonts w:eastAsia="標楷體"/>
                <w:sz w:val="24"/>
                <w:szCs w:val="24"/>
                <w:u w:val="single"/>
                <w:lang w:eastAsia="zh-CN"/>
              </w:rPr>
              <w:t>发出日期</w:t>
            </w:r>
          </w:p>
        </w:tc>
        <w:tc>
          <w:tcPr>
            <w:tcW w:w="1559" w:type="dxa"/>
            <w:tcBorders>
              <w:top w:val="nil"/>
              <w:left w:val="nil"/>
              <w:bottom w:val="nil"/>
              <w:right w:val="nil"/>
            </w:tcBorders>
          </w:tcPr>
          <w:p w14:paraId="0ADB1D4A" w14:textId="0A6FC694" w:rsidR="002D38B6" w:rsidRPr="007B2BE1" w:rsidRDefault="007B2BE1" w:rsidP="009C556F">
            <w:pPr>
              <w:pStyle w:val="TableParagraph"/>
              <w:overflowPunct w:val="0"/>
              <w:spacing w:before="0"/>
              <w:ind w:left="-2" w:rightChars="234" w:right="562"/>
              <w:rPr>
                <w:rFonts w:eastAsia="標楷體"/>
                <w:sz w:val="24"/>
                <w:szCs w:val="24"/>
                <w:u w:val="single"/>
                <w:lang w:eastAsia="zh-TW"/>
              </w:rPr>
            </w:pPr>
            <w:r w:rsidRPr="007B2BE1">
              <w:rPr>
                <w:rFonts w:eastAsia="標楷體"/>
                <w:sz w:val="24"/>
                <w:szCs w:val="24"/>
                <w:u w:val="single"/>
                <w:lang w:eastAsia="zh-CN"/>
              </w:rPr>
              <w:t>应评税值</w:t>
            </w:r>
          </w:p>
        </w:tc>
      </w:tr>
      <w:tr w:rsidR="002D38B6" w:rsidRPr="007B2BE1" w14:paraId="039BBA6C" w14:textId="77777777" w:rsidTr="009B4674">
        <w:trPr>
          <w:trHeight w:val="227"/>
          <w:tblHeader/>
        </w:trPr>
        <w:tc>
          <w:tcPr>
            <w:tcW w:w="1214" w:type="dxa"/>
            <w:tcBorders>
              <w:top w:val="nil"/>
              <w:bottom w:val="nil"/>
            </w:tcBorders>
          </w:tcPr>
          <w:p w14:paraId="791F2069" w14:textId="77777777" w:rsidR="002D38B6" w:rsidRPr="007B2BE1" w:rsidRDefault="002D38B6" w:rsidP="001E406E">
            <w:pPr>
              <w:overflowPunct w:val="0"/>
              <w:jc w:val="center"/>
              <w:rPr>
                <w:rFonts w:ascii="Times New Roman" w:eastAsia="標楷體" w:hAnsi="Times New Roman" w:cs="Times New Roman"/>
                <w:sz w:val="24"/>
                <w:szCs w:val="24"/>
                <w:lang w:eastAsia="zh-TW"/>
              </w:rPr>
            </w:pPr>
          </w:p>
        </w:tc>
        <w:tc>
          <w:tcPr>
            <w:tcW w:w="1479" w:type="dxa"/>
            <w:tcBorders>
              <w:top w:val="nil"/>
              <w:bottom w:val="nil"/>
            </w:tcBorders>
          </w:tcPr>
          <w:p w14:paraId="3A2B5C0C" w14:textId="77777777" w:rsidR="002D38B6" w:rsidRPr="007B2BE1" w:rsidRDefault="002D38B6" w:rsidP="001E406E">
            <w:pPr>
              <w:overflowPunct w:val="0"/>
              <w:jc w:val="center"/>
              <w:rPr>
                <w:rFonts w:ascii="Times New Roman" w:eastAsia="標楷體" w:hAnsi="Times New Roman" w:cs="Times New Roman"/>
                <w:sz w:val="24"/>
                <w:szCs w:val="24"/>
                <w:lang w:eastAsia="zh-TW"/>
              </w:rPr>
            </w:pPr>
          </w:p>
        </w:tc>
        <w:tc>
          <w:tcPr>
            <w:tcW w:w="1559" w:type="dxa"/>
            <w:tcBorders>
              <w:top w:val="nil"/>
              <w:bottom w:val="nil"/>
            </w:tcBorders>
          </w:tcPr>
          <w:p w14:paraId="2C771499" w14:textId="1646219E" w:rsidR="002D38B6" w:rsidRPr="007B2BE1" w:rsidRDefault="007B2BE1" w:rsidP="009C556F">
            <w:pPr>
              <w:pStyle w:val="TableParagraph"/>
              <w:overflowPunct w:val="0"/>
              <w:spacing w:before="0"/>
              <w:ind w:rightChars="234" w:right="562"/>
              <w:rPr>
                <w:rFonts w:eastAsia="標楷體"/>
                <w:sz w:val="24"/>
                <w:szCs w:val="24"/>
                <w:lang w:eastAsia="zh-TW"/>
              </w:rPr>
            </w:pPr>
            <w:r w:rsidRPr="007B2BE1">
              <w:rPr>
                <w:rFonts w:eastAsia="標楷體"/>
                <w:sz w:val="24"/>
                <w:szCs w:val="24"/>
                <w:lang w:eastAsia="zh-CN"/>
              </w:rPr>
              <w:t>元</w:t>
            </w:r>
          </w:p>
        </w:tc>
      </w:tr>
      <w:tr w:rsidR="002D38B6" w:rsidRPr="007B2BE1" w14:paraId="399CA4B1" w14:textId="77777777" w:rsidTr="009C556F">
        <w:trPr>
          <w:trHeight w:val="227"/>
        </w:trPr>
        <w:tc>
          <w:tcPr>
            <w:tcW w:w="1214" w:type="dxa"/>
            <w:tcBorders>
              <w:top w:val="nil"/>
              <w:bottom w:val="nil"/>
            </w:tcBorders>
          </w:tcPr>
          <w:p w14:paraId="28B6FEE8" w14:textId="44287CF9"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2007/08</w:t>
            </w:r>
          </w:p>
        </w:tc>
        <w:tc>
          <w:tcPr>
            <w:tcW w:w="1479" w:type="dxa"/>
            <w:tcBorders>
              <w:top w:val="nil"/>
              <w:bottom w:val="nil"/>
            </w:tcBorders>
          </w:tcPr>
          <w:p w14:paraId="0F5DD776" w14:textId="169393EB"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29-08-2008</w:t>
            </w:r>
          </w:p>
        </w:tc>
        <w:tc>
          <w:tcPr>
            <w:tcW w:w="1559" w:type="dxa"/>
            <w:tcBorders>
              <w:top w:val="nil"/>
              <w:bottom w:val="nil"/>
            </w:tcBorders>
          </w:tcPr>
          <w:p w14:paraId="1E1F80CB" w14:textId="73F8B504" w:rsidR="002D38B6" w:rsidRPr="007B2BE1" w:rsidRDefault="007B2BE1" w:rsidP="009C556F">
            <w:pPr>
              <w:pStyle w:val="TableParagraph"/>
              <w:overflowPunct w:val="0"/>
              <w:spacing w:before="0"/>
              <w:ind w:rightChars="234" w:right="562"/>
              <w:rPr>
                <w:rFonts w:eastAsia="標楷體"/>
                <w:sz w:val="24"/>
                <w:szCs w:val="24"/>
                <w:lang w:eastAsia="zh-TW"/>
              </w:rPr>
            </w:pPr>
            <w:r w:rsidRPr="007B2BE1">
              <w:rPr>
                <w:rFonts w:eastAsia="標楷體"/>
                <w:sz w:val="24"/>
                <w:szCs w:val="24"/>
                <w:lang w:eastAsia="zh-CN"/>
              </w:rPr>
              <w:t>150,000</w:t>
            </w:r>
          </w:p>
        </w:tc>
      </w:tr>
      <w:tr w:rsidR="002D38B6" w:rsidRPr="007B2BE1" w14:paraId="67E6A4F3" w14:textId="77777777" w:rsidTr="009C556F">
        <w:trPr>
          <w:trHeight w:val="227"/>
        </w:trPr>
        <w:tc>
          <w:tcPr>
            <w:tcW w:w="1214" w:type="dxa"/>
            <w:tcBorders>
              <w:top w:val="nil"/>
              <w:bottom w:val="nil"/>
            </w:tcBorders>
          </w:tcPr>
          <w:p w14:paraId="779CA323" w14:textId="2A7473A0"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2008/09</w:t>
            </w:r>
          </w:p>
        </w:tc>
        <w:tc>
          <w:tcPr>
            <w:tcW w:w="1479" w:type="dxa"/>
            <w:tcBorders>
              <w:top w:val="nil"/>
              <w:bottom w:val="nil"/>
            </w:tcBorders>
          </w:tcPr>
          <w:p w14:paraId="4F2B5EEA" w14:textId="69F00490"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29-12-2009</w:t>
            </w:r>
          </w:p>
        </w:tc>
        <w:tc>
          <w:tcPr>
            <w:tcW w:w="1559" w:type="dxa"/>
            <w:tcBorders>
              <w:top w:val="nil"/>
              <w:bottom w:val="nil"/>
            </w:tcBorders>
          </w:tcPr>
          <w:p w14:paraId="4DE511BF" w14:textId="72692025" w:rsidR="002D38B6" w:rsidRPr="007B2BE1" w:rsidRDefault="007B2BE1" w:rsidP="009C556F">
            <w:pPr>
              <w:pStyle w:val="TableParagraph"/>
              <w:overflowPunct w:val="0"/>
              <w:spacing w:before="0"/>
              <w:ind w:rightChars="234" w:right="562"/>
              <w:rPr>
                <w:rFonts w:eastAsia="標楷體"/>
                <w:sz w:val="24"/>
                <w:szCs w:val="24"/>
                <w:lang w:eastAsia="zh-TW"/>
              </w:rPr>
            </w:pPr>
            <w:r w:rsidRPr="007B2BE1">
              <w:rPr>
                <w:rFonts w:eastAsia="標楷體"/>
                <w:sz w:val="24"/>
                <w:szCs w:val="24"/>
                <w:lang w:eastAsia="zh-CN"/>
              </w:rPr>
              <w:t>240,000</w:t>
            </w:r>
          </w:p>
        </w:tc>
      </w:tr>
      <w:tr w:rsidR="002D38B6" w:rsidRPr="007B2BE1" w14:paraId="78135D42" w14:textId="77777777" w:rsidTr="009C556F">
        <w:trPr>
          <w:trHeight w:val="227"/>
        </w:trPr>
        <w:tc>
          <w:tcPr>
            <w:tcW w:w="1214" w:type="dxa"/>
            <w:tcBorders>
              <w:top w:val="nil"/>
              <w:bottom w:val="nil"/>
            </w:tcBorders>
          </w:tcPr>
          <w:p w14:paraId="781D3A78" w14:textId="7EE29666"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2009/10</w:t>
            </w:r>
          </w:p>
        </w:tc>
        <w:tc>
          <w:tcPr>
            <w:tcW w:w="1479" w:type="dxa"/>
            <w:tcBorders>
              <w:top w:val="nil"/>
              <w:bottom w:val="nil"/>
            </w:tcBorders>
          </w:tcPr>
          <w:p w14:paraId="1458FC57" w14:textId="17F27DFA"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28-09-2010</w:t>
            </w:r>
          </w:p>
        </w:tc>
        <w:tc>
          <w:tcPr>
            <w:tcW w:w="1559" w:type="dxa"/>
            <w:tcBorders>
              <w:top w:val="nil"/>
              <w:bottom w:val="nil"/>
            </w:tcBorders>
          </w:tcPr>
          <w:p w14:paraId="34D55B11" w14:textId="07EC7D3F" w:rsidR="002D38B6" w:rsidRPr="007B2BE1" w:rsidRDefault="007B2BE1" w:rsidP="009C556F">
            <w:pPr>
              <w:pStyle w:val="TableParagraph"/>
              <w:overflowPunct w:val="0"/>
              <w:spacing w:before="0"/>
              <w:ind w:rightChars="234" w:right="562"/>
              <w:rPr>
                <w:rFonts w:eastAsia="標楷體"/>
                <w:sz w:val="24"/>
                <w:szCs w:val="24"/>
                <w:lang w:eastAsia="zh-TW"/>
              </w:rPr>
            </w:pPr>
            <w:r w:rsidRPr="007B2BE1">
              <w:rPr>
                <w:rFonts w:eastAsia="標楷體"/>
                <w:sz w:val="24"/>
                <w:szCs w:val="24"/>
                <w:lang w:eastAsia="zh-CN"/>
              </w:rPr>
              <w:t>360,000</w:t>
            </w:r>
          </w:p>
        </w:tc>
      </w:tr>
      <w:tr w:rsidR="002D38B6" w:rsidRPr="007B2BE1" w14:paraId="413F073C" w14:textId="77777777" w:rsidTr="009C556F">
        <w:trPr>
          <w:trHeight w:val="227"/>
        </w:trPr>
        <w:tc>
          <w:tcPr>
            <w:tcW w:w="1214" w:type="dxa"/>
            <w:tcBorders>
              <w:top w:val="nil"/>
              <w:bottom w:val="nil"/>
            </w:tcBorders>
          </w:tcPr>
          <w:p w14:paraId="1EE88EE9" w14:textId="50A5ACBF"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2010/11</w:t>
            </w:r>
          </w:p>
        </w:tc>
        <w:tc>
          <w:tcPr>
            <w:tcW w:w="1479" w:type="dxa"/>
            <w:tcBorders>
              <w:top w:val="nil"/>
              <w:bottom w:val="nil"/>
            </w:tcBorders>
          </w:tcPr>
          <w:p w14:paraId="5ABF3E62" w14:textId="4D1FDE58"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02-09-2011</w:t>
            </w:r>
          </w:p>
        </w:tc>
        <w:tc>
          <w:tcPr>
            <w:tcW w:w="1559" w:type="dxa"/>
            <w:tcBorders>
              <w:top w:val="nil"/>
              <w:bottom w:val="nil"/>
            </w:tcBorders>
          </w:tcPr>
          <w:p w14:paraId="75C92937" w14:textId="07C2CB4C" w:rsidR="002D38B6" w:rsidRPr="007B2BE1" w:rsidRDefault="007B2BE1" w:rsidP="009C556F">
            <w:pPr>
              <w:pStyle w:val="TableParagraph"/>
              <w:overflowPunct w:val="0"/>
              <w:spacing w:before="0"/>
              <w:ind w:rightChars="234" w:right="562"/>
              <w:rPr>
                <w:rFonts w:eastAsia="標楷體"/>
                <w:sz w:val="24"/>
                <w:szCs w:val="24"/>
                <w:lang w:eastAsia="zh-TW"/>
              </w:rPr>
            </w:pPr>
            <w:r w:rsidRPr="007B2BE1">
              <w:rPr>
                <w:rFonts w:eastAsia="標楷體"/>
                <w:sz w:val="24"/>
                <w:szCs w:val="24"/>
                <w:lang w:eastAsia="zh-CN"/>
              </w:rPr>
              <w:t>390,000</w:t>
            </w:r>
          </w:p>
        </w:tc>
      </w:tr>
      <w:tr w:rsidR="002D38B6" w:rsidRPr="007B2BE1" w14:paraId="34BD3FC6" w14:textId="77777777" w:rsidTr="009C556F">
        <w:trPr>
          <w:trHeight w:val="227"/>
        </w:trPr>
        <w:tc>
          <w:tcPr>
            <w:tcW w:w="1214" w:type="dxa"/>
            <w:tcBorders>
              <w:top w:val="nil"/>
              <w:bottom w:val="nil"/>
            </w:tcBorders>
          </w:tcPr>
          <w:p w14:paraId="66CC1D40" w14:textId="6404F069"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2010/11</w:t>
            </w:r>
          </w:p>
        </w:tc>
        <w:tc>
          <w:tcPr>
            <w:tcW w:w="1479" w:type="dxa"/>
            <w:tcBorders>
              <w:top w:val="nil"/>
              <w:bottom w:val="nil"/>
            </w:tcBorders>
          </w:tcPr>
          <w:p w14:paraId="3F8B143D" w14:textId="24F317B1"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29-07-2013</w:t>
            </w:r>
          </w:p>
        </w:tc>
        <w:tc>
          <w:tcPr>
            <w:tcW w:w="1559" w:type="dxa"/>
            <w:tcBorders>
              <w:top w:val="nil"/>
              <w:bottom w:val="nil"/>
            </w:tcBorders>
          </w:tcPr>
          <w:p w14:paraId="559448E4" w14:textId="24A4B6FC" w:rsidR="002D38B6" w:rsidRPr="007B2BE1" w:rsidRDefault="007B2BE1" w:rsidP="00F74386">
            <w:pPr>
              <w:pStyle w:val="TableParagraph"/>
              <w:overflowPunct w:val="0"/>
              <w:spacing w:before="0"/>
              <w:ind w:rightChars="40" w:right="96"/>
              <w:jc w:val="right"/>
              <w:rPr>
                <w:rFonts w:eastAsia="標楷體"/>
                <w:sz w:val="24"/>
                <w:szCs w:val="24"/>
                <w:lang w:eastAsia="zh-TW"/>
              </w:rPr>
            </w:pPr>
            <w:r w:rsidRPr="007B2BE1">
              <w:rPr>
                <w:rFonts w:eastAsia="標楷體"/>
                <w:sz w:val="24"/>
                <w:szCs w:val="24"/>
                <w:lang w:eastAsia="zh-CN"/>
              </w:rPr>
              <w:t>128,000 (</w:t>
            </w:r>
            <w:r w:rsidRPr="007B2BE1">
              <w:rPr>
                <w:rFonts w:eastAsia="標楷體"/>
                <w:sz w:val="24"/>
                <w:szCs w:val="24"/>
                <w:lang w:eastAsia="zh-CN"/>
              </w:rPr>
              <w:t>注</w:t>
            </w:r>
            <w:r w:rsidRPr="007B2BE1">
              <w:rPr>
                <w:rFonts w:eastAsia="標楷體"/>
                <w:sz w:val="24"/>
                <w:szCs w:val="24"/>
                <w:lang w:eastAsia="zh-CN"/>
              </w:rPr>
              <w:t>5)</w:t>
            </w:r>
          </w:p>
        </w:tc>
      </w:tr>
      <w:tr w:rsidR="002D38B6" w:rsidRPr="007B2BE1" w14:paraId="2EA8AC45" w14:textId="77777777" w:rsidTr="009C556F">
        <w:trPr>
          <w:trHeight w:val="227"/>
        </w:trPr>
        <w:tc>
          <w:tcPr>
            <w:tcW w:w="1214" w:type="dxa"/>
            <w:tcBorders>
              <w:top w:val="nil"/>
              <w:bottom w:val="nil"/>
            </w:tcBorders>
          </w:tcPr>
          <w:p w14:paraId="42CDAD74" w14:textId="2627DD0C"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2011/12</w:t>
            </w:r>
          </w:p>
        </w:tc>
        <w:tc>
          <w:tcPr>
            <w:tcW w:w="1479" w:type="dxa"/>
            <w:tcBorders>
              <w:top w:val="nil"/>
              <w:bottom w:val="nil"/>
            </w:tcBorders>
          </w:tcPr>
          <w:p w14:paraId="6784065E" w14:textId="19D94E37"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28-11-2012</w:t>
            </w:r>
          </w:p>
        </w:tc>
        <w:tc>
          <w:tcPr>
            <w:tcW w:w="1559" w:type="dxa"/>
            <w:tcBorders>
              <w:top w:val="nil"/>
              <w:bottom w:val="nil"/>
            </w:tcBorders>
          </w:tcPr>
          <w:p w14:paraId="4EF52C13" w14:textId="032408B2" w:rsidR="002D38B6" w:rsidRPr="007B2BE1" w:rsidRDefault="007B2BE1" w:rsidP="00F74386">
            <w:pPr>
              <w:pStyle w:val="TableParagraph"/>
              <w:overflowPunct w:val="0"/>
              <w:spacing w:before="0"/>
              <w:ind w:rightChars="40" w:right="96"/>
              <w:jc w:val="right"/>
              <w:rPr>
                <w:rFonts w:eastAsia="標楷體"/>
                <w:sz w:val="24"/>
                <w:szCs w:val="24"/>
                <w:lang w:eastAsia="zh-TW"/>
              </w:rPr>
            </w:pPr>
            <w:r w:rsidRPr="007B2BE1">
              <w:rPr>
                <w:rFonts w:eastAsia="標楷體"/>
                <w:sz w:val="24"/>
                <w:szCs w:val="24"/>
                <w:lang w:eastAsia="zh-CN"/>
              </w:rPr>
              <w:t>0 (</w:t>
            </w:r>
            <w:r w:rsidRPr="007B2BE1">
              <w:rPr>
                <w:rFonts w:eastAsia="標楷體"/>
                <w:sz w:val="24"/>
                <w:szCs w:val="24"/>
                <w:lang w:eastAsia="zh-CN"/>
              </w:rPr>
              <w:t>注</w:t>
            </w:r>
            <w:r w:rsidRPr="007B2BE1">
              <w:rPr>
                <w:rFonts w:eastAsia="標楷體"/>
                <w:sz w:val="24"/>
                <w:szCs w:val="24"/>
                <w:lang w:eastAsia="zh-CN"/>
              </w:rPr>
              <w:t>6)</w:t>
            </w:r>
          </w:p>
        </w:tc>
      </w:tr>
      <w:tr w:rsidR="002D38B6" w:rsidRPr="007B2BE1" w14:paraId="321748C7" w14:textId="77777777" w:rsidTr="009C556F">
        <w:trPr>
          <w:trHeight w:val="227"/>
        </w:trPr>
        <w:tc>
          <w:tcPr>
            <w:tcW w:w="1214" w:type="dxa"/>
            <w:tcBorders>
              <w:top w:val="nil"/>
            </w:tcBorders>
          </w:tcPr>
          <w:p w14:paraId="22E2D791" w14:textId="576E1A4C"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2015/16</w:t>
            </w:r>
          </w:p>
        </w:tc>
        <w:tc>
          <w:tcPr>
            <w:tcW w:w="1479" w:type="dxa"/>
            <w:tcBorders>
              <w:top w:val="nil"/>
            </w:tcBorders>
          </w:tcPr>
          <w:p w14:paraId="73749357" w14:textId="0F87FA01" w:rsidR="002D38B6" w:rsidRPr="007B2BE1" w:rsidRDefault="007B2BE1" w:rsidP="001E406E">
            <w:pPr>
              <w:overflowPunct w:val="0"/>
              <w:jc w:val="center"/>
              <w:rPr>
                <w:rFonts w:ascii="Times New Roman" w:eastAsia="標楷體" w:hAnsi="Times New Roman" w:cs="Times New Roman"/>
                <w:sz w:val="24"/>
                <w:szCs w:val="24"/>
                <w:lang w:eastAsia="zh-TW"/>
              </w:rPr>
            </w:pPr>
            <w:r w:rsidRPr="007B2BE1">
              <w:rPr>
                <w:rFonts w:ascii="Times New Roman" w:eastAsia="標楷體" w:hAnsi="Times New Roman" w:cs="Times New Roman"/>
                <w:sz w:val="24"/>
                <w:szCs w:val="24"/>
                <w:lang w:eastAsia="zh-CN"/>
              </w:rPr>
              <w:t>13-01-2017</w:t>
            </w:r>
          </w:p>
        </w:tc>
        <w:tc>
          <w:tcPr>
            <w:tcW w:w="1559" w:type="dxa"/>
            <w:tcBorders>
              <w:top w:val="nil"/>
            </w:tcBorders>
          </w:tcPr>
          <w:p w14:paraId="5A455D40" w14:textId="74B62E01" w:rsidR="002D38B6" w:rsidRPr="007B2BE1" w:rsidRDefault="007B2BE1" w:rsidP="009C556F">
            <w:pPr>
              <w:pStyle w:val="TableParagraph"/>
              <w:overflowPunct w:val="0"/>
              <w:spacing w:before="0"/>
              <w:ind w:rightChars="234" w:right="562"/>
              <w:rPr>
                <w:rFonts w:eastAsia="標楷體"/>
                <w:sz w:val="24"/>
                <w:szCs w:val="24"/>
                <w:lang w:eastAsia="zh-TW"/>
              </w:rPr>
            </w:pPr>
            <w:r w:rsidRPr="007B2BE1">
              <w:rPr>
                <w:rFonts w:eastAsia="標楷體"/>
                <w:sz w:val="24"/>
                <w:szCs w:val="24"/>
                <w:lang w:eastAsia="zh-CN"/>
              </w:rPr>
              <w:t>500,000</w:t>
            </w:r>
          </w:p>
        </w:tc>
      </w:tr>
    </w:tbl>
    <w:p w14:paraId="084B752A" w14:textId="0E4CF2D6" w:rsidR="002D38B6" w:rsidRPr="007B2BE1" w:rsidRDefault="002D38B6" w:rsidP="001E406E">
      <w:pPr>
        <w:overflowPunct w:val="0"/>
        <w:autoSpaceDE w:val="0"/>
        <w:autoSpaceDN w:val="0"/>
        <w:rPr>
          <w:rFonts w:ascii="Times New Roman" w:eastAsia="標楷體" w:hAnsi="Times New Roman" w:cs="Times New Roman"/>
          <w:lang w:eastAsia="zh-TW"/>
        </w:rPr>
      </w:pPr>
    </w:p>
    <w:p w14:paraId="51DA7B03" w14:textId="2BEEF3B9" w:rsidR="002D38B6" w:rsidRPr="007B2BE1" w:rsidRDefault="007B2BE1" w:rsidP="001E406E">
      <w:pPr>
        <w:overflowPunct w:val="0"/>
        <w:autoSpaceDE w:val="0"/>
        <w:autoSpaceDN w:val="0"/>
        <w:adjustRightInd w:val="0"/>
        <w:ind w:leftChars="1118" w:left="2683"/>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注</w:t>
      </w:r>
      <w:r w:rsidRPr="007B2BE1">
        <w:rPr>
          <w:rFonts w:ascii="Times New Roman" w:eastAsia="標楷體" w:hAnsi="Times New Roman" w:cs="Times New Roman"/>
          <w:lang w:eastAsia="zh-CN"/>
        </w:rPr>
        <w:t>5</w:t>
      </w:r>
      <w:r w:rsidRPr="007B2BE1">
        <w:rPr>
          <w:rFonts w:ascii="Times New Roman" w:eastAsia="標楷體" w:hAnsi="Times New Roman" w:cs="Times New Roman"/>
          <w:lang w:eastAsia="zh-CN"/>
        </w:rPr>
        <w:t>：评税主任因</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先生漏报来自</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公司为数</w:t>
      </w:r>
      <w:r w:rsidRPr="007B2BE1">
        <w:rPr>
          <w:rFonts w:ascii="Times New Roman" w:eastAsia="標楷體" w:hAnsi="Times New Roman" w:cs="Times New Roman"/>
          <w:lang w:eastAsia="zh-CN"/>
        </w:rPr>
        <w:t>128,000</w:t>
      </w:r>
      <w:r w:rsidRPr="007B2BE1">
        <w:rPr>
          <w:rFonts w:ascii="Times New Roman" w:eastAsia="標楷體" w:hAnsi="Times New Roman" w:cs="Times New Roman"/>
          <w:lang w:eastAsia="zh-CN"/>
        </w:rPr>
        <w:t>元的薪金收入，向</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先生发出</w:t>
      </w:r>
      <w:r w:rsidRPr="007B2BE1">
        <w:rPr>
          <w:rFonts w:ascii="Times New Roman" w:eastAsia="標楷體" w:hAnsi="Times New Roman" w:cs="Times New Roman"/>
          <w:lang w:eastAsia="zh-CN"/>
        </w:rPr>
        <w:t>2010/11</w:t>
      </w:r>
      <w:r w:rsidRPr="007B2BE1">
        <w:rPr>
          <w:rFonts w:ascii="Times New Roman" w:eastAsia="標楷體" w:hAnsi="Times New Roman" w:cs="Times New Roman"/>
          <w:lang w:eastAsia="zh-CN"/>
        </w:rPr>
        <w:t>课税年度薪俸税补加评税，将该年度总应评税入息调增至</w:t>
      </w:r>
      <w:r w:rsidRPr="007B2BE1">
        <w:rPr>
          <w:rFonts w:ascii="Times New Roman" w:eastAsia="標楷體" w:hAnsi="Times New Roman" w:cs="Times New Roman"/>
          <w:lang w:eastAsia="zh-CN"/>
        </w:rPr>
        <w:t>518,000</w:t>
      </w:r>
      <w:r w:rsidRPr="007B2BE1">
        <w:rPr>
          <w:rFonts w:ascii="Times New Roman" w:eastAsia="標楷體" w:hAnsi="Times New Roman" w:cs="Times New Roman"/>
          <w:lang w:eastAsia="zh-CN"/>
        </w:rPr>
        <w:t>元。</w:t>
      </w:r>
    </w:p>
    <w:p w14:paraId="7C402580" w14:textId="77777777" w:rsidR="00DD790A" w:rsidRPr="007B2BE1" w:rsidRDefault="00DD790A" w:rsidP="001E406E">
      <w:pPr>
        <w:overflowPunct w:val="0"/>
        <w:autoSpaceDE w:val="0"/>
        <w:autoSpaceDN w:val="0"/>
        <w:ind w:left="1625"/>
        <w:jc w:val="both"/>
        <w:rPr>
          <w:rFonts w:ascii="Times New Roman" w:eastAsia="標楷體" w:hAnsi="Times New Roman" w:cs="Times New Roman"/>
          <w:lang w:eastAsia="zh-TW"/>
        </w:rPr>
      </w:pPr>
    </w:p>
    <w:p w14:paraId="43EB8C12" w14:textId="7DBE15BE" w:rsidR="00DD790A" w:rsidRPr="007B2BE1" w:rsidRDefault="007B2BE1" w:rsidP="001E406E">
      <w:pPr>
        <w:overflowPunct w:val="0"/>
        <w:autoSpaceDE w:val="0"/>
        <w:autoSpaceDN w:val="0"/>
        <w:adjustRightInd w:val="0"/>
        <w:ind w:leftChars="1118" w:left="2683"/>
        <w:jc w:val="both"/>
        <w:rPr>
          <w:rFonts w:ascii="Times New Roman" w:eastAsia="標楷體" w:hAnsi="Times New Roman" w:cs="Times New Roman"/>
          <w:lang w:eastAsia="zh-CN"/>
        </w:rPr>
      </w:pPr>
      <w:r w:rsidRPr="007B2BE1">
        <w:rPr>
          <w:rFonts w:ascii="Times New Roman" w:eastAsia="標楷體" w:hAnsi="Times New Roman" w:cs="Times New Roman"/>
          <w:lang w:eastAsia="zh-CN"/>
        </w:rPr>
        <w:t>注</w:t>
      </w:r>
      <w:r w:rsidRPr="007B2BE1">
        <w:rPr>
          <w:rFonts w:ascii="Times New Roman" w:eastAsia="標楷體" w:hAnsi="Times New Roman" w:cs="Times New Roman"/>
          <w:lang w:eastAsia="zh-CN"/>
        </w:rPr>
        <w:t>6</w:t>
      </w:r>
      <w:r w:rsidRPr="007B2BE1">
        <w:rPr>
          <w:rFonts w:ascii="Times New Roman" w:eastAsia="標楷體" w:hAnsi="Times New Roman" w:cs="Times New Roman"/>
          <w:lang w:eastAsia="zh-CN"/>
        </w:rPr>
        <w:t>：</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先生于</w:t>
      </w:r>
      <w:r w:rsidRPr="007B2BE1">
        <w:rPr>
          <w:rFonts w:ascii="Times New Roman" w:eastAsia="標楷體" w:hAnsi="Times New Roman" w:cs="Times New Roman"/>
          <w:lang w:eastAsia="zh-CN"/>
        </w:rPr>
        <w:t>2011/12</w:t>
      </w:r>
      <w:r w:rsidRPr="007B2BE1">
        <w:rPr>
          <w:rFonts w:ascii="Times New Roman" w:eastAsia="標楷體" w:hAnsi="Times New Roman" w:cs="Times New Roman"/>
          <w:lang w:eastAsia="zh-CN"/>
        </w:rPr>
        <w:t>课税年度的个别人士报税表内申报没有任何应评税入息，评税主任因此发出退税通知书，以退还已缴纳的</w:t>
      </w:r>
      <w:r w:rsidRPr="007B2BE1">
        <w:rPr>
          <w:rFonts w:ascii="Times New Roman" w:eastAsia="標楷體" w:hAnsi="Times New Roman" w:cs="Times New Roman"/>
          <w:lang w:eastAsia="zh-CN"/>
        </w:rPr>
        <w:t>2011/12</w:t>
      </w:r>
      <w:r w:rsidRPr="007B2BE1">
        <w:rPr>
          <w:rFonts w:ascii="Times New Roman" w:eastAsia="標楷體" w:hAnsi="Times New Roman" w:cs="Times New Roman"/>
          <w:lang w:eastAsia="zh-CN"/>
        </w:rPr>
        <w:t>课税年度暂缴税。及后</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公司申报</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先生于</w:t>
      </w:r>
      <w:r w:rsidRPr="007B2BE1">
        <w:rPr>
          <w:rFonts w:ascii="Times New Roman" w:eastAsia="標楷體" w:hAnsi="Times New Roman" w:cs="Times New Roman"/>
          <w:lang w:eastAsia="zh-CN"/>
        </w:rPr>
        <w:t>2011/12</w:t>
      </w:r>
      <w:r w:rsidRPr="007B2BE1">
        <w:rPr>
          <w:rFonts w:ascii="Times New Roman" w:eastAsia="標楷體" w:hAnsi="Times New Roman" w:cs="Times New Roman"/>
          <w:lang w:eastAsia="zh-CN"/>
        </w:rPr>
        <w:t>课税年度内的入息为</w:t>
      </w:r>
      <w:r w:rsidRPr="007B2BE1">
        <w:rPr>
          <w:rFonts w:ascii="Times New Roman" w:eastAsia="標楷體" w:hAnsi="Times New Roman" w:cs="Times New Roman"/>
          <w:lang w:eastAsia="zh-CN"/>
        </w:rPr>
        <w:t>108,000</w:t>
      </w:r>
      <w:r w:rsidRPr="007B2BE1">
        <w:rPr>
          <w:rFonts w:ascii="Times New Roman" w:eastAsia="標楷體" w:hAnsi="Times New Roman" w:cs="Times New Roman"/>
          <w:lang w:eastAsia="zh-CN"/>
        </w:rPr>
        <w:t>元。</w:t>
      </w:r>
    </w:p>
    <w:p w14:paraId="4ED6F92D" w14:textId="77777777" w:rsidR="00DD790A" w:rsidRPr="007B2BE1" w:rsidRDefault="00DD790A" w:rsidP="001E406E">
      <w:pPr>
        <w:overflowPunct w:val="0"/>
        <w:autoSpaceDE w:val="0"/>
        <w:autoSpaceDN w:val="0"/>
        <w:ind w:left="1625"/>
        <w:rPr>
          <w:rFonts w:ascii="Times New Roman" w:eastAsia="標楷體" w:hAnsi="Times New Roman" w:cs="Times New Roman"/>
          <w:lang w:eastAsia="zh-CN"/>
        </w:rPr>
      </w:pPr>
    </w:p>
    <w:p w14:paraId="282218E1" w14:textId="3E94FAF2" w:rsidR="00DD790A" w:rsidRPr="007B2BE1" w:rsidRDefault="007B2BE1" w:rsidP="001E406E">
      <w:pPr>
        <w:overflowPunct w:val="0"/>
        <w:autoSpaceDE w:val="0"/>
        <w:autoSpaceDN w:val="0"/>
        <w:adjustRightInd w:val="0"/>
        <w:ind w:leftChars="1118" w:left="2683"/>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注</w:t>
      </w:r>
      <w:r w:rsidRPr="007B2BE1">
        <w:rPr>
          <w:rFonts w:ascii="Times New Roman" w:eastAsia="標楷體" w:hAnsi="Times New Roman" w:cs="Times New Roman"/>
          <w:lang w:eastAsia="zh-CN"/>
        </w:rPr>
        <w:t>7</w:t>
      </w:r>
      <w:r w:rsidRPr="007B2BE1">
        <w:rPr>
          <w:rFonts w:ascii="Times New Roman" w:eastAsia="標楷體" w:hAnsi="Times New Roman" w:cs="Times New Roman"/>
          <w:lang w:eastAsia="zh-CN"/>
        </w:rPr>
        <w:t>：在税务审核完结前，评税主任未有就</w:t>
      </w:r>
      <w:r w:rsidRPr="007B2BE1">
        <w:rPr>
          <w:rFonts w:ascii="Times New Roman" w:eastAsia="標楷體" w:hAnsi="Times New Roman" w:cs="Times New Roman"/>
          <w:lang w:eastAsia="zh-CN"/>
        </w:rPr>
        <w:t>2012/13</w:t>
      </w:r>
      <w:r w:rsidRPr="007B2BE1">
        <w:rPr>
          <w:rFonts w:ascii="Times New Roman" w:eastAsia="標楷體" w:hAnsi="Times New Roman" w:cs="Times New Roman"/>
          <w:lang w:eastAsia="zh-CN"/>
        </w:rPr>
        <w:t>及</w:t>
      </w:r>
      <w:r w:rsidRPr="007B2BE1">
        <w:rPr>
          <w:rFonts w:ascii="Times New Roman" w:eastAsia="標楷體" w:hAnsi="Times New Roman" w:cs="Times New Roman"/>
          <w:lang w:eastAsia="zh-CN"/>
        </w:rPr>
        <w:t>2014/15</w:t>
      </w:r>
      <w:r w:rsidRPr="007B2BE1">
        <w:rPr>
          <w:rFonts w:ascii="Times New Roman" w:eastAsia="標楷體" w:hAnsi="Times New Roman" w:cs="Times New Roman"/>
          <w:lang w:eastAsia="zh-CN"/>
        </w:rPr>
        <w:t>课税年度发出薪俸税评税。</w:t>
      </w:r>
    </w:p>
    <w:p w14:paraId="0B882962" w14:textId="77777777" w:rsidR="00DD790A" w:rsidRPr="007B2BE1" w:rsidRDefault="00DD790A" w:rsidP="001E406E">
      <w:pPr>
        <w:overflowPunct w:val="0"/>
        <w:autoSpaceDE w:val="0"/>
        <w:autoSpaceDN w:val="0"/>
        <w:ind w:left="1625"/>
        <w:rPr>
          <w:rFonts w:ascii="Times New Roman" w:eastAsia="標楷體" w:hAnsi="Times New Roman" w:cs="Times New Roman"/>
          <w:lang w:eastAsia="zh-TW"/>
        </w:rPr>
      </w:pPr>
    </w:p>
    <w:p w14:paraId="68C22CDE" w14:textId="493F53CB" w:rsidR="00DD790A" w:rsidRPr="007B2BE1" w:rsidRDefault="007B2BE1" w:rsidP="001E406E">
      <w:pPr>
        <w:overflowPunct w:val="0"/>
        <w:autoSpaceDE w:val="0"/>
        <w:autoSpaceDN w:val="0"/>
        <w:adjustRightInd w:val="0"/>
        <w:ind w:leftChars="1118" w:left="2683"/>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注</w:t>
      </w:r>
      <w:r w:rsidRPr="007B2BE1">
        <w:rPr>
          <w:rFonts w:ascii="Times New Roman" w:eastAsia="標楷體" w:hAnsi="Times New Roman" w:cs="Times New Roman"/>
          <w:lang w:eastAsia="zh-CN"/>
        </w:rPr>
        <w:t>8</w:t>
      </w:r>
      <w:r w:rsidRPr="007B2BE1">
        <w:rPr>
          <w:rFonts w:ascii="Times New Roman" w:eastAsia="標楷體" w:hAnsi="Times New Roman" w:cs="Times New Roman"/>
          <w:lang w:eastAsia="zh-CN"/>
        </w:rPr>
        <w:t>：因</w:t>
      </w:r>
      <w:r w:rsidRPr="007B2BE1">
        <w:rPr>
          <w:rFonts w:ascii="Times New Roman" w:eastAsia="標楷體" w:hAnsi="Times New Roman" w:cs="Times New Roman"/>
          <w:lang w:eastAsia="zh-CN"/>
        </w:rPr>
        <w:t>2013/14</w:t>
      </w:r>
      <w:r w:rsidRPr="007B2BE1">
        <w:rPr>
          <w:rFonts w:ascii="Times New Roman" w:eastAsia="標楷體" w:hAnsi="Times New Roman" w:cs="Times New Roman"/>
          <w:lang w:eastAsia="zh-CN"/>
        </w:rPr>
        <w:t>课税年度所申报的应评税入息少于</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先生所享有的免税额，故此评税主任没有发出该课税年度的薪俸税评税。</w:t>
      </w:r>
    </w:p>
    <w:p w14:paraId="59786EC7" w14:textId="77777777" w:rsidR="002D38B6" w:rsidRPr="007B2BE1" w:rsidRDefault="002D38B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678E4DB4" w14:textId="21F5AB34" w:rsidR="00AD270E"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先生没有就上文第</w:t>
      </w:r>
      <w:r w:rsidRPr="007B2BE1">
        <w:rPr>
          <w:rFonts w:ascii="Times New Roman" w:eastAsia="標楷體" w:hAnsi="Times New Roman" w:cs="Times New Roman"/>
          <w:lang w:val="en-US" w:eastAsia="zh-CN"/>
        </w:rPr>
        <w:t>15</w:t>
      </w:r>
      <w:r w:rsidRPr="007B2BE1">
        <w:rPr>
          <w:rFonts w:ascii="Times New Roman" w:eastAsia="標楷體" w:hAnsi="Times New Roman" w:cs="Times New Roman"/>
          <w:lang w:val="en-US" w:eastAsia="zh-CN"/>
        </w:rPr>
        <w:t>项的物业税评税及薪俸税评税提出反对。</w:t>
      </w:r>
    </w:p>
    <w:p w14:paraId="050B42CE" w14:textId="77777777" w:rsidR="003377E6" w:rsidRPr="007B2BE1" w:rsidRDefault="003377E6"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5170F13" w14:textId="4DC454B1" w:rsidR="002B66A4"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评税主任于</w:t>
      </w:r>
      <w:r w:rsidRPr="007B2BE1">
        <w:rPr>
          <w:rFonts w:ascii="Times New Roman" w:eastAsia="標楷體" w:hAnsi="Times New Roman" w:cs="Times New Roman"/>
          <w:lang w:val="en-US" w:eastAsia="zh-CN"/>
        </w:rPr>
        <w:t>2014</w:t>
      </w:r>
      <w:r w:rsidRPr="007B2BE1">
        <w:rPr>
          <w:rFonts w:ascii="Times New Roman" w:eastAsia="標楷體" w:hAnsi="Times New Roman" w:cs="Times New Roman"/>
          <w:lang w:val="en-US" w:eastAsia="zh-CN"/>
        </w:rPr>
        <w:t>年开始，就</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先生提交的个别人士报税表及其关联公司进行税务审核及调查。评税主任于</w:t>
      </w:r>
      <w:r w:rsidRPr="007B2BE1">
        <w:rPr>
          <w:rFonts w:ascii="Times New Roman" w:eastAsia="標楷體" w:hAnsi="Times New Roman" w:cs="Times New Roman"/>
          <w:lang w:val="en-US" w:eastAsia="zh-CN"/>
        </w:rPr>
        <w:t>2014</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17</w:t>
      </w:r>
      <w:r w:rsidRPr="007B2BE1">
        <w:rPr>
          <w:rFonts w:ascii="Times New Roman" w:eastAsia="標楷體" w:hAnsi="Times New Roman" w:cs="Times New Roman"/>
          <w:lang w:val="en-US" w:eastAsia="zh-CN"/>
        </w:rPr>
        <w:t>日发信通知</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先生，税务局正审核其报税表，并希望与其会晤，讨论其税务问题。信内述明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先生可由税务代表陪同出席。于</w:t>
      </w:r>
      <w:r w:rsidRPr="007B2BE1">
        <w:rPr>
          <w:rFonts w:ascii="Times New Roman" w:eastAsia="標楷體" w:hAnsi="Times New Roman" w:cs="Times New Roman"/>
          <w:lang w:val="en-US" w:eastAsia="zh-CN"/>
        </w:rPr>
        <w:t>2014</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22</w:t>
      </w:r>
      <w:r w:rsidRPr="007B2BE1">
        <w:rPr>
          <w:rFonts w:ascii="Times New Roman" w:eastAsia="標楷體" w:hAnsi="Times New Roman" w:cs="Times New Roman"/>
          <w:lang w:val="en-US" w:eastAsia="zh-CN"/>
        </w:rPr>
        <w:t>日，</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先生委任了第一税务代表作为他的税务代表。</w:t>
      </w:r>
    </w:p>
    <w:p w14:paraId="36815B39" w14:textId="0F0F729A" w:rsidR="001E406E" w:rsidRPr="007B2BE1" w:rsidRDefault="001E406E" w:rsidP="00BE49F6">
      <w:pPr>
        <w:tabs>
          <w:tab w:val="left" w:pos="2107"/>
        </w:tabs>
        <w:overflowPunct w:val="0"/>
        <w:autoSpaceDE w:val="0"/>
        <w:autoSpaceDN w:val="0"/>
        <w:adjustRightInd w:val="0"/>
        <w:jc w:val="both"/>
        <w:rPr>
          <w:rFonts w:ascii="Times New Roman" w:eastAsia="標楷體" w:hAnsi="Times New Roman" w:cs="Times New Roman"/>
          <w:lang w:val="en-US" w:eastAsia="zh-CN"/>
        </w:rPr>
      </w:pPr>
    </w:p>
    <w:p w14:paraId="6C157EEF" w14:textId="6E00CE54" w:rsidR="00A222C0"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在税务审核期间，评税主任曾向</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先生发出物业税及薪俸税的估计评税，而</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先生则就该等估计评税提出反对。</w:t>
      </w:r>
    </w:p>
    <w:p w14:paraId="79635087" w14:textId="77777777" w:rsidR="001E406E" w:rsidRPr="007B2BE1" w:rsidRDefault="001E406E"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20675B7A" w14:textId="2C478AF3" w:rsidR="00046914"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先生在第一税务代表的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先生陪同下，在</w:t>
      </w:r>
      <w:r w:rsidRPr="007B2BE1">
        <w:rPr>
          <w:rFonts w:ascii="Times New Roman" w:eastAsia="標楷體" w:hAnsi="Times New Roman" w:cs="Times New Roman"/>
          <w:lang w:val="en-US" w:eastAsia="zh-CN"/>
        </w:rPr>
        <w:t>2015</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3</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23</w:t>
      </w:r>
      <w:r w:rsidRPr="007B2BE1">
        <w:rPr>
          <w:rFonts w:ascii="Times New Roman" w:eastAsia="標楷體" w:hAnsi="Times New Roman" w:cs="Times New Roman"/>
          <w:lang w:val="en-US" w:eastAsia="zh-CN"/>
        </w:rPr>
        <w:t>日依约到访税务局会晤。会晤期间：</w:t>
      </w:r>
    </w:p>
    <w:p w14:paraId="1115E1E6" w14:textId="77777777" w:rsidR="00046914" w:rsidRPr="007B2BE1" w:rsidRDefault="00046914"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308951D0" w14:textId="2A8A41D6" w:rsidR="00A222C0" w:rsidRPr="007B2BE1" w:rsidRDefault="007B2BE1"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eastAsia="zh-CN"/>
        </w:rPr>
        <w:lastRenderedPageBreak/>
        <w:t>高级评税主任告知</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先生，税务局正审核他的税务事宜。任何人如被发现违反税例，可能会被评定补加税，罚则由税务局局长或副局长决定；</w:t>
      </w:r>
    </w:p>
    <w:p w14:paraId="61982BAE" w14:textId="77777777" w:rsidR="001E406E" w:rsidRPr="007B2BE1" w:rsidRDefault="001E406E" w:rsidP="001E406E">
      <w:pPr>
        <w:pStyle w:val="ae"/>
        <w:tabs>
          <w:tab w:val="left" w:pos="2683"/>
        </w:tabs>
        <w:overflowPunct w:val="0"/>
        <w:ind w:left="2683"/>
        <w:jc w:val="both"/>
        <w:rPr>
          <w:rFonts w:ascii="Times New Roman" w:eastAsia="標楷體" w:hAnsi="Times New Roman" w:cs="Times New Roman"/>
          <w:lang w:eastAsia="zh-CN"/>
        </w:rPr>
      </w:pPr>
    </w:p>
    <w:p w14:paraId="1EDD6811" w14:textId="2CE79F49" w:rsidR="00A222C0" w:rsidRPr="007B2BE1" w:rsidRDefault="007B2BE1"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先生表示</w:t>
      </w:r>
      <w:r w:rsidRPr="007B2BE1">
        <w:rPr>
          <w:rFonts w:ascii="Times New Roman" w:eastAsia="標楷體" w:hAnsi="Times New Roman" w:cs="Times New Roman"/>
          <w:lang w:eastAsia="zh-CN"/>
        </w:rPr>
        <w:t>C</w:t>
      </w:r>
      <w:r w:rsidRPr="007B2BE1">
        <w:rPr>
          <w:rFonts w:ascii="Times New Roman" w:eastAsia="標楷體" w:hAnsi="Times New Roman" w:cs="Times New Roman"/>
          <w:lang w:eastAsia="zh-CN"/>
        </w:rPr>
        <w:t>公司以顾问费名义将他赚取的拆账收入支付给</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公司，为此</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公司的收入包括来自</w:t>
      </w:r>
      <w:r w:rsidRPr="007B2BE1">
        <w:rPr>
          <w:rFonts w:ascii="Times New Roman" w:eastAsia="標楷體" w:hAnsi="Times New Roman" w:cs="Times New Roman"/>
          <w:lang w:eastAsia="zh-CN"/>
        </w:rPr>
        <w:t>C</w:t>
      </w:r>
      <w:r w:rsidRPr="007B2BE1">
        <w:rPr>
          <w:rFonts w:ascii="Times New Roman" w:eastAsia="標楷體" w:hAnsi="Times New Roman" w:cs="Times New Roman"/>
          <w:lang w:eastAsia="zh-CN"/>
        </w:rPr>
        <w:t>公司的顾问费及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先生以私人名义为艺人提供发型服务的酬金；</w:t>
      </w:r>
    </w:p>
    <w:p w14:paraId="1F2A8E79" w14:textId="77777777" w:rsidR="001E406E" w:rsidRPr="007B2BE1" w:rsidRDefault="001E406E" w:rsidP="001E406E">
      <w:pPr>
        <w:pStyle w:val="ae"/>
        <w:tabs>
          <w:tab w:val="left" w:pos="2683"/>
        </w:tabs>
        <w:overflowPunct w:val="0"/>
        <w:ind w:left="2740"/>
        <w:jc w:val="both"/>
        <w:rPr>
          <w:rFonts w:ascii="Times New Roman" w:eastAsia="標楷體" w:hAnsi="Times New Roman" w:cs="Times New Roman"/>
          <w:lang w:eastAsia="zh-TW"/>
        </w:rPr>
      </w:pPr>
    </w:p>
    <w:p w14:paraId="3B9AE1CF" w14:textId="153C6DED" w:rsidR="00A222C0" w:rsidRPr="007B2BE1" w:rsidRDefault="007B2BE1"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先生表示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公司的应酬费一般是指他和制作公司用膳费用；</w:t>
      </w:r>
    </w:p>
    <w:p w14:paraId="795FE985" w14:textId="77777777" w:rsidR="001E406E" w:rsidRPr="007B2BE1" w:rsidRDefault="001E406E" w:rsidP="001E406E">
      <w:pPr>
        <w:pStyle w:val="ae"/>
        <w:tabs>
          <w:tab w:val="left" w:pos="2683"/>
        </w:tabs>
        <w:overflowPunct w:val="0"/>
        <w:ind w:left="2683"/>
        <w:jc w:val="both"/>
        <w:rPr>
          <w:rFonts w:ascii="Times New Roman" w:eastAsia="標楷體" w:hAnsi="Times New Roman" w:cs="Times New Roman"/>
          <w:lang w:eastAsia="zh-TW"/>
        </w:rPr>
      </w:pPr>
    </w:p>
    <w:p w14:paraId="1D3B360C" w14:textId="0FDD5B03" w:rsidR="00A222C0" w:rsidRPr="007B2BE1" w:rsidRDefault="007B2BE1"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先生表示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公司拥有两辆汽车，包括一辆七人车及一辆</w:t>
      </w:r>
      <w:r w:rsidRPr="007B2BE1">
        <w:rPr>
          <w:rFonts w:ascii="Times New Roman" w:eastAsia="標楷體" w:hAnsi="Times New Roman" w:cs="Times New Roman"/>
          <w:lang w:eastAsia="zh-CN"/>
        </w:rPr>
        <w:t>K</w:t>
      </w:r>
      <w:r w:rsidRPr="007B2BE1">
        <w:rPr>
          <w:rFonts w:ascii="Times New Roman" w:eastAsia="標楷體" w:hAnsi="Times New Roman" w:cs="Times New Roman"/>
          <w:lang w:eastAsia="zh-CN"/>
        </w:rPr>
        <w:t>品牌汽车；</w:t>
      </w:r>
    </w:p>
    <w:p w14:paraId="4D2E1682" w14:textId="4E4668EA" w:rsidR="001E406E" w:rsidRPr="007B2BE1" w:rsidRDefault="001E406E" w:rsidP="001E406E">
      <w:pPr>
        <w:pStyle w:val="ae"/>
        <w:tabs>
          <w:tab w:val="left" w:pos="2683"/>
        </w:tabs>
        <w:overflowPunct w:val="0"/>
        <w:jc w:val="both"/>
        <w:rPr>
          <w:rFonts w:ascii="Times New Roman" w:eastAsia="標楷體" w:hAnsi="Times New Roman" w:cs="Times New Roman"/>
          <w:lang w:eastAsia="zh-TW"/>
        </w:rPr>
      </w:pPr>
    </w:p>
    <w:p w14:paraId="3B6E350E" w14:textId="41CC734A" w:rsidR="00A222C0" w:rsidRPr="007B2BE1" w:rsidRDefault="007B2BE1"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先生表示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公司提供</w:t>
      </w:r>
      <w:r w:rsidRPr="007B2BE1">
        <w:rPr>
          <w:rFonts w:ascii="Times New Roman" w:eastAsia="標楷體" w:hAnsi="Times New Roman" w:cs="Times New Roman"/>
          <w:lang w:eastAsia="zh-CN"/>
        </w:rPr>
        <w:t>F</w:t>
      </w:r>
      <w:r w:rsidRPr="007B2BE1">
        <w:rPr>
          <w:rFonts w:ascii="Times New Roman" w:eastAsia="標楷體" w:hAnsi="Times New Roman" w:cs="Times New Roman"/>
          <w:lang w:eastAsia="zh-CN"/>
        </w:rPr>
        <w:t>物业给予他作为住所，部分住所被他用作工作室；</w:t>
      </w:r>
    </w:p>
    <w:p w14:paraId="2F31342B" w14:textId="77777777" w:rsidR="001E406E" w:rsidRPr="007B2BE1" w:rsidRDefault="001E406E" w:rsidP="001E406E">
      <w:pPr>
        <w:pStyle w:val="ae"/>
        <w:tabs>
          <w:tab w:val="left" w:pos="2683"/>
        </w:tabs>
        <w:overflowPunct w:val="0"/>
        <w:ind w:left="2711"/>
        <w:jc w:val="both"/>
        <w:rPr>
          <w:rFonts w:ascii="Times New Roman" w:eastAsia="標楷體" w:hAnsi="Times New Roman" w:cs="Times New Roman"/>
          <w:lang w:eastAsia="zh-TW"/>
        </w:rPr>
      </w:pPr>
    </w:p>
    <w:p w14:paraId="176FC536" w14:textId="09F3716C" w:rsidR="00046914" w:rsidRPr="007B2BE1" w:rsidRDefault="007B2BE1" w:rsidP="001E406E">
      <w:pPr>
        <w:pStyle w:val="ae"/>
        <w:numPr>
          <w:ilvl w:val="0"/>
          <w:numId w:val="19"/>
        </w:numPr>
        <w:tabs>
          <w:tab w:val="left" w:pos="2683"/>
        </w:tabs>
        <w:overflowPunct w:val="0"/>
        <w:ind w:leftChars="878" w:left="2611" w:hangingChars="210" w:hanging="504"/>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J</w:t>
      </w:r>
      <w:r w:rsidRPr="007B2BE1">
        <w:rPr>
          <w:rFonts w:ascii="Times New Roman" w:eastAsia="標楷體" w:hAnsi="Times New Roman" w:cs="Times New Roman"/>
          <w:lang w:eastAsia="zh-CN"/>
        </w:rPr>
        <w:t>先生确认</w:t>
      </w:r>
      <w:r w:rsidRPr="007B2BE1">
        <w:rPr>
          <w:rFonts w:ascii="Times New Roman" w:eastAsia="標楷體" w:hAnsi="Times New Roman" w:cs="Times New Roman"/>
          <w:lang w:eastAsia="zh-CN"/>
        </w:rPr>
        <w:t>2011/12</w:t>
      </w:r>
      <w:r w:rsidRPr="007B2BE1">
        <w:rPr>
          <w:rFonts w:ascii="Times New Roman" w:eastAsia="標楷體" w:hAnsi="Times New Roman" w:cs="Times New Roman"/>
          <w:lang w:eastAsia="zh-CN"/>
        </w:rPr>
        <w:t>及</w:t>
      </w:r>
      <w:r w:rsidRPr="007B2BE1">
        <w:rPr>
          <w:rFonts w:ascii="Times New Roman" w:eastAsia="標楷體" w:hAnsi="Times New Roman" w:cs="Times New Roman"/>
          <w:lang w:eastAsia="zh-CN"/>
        </w:rPr>
        <w:t>2012/13</w:t>
      </w:r>
      <w:r w:rsidRPr="007B2BE1">
        <w:rPr>
          <w:rFonts w:ascii="Times New Roman" w:eastAsia="標楷體" w:hAnsi="Times New Roman" w:cs="Times New Roman"/>
          <w:lang w:eastAsia="zh-CN"/>
        </w:rPr>
        <w:t>课税年度</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公司的利得税报税表均由他本人签署，并声称全属正确。</w:t>
      </w:r>
    </w:p>
    <w:p w14:paraId="03CCEC86" w14:textId="77777777" w:rsidR="001E406E" w:rsidRPr="007B2BE1" w:rsidRDefault="001E406E" w:rsidP="001E406E">
      <w:pPr>
        <w:pStyle w:val="ae"/>
        <w:tabs>
          <w:tab w:val="left" w:pos="2683"/>
        </w:tabs>
        <w:overflowPunct w:val="0"/>
        <w:ind w:left="2722"/>
        <w:jc w:val="both"/>
        <w:rPr>
          <w:rFonts w:ascii="Times New Roman" w:eastAsia="標楷體" w:hAnsi="Times New Roman" w:cs="Times New Roman"/>
          <w:lang w:eastAsia="zh-TW"/>
        </w:rPr>
      </w:pPr>
    </w:p>
    <w:p w14:paraId="370535DC" w14:textId="2495EAED" w:rsidR="00A222C0" w:rsidRPr="007B2BE1" w:rsidRDefault="007B2BE1"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先生在会晤中确认</w:t>
      </w:r>
      <w:r w:rsidRPr="007B2BE1">
        <w:rPr>
          <w:rFonts w:ascii="Times New Roman" w:eastAsia="標楷體" w:hAnsi="Times New Roman" w:cs="Times New Roman"/>
          <w:lang w:eastAsia="zh-CN"/>
        </w:rPr>
        <w:t>2007/08</w:t>
      </w:r>
      <w:r w:rsidRPr="007B2BE1">
        <w:rPr>
          <w:rFonts w:ascii="Times New Roman" w:eastAsia="標楷體" w:hAnsi="Times New Roman" w:cs="Times New Roman"/>
          <w:lang w:eastAsia="zh-CN"/>
        </w:rPr>
        <w:t>至</w:t>
      </w:r>
      <w:r w:rsidRPr="007B2BE1">
        <w:rPr>
          <w:rFonts w:ascii="Times New Roman" w:eastAsia="標楷體" w:hAnsi="Times New Roman" w:cs="Times New Roman"/>
          <w:lang w:eastAsia="zh-CN"/>
        </w:rPr>
        <w:t>2011/12</w:t>
      </w:r>
      <w:r w:rsidRPr="007B2BE1">
        <w:rPr>
          <w:rFonts w:ascii="Times New Roman" w:eastAsia="標楷體" w:hAnsi="Times New Roman" w:cs="Times New Roman"/>
          <w:lang w:eastAsia="zh-CN"/>
        </w:rPr>
        <w:t>课税年度的个别人士报税表均由他本人签署，并声称全属正确；及</w:t>
      </w:r>
    </w:p>
    <w:p w14:paraId="40D27CD9" w14:textId="77777777" w:rsidR="001E406E" w:rsidRPr="007B2BE1" w:rsidRDefault="001E406E" w:rsidP="001E406E">
      <w:pPr>
        <w:pStyle w:val="ae"/>
        <w:tabs>
          <w:tab w:val="left" w:pos="2683"/>
        </w:tabs>
        <w:overflowPunct w:val="0"/>
        <w:ind w:left="2683"/>
        <w:jc w:val="both"/>
        <w:rPr>
          <w:rFonts w:ascii="Times New Roman" w:eastAsia="標楷體" w:hAnsi="Times New Roman" w:cs="Times New Roman"/>
          <w:lang w:eastAsia="zh-TW"/>
        </w:rPr>
      </w:pPr>
    </w:p>
    <w:p w14:paraId="73CFDF31" w14:textId="06DA7636" w:rsidR="00A222C0" w:rsidRPr="007B2BE1" w:rsidRDefault="007B2BE1" w:rsidP="001E406E">
      <w:pPr>
        <w:pStyle w:val="ae"/>
        <w:numPr>
          <w:ilvl w:val="0"/>
          <w:numId w:val="19"/>
        </w:numPr>
        <w:tabs>
          <w:tab w:val="left" w:pos="2683"/>
        </w:tabs>
        <w:overflowPunct w:val="0"/>
        <w:ind w:leftChars="878" w:left="2611" w:hangingChars="210" w:hanging="504"/>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评税主任将</w:t>
      </w:r>
      <w:r w:rsidRPr="007B2BE1">
        <w:rPr>
          <w:rFonts w:ascii="Times New Roman" w:eastAsia="標楷體" w:hAnsi="Times New Roman" w:cs="Times New Roman"/>
          <w:lang w:eastAsia="zh-CN"/>
        </w:rPr>
        <w:t>2012/13</w:t>
      </w:r>
      <w:r w:rsidRPr="007B2BE1">
        <w:rPr>
          <w:rFonts w:ascii="Times New Roman" w:eastAsia="標楷體" w:hAnsi="Times New Roman" w:cs="Times New Roman"/>
          <w:lang w:eastAsia="zh-CN"/>
        </w:rPr>
        <w:t>及</w:t>
      </w:r>
      <w:r w:rsidRPr="007B2BE1">
        <w:rPr>
          <w:rFonts w:ascii="Times New Roman" w:eastAsia="標楷體" w:hAnsi="Times New Roman" w:cs="Times New Roman"/>
          <w:lang w:eastAsia="zh-CN"/>
        </w:rPr>
        <w:t>2013/14</w:t>
      </w:r>
      <w:r w:rsidRPr="007B2BE1">
        <w:rPr>
          <w:rFonts w:ascii="Times New Roman" w:eastAsia="標楷體" w:hAnsi="Times New Roman" w:cs="Times New Roman"/>
          <w:lang w:eastAsia="zh-CN"/>
        </w:rPr>
        <w:t>课税年度个别人士报税交给</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先生，并要求</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先生于一个月内填妥及交回税务局。</w:t>
      </w:r>
    </w:p>
    <w:p w14:paraId="35ED5D38" w14:textId="77777777" w:rsidR="00046914" w:rsidRPr="007B2BE1" w:rsidRDefault="00046914"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563D8FAC" w14:textId="1BFAC242" w:rsidR="00A222C0"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在税务审核期间，在评税主任的要求下，银行提供了</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公司户口的月结单。评税主任取得</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公司从</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公司收取入息的资料，</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公司亦应评税主任的要求，于</w:t>
      </w:r>
      <w:r w:rsidRPr="007B2BE1">
        <w:rPr>
          <w:rFonts w:ascii="Times New Roman" w:eastAsia="標楷體" w:hAnsi="Times New Roman" w:cs="Times New Roman"/>
          <w:lang w:val="en-US" w:eastAsia="zh-CN"/>
        </w:rPr>
        <w:t>2016</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5</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18</w:t>
      </w:r>
      <w:r w:rsidRPr="007B2BE1">
        <w:rPr>
          <w:rFonts w:ascii="Times New Roman" w:eastAsia="標楷體" w:hAnsi="Times New Roman" w:cs="Times New Roman"/>
          <w:lang w:val="en-US" w:eastAsia="zh-CN"/>
        </w:rPr>
        <w:t>日提供了</w:t>
      </w:r>
      <w:r w:rsidRPr="007B2BE1">
        <w:rPr>
          <w:rFonts w:ascii="Times New Roman" w:eastAsia="標楷體" w:hAnsi="Times New Roman" w:cs="Times New Roman"/>
          <w:lang w:val="en-US" w:eastAsia="zh-CN"/>
        </w:rPr>
        <w:t>2014/15</w:t>
      </w:r>
      <w:r w:rsidRPr="007B2BE1">
        <w:rPr>
          <w:rFonts w:ascii="Times New Roman" w:eastAsia="標楷體" w:hAnsi="Times New Roman" w:cs="Times New Roman"/>
          <w:lang w:val="en-US" w:eastAsia="zh-CN"/>
        </w:rPr>
        <w:t>课税年度的支出收据。</w:t>
      </w:r>
    </w:p>
    <w:p w14:paraId="14456727" w14:textId="77777777" w:rsidR="004B43B5" w:rsidRPr="007B2BE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38740374" w14:textId="35645CAA" w:rsidR="00A222C0"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在税务审核期间，在评税主任的要求下，银行提供了</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先生个人户口的月结单。</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先生也提供了关于</w:t>
      </w:r>
      <w:r w:rsidRPr="007B2BE1">
        <w:rPr>
          <w:rFonts w:ascii="Times New Roman" w:eastAsia="標楷體" w:hAnsi="Times New Roman" w:cs="Times New Roman"/>
          <w:lang w:val="en-US" w:eastAsia="zh-CN"/>
        </w:rPr>
        <w:t>G</w:t>
      </w:r>
      <w:r w:rsidRPr="007B2BE1">
        <w:rPr>
          <w:rFonts w:ascii="Times New Roman" w:eastAsia="標楷體" w:hAnsi="Times New Roman" w:cs="Times New Roman"/>
          <w:lang w:val="en-US" w:eastAsia="zh-CN"/>
        </w:rPr>
        <w:t>物业及</w:t>
      </w:r>
      <w:r w:rsidRPr="007B2BE1">
        <w:rPr>
          <w:rFonts w:ascii="Times New Roman" w:eastAsia="標楷體" w:hAnsi="Times New Roman" w:cs="Times New Roman"/>
          <w:lang w:val="en-US" w:eastAsia="zh-CN"/>
        </w:rPr>
        <w:t>H</w:t>
      </w:r>
      <w:r w:rsidRPr="007B2BE1">
        <w:rPr>
          <w:rFonts w:ascii="Times New Roman" w:eastAsia="標楷體" w:hAnsi="Times New Roman" w:cs="Times New Roman"/>
          <w:lang w:val="en-US" w:eastAsia="zh-CN"/>
        </w:rPr>
        <w:t>物业的租务资料。</w:t>
      </w:r>
    </w:p>
    <w:p w14:paraId="5C7F8B7A" w14:textId="77777777" w:rsidR="004B43B5" w:rsidRPr="007B2BE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202B1FB0" w14:textId="288310CE" w:rsidR="00A222C0"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评税主任曾于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7</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日及</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8</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25</w:t>
      </w:r>
      <w:r w:rsidRPr="007B2BE1">
        <w:rPr>
          <w:rFonts w:ascii="Times New Roman" w:eastAsia="標楷體" w:hAnsi="Times New Roman" w:cs="Times New Roman"/>
          <w:lang w:val="en-US" w:eastAsia="zh-CN"/>
        </w:rPr>
        <w:t>日先后两次向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先生及第一税务代表提出了结个案建议，但有关建议并未获</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公司或</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先生接纳。</w:t>
      </w:r>
    </w:p>
    <w:p w14:paraId="00815B22" w14:textId="77777777" w:rsidR="004B43B5" w:rsidRPr="007B2BE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0E5EF54C" w14:textId="420FB0DA" w:rsidR="00B5235E"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评税主任根据</w:t>
      </w:r>
      <w:r w:rsidRPr="007B2BE1">
        <w:rPr>
          <w:rFonts w:ascii="Times New Roman" w:eastAsia="標楷體" w:hAnsi="Times New Roman" w:cs="Times New Roman"/>
          <w:lang w:val="en-US" w:eastAsia="zh-CN"/>
        </w:rPr>
        <w:t>H</w:t>
      </w:r>
      <w:r w:rsidRPr="007B2BE1">
        <w:rPr>
          <w:rFonts w:ascii="Times New Roman" w:eastAsia="標楷體" w:hAnsi="Times New Roman" w:cs="Times New Roman"/>
          <w:lang w:val="en-US" w:eastAsia="zh-CN"/>
        </w:rPr>
        <w:t>物业的租务资料及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先生从</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公司和</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公司获取的入息的资料，于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日向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先生第三次提出了结个案建议。</w:t>
      </w:r>
    </w:p>
    <w:p w14:paraId="73EC7922" w14:textId="77777777" w:rsidR="004B43B5" w:rsidRPr="007B2BE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70AA2570" w14:textId="4DE6FCB9" w:rsidR="00FF1D26"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lastRenderedPageBreak/>
        <w:t>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先生再作讨论后，评税主任于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先生第四次提出了结个案建议，而税务局于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29</w:t>
      </w:r>
      <w:r w:rsidRPr="007B2BE1">
        <w:rPr>
          <w:rFonts w:ascii="Times New Roman" w:eastAsia="標楷體" w:hAnsi="Times New Roman" w:cs="Times New Roman"/>
          <w:lang w:val="en-US" w:eastAsia="zh-CN"/>
        </w:rPr>
        <w:t>日收到</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日签发的了结个案建议书及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日签发的了结个案建议书。</w:t>
      </w:r>
    </w:p>
    <w:p w14:paraId="24BF82DA" w14:textId="77777777" w:rsidR="004B43B5" w:rsidRPr="007B2BE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11261EC" w14:textId="7B2EFCCC" w:rsidR="004B7186" w:rsidRPr="007B2BE1" w:rsidRDefault="007B2BE1" w:rsidP="00840450">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公司的了结个案建议书提交了一份采用评税主任于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公司提议的了结个案基准来表列了结个案计算基准的附件。</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公司也在了结个案建议书承认未有遵从税例第</w:t>
      </w:r>
      <w:r w:rsidRPr="007B2BE1">
        <w:rPr>
          <w:rFonts w:ascii="Times New Roman" w:eastAsia="標楷體" w:hAnsi="Times New Roman" w:cs="Times New Roman"/>
          <w:lang w:val="en-US" w:eastAsia="zh-CN"/>
        </w:rPr>
        <w:t>51C</w:t>
      </w:r>
      <w:r w:rsidRPr="007B2BE1">
        <w:rPr>
          <w:rFonts w:ascii="Times New Roman" w:eastAsia="標楷體" w:hAnsi="Times New Roman" w:cs="Times New Roman"/>
          <w:lang w:val="en-US" w:eastAsia="zh-CN"/>
        </w:rPr>
        <w:t>条保存业务纪录的规定，并建议罚款</w:t>
      </w:r>
      <w:r w:rsidRPr="007B2BE1">
        <w:rPr>
          <w:rFonts w:ascii="Times New Roman" w:eastAsia="標楷體" w:hAnsi="Times New Roman" w:cs="Times New Roman"/>
          <w:lang w:val="en-US" w:eastAsia="zh-CN"/>
        </w:rPr>
        <w:t>25,000</w:t>
      </w:r>
      <w:r w:rsidRPr="007B2BE1">
        <w:rPr>
          <w:rFonts w:ascii="Times New Roman" w:eastAsia="標楷體" w:hAnsi="Times New Roman" w:cs="Times New Roman"/>
          <w:lang w:val="en-US" w:eastAsia="zh-CN"/>
        </w:rPr>
        <w:t>元，亦建议以罚款</w:t>
      </w:r>
      <w:r w:rsidRPr="007B2BE1">
        <w:rPr>
          <w:rFonts w:ascii="Times New Roman" w:eastAsia="標楷體" w:hAnsi="Times New Roman" w:cs="Times New Roman"/>
          <w:lang w:val="en-US" w:eastAsia="zh-CN"/>
        </w:rPr>
        <w:t>410,000</w:t>
      </w:r>
      <w:r w:rsidRPr="007B2BE1">
        <w:rPr>
          <w:rFonts w:ascii="Times New Roman" w:eastAsia="標楷體" w:hAnsi="Times New Roman" w:cs="Times New Roman"/>
          <w:lang w:val="en-US" w:eastAsia="zh-CN"/>
        </w:rPr>
        <w:t>元代替起诉，但表示没法分</w:t>
      </w:r>
      <w:r w:rsidRPr="007B2BE1">
        <w:rPr>
          <w:rFonts w:ascii="Times New Roman" w:eastAsia="標楷體" w:hAnsi="Times New Roman" w:cs="Times New Roman"/>
          <w:lang w:val="en-US" w:eastAsia="zh-CN"/>
        </w:rPr>
        <w:t>3</w:t>
      </w:r>
      <w:r w:rsidRPr="007B2BE1">
        <w:rPr>
          <w:rFonts w:ascii="Times New Roman" w:eastAsia="標楷體" w:hAnsi="Times New Roman" w:cs="Times New Roman"/>
          <w:lang w:val="en-US" w:eastAsia="zh-CN"/>
        </w:rPr>
        <w:t>期缴清所建议的罚款，于是提议以税例第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条补加税代替罚款。该了结个案建议的基准节录如下：</w:t>
      </w:r>
    </w:p>
    <w:p w14:paraId="193B7301" w14:textId="77777777" w:rsidR="005019B5" w:rsidRPr="007B2BE1" w:rsidRDefault="005019B5"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6662" w:type="dxa"/>
        <w:tblInd w:w="1985" w:type="dxa"/>
        <w:tblBorders>
          <w:top w:val="nil"/>
          <w:left w:val="nil"/>
          <w:bottom w:val="nil"/>
          <w:right w:val="nil"/>
          <w:insideH w:val="nil"/>
          <w:insideV w:val="nil"/>
        </w:tblBorders>
        <w:tblLayout w:type="fixed"/>
        <w:tblLook w:val="01E0" w:firstRow="1" w:lastRow="1" w:firstColumn="1" w:lastColumn="1" w:noHBand="0" w:noVBand="0"/>
      </w:tblPr>
      <w:tblGrid>
        <w:gridCol w:w="1134"/>
        <w:gridCol w:w="2268"/>
        <w:gridCol w:w="1984"/>
        <w:gridCol w:w="1276"/>
      </w:tblGrid>
      <w:tr w:rsidR="005019B5" w:rsidRPr="007B2BE1" w14:paraId="7FCA6092" w14:textId="77777777" w:rsidTr="00747705">
        <w:trPr>
          <w:trHeight w:val="227"/>
        </w:trPr>
        <w:tc>
          <w:tcPr>
            <w:tcW w:w="1134" w:type="dxa"/>
            <w:tcBorders>
              <w:top w:val="nil"/>
              <w:left w:val="nil"/>
              <w:bottom w:val="nil"/>
              <w:right w:val="nil"/>
            </w:tcBorders>
          </w:tcPr>
          <w:p w14:paraId="7B28AFA9" w14:textId="77777777" w:rsidR="005019B5" w:rsidRPr="007B2BE1" w:rsidRDefault="005019B5" w:rsidP="00840450">
            <w:pPr>
              <w:pStyle w:val="TableParagraph"/>
              <w:overflowPunct w:val="0"/>
              <w:spacing w:before="0"/>
              <w:rPr>
                <w:rFonts w:eastAsia="標楷體"/>
                <w:sz w:val="24"/>
                <w:szCs w:val="24"/>
                <w:lang w:eastAsia="zh-TW"/>
              </w:rPr>
            </w:pPr>
          </w:p>
        </w:tc>
        <w:tc>
          <w:tcPr>
            <w:tcW w:w="2268" w:type="dxa"/>
            <w:tcBorders>
              <w:top w:val="nil"/>
              <w:left w:val="nil"/>
              <w:bottom w:val="nil"/>
              <w:right w:val="nil"/>
            </w:tcBorders>
          </w:tcPr>
          <w:p w14:paraId="62E7D7D6" w14:textId="5C152B04" w:rsidR="005019B5" w:rsidRPr="007B2BE1" w:rsidRDefault="007B2BE1" w:rsidP="00840450">
            <w:pPr>
              <w:pStyle w:val="ae"/>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税务审核前的应</w:t>
            </w:r>
          </w:p>
        </w:tc>
        <w:tc>
          <w:tcPr>
            <w:tcW w:w="1984" w:type="dxa"/>
            <w:tcBorders>
              <w:top w:val="nil"/>
              <w:left w:val="nil"/>
              <w:bottom w:val="nil"/>
              <w:right w:val="nil"/>
            </w:tcBorders>
          </w:tcPr>
          <w:p w14:paraId="735006E1" w14:textId="73A9538A" w:rsidR="005019B5" w:rsidRPr="007B2BE1" w:rsidRDefault="007B2BE1" w:rsidP="00840450">
            <w:pPr>
              <w:pStyle w:val="TableParagraph"/>
              <w:overflowPunct w:val="0"/>
              <w:spacing w:before="0"/>
              <w:rPr>
                <w:rFonts w:eastAsia="標楷體"/>
                <w:sz w:val="24"/>
                <w:szCs w:val="24"/>
                <w:u w:val="single"/>
              </w:rPr>
            </w:pPr>
            <w:r w:rsidRPr="007B2BE1">
              <w:rPr>
                <w:rFonts w:eastAsia="標楷體"/>
                <w:sz w:val="24"/>
                <w:szCs w:val="24"/>
                <w:u w:val="single"/>
                <w:lang w:eastAsia="zh-CN"/>
              </w:rPr>
              <w:t>税务审核后的</w:t>
            </w:r>
          </w:p>
        </w:tc>
        <w:tc>
          <w:tcPr>
            <w:tcW w:w="1276" w:type="dxa"/>
            <w:tcBorders>
              <w:top w:val="nil"/>
              <w:left w:val="nil"/>
              <w:bottom w:val="nil"/>
              <w:right w:val="nil"/>
            </w:tcBorders>
          </w:tcPr>
          <w:p w14:paraId="6024D348" w14:textId="77777777" w:rsidR="005019B5" w:rsidRPr="007B2BE1" w:rsidRDefault="005019B5" w:rsidP="00840450">
            <w:pPr>
              <w:overflowPunct w:val="0"/>
              <w:jc w:val="center"/>
              <w:rPr>
                <w:rFonts w:ascii="Times New Roman" w:eastAsia="標楷體" w:hAnsi="Times New Roman" w:cs="Times New Roman"/>
                <w:sz w:val="24"/>
                <w:szCs w:val="24"/>
                <w:u w:val="single"/>
              </w:rPr>
            </w:pPr>
          </w:p>
        </w:tc>
      </w:tr>
      <w:tr w:rsidR="005019B5" w:rsidRPr="007B2BE1" w14:paraId="6CAC8C89" w14:textId="77777777" w:rsidTr="00747705">
        <w:trPr>
          <w:trHeight w:val="227"/>
        </w:trPr>
        <w:tc>
          <w:tcPr>
            <w:tcW w:w="1134" w:type="dxa"/>
            <w:tcBorders>
              <w:top w:val="nil"/>
              <w:left w:val="nil"/>
              <w:bottom w:val="nil"/>
              <w:right w:val="nil"/>
            </w:tcBorders>
          </w:tcPr>
          <w:p w14:paraId="11E7C511" w14:textId="5174542E"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u w:val="single"/>
                <w:lang w:eastAsia="zh-CN"/>
              </w:rPr>
              <w:t>课税年度</w:t>
            </w:r>
          </w:p>
        </w:tc>
        <w:tc>
          <w:tcPr>
            <w:tcW w:w="2268" w:type="dxa"/>
            <w:tcBorders>
              <w:top w:val="nil"/>
              <w:left w:val="nil"/>
              <w:bottom w:val="nil"/>
              <w:right w:val="nil"/>
            </w:tcBorders>
          </w:tcPr>
          <w:p w14:paraId="037FD2C1" w14:textId="18272980"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u w:val="single"/>
                <w:lang w:eastAsia="zh-CN"/>
              </w:rPr>
              <w:t>评税利润或</w:t>
            </w:r>
            <w:r w:rsidRPr="007B2BE1">
              <w:rPr>
                <w:rFonts w:eastAsia="標楷體"/>
                <w:sz w:val="24"/>
                <w:szCs w:val="24"/>
                <w:u w:val="single"/>
                <w:lang w:eastAsia="zh-CN"/>
              </w:rPr>
              <w:t>(</w:t>
            </w:r>
            <w:r w:rsidRPr="007B2BE1">
              <w:rPr>
                <w:rFonts w:eastAsia="標楷體"/>
                <w:sz w:val="24"/>
                <w:szCs w:val="24"/>
                <w:u w:val="single"/>
                <w:lang w:eastAsia="zh-CN"/>
              </w:rPr>
              <w:t>亏损</w:t>
            </w:r>
            <w:r w:rsidRPr="007B2BE1">
              <w:rPr>
                <w:rFonts w:eastAsia="標楷體"/>
                <w:sz w:val="24"/>
                <w:szCs w:val="24"/>
                <w:u w:val="single"/>
                <w:lang w:eastAsia="zh-CN"/>
              </w:rPr>
              <w:t>)</w:t>
            </w:r>
          </w:p>
        </w:tc>
        <w:tc>
          <w:tcPr>
            <w:tcW w:w="1984" w:type="dxa"/>
            <w:tcBorders>
              <w:top w:val="nil"/>
              <w:left w:val="nil"/>
              <w:bottom w:val="nil"/>
              <w:right w:val="nil"/>
            </w:tcBorders>
          </w:tcPr>
          <w:p w14:paraId="59C4E4B8" w14:textId="2B72D0FD"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u w:val="single"/>
                <w:lang w:eastAsia="zh-CN"/>
              </w:rPr>
              <w:t>应评税利润</w:t>
            </w:r>
          </w:p>
        </w:tc>
        <w:tc>
          <w:tcPr>
            <w:tcW w:w="1276" w:type="dxa"/>
            <w:tcBorders>
              <w:top w:val="nil"/>
              <w:left w:val="nil"/>
              <w:bottom w:val="nil"/>
              <w:right w:val="nil"/>
            </w:tcBorders>
          </w:tcPr>
          <w:p w14:paraId="71873FEE" w14:textId="1550494A" w:rsidR="005019B5" w:rsidRPr="007B2BE1" w:rsidRDefault="007B2BE1" w:rsidP="00840450">
            <w:pPr>
              <w:pStyle w:val="TableParagraph"/>
              <w:overflowPunct w:val="0"/>
              <w:spacing w:before="0"/>
              <w:rPr>
                <w:rFonts w:eastAsia="標楷體"/>
                <w:sz w:val="24"/>
                <w:szCs w:val="24"/>
                <w:u w:val="single"/>
              </w:rPr>
            </w:pPr>
            <w:r w:rsidRPr="007B2BE1">
              <w:rPr>
                <w:rFonts w:eastAsia="標楷體"/>
                <w:sz w:val="24"/>
                <w:szCs w:val="24"/>
                <w:u w:val="single"/>
                <w:lang w:eastAsia="zh-CN"/>
              </w:rPr>
              <w:t>调整额</w:t>
            </w:r>
          </w:p>
        </w:tc>
      </w:tr>
      <w:tr w:rsidR="005019B5" w:rsidRPr="007B2BE1" w14:paraId="69FE57FE" w14:textId="77777777" w:rsidTr="00747705">
        <w:trPr>
          <w:trHeight w:val="227"/>
        </w:trPr>
        <w:tc>
          <w:tcPr>
            <w:tcW w:w="1134" w:type="dxa"/>
            <w:tcBorders>
              <w:top w:val="nil"/>
              <w:left w:val="nil"/>
              <w:bottom w:val="nil"/>
              <w:right w:val="nil"/>
            </w:tcBorders>
          </w:tcPr>
          <w:p w14:paraId="3298665F" w14:textId="77777777" w:rsidR="005019B5" w:rsidRPr="007B2BE1" w:rsidRDefault="005019B5" w:rsidP="00840450">
            <w:pPr>
              <w:pStyle w:val="TableParagraph"/>
              <w:overflowPunct w:val="0"/>
              <w:spacing w:before="0"/>
              <w:rPr>
                <w:rFonts w:eastAsia="標楷體"/>
                <w:sz w:val="24"/>
                <w:szCs w:val="24"/>
                <w:u w:val="single"/>
                <w:lang w:eastAsia="zh-TW"/>
              </w:rPr>
            </w:pPr>
          </w:p>
        </w:tc>
        <w:tc>
          <w:tcPr>
            <w:tcW w:w="2268" w:type="dxa"/>
            <w:tcBorders>
              <w:top w:val="nil"/>
              <w:left w:val="nil"/>
              <w:bottom w:val="nil"/>
              <w:right w:val="nil"/>
            </w:tcBorders>
          </w:tcPr>
          <w:p w14:paraId="1B9C1511" w14:textId="73C04D0E"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lang w:eastAsia="zh-CN"/>
              </w:rPr>
              <w:t>元</w:t>
            </w:r>
          </w:p>
        </w:tc>
        <w:tc>
          <w:tcPr>
            <w:tcW w:w="1984" w:type="dxa"/>
            <w:tcBorders>
              <w:top w:val="nil"/>
              <w:left w:val="nil"/>
              <w:bottom w:val="nil"/>
              <w:right w:val="nil"/>
            </w:tcBorders>
          </w:tcPr>
          <w:p w14:paraId="4DE0FCC0" w14:textId="7BDD2A17"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lang w:eastAsia="zh-CN"/>
              </w:rPr>
              <w:t>元</w:t>
            </w:r>
          </w:p>
        </w:tc>
        <w:tc>
          <w:tcPr>
            <w:tcW w:w="1276" w:type="dxa"/>
            <w:tcBorders>
              <w:top w:val="nil"/>
              <w:left w:val="nil"/>
              <w:bottom w:val="nil"/>
              <w:right w:val="nil"/>
            </w:tcBorders>
          </w:tcPr>
          <w:p w14:paraId="4B4D27D8" w14:textId="40257E52"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lang w:eastAsia="zh-CN"/>
              </w:rPr>
              <w:t>元</w:t>
            </w:r>
          </w:p>
        </w:tc>
      </w:tr>
      <w:tr w:rsidR="005019B5" w:rsidRPr="007B2BE1" w14:paraId="292F5224" w14:textId="77777777" w:rsidTr="00747705">
        <w:trPr>
          <w:trHeight w:val="227"/>
        </w:trPr>
        <w:tc>
          <w:tcPr>
            <w:tcW w:w="1134" w:type="dxa"/>
            <w:tcBorders>
              <w:top w:val="nil"/>
            </w:tcBorders>
          </w:tcPr>
          <w:p w14:paraId="5D8292E6" w14:textId="398D3294"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lang w:eastAsia="zh-CN"/>
              </w:rPr>
              <w:t>2011/12</w:t>
            </w:r>
          </w:p>
        </w:tc>
        <w:tc>
          <w:tcPr>
            <w:tcW w:w="2268" w:type="dxa"/>
            <w:tcBorders>
              <w:top w:val="nil"/>
            </w:tcBorders>
          </w:tcPr>
          <w:p w14:paraId="754A6368" w14:textId="6454E87F" w:rsidR="005019B5" w:rsidRPr="007B2BE1" w:rsidRDefault="007B2BE1" w:rsidP="00840450">
            <w:pPr>
              <w:pStyle w:val="TableParagraph"/>
              <w:overflowPunct w:val="0"/>
              <w:spacing w:before="0"/>
              <w:ind w:rightChars="294" w:right="706"/>
              <w:jc w:val="right"/>
              <w:rPr>
                <w:rFonts w:eastAsia="標楷體"/>
                <w:sz w:val="24"/>
                <w:szCs w:val="24"/>
              </w:rPr>
            </w:pPr>
            <w:r w:rsidRPr="007B2BE1">
              <w:rPr>
                <w:rFonts w:eastAsia="標楷體"/>
                <w:sz w:val="24"/>
                <w:szCs w:val="24"/>
                <w:lang w:eastAsia="zh-CN"/>
              </w:rPr>
              <w:t>2,896</w:t>
            </w:r>
          </w:p>
        </w:tc>
        <w:tc>
          <w:tcPr>
            <w:tcW w:w="1984" w:type="dxa"/>
            <w:tcBorders>
              <w:top w:val="nil"/>
            </w:tcBorders>
          </w:tcPr>
          <w:p w14:paraId="41D49587" w14:textId="44327309" w:rsidR="005019B5" w:rsidRPr="007B2BE1" w:rsidRDefault="007B2BE1" w:rsidP="00840450">
            <w:pPr>
              <w:pStyle w:val="TableParagraph"/>
              <w:overflowPunct w:val="0"/>
              <w:spacing w:before="0"/>
              <w:ind w:rightChars="178" w:right="427"/>
              <w:jc w:val="right"/>
              <w:rPr>
                <w:rFonts w:eastAsia="標楷體"/>
                <w:sz w:val="24"/>
                <w:szCs w:val="24"/>
              </w:rPr>
            </w:pPr>
            <w:r w:rsidRPr="007B2BE1">
              <w:rPr>
                <w:rFonts w:eastAsia="標楷體"/>
                <w:sz w:val="24"/>
                <w:szCs w:val="24"/>
                <w:lang w:eastAsia="zh-CN"/>
              </w:rPr>
              <w:t>1,291,014</w:t>
            </w:r>
          </w:p>
        </w:tc>
        <w:tc>
          <w:tcPr>
            <w:tcW w:w="1276" w:type="dxa"/>
            <w:tcBorders>
              <w:top w:val="nil"/>
            </w:tcBorders>
          </w:tcPr>
          <w:p w14:paraId="1379228E" w14:textId="24CCF923" w:rsidR="005019B5" w:rsidRPr="007B2BE1" w:rsidRDefault="007B2BE1" w:rsidP="00840450">
            <w:pPr>
              <w:pStyle w:val="TableParagraph"/>
              <w:overflowPunct w:val="0"/>
              <w:spacing w:before="0"/>
              <w:ind w:rightChars="61" w:right="146"/>
              <w:jc w:val="right"/>
              <w:rPr>
                <w:rFonts w:eastAsia="標楷體"/>
                <w:sz w:val="24"/>
                <w:szCs w:val="24"/>
              </w:rPr>
            </w:pPr>
            <w:r w:rsidRPr="007B2BE1">
              <w:rPr>
                <w:rFonts w:eastAsia="標楷體"/>
                <w:sz w:val="24"/>
                <w:szCs w:val="24"/>
                <w:lang w:eastAsia="zh-CN"/>
              </w:rPr>
              <w:t>1,288,118</w:t>
            </w:r>
          </w:p>
        </w:tc>
      </w:tr>
      <w:tr w:rsidR="005019B5" w:rsidRPr="007B2BE1" w14:paraId="19F14378" w14:textId="77777777" w:rsidTr="00747705">
        <w:trPr>
          <w:trHeight w:val="227"/>
        </w:trPr>
        <w:tc>
          <w:tcPr>
            <w:tcW w:w="1134" w:type="dxa"/>
          </w:tcPr>
          <w:p w14:paraId="176EFD88" w14:textId="1B188B2A"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lang w:eastAsia="zh-CN"/>
              </w:rPr>
              <w:t>2012/13</w:t>
            </w:r>
          </w:p>
        </w:tc>
        <w:tc>
          <w:tcPr>
            <w:tcW w:w="2268" w:type="dxa"/>
          </w:tcPr>
          <w:p w14:paraId="180104B4" w14:textId="5E1D1628" w:rsidR="005019B5" w:rsidRPr="007B2BE1" w:rsidRDefault="007B2BE1" w:rsidP="00840450">
            <w:pPr>
              <w:pStyle w:val="TableParagraph"/>
              <w:overflowPunct w:val="0"/>
              <w:spacing w:before="0"/>
              <w:ind w:rightChars="294" w:right="706"/>
              <w:jc w:val="right"/>
              <w:rPr>
                <w:rFonts w:eastAsia="標楷體"/>
                <w:sz w:val="24"/>
                <w:szCs w:val="24"/>
              </w:rPr>
            </w:pPr>
            <w:r w:rsidRPr="007B2BE1">
              <w:rPr>
                <w:rFonts w:eastAsia="標楷體"/>
                <w:sz w:val="24"/>
                <w:szCs w:val="24"/>
                <w:lang w:eastAsia="zh-CN"/>
              </w:rPr>
              <w:t>(158,249)</w:t>
            </w:r>
          </w:p>
        </w:tc>
        <w:tc>
          <w:tcPr>
            <w:tcW w:w="1984" w:type="dxa"/>
          </w:tcPr>
          <w:p w14:paraId="7A1E2D00" w14:textId="053A4AA3" w:rsidR="005019B5" w:rsidRPr="007B2BE1" w:rsidRDefault="007B2BE1" w:rsidP="00840450">
            <w:pPr>
              <w:pStyle w:val="TableParagraph"/>
              <w:overflowPunct w:val="0"/>
              <w:spacing w:before="0"/>
              <w:ind w:rightChars="178" w:right="427"/>
              <w:jc w:val="right"/>
              <w:rPr>
                <w:rFonts w:eastAsia="標楷體"/>
                <w:sz w:val="24"/>
                <w:szCs w:val="24"/>
              </w:rPr>
            </w:pPr>
            <w:r w:rsidRPr="007B2BE1">
              <w:rPr>
                <w:rFonts w:eastAsia="標楷體"/>
                <w:sz w:val="24"/>
                <w:szCs w:val="24"/>
                <w:lang w:eastAsia="zh-CN"/>
              </w:rPr>
              <w:t>294,160</w:t>
            </w:r>
          </w:p>
        </w:tc>
        <w:tc>
          <w:tcPr>
            <w:tcW w:w="1276" w:type="dxa"/>
          </w:tcPr>
          <w:p w14:paraId="72B1615E" w14:textId="520F65E3" w:rsidR="005019B5" w:rsidRPr="007B2BE1" w:rsidRDefault="007B2BE1" w:rsidP="00840450">
            <w:pPr>
              <w:pStyle w:val="TableParagraph"/>
              <w:overflowPunct w:val="0"/>
              <w:spacing w:before="0"/>
              <w:ind w:rightChars="61" w:right="146"/>
              <w:jc w:val="right"/>
              <w:rPr>
                <w:rFonts w:eastAsia="標楷體"/>
                <w:sz w:val="24"/>
                <w:szCs w:val="24"/>
              </w:rPr>
            </w:pPr>
            <w:r w:rsidRPr="007B2BE1">
              <w:rPr>
                <w:rFonts w:eastAsia="標楷體"/>
                <w:sz w:val="24"/>
                <w:szCs w:val="24"/>
                <w:lang w:eastAsia="zh-CN"/>
              </w:rPr>
              <w:t>452,409</w:t>
            </w:r>
          </w:p>
        </w:tc>
      </w:tr>
      <w:tr w:rsidR="005019B5" w:rsidRPr="007B2BE1" w14:paraId="2E1C867A" w14:textId="77777777" w:rsidTr="00747705">
        <w:trPr>
          <w:trHeight w:val="227"/>
        </w:trPr>
        <w:tc>
          <w:tcPr>
            <w:tcW w:w="1134" w:type="dxa"/>
          </w:tcPr>
          <w:p w14:paraId="57B610DC" w14:textId="19C851D5"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lang w:eastAsia="zh-CN"/>
              </w:rPr>
              <w:t>2013/14</w:t>
            </w:r>
          </w:p>
        </w:tc>
        <w:tc>
          <w:tcPr>
            <w:tcW w:w="2268" w:type="dxa"/>
          </w:tcPr>
          <w:p w14:paraId="7EB19F96" w14:textId="2F582F47" w:rsidR="005019B5" w:rsidRPr="007B2BE1" w:rsidRDefault="007B2BE1" w:rsidP="00840450">
            <w:pPr>
              <w:pStyle w:val="TableParagraph"/>
              <w:overflowPunct w:val="0"/>
              <w:spacing w:before="0"/>
              <w:ind w:rightChars="294" w:right="706"/>
              <w:jc w:val="right"/>
              <w:rPr>
                <w:rFonts w:eastAsia="標楷體"/>
                <w:sz w:val="24"/>
                <w:szCs w:val="24"/>
              </w:rPr>
            </w:pPr>
            <w:r w:rsidRPr="007B2BE1">
              <w:rPr>
                <w:rFonts w:eastAsia="標楷體"/>
                <w:sz w:val="24"/>
                <w:szCs w:val="24"/>
                <w:lang w:eastAsia="zh-CN"/>
              </w:rPr>
              <w:t>326,627</w:t>
            </w:r>
          </w:p>
        </w:tc>
        <w:tc>
          <w:tcPr>
            <w:tcW w:w="1984" w:type="dxa"/>
          </w:tcPr>
          <w:p w14:paraId="7F442B42" w14:textId="453CFEC4" w:rsidR="005019B5" w:rsidRPr="007B2BE1" w:rsidRDefault="007B2BE1" w:rsidP="00840450">
            <w:pPr>
              <w:pStyle w:val="TableParagraph"/>
              <w:overflowPunct w:val="0"/>
              <w:spacing w:before="0"/>
              <w:ind w:rightChars="178" w:right="427"/>
              <w:jc w:val="right"/>
              <w:rPr>
                <w:rFonts w:eastAsia="標楷體"/>
                <w:sz w:val="24"/>
                <w:szCs w:val="24"/>
              </w:rPr>
            </w:pPr>
            <w:r w:rsidRPr="007B2BE1">
              <w:rPr>
                <w:rFonts w:eastAsia="標楷體"/>
                <w:sz w:val="24"/>
                <w:szCs w:val="24"/>
                <w:lang w:eastAsia="zh-CN"/>
              </w:rPr>
              <w:t>420,073</w:t>
            </w:r>
          </w:p>
        </w:tc>
        <w:tc>
          <w:tcPr>
            <w:tcW w:w="1276" w:type="dxa"/>
          </w:tcPr>
          <w:p w14:paraId="753C8739" w14:textId="26F0BBE4" w:rsidR="005019B5" w:rsidRPr="007B2BE1" w:rsidRDefault="007B2BE1" w:rsidP="00840450">
            <w:pPr>
              <w:pStyle w:val="TableParagraph"/>
              <w:overflowPunct w:val="0"/>
              <w:spacing w:before="0"/>
              <w:ind w:rightChars="61" w:right="146"/>
              <w:jc w:val="right"/>
              <w:rPr>
                <w:rFonts w:eastAsia="標楷體"/>
                <w:sz w:val="24"/>
                <w:szCs w:val="24"/>
              </w:rPr>
            </w:pPr>
            <w:r w:rsidRPr="007B2BE1">
              <w:rPr>
                <w:rFonts w:eastAsia="標楷體"/>
                <w:sz w:val="24"/>
                <w:szCs w:val="24"/>
                <w:lang w:eastAsia="zh-CN"/>
              </w:rPr>
              <w:t>93,446</w:t>
            </w:r>
          </w:p>
        </w:tc>
      </w:tr>
      <w:tr w:rsidR="005019B5" w:rsidRPr="007B2BE1" w14:paraId="5D9EDA5A" w14:textId="77777777" w:rsidTr="00747705">
        <w:trPr>
          <w:trHeight w:val="227"/>
        </w:trPr>
        <w:tc>
          <w:tcPr>
            <w:tcW w:w="1134" w:type="dxa"/>
          </w:tcPr>
          <w:p w14:paraId="175FB809" w14:textId="4491DF13"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lang w:eastAsia="zh-CN"/>
              </w:rPr>
              <w:t>2014/15</w:t>
            </w:r>
          </w:p>
        </w:tc>
        <w:tc>
          <w:tcPr>
            <w:tcW w:w="2268" w:type="dxa"/>
          </w:tcPr>
          <w:p w14:paraId="4E23F035" w14:textId="2C3D99AA" w:rsidR="005019B5" w:rsidRPr="007B2BE1" w:rsidRDefault="007B2BE1" w:rsidP="00840450">
            <w:pPr>
              <w:pStyle w:val="TableParagraph"/>
              <w:overflowPunct w:val="0"/>
              <w:spacing w:before="0"/>
              <w:ind w:rightChars="294" w:right="706"/>
              <w:jc w:val="right"/>
              <w:rPr>
                <w:rFonts w:eastAsia="標楷體"/>
                <w:sz w:val="24"/>
                <w:szCs w:val="24"/>
              </w:rPr>
            </w:pPr>
            <w:r w:rsidRPr="007B2BE1">
              <w:rPr>
                <w:rFonts w:eastAsia="標楷體"/>
                <w:sz w:val="24"/>
                <w:szCs w:val="24"/>
                <w:lang w:eastAsia="zh-CN"/>
              </w:rPr>
              <w:t>322,640</w:t>
            </w:r>
          </w:p>
        </w:tc>
        <w:tc>
          <w:tcPr>
            <w:tcW w:w="1984" w:type="dxa"/>
          </w:tcPr>
          <w:p w14:paraId="53C31145" w14:textId="0358626B" w:rsidR="005019B5" w:rsidRPr="007B2BE1" w:rsidRDefault="007B2BE1" w:rsidP="00840450">
            <w:pPr>
              <w:pStyle w:val="TableParagraph"/>
              <w:overflowPunct w:val="0"/>
              <w:spacing w:before="0"/>
              <w:ind w:rightChars="178" w:right="427"/>
              <w:jc w:val="right"/>
              <w:rPr>
                <w:rFonts w:eastAsia="標楷體"/>
                <w:sz w:val="24"/>
                <w:szCs w:val="24"/>
              </w:rPr>
            </w:pPr>
            <w:r w:rsidRPr="007B2BE1">
              <w:rPr>
                <w:rFonts w:eastAsia="標楷體"/>
                <w:sz w:val="24"/>
                <w:szCs w:val="24"/>
                <w:lang w:eastAsia="zh-CN"/>
              </w:rPr>
              <w:t>719,404</w:t>
            </w:r>
          </w:p>
        </w:tc>
        <w:tc>
          <w:tcPr>
            <w:tcW w:w="1276" w:type="dxa"/>
          </w:tcPr>
          <w:p w14:paraId="7D7A731B" w14:textId="34968402" w:rsidR="005019B5" w:rsidRPr="007B2BE1" w:rsidRDefault="007B2BE1" w:rsidP="00840450">
            <w:pPr>
              <w:pStyle w:val="TableParagraph"/>
              <w:overflowPunct w:val="0"/>
              <w:spacing w:before="0"/>
              <w:ind w:rightChars="61" w:right="146"/>
              <w:jc w:val="right"/>
              <w:rPr>
                <w:rFonts w:eastAsia="標楷體"/>
                <w:sz w:val="24"/>
                <w:szCs w:val="24"/>
              </w:rPr>
            </w:pPr>
            <w:r w:rsidRPr="007B2BE1">
              <w:rPr>
                <w:rFonts w:eastAsia="標楷體"/>
                <w:sz w:val="24"/>
                <w:szCs w:val="24"/>
                <w:lang w:eastAsia="zh-CN"/>
              </w:rPr>
              <w:t>396,764</w:t>
            </w:r>
          </w:p>
        </w:tc>
      </w:tr>
      <w:tr w:rsidR="005019B5" w:rsidRPr="007B2BE1" w14:paraId="192BF6FC" w14:textId="77777777" w:rsidTr="00747705">
        <w:trPr>
          <w:trHeight w:val="227"/>
        </w:trPr>
        <w:tc>
          <w:tcPr>
            <w:tcW w:w="1134" w:type="dxa"/>
          </w:tcPr>
          <w:p w14:paraId="322B9F2A" w14:textId="47B0840A" w:rsidR="005019B5" w:rsidRPr="007B2BE1" w:rsidRDefault="007B2BE1" w:rsidP="00840450">
            <w:pPr>
              <w:pStyle w:val="TableParagraph"/>
              <w:overflowPunct w:val="0"/>
              <w:spacing w:before="0"/>
              <w:rPr>
                <w:rFonts w:eastAsia="標楷體"/>
                <w:sz w:val="24"/>
                <w:szCs w:val="24"/>
              </w:rPr>
            </w:pPr>
            <w:r w:rsidRPr="007B2BE1">
              <w:rPr>
                <w:rFonts w:eastAsia="標楷體"/>
                <w:sz w:val="24"/>
                <w:szCs w:val="24"/>
                <w:lang w:eastAsia="zh-CN"/>
              </w:rPr>
              <w:t>2015/16</w:t>
            </w:r>
          </w:p>
        </w:tc>
        <w:tc>
          <w:tcPr>
            <w:tcW w:w="2268" w:type="dxa"/>
          </w:tcPr>
          <w:p w14:paraId="4E85DA62" w14:textId="28C8895C" w:rsidR="005019B5" w:rsidRPr="007B2BE1" w:rsidRDefault="007B2BE1" w:rsidP="008D0C91">
            <w:pPr>
              <w:pStyle w:val="TableParagraph"/>
              <w:wordWrap w:val="0"/>
              <w:overflowPunct w:val="0"/>
              <w:spacing w:before="0"/>
              <w:ind w:rightChars="294" w:right="706"/>
              <w:jc w:val="right"/>
              <w:rPr>
                <w:rFonts w:eastAsia="標楷體"/>
                <w:sz w:val="24"/>
                <w:szCs w:val="24"/>
                <w:u w:val="single"/>
              </w:rPr>
            </w:pPr>
            <w:r w:rsidRPr="007B2BE1">
              <w:rPr>
                <w:rFonts w:eastAsia="標楷體"/>
                <w:sz w:val="24"/>
                <w:szCs w:val="24"/>
                <w:u w:val="single"/>
                <w:lang w:eastAsia="zh-CN"/>
              </w:rPr>
              <w:t>355,151</w:t>
            </w:r>
          </w:p>
        </w:tc>
        <w:tc>
          <w:tcPr>
            <w:tcW w:w="1984" w:type="dxa"/>
          </w:tcPr>
          <w:p w14:paraId="0017D06D" w14:textId="3E44E0F7" w:rsidR="005019B5" w:rsidRPr="007B2BE1" w:rsidRDefault="007B2BE1" w:rsidP="008D0C91">
            <w:pPr>
              <w:pStyle w:val="TableParagraph"/>
              <w:wordWrap w:val="0"/>
              <w:overflowPunct w:val="0"/>
              <w:spacing w:before="0"/>
              <w:ind w:rightChars="178" w:right="427"/>
              <w:jc w:val="right"/>
              <w:rPr>
                <w:rFonts w:eastAsia="標楷體"/>
                <w:sz w:val="24"/>
                <w:szCs w:val="24"/>
                <w:u w:val="single"/>
              </w:rPr>
            </w:pPr>
            <w:r w:rsidRPr="007B2BE1">
              <w:rPr>
                <w:rFonts w:eastAsia="標楷體"/>
                <w:sz w:val="24"/>
                <w:szCs w:val="24"/>
                <w:u w:val="single"/>
                <w:lang w:eastAsia="zh-CN"/>
              </w:rPr>
              <w:t xml:space="preserve">   629,276</w:t>
            </w:r>
          </w:p>
        </w:tc>
        <w:tc>
          <w:tcPr>
            <w:tcW w:w="1276" w:type="dxa"/>
          </w:tcPr>
          <w:p w14:paraId="2CA38B83" w14:textId="7FF6AA1A" w:rsidR="005019B5" w:rsidRPr="007B2BE1" w:rsidRDefault="007B2BE1" w:rsidP="008D0C91">
            <w:pPr>
              <w:pStyle w:val="TableParagraph"/>
              <w:wordWrap w:val="0"/>
              <w:overflowPunct w:val="0"/>
              <w:spacing w:before="0"/>
              <w:ind w:rightChars="61" w:right="146"/>
              <w:jc w:val="right"/>
              <w:rPr>
                <w:rFonts w:eastAsia="標楷體"/>
                <w:sz w:val="24"/>
                <w:szCs w:val="24"/>
                <w:u w:val="single"/>
              </w:rPr>
            </w:pPr>
            <w:r w:rsidRPr="007B2BE1">
              <w:rPr>
                <w:rFonts w:eastAsia="標楷體"/>
                <w:sz w:val="24"/>
                <w:szCs w:val="24"/>
                <w:u w:val="single"/>
                <w:lang w:eastAsia="zh-CN"/>
              </w:rPr>
              <w:t xml:space="preserve">   274,125</w:t>
            </w:r>
          </w:p>
        </w:tc>
      </w:tr>
      <w:tr w:rsidR="005019B5" w:rsidRPr="007B2BE1" w14:paraId="3CB1B8E9" w14:textId="77777777" w:rsidTr="00747705">
        <w:trPr>
          <w:trHeight w:val="227"/>
        </w:trPr>
        <w:tc>
          <w:tcPr>
            <w:tcW w:w="1134" w:type="dxa"/>
          </w:tcPr>
          <w:p w14:paraId="46AEF338" w14:textId="5C409F61" w:rsidR="005019B5" w:rsidRPr="007B2BE1" w:rsidRDefault="007B2BE1" w:rsidP="00F152B4">
            <w:pPr>
              <w:pStyle w:val="TableParagraph"/>
              <w:overflowPunct w:val="0"/>
              <w:spacing w:before="0"/>
              <w:ind w:leftChars="115" w:left="276"/>
              <w:rPr>
                <w:rFonts w:eastAsia="標楷體"/>
                <w:sz w:val="24"/>
                <w:szCs w:val="24"/>
                <w:lang w:eastAsia="zh-TW"/>
              </w:rPr>
            </w:pPr>
            <w:r w:rsidRPr="007B2BE1">
              <w:rPr>
                <w:rFonts w:eastAsia="標楷體"/>
                <w:sz w:val="24"/>
                <w:szCs w:val="24"/>
                <w:lang w:eastAsia="zh-CN"/>
              </w:rPr>
              <w:t>总额</w:t>
            </w:r>
          </w:p>
        </w:tc>
        <w:tc>
          <w:tcPr>
            <w:tcW w:w="2268" w:type="dxa"/>
          </w:tcPr>
          <w:p w14:paraId="0EB1EE86" w14:textId="4A6CF815" w:rsidR="005019B5" w:rsidRPr="007B2BE1" w:rsidRDefault="007B2BE1" w:rsidP="00840450">
            <w:pPr>
              <w:pStyle w:val="TableParagraph"/>
              <w:overflowPunct w:val="0"/>
              <w:spacing w:before="0"/>
              <w:ind w:rightChars="294" w:right="706"/>
              <w:jc w:val="right"/>
              <w:rPr>
                <w:rFonts w:eastAsia="標楷體"/>
                <w:sz w:val="24"/>
                <w:szCs w:val="24"/>
                <w:u w:val="double"/>
              </w:rPr>
            </w:pPr>
            <w:r w:rsidRPr="007B2BE1">
              <w:rPr>
                <w:rFonts w:eastAsia="標楷體"/>
                <w:sz w:val="24"/>
                <w:szCs w:val="24"/>
                <w:u w:val="double"/>
                <w:lang w:eastAsia="zh-CN"/>
              </w:rPr>
              <w:t>849,065</w:t>
            </w:r>
          </w:p>
        </w:tc>
        <w:tc>
          <w:tcPr>
            <w:tcW w:w="1984" w:type="dxa"/>
          </w:tcPr>
          <w:p w14:paraId="4FB8AC4D" w14:textId="3C2134BD" w:rsidR="005019B5" w:rsidRPr="007B2BE1" w:rsidRDefault="007B2BE1" w:rsidP="00840450">
            <w:pPr>
              <w:pStyle w:val="TableParagraph"/>
              <w:overflowPunct w:val="0"/>
              <w:spacing w:before="0"/>
              <w:ind w:rightChars="178" w:right="427"/>
              <w:jc w:val="right"/>
              <w:rPr>
                <w:rFonts w:eastAsia="標楷體"/>
                <w:sz w:val="24"/>
                <w:szCs w:val="24"/>
                <w:u w:val="double"/>
              </w:rPr>
            </w:pPr>
            <w:r w:rsidRPr="007B2BE1">
              <w:rPr>
                <w:rFonts w:eastAsia="標楷體"/>
                <w:sz w:val="24"/>
                <w:szCs w:val="24"/>
                <w:u w:val="double"/>
                <w:lang w:eastAsia="zh-CN"/>
              </w:rPr>
              <w:t>3,353,927</w:t>
            </w:r>
          </w:p>
        </w:tc>
        <w:tc>
          <w:tcPr>
            <w:tcW w:w="1276" w:type="dxa"/>
          </w:tcPr>
          <w:p w14:paraId="55C33414" w14:textId="19BCBF90" w:rsidR="005019B5" w:rsidRPr="007B2BE1" w:rsidRDefault="007B2BE1" w:rsidP="00840450">
            <w:pPr>
              <w:pStyle w:val="TableParagraph"/>
              <w:overflowPunct w:val="0"/>
              <w:spacing w:before="0"/>
              <w:ind w:rightChars="61" w:right="146"/>
              <w:jc w:val="right"/>
              <w:rPr>
                <w:rFonts w:eastAsia="標楷體"/>
                <w:sz w:val="24"/>
                <w:szCs w:val="24"/>
                <w:u w:val="double"/>
              </w:rPr>
            </w:pPr>
            <w:r w:rsidRPr="007B2BE1">
              <w:rPr>
                <w:rFonts w:eastAsia="標楷體"/>
                <w:sz w:val="24"/>
                <w:szCs w:val="24"/>
                <w:u w:val="double"/>
                <w:lang w:eastAsia="zh-CN"/>
              </w:rPr>
              <w:t>2,504,862</w:t>
            </w:r>
          </w:p>
        </w:tc>
      </w:tr>
    </w:tbl>
    <w:p w14:paraId="0A40F75D" w14:textId="77777777" w:rsidR="00A45ACA" w:rsidRPr="007B2BE1" w:rsidRDefault="00A45ACA"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40D8289B" w14:textId="7BE687EF" w:rsidR="005019B5"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先生的了结个案建议书提交了一份采用评税主任于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日向</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先生提议的了结个案基准来表列了结个案计算基准的附件。</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先生也在了结个案建议书建议以罚款</w:t>
      </w:r>
      <w:r w:rsidRPr="007B2BE1">
        <w:rPr>
          <w:rFonts w:ascii="Times New Roman" w:eastAsia="標楷體" w:hAnsi="Times New Roman" w:cs="Times New Roman"/>
          <w:lang w:val="en-US" w:eastAsia="zh-CN"/>
        </w:rPr>
        <w:t>365,000</w:t>
      </w:r>
      <w:r w:rsidRPr="007B2BE1">
        <w:rPr>
          <w:rFonts w:ascii="Times New Roman" w:eastAsia="標楷體" w:hAnsi="Times New Roman" w:cs="Times New Roman"/>
          <w:lang w:val="en-US" w:eastAsia="zh-CN"/>
        </w:rPr>
        <w:t>元以代替起诉，但表示没法分</w:t>
      </w:r>
      <w:r w:rsidRPr="007B2BE1">
        <w:rPr>
          <w:rFonts w:ascii="Times New Roman" w:eastAsia="標楷體" w:hAnsi="Times New Roman" w:cs="Times New Roman"/>
          <w:lang w:val="en-US" w:eastAsia="zh-CN"/>
        </w:rPr>
        <w:t>3</w:t>
      </w:r>
      <w:r w:rsidRPr="007B2BE1">
        <w:rPr>
          <w:rFonts w:ascii="Times New Roman" w:eastAsia="標楷體" w:hAnsi="Times New Roman" w:cs="Times New Roman"/>
          <w:lang w:val="en-US" w:eastAsia="zh-CN"/>
        </w:rPr>
        <w:t>期缴清所建议的罚款，于是提议以税例第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条补加税代替罚款。该了结个案建议的基准节录如下：</w:t>
      </w:r>
    </w:p>
    <w:p w14:paraId="4B5DABEC" w14:textId="77777777" w:rsidR="00D016C6" w:rsidRPr="007B2BE1" w:rsidRDefault="00D016C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6520" w:type="dxa"/>
        <w:tblInd w:w="2127" w:type="dxa"/>
        <w:tblBorders>
          <w:top w:val="nil"/>
          <w:left w:val="nil"/>
          <w:bottom w:val="nil"/>
          <w:right w:val="nil"/>
          <w:insideH w:val="nil"/>
          <w:insideV w:val="nil"/>
        </w:tblBorders>
        <w:tblLayout w:type="fixed"/>
        <w:tblLook w:val="01E0" w:firstRow="1" w:lastRow="1" w:firstColumn="1" w:lastColumn="1" w:noHBand="0" w:noVBand="0"/>
      </w:tblPr>
      <w:tblGrid>
        <w:gridCol w:w="1559"/>
        <w:gridCol w:w="1843"/>
        <w:gridCol w:w="1701"/>
        <w:gridCol w:w="1417"/>
      </w:tblGrid>
      <w:tr w:rsidR="00F74386" w:rsidRPr="007B2BE1" w14:paraId="06C189A8" w14:textId="77777777" w:rsidTr="00747705">
        <w:trPr>
          <w:trHeight w:val="227"/>
        </w:trPr>
        <w:tc>
          <w:tcPr>
            <w:tcW w:w="1559" w:type="dxa"/>
            <w:tcBorders>
              <w:bottom w:val="nil"/>
            </w:tcBorders>
          </w:tcPr>
          <w:p w14:paraId="0449CA81" w14:textId="53FAFF0E" w:rsidR="00F74386" w:rsidRPr="007B2BE1" w:rsidRDefault="007B2BE1" w:rsidP="001E406E">
            <w:pPr>
              <w:overflowPunct w:val="0"/>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 xml:space="preserve">(a) </w:t>
            </w:r>
            <w:r w:rsidRPr="007B2BE1">
              <w:rPr>
                <w:rFonts w:ascii="Times New Roman" w:eastAsia="標楷體" w:hAnsi="Times New Roman" w:cs="Times New Roman"/>
                <w:sz w:val="24"/>
                <w:szCs w:val="24"/>
                <w:lang w:eastAsia="zh-CN"/>
              </w:rPr>
              <w:t>物业税</w:t>
            </w:r>
          </w:p>
        </w:tc>
        <w:tc>
          <w:tcPr>
            <w:tcW w:w="3544" w:type="dxa"/>
            <w:gridSpan w:val="2"/>
            <w:tcBorders>
              <w:bottom w:val="nil"/>
            </w:tcBorders>
          </w:tcPr>
          <w:p w14:paraId="1DEA7030" w14:textId="77777777" w:rsidR="00F74386" w:rsidRPr="007B2BE1" w:rsidRDefault="00F74386" w:rsidP="001E406E">
            <w:pPr>
              <w:pStyle w:val="TableParagraph"/>
              <w:overflowPunct w:val="0"/>
              <w:spacing w:before="0"/>
              <w:ind w:left="336"/>
              <w:jc w:val="left"/>
              <w:rPr>
                <w:rFonts w:eastAsia="標楷體"/>
                <w:sz w:val="24"/>
                <w:szCs w:val="24"/>
              </w:rPr>
            </w:pPr>
          </w:p>
        </w:tc>
        <w:tc>
          <w:tcPr>
            <w:tcW w:w="1417" w:type="dxa"/>
          </w:tcPr>
          <w:p w14:paraId="45DE9331" w14:textId="77777777" w:rsidR="00F74386" w:rsidRPr="007B2BE1" w:rsidRDefault="00F74386" w:rsidP="001E406E">
            <w:pPr>
              <w:overflowPunct w:val="0"/>
              <w:rPr>
                <w:rFonts w:ascii="Times New Roman" w:eastAsia="標楷體" w:hAnsi="Times New Roman" w:cs="Times New Roman"/>
                <w:sz w:val="24"/>
                <w:szCs w:val="24"/>
              </w:rPr>
            </w:pPr>
          </w:p>
        </w:tc>
      </w:tr>
      <w:tr w:rsidR="009B5B03" w:rsidRPr="007B2BE1" w14:paraId="710E10BF" w14:textId="77777777" w:rsidTr="00747705">
        <w:trPr>
          <w:trHeight w:val="227"/>
        </w:trPr>
        <w:tc>
          <w:tcPr>
            <w:tcW w:w="1559" w:type="dxa"/>
            <w:tcBorders>
              <w:bottom w:val="nil"/>
            </w:tcBorders>
          </w:tcPr>
          <w:p w14:paraId="49CAB71D" w14:textId="77777777" w:rsidR="009B5B03" w:rsidRPr="007B2BE1" w:rsidRDefault="009B5B03" w:rsidP="008D0C91">
            <w:pPr>
              <w:pStyle w:val="TableParagraph"/>
              <w:overflowPunct w:val="0"/>
              <w:spacing w:before="0"/>
              <w:ind w:left="-5"/>
              <w:jc w:val="left"/>
              <w:rPr>
                <w:rFonts w:eastAsia="標楷體"/>
                <w:sz w:val="24"/>
                <w:szCs w:val="24"/>
              </w:rPr>
            </w:pPr>
          </w:p>
        </w:tc>
        <w:tc>
          <w:tcPr>
            <w:tcW w:w="1843" w:type="dxa"/>
            <w:tcBorders>
              <w:bottom w:val="nil"/>
            </w:tcBorders>
          </w:tcPr>
          <w:p w14:paraId="77774D84" w14:textId="2A68EE09" w:rsidR="009B5B03" w:rsidRPr="007B2BE1" w:rsidRDefault="007B2BE1" w:rsidP="00F74386">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税务审核前的</w:t>
            </w:r>
          </w:p>
        </w:tc>
        <w:tc>
          <w:tcPr>
            <w:tcW w:w="1701" w:type="dxa"/>
          </w:tcPr>
          <w:p w14:paraId="36E5B475" w14:textId="5C020119" w:rsidR="009B5B03" w:rsidRPr="007B2BE1" w:rsidRDefault="007B2BE1" w:rsidP="008D0C91">
            <w:pPr>
              <w:overflowPunct w:val="0"/>
              <w:ind w:left="-5"/>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税务审核后的</w:t>
            </w:r>
          </w:p>
        </w:tc>
        <w:tc>
          <w:tcPr>
            <w:tcW w:w="1417" w:type="dxa"/>
          </w:tcPr>
          <w:p w14:paraId="2548B32A" w14:textId="623620F1" w:rsidR="009B5B03" w:rsidRPr="007B2BE1" w:rsidRDefault="007B2BE1" w:rsidP="008D0C91">
            <w:pPr>
              <w:overflowPunct w:val="0"/>
              <w:ind w:left="-5"/>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少申报的</w:t>
            </w:r>
          </w:p>
        </w:tc>
      </w:tr>
      <w:tr w:rsidR="009B5B03" w:rsidRPr="007B2BE1" w14:paraId="0B5A0F94" w14:textId="77777777" w:rsidTr="00747705">
        <w:trPr>
          <w:trHeight w:val="227"/>
        </w:trPr>
        <w:tc>
          <w:tcPr>
            <w:tcW w:w="1559" w:type="dxa"/>
            <w:tcBorders>
              <w:top w:val="nil"/>
              <w:left w:val="nil"/>
              <w:bottom w:val="nil"/>
              <w:right w:val="nil"/>
            </w:tcBorders>
          </w:tcPr>
          <w:p w14:paraId="43A55BF5" w14:textId="35ED63A0"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课税年度</w:t>
            </w:r>
          </w:p>
        </w:tc>
        <w:tc>
          <w:tcPr>
            <w:tcW w:w="1843" w:type="dxa"/>
            <w:tcBorders>
              <w:top w:val="nil"/>
              <w:left w:val="nil"/>
              <w:bottom w:val="nil"/>
              <w:right w:val="nil"/>
            </w:tcBorders>
          </w:tcPr>
          <w:p w14:paraId="39C5A77C" w14:textId="650ADB27"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应评税净值</w:t>
            </w:r>
          </w:p>
        </w:tc>
        <w:tc>
          <w:tcPr>
            <w:tcW w:w="1701" w:type="dxa"/>
            <w:tcBorders>
              <w:left w:val="nil"/>
            </w:tcBorders>
          </w:tcPr>
          <w:p w14:paraId="6EB725F2" w14:textId="7613F469"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应评税净值</w:t>
            </w:r>
          </w:p>
        </w:tc>
        <w:tc>
          <w:tcPr>
            <w:tcW w:w="1417" w:type="dxa"/>
          </w:tcPr>
          <w:p w14:paraId="0337B652" w14:textId="3654FBAA"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u w:val="single"/>
                <w:lang w:eastAsia="zh-CN"/>
              </w:rPr>
              <w:t>应评税净值</w:t>
            </w:r>
          </w:p>
        </w:tc>
      </w:tr>
      <w:tr w:rsidR="009B5B03" w:rsidRPr="007B2BE1" w14:paraId="6B965F13" w14:textId="77777777" w:rsidTr="00747705">
        <w:trPr>
          <w:trHeight w:val="227"/>
        </w:trPr>
        <w:tc>
          <w:tcPr>
            <w:tcW w:w="1559" w:type="dxa"/>
            <w:tcBorders>
              <w:top w:val="nil"/>
              <w:left w:val="nil"/>
              <w:bottom w:val="nil"/>
              <w:right w:val="nil"/>
            </w:tcBorders>
          </w:tcPr>
          <w:p w14:paraId="1914658E" w14:textId="77777777" w:rsidR="009B5B03" w:rsidRPr="007B2BE1" w:rsidRDefault="009B5B03" w:rsidP="008D0C91">
            <w:pPr>
              <w:pStyle w:val="TableParagraph"/>
              <w:overflowPunct w:val="0"/>
              <w:spacing w:before="0"/>
              <w:ind w:left="-5"/>
              <w:jc w:val="right"/>
              <w:rPr>
                <w:rFonts w:eastAsia="標楷體"/>
                <w:sz w:val="24"/>
                <w:szCs w:val="24"/>
              </w:rPr>
            </w:pPr>
          </w:p>
        </w:tc>
        <w:tc>
          <w:tcPr>
            <w:tcW w:w="1843" w:type="dxa"/>
            <w:tcBorders>
              <w:top w:val="nil"/>
              <w:left w:val="nil"/>
              <w:bottom w:val="nil"/>
              <w:right w:val="nil"/>
            </w:tcBorders>
          </w:tcPr>
          <w:p w14:paraId="3E88B951" w14:textId="529B0291"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元</w:t>
            </w:r>
          </w:p>
        </w:tc>
        <w:tc>
          <w:tcPr>
            <w:tcW w:w="1701" w:type="dxa"/>
            <w:tcBorders>
              <w:left w:val="nil"/>
            </w:tcBorders>
          </w:tcPr>
          <w:p w14:paraId="1E3A209F" w14:textId="614481BB"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元</w:t>
            </w:r>
          </w:p>
        </w:tc>
        <w:tc>
          <w:tcPr>
            <w:tcW w:w="1417" w:type="dxa"/>
          </w:tcPr>
          <w:p w14:paraId="37023ACB" w14:textId="3B4C07CB"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元</w:t>
            </w:r>
          </w:p>
        </w:tc>
      </w:tr>
      <w:tr w:rsidR="009B5B03" w:rsidRPr="007B2BE1" w14:paraId="7BF9F421" w14:textId="77777777" w:rsidTr="00747705">
        <w:trPr>
          <w:trHeight w:val="227"/>
        </w:trPr>
        <w:tc>
          <w:tcPr>
            <w:tcW w:w="1559" w:type="dxa"/>
          </w:tcPr>
          <w:p w14:paraId="02CA5A3C" w14:textId="4BFEFE4E"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2007/08</w:t>
            </w:r>
          </w:p>
        </w:tc>
        <w:tc>
          <w:tcPr>
            <w:tcW w:w="1843" w:type="dxa"/>
          </w:tcPr>
          <w:p w14:paraId="27F46CDD" w14:textId="083A88BF" w:rsidR="009B5B03" w:rsidRPr="007B2BE1" w:rsidRDefault="007B2BE1" w:rsidP="00E16003">
            <w:pPr>
              <w:pStyle w:val="TableParagraph"/>
              <w:overflowPunct w:val="0"/>
              <w:spacing w:before="0"/>
              <w:ind w:left="-5" w:rightChars="200" w:right="480"/>
              <w:jc w:val="right"/>
              <w:rPr>
                <w:rFonts w:eastAsia="標楷體"/>
                <w:sz w:val="24"/>
                <w:szCs w:val="24"/>
              </w:rPr>
            </w:pPr>
            <w:r w:rsidRPr="007B2BE1">
              <w:rPr>
                <w:rFonts w:eastAsia="標楷體"/>
                <w:sz w:val="24"/>
                <w:szCs w:val="24"/>
                <w:lang w:eastAsia="zh-CN"/>
              </w:rPr>
              <w:t>32,051</w:t>
            </w:r>
          </w:p>
        </w:tc>
        <w:tc>
          <w:tcPr>
            <w:tcW w:w="1701" w:type="dxa"/>
          </w:tcPr>
          <w:p w14:paraId="6701358C" w14:textId="3DB9D8FA" w:rsidR="009B5B03" w:rsidRPr="007B2BE1" w:rsidRDefault="007B2BE1" w:rsidP="00E16003">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42,168</w:t>
            </w:r>
          </w:p>
        </w:tc>
        <w:tc>
          <w:tcPr>
            <w:tcW w:w="1417" w:type="dxa"/>
          </w:tcPr>
          <w:p w14:paraId="3ABCE715" w14:textId="4850C5D3" w:rsidR="009B5B03" w:rsidRPr="007B2BE1" w:rsidRDefault="007B2BE1" w:rsidP="00F74386">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10,117</w:t>
            </w:r>
          </w:p>
        </w:tc>
      </w:tr>
      <w:tr w:rsidR="009B5B03" w:rsidRPr="007B2BE1" w14:paraId="004E2D3C" w14:textId="77777777" w:rsidTr="00747705">
        <w:trPr>
          <w:trHeight w:val="227"/>
        </w:trPr>
        <w:tc>
          <w:tcPr>
            <w:tcW w:w="1559" w:type="dxa"/>
          </w:tcPr>
          <w:p w14:paraId="3F179E95" w14:textId="77CABA41"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2008/09</w:t>
            </w:r>
          </w:p>
        </w:tc>
        <w:tc>
          <w:tcPr>
            <w:tcW w:w="1843" w:type="dxa"/>
          </w:tcPr>
          <w:p w14:paraId="082B9911" w14:textId="4F0F784C" w:rsidR="009B5B03" w:rsidRPr="007B2BE1" w:rsidRDefault="007B2BE1" w:rsidP="00E16003">
            <w:pPr>
              <w:pStyle w:val="TableParagraph"/>
              <w:overflowPunct w:val="0"/>
              <w:spacing w:before="0"/>
              <w:ind w:left="-5" w:rightChars="200" w:right="480"/>
              <w:jc w:val="right"/>
              <w:rPr>
                <w:rFonts w:eastAsia="標楷體"/>
                <w:sz w:val="24"/>
                <w:szCs w:val="24"/>
              </w:rPr>
            </w:pPr>
            <w:r w:rsidRPr="007B2BE1">
              <w:rPr>
                <w:rFonts w:eastAsia="標楷體"/>
                <w:sz w:val="24"/>
                <w:szCs w:val="24"/>
                <w:lang w:eastAsia="zh-CN"/>
              </w:rPr>
              <w:t>-</w:t>
            </w:r>
          </w:p>
        </w:tc>
        <w:tc>
          <w:tcPr>
            <w:tcW w:w="1701" w:type="dxa"/>
          </w:tcPr>
          <w:p w14:paraId="0B9BD9FA" w14:textId="134A07DB" w:rsidR="009B5B03" w:rsidRPr="007B2BE1" w:rsidRDefault="007B2BE1" w:rsidP="00E16003">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81,434</w:t>
            </w:r>
          </w:p>
        </w:tc>
        <w:tc>
          <w:tcPr>
            <w:tcW w:w="1417" w:type="dxa"/>
          </w:tcPr>
          <w:p w14:paraId="7505F328" w14:textId="448E3930" w:rsidR="009B5B03" w:rsidRPr="007B2BE1" w:rsidRDefault="007B2BE1" w:rsidP="00F74386">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81,434</w:t>
            </w:r>
          </w:p>
        </w:tc>
      </w:tr>
      <w:tr w:rsidR="009B5B03" w:rsidRPr="007B2BE1" w14:paraId="7D0088A6" w14:textId="77777777" w:rsidTr="00747705">
        <w:trPr>
          <w:trHeight w:val="227"/>
        </w:trPr>
        <w:tc>
          <w:tcPr>
            <w:tcW w:w="1559" w:type="dxa"/>
          </w:tcPr>
          <w:p w14:paraId="522A1942" w14:textId="457958B3"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2009/10</w:t>
            </w:r>
          </w:p>
        </w:tc>
        <w:tc>
          <w:tcPr>
            <w:tcW w:w="1843" w:type="dxa"/>
          </w:tcPr>
          <w:p w14:paraId="3417D73D" w14:textId="247D9FEB" w:rsidR="009B5B03" w:rsidRPr="007B2BE1" w:rsidRDefault="007B2BE1" w:rsidP="00E16003">
            <w:pPr>
              <w:overflowPunct w:val="0"/>
              <w:ind w:left="-5" w:rightChars="200" w:right="480"/>
              <w:jc w:val="right"/>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32,051</w:t>
            </w:r>
          </w:p>
        </w:tc>
        <w:tc>
          <w:tcPr>
            <w:tcW w:w="1701" w:type="dxa"/>
          </w:tcPr>
          <w:p w14:paraId="11A9145B" w14:textId="5E921027" w:rsidR="009B5B03" w:rsidRPr="007B2BE1" w:rsidRDefault="007B2BE1" w:rsidP="00E16003">
            <w:pPr>
              <w:overflowPunct w:val="0"/>
              <w:ind w:left="-5" w:rightChars="175" w:right="420"/>
              <w:jc w:val="right"/>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 xml:space="preserve">  46,517</w:t>
            </w:r>
          </w:p>
        </w:tc>
        <w:tc>
          <w:tcPr>
            <w:tcW w:w="1417" w:type="dxa"/>
          </w:tcPr>
          <w:p w14:paraId="1E7EAEB1" w14:textId="7CF887F5" w:rsidR="009B5B03" w:rsidRPr="007B2BE1" w:rsidRDefault="007B2BE1" w:rsidP="00201E8B">
            <w:pPr>
              <w:overflowPunct w:val="0"/>
              <w:ind w:left="-5" w:rightChars="120" w:right="288"/>
              <w:jc w:val="right"/>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 xml:space="preserve">  14,466</w:t>
            </w:r>
          </w:p>
        </w:tc>
      </w:tr>
      <w:tr w:rsidR="009B5B03" w:rsidRPr="007B2BE1" w14:paraId="6D737DC3" w14:textId="77777777" w:rsidTr="00747705">
        <w:trPr>
          <w:trHeight w:val="227"/>
        </w:trPr>
        <w:tc>
          <w:tcPr>
            <w:tcW w:w="1559" w:type="dxa"/>
          </w:tcPr>
          <w:p w14:paraId="18874C08" w14:textId="3331E4F2" w:rsidR="009B5B03" w:rsidRPr="007B2BE1" w:rsidRDefault="007B2BE1" w:rsidP="00F159D6">
            <w:pPr>
              <w:pStyle w:val="TableParagraph"/>
              <w:overflowPunct w:val="0"/>
              <w:spacing w:before="0"/>
              <w:ind w:left="281"/>
              <w:rPr>
                <w:rFonts w:eastAsia="標楷體"/>
                <w:sz w:val="24"/>
                <w:szCs w:val="24"/>
              </w:rPr>
            </w:pPr>
            <w:r w:rsidRPr="007B2BE1">
              <w:rPr>
                <w:rFonts w:eastAsia="標楷體"/>
                <w:sz w:val="24"/>
                <w:szCs w:val="24"/>
                <w:lang w:eastAsia="zh-CN"/>
              </w:rPr>
              <w:t>总额</w:t>
            </w:r>
          </w:p>
        </w:tc>
        <w:tc>
          <w:tcPr>
            <w:tcW w:w="1843" w:type="dxa"/>
          </w:tcPr>
          <w:p w14:paraId="5A85A58C" w14:textId="6AE61E3D" w:rsidR="009B5B03" w:rsidRPr="007B2BE1" w:rsidRDefault="007B2BE1" w:rsidP="00E16003">
            <w:pPr>
              <w:pStyle w:val="TableParagraph"/>
              <w:overflowPunct w:val="0"/>
              <w:spacing w:before="0"/>
              <w:ind w:left="-5" w:rightChars="200" w:right="480"/>
              <w:jc w:val="right"/>
              <w:rPr>
                <w:rFonts w:eastAsia="標楷體"/>
                <w:sz w:val="24"/>
                <w:szCs w:val="24"/>
                <w:u w:val="double"/>
              </w:rPr>
            </w:pPr>
            <w:r w:rsidRPr="007B2BE1">
              <w:rPr>
                <w:rFonts w:eastAsia="標楷體"/>
                <w:sz w:val="24"/>
                <w:szCs w:val="24"/>
                <w:u w:val="double"/>
                <w:lang w:eastAsia="zh-CN"/>
              </w:rPr>
              <w:t>64,102</w:t>
            </w:r>
          </w:p>
        </w:tc>
        <w:tc>
          <w:tcPr>
            <w:tcW w:w="1701" w:type="dxa"/>
          </w:tcPr>
          <w:p w14:paraId="5452F994" w14:textId="6DD6202F" w:rsidR="009B5B03" w:rsidRPr="007B2BE1" w:rsidRDefault="007B2BE1" w:rsidP="00E16003">
            <w:pPr>
              <w:pStyle w:val="TableParagraph"/>
              <w:overflowPunct w:val="0"/>
              <w:spacing w:before="0"/>
              <w:ind w:left="-5" w:rightChars="175" w:right="420"/>
              <w:jc w:val="right"/>
              <w:rPr>
                <w:rFonts w:eastAsia="標楷體"/>
                <w:sz w:val="24"/>
                <w:szCs w:val="24"/>
                <w:u w:val="double"/>
              </w:rPr>
            </w:pPr>
            <w:r w:rsidRPr="007B2BE1">
              <w:rPr>
                <w:rFonts w:eastAsia="標楷體"/>
                <w:sz w:val="24"/>
                <w:szCs w:val="24"/>
                <w:u w:val="double"/>
                <w:lang w:eastAsia="zh-CN"/>
              </w:rPr>
              <w:t>107,119</w:t>
            </w:r>
          </w:p>
        </w:tc>
        <w:tc>
          <w:tcPr>
            <w:tcW w:w="1417" w:type="dxa"/>
          </w:tcPr>
          <w:p w14:paraId="69188A03" w14:textId="1E47AE8A" w:rsidR="009B5B03" w:rsidRPr="007B2BE1" w:rsidRDefault="007B2BE1" w:rsidP="00F74386">
            <w:pPr>
              <w:pStyle w:val="TableParagraph"/>
              <w:overflowPunct w:val="0"/>
              <w:spacing w:before="0"/>
              <w:ind w:left="-5" w:rightChars="120" w:right="288"/>
              <w:jc w:val="right"/>
              <w:rPr>
                <w:rFonts w:eastAsia="標楷體"/>
                <w:sz w:val="24"/>
                <w:szCs w:val="24"/>
                <w:u w:val="double"/>
              </w:rPr>
            </w:pPr>
            <w:r w:rsidRPr="007B2BE1">
              <w:rPr>
                <w:rFonts w:eastAsia="標楷體"/>
                <w:sz w:val="24"/>
                <w:szCs w:val="24"/>
                <w:u w:val="double"/>
                <w:lang w:eastAsia="zh-CN"/>
              </w:rPr>
              <w:t>106,017</w:t>
            </w:r>
          </w:p>
        </w:tc>
      </w:tr>
    </w:tbl>
    <w:p w14:paraId="173A74D1" w14:textId="77777777" w:rsidR="009B4674" w:rsidRPr="007B2BE1" w:rsidRDefault="009B4674">
      <w:pPr>
        <w:rPr>
          <w:rFonts w:ascii="Times New Roman" w:eastAsia="標楷體" w:hAnsi="Times New Roman" w:cs="Times New Roman"/>
        </w:rPr>
      </w:pPr>
    </w:p>
    <w:tbl>
      <w:tblPr>
        <w:tblStyle w:val="TableNormal1"/>
        <w:tblW w:w="6520" w:type="dxa"/>
        <w:tblInd w:w="2127" w:type="dxa"/>
        <w:tblBorders>
          <w:top w:val="nil"/>
          <w:left w:val="nil"/>
          <w:bottom w:val="nil"/>
          <w:right w:val="nil"/>
          <w:insideH w:val="nil"/>
          <w:insideV w:val="nil"/>
        </w:tblBorders>
        <w:tblLayout w:type="fixed"/>
        <w:tblLook w:val="01E0" w:firstRow="1" w:lastRow="1" w:firstColumn="1" w:lastColumn="1" w:noHBand="0" w:noVBand="0"/>
      </w:tblPr>
      <w:tblGrid>
        <w:gridCol w:w="1559"/>
        <w:gridCol w:w="1843"/>
        <w:gridCol w:w="1701"/>
        <w:gridCol w:w="1417"/>
      </w:tblGrid>
      <w:tr w:rsidR="009B5B03" w:rsidRPr="007B2BE1" w14:paraId="4CFEA71D" w14:textId="77777777" w:rsidTr="009B4674">
        <w:trPr>
          <w:trHeight w:val="227"/>
          <w:tblHeader/>
        </w:trPr>
        <w:tc>
          <w:tcPr>
            <w:tcW w:w="1559" w:type="dxa"/>
          </w:tcPr>
          <w:p w14:paraId="02AC9888" w14:textId="247AC47D" w:rsidR="009B5B03" w:rsidRPr="007B2BE1" w:rsidRDefault="007B2BE1" w:rsidP="008D0C91">
            <w:pPr>
              <w:pStyle w:val="TableParagraph"/>
              <w:overflowPunct w:val="0"/>
              <w:spacing w:before="0"/>
              <w:ind w:left="-5"/>
              <w:jc w:val="left"/>
              <w:rPr>
                <w:rFonts w:eastAsia="標楷體"/>
                <w:sz w:val="24"/>
                <w:szCs w:val="24"/>
              </w:rPr>
            </w:pPr>
            <w:r w:rsidRPr="007B2BE1">
              <w:rPr>
                <w:rFonts w:eastAsia="標楷體"/>
                <w:sz w:val="24"/>
                <w:szCs w:val="24"/>
                <w:lang w:eastAsia="zh-CN"/>
              </w:rPr>
              <w:t xml:space="preserve">(b) </w:t>
            </w:r>
            <w:r w:rsidRPr="007B2BE1">
              <w:rPr>
                <w:rFonts w:eastAsia="標楷體"/>
                <w:sz w:val="24"/>
                <w:szCs w:val="24"/>
                <w:lang w:eastAsia="zh-CN"/>
              </w:rPr>
              <w:t>薪俸税</w:t>
            </w:r>
          </w:p>
        </w:tc>
        <w:tc>
          <w:tcPr>
            <w:tcW w:w="1843" w:type="dxa"/>
          </w:tcPr>
          <w:p w14:paraId="32644218" w14:textId="77777777" w:rsidR="009B5B03" w:rsidRPr="007B2BE1" w:rsidRDefault="009B5B03" w:rsidP="008D0C91">
            <w:pPr>
              <w:overflowPunct w:val="0"/>
              <w:ind w:left="-5"/>
              <w:jc w:val="right"/>
              <w:rPr>
                <w:rFonts w:ascii="Times New Roman" w:eastAsia="標楷體" w:hAnsi="Times New Roman" w:cs="Times New Roman"/>
                <w:sz w:val="24"/>
                <w:szCs w:val="24"/>
              </w:rPr>
            </w:pPr>
          </w:p>
        </w:tc>
        <w:tc>
          <w:tcPr>
            <w:tcW w:w="1701" w:type="dxa"/>
          </w:tcPr>
          <w:p w14:paraId="4B485E66" w14:textId="77777777" w:rsidR="009B5B03" w:rsidRPr="007B2BE1" w:rsidRDefault="009B5B03" w:rsidP="008D0C91">
            <w:pPr>
              <w:overflowPunct w:val="0"/>
              <w:ind w:left="-5"/>
              <w:jc w:val="right"/>
              <w:rPr>
                <w:rFonts w:ascii="Times New Roman" w:eastAsia="標楷體" w:hAnsi="Times New Roman" w:cs="Times New Roman"/>
                <w:sz w:val="24"/>
                <w:szCs w:val="24"/>
              </w:rPr>
            </w:pPr>
          </w:p>
        </w:tc>
        <w:tc>
          <w:tcPr>
            <w:tcW w:w="1417" w:type="dxa"/>
          </w:tcPr>
          <w:p w14:paraId="325A4B11" w14:textId="77777777" w:rsidR="009B5B03" w:rsidRPr="007B2BE1" w:rsidRDefault="009B5B03" w:rsidP="008D0C91">
            <w:pPr>
              <w:overflowPunct w:val="0"/>
              <w:ind w:left="-5"/>
              <w:jc w:val="right"/>
              <w:rPr>
                <w:rFonts w:ascii="Times New Roman" w:eastAsia="標楷體" w:hAnsi="Times New Roman" w:cs="Times New Roman"/>
                <w:sz w:val="24"/>
                <w:szCs w:val="24"/>
              </w:rPr>
            </w:pPr>
          </w:p>
        </w:tc>
      </w:tr>
      <w:tr w:rsidR="009B5B03" w:rsidRPr="007B2BE1" w14:paraId="3E30FB17" w14:textId="77777777" w:rsidTr="009B4674">
        <w:trPr>
          <w:trHeight w:val="227"/>
          <w:tblHeader/>
        </w:trPr>
        <w:tc>
          <w:tcPr>
            <w:tcW w:w="1559" w:type="dxa"/>
            <w:tcBorders>
              <w:bottom w:val="nil"/>
            </w:tcBorders>
          </w:tcPr>
          <w:p w14:paraId="605DD881" w14:textId="77777777" w:rsidR="009B5B03" w:rsidRPr="007B2BE1" w:rsidRDefault="009B5B03" w:rsidP="008D0C91">
            <w:pPr>
              <w:pStyle w:val="TableParagraph"/>
              <w:overflowPunct w:val="0"/>
              <w:spacing w:before="0"/>
              <w:ind w:left="-5"/>
              <w:rPr>
                <w:rFonts w:eastAsia="標楷體"/>
                <w:sz w:val="24"/>
                <w:szCs w:val="24"/>
              </w:rPr>
            </w:pPr>
          </w:p>
        </w:tc>
        <w:tc>
          <w:tcPr>
            <w:tcW w:w="1843" w:type="dxa"/>
            <w:tcBorders>
              <w:bottom w:val="nil"/>
            </w:tcBorders>
          </w:tcPr>
          <w:p w14:paraId="0B47A5F5" w14:textId="261F0C72"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税务审核前的</w:t>
            </w:r>
          </w:p>
        </w:tc>
        <w:tc>
          <w:tcPr>
            <w:tcW w:w="1701" w:type="dxa"/>
          </w:tcPr>
          <w:p w14:paraId="56B65A5B" w14:textId="30E13A00"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税务审核后的</w:t>
            </w:r>
          </w:p>
        </w:tc>
        <w:tc>
          <w:tcPr>
            <w:tcW w:w="1417" w:type="dxa"/>
          </w:tcPr>
          <w:p w14:paraId="2CB5314C" w14:textId="41AB9756"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少申报的</w:t>
            </w:r>
          </w:p>
        </w:tc>
      </w:tr>
      <w:tr w:rsidR="009B5B03" w:rsidRPr="007B2BE1" w14:paraId="47B581A6" w14:textId="77777777" w:rsidTr="009B4674">
        <w:trPr>
          <w:trHeight w:val="227"/>
          <w:tblHeader/>
        </w:trPr>
        <w:tc>
          <w:tcPr>
            <w:tcW w:w="1559" w:type="dxa"/>
            <w:tcBorders>
              <w:top w:val="nil"/>
              <w:left w:val="nil"/>
              <w:bottom w:val="nil"/>
              <w:right w:val="nil"/>
            </w:tcBorders>
          </w:tcPr>
          <w:p w14:paraId="781D69F5" w14:textId="2AB805CE"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课税年度</w:t>
            </w:r>
          </w:p>
        </w:tc>
        <w:tc>
          <w:tcPr>
            <w:tcW w:w="1843" w:type="dxa"/>
            <w:tcBorders>
              <w:top w:val="nil"/>
              <w:left w:val="nil"/>
              <w:bottom w:val="nil"/>
              <w:right w:val="nil"/>
            </w:tcBorders>
          </w:tcPr>
          <w:p w14:paraId="1B76DC95" w14:textId="16AE18BB"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应评税入息</w:t>
            </w:r>
          </w:p>
        </w:tc>
        <w:tc>
          <w:tcPr>
            <w:tcW w:w="1701" w:type="dxa"/>
            <w:tcBorders>
              <w:left w:val="nil"/>
            </w:tcBorders>
          </w:tcPr>
          <w:p w14:paraId="39F90E48" w14:textId="46477277"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应评税入息</w:t>
            </w:r>
          </w:p>
        </w:tc>
        <w:tc>
          <w:tcPr>
            <w:tcW w:w="1417" w:type="dxa"/>
          </w:tcPr>
          <w:p w14:paraId="22A5A4F1" w14:textId="012939EB" w:rsidR="009B5B03" w:rsidRPr="007B2BE1" w:rsidRDefault="007B2BE1" w:rsidP="008D0C91">
            <w:pPr>
              <w:pStyle w:val="TableParagraph"/>
              <w:overflowPunct w:val="0"/>
              <w:spacing w:before="0"/>
              <w:ind w:left="-5"/>
              <w:rPr>
                <w:rFonts w:eastAsia="標楷體"/>
                <w:sz w:val="24"/>
                <w:szCs w:val="24"/>
                <w:u w:val="single"/>
              </w:rPr>
            </w:pPr>
            <w:r w:rsidRPr="007B2BE1">
              <w:rPr>
                <w:rFonts w:eastAsia="標楷體"/>
                <w:sz w:val="24"/>
                <w:szCs w:val="24"/>
                <w:u w:val="single"/>
                <w:lang w:eastAsia="zh-CN"/>
              </w:rPr>
              <w:t>应评税入息</w:t>
            </w:r>
          </w:p>
        </w:tc>
      </w:tr>
      <w:tr w:rsidR="009B5B03" w:rsidRPr="007B2BE1" w14:paraId="70D576D1" w14:textId="77777777" w:rsidTr="009B4674">
        <w:trPr>
          <w:trHeight w:val="227"/>
          <w:tblHeader/>
        </w:trPr>
        <w:tc>
          <w:tcPr>
            <w:tcW w:w="1559" w:type="dxa"/>
            <w:tcBorders>
              <w:top w:val="nil"/>
            </w:tcBorders>
          </w:tcPr>
          <w:p w14:paraId="193B9DD1" w14:textId="77777777" w:rsidR="009B5B03" w:rsidRPr="007B2BE1" w:rsidRDefault="009B5B03" w:rsidP="008D0C91">
            <w:pPr>
              <w:pStyle w:val="TableParagraph"/>
              <w:overflowPunct w:val="0"/>
              <w:spacing w:before="0"/>
              <w:ind w:left="-5"/>
              <w:rPr>
                <w:rFonts w:eastAsia="標楷體"/>
                <w:sz w:val="24"/>
                <w:szCs w:val="24"/>
              </w:rPr>
            </w:pPr>
          </w:p>
        </w:tc>
        <w:tc>
          <w:tcPr>
            <w:tcW w:w="1843" w:type="dxa"/>
            <w:tcBorders>
              <w:top w:val="nil"/>
            </w:tcBorders>
          </w:tcPr>
          <w:p w14:paraId="1F220C9B" w14:textId="77B89A05"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元</w:t>
            </w:r>
          </w:p>
        </w:tc>
        <w:tc>
          <w:tcPr>
            <w:tcW w:w="1701" w:type="dxa"/>
          </w:tcPr>
          <w:p w14:paraId="784A5A31" w14:textId="278FDE4A"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元</w:t>
            </w:r>
          </w:p>
        </w:tc>
        <w:tc>
          <w:tcPr>
            <w:tcW w:w="1417" w:type="dxa"/>
          </w:tcPr>
          <w:p w14:paraId="5772F95E" w14:textId="6819D71A"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元</w:t>
            </w:r>
          </w:p>
        </w:tc>
      </w:tr>
      <w:tr w:rsidR="009B5B03" w:rsidRPr="007B2BE1" w14:paraId="391C72F6" w14:textId="77777777" w:rsidTr="00747705">
        <w:trPr>
          <w:trHeight w:val="227"/>
        </w:trPr>
        <w:tc>
          <w:tcPr>
            <w:tcW w:w="1559" w:type="dxa"/>
          </w:tcPr>
          <w:p w14:paraId="483C30CD" w14:textId="2A2C3EE9"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2007/08</w:t>
            </w:r>
          </w:p>
        </w:tc>
        <w:tc>
          <w:tcPr>
            <w:tcW w:w="1843" w:type="dxa"/>
          </w:tcPr>
          <w:p w14:paraId="4829127F" w14:textId="19879A91" w:rsidR="009B5B03" w:rsidRPr="007B2BE1" w:rsidRDefault="007B2BE1" w:rsidP="00E16003">
            <w:pPr>
              <w:pStyle w:val="TableParagraph"/>
              <w:overflowPunct w:val="0"/>
              <w:spacing w:before="0"/>
              <w:ind w:left="-5" w:rightChars="206" w:right="494"/>
              <w:jc w:val="right"/>
              <w:rPr>
                <w:rFonts w:eastAsia="標楷體"/>
                <w:sz w:val="24"/>
                <w:szCs w:val="24"/>
              </w:rPr>
            </w:pPr>
            <w:r w:rsidRPr="007B2BE1">
              <w:rPr>
                <w:rFonts w:eastAsia="標楷體"/>
                <w:sz w:val="24"/>
                <w:szCs w:val="24"/>
                <w:lang w:eastAsia="zh-CN"/>
              </w:rPr>
              <w:t>150,000</w:t>
            </w:r>
          </w:p>
        </w:tc>
        <w:tc>
          <w:tcPr>
            <w:tcW w:w="1701" w:type="dxa"/>
          </w:tcPr>
          <w:p w14:paraId="6AB76CCC" w14:textId="25BE540B" w:rsidR="009B5B03" w:rsidRPr="007B2BE1" w:rsidRDefault="007B2BE1" w:rsidP="00F74386">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150,000</w:t>
            </w:r>
          </w:p>
        </w:tc>
        <w:tc>
          <w:tcPr>
            <w:tcW w:w="1417" w:type="dxa"/>
          </w:tcPr>
          <w:p w14:paraId="19D5C612" w14:textId="64B9FFB7" w:rsidR="009B5B03" w:rsidRPr="007B2BE1" w:rsidRDefault="007B2BE1" w:rsidP="00E16003">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w:t>
            </w:r>
          </w:p>
        </w:tc>
      </w:tr>
      <w:tr w:rsidR="009B5B03" w:rsidRPr="007B2BE1" w14:paraId="75FA9D11" w14:textId="77777777" w:rsidTr="00747705">
        <w:trPr>
          <w:trHeight w:val="227"/>
        </w:trPr>
        <w:tc>
          <w:tcPr>
            <w:tcW w:w="1559" w:type="dxa"/>
          </w:tcPr>
          <w:p w14:paraId="137319B7" w14:textId="1C9E52A0"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lastRenderedPageBreak/>
              <w:t>2008/09</w:t>
            </w:r>
          </w:p>
        </w:tc>
        <w:tc>
          <w:tcPr>
            <w:tcW w:w="1843" w:type="dxa"/>
          </w:tcPr>
          <w:p w14:paraId="41AE4CDC" w14:textId="74D45FE5" w:rsidR="009B5B03" w:rsidRPr="007B2BE1" w:rsidRDefault="007B2BE1" w:rsidP="00E16003">
            <w:pPr>
              <w:pStyle w:val="TableParagraph"/>
              <w:overflowPunct w:val="0"/>
              <w:spacing w:before="0"/>
              <w:ind w:left="-5" w:rightChars="206" w:right="494"/>
              <w:jc w:val="right"/>
              <w:rPr>
                <w:rFonts w:eastAsia="標楷體"/>
                <w:sz w:val="24"/>
                <w:szCs w:val="24"/>
              </w:rPr>
            </w:pPr>
            <w:r w:rsidRPr="007B2BE1">
              <w:rPr>
                <w:rFonts w:eastAsia="標楷體"/>
                <w:sz w:val="24"/>
                <w:szCs w:val="24"/>
                <w:lang w:eastAsia="zh-CN"/>
              </w:rPr>
              <w:t>240,000</w:t>
            </w:r>
          </w:p>
        </w:tc>
        <w:tc>
          <w:tcPr>
            <w:tcW w:w="1701" w:type="dxa"/>
          </w:tcPr>
          <w:p w14:paraId="56C7636B" w14:textId="661D3072" w:rsidR="009B5B03" w:rsidRPr="007B2BE1" w:rsidRDefault="007B2BE1" w:rsidP="00F74386">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240,000</w:t>
            </w:r>
          </w:p>
        </w:tc>
        <w:tc>
          <w:tcPr>
            <w:tcW w:w="1417" w:type="dxa"/>
          </w:tcPr>
          <w:p w14:paraId="3A3DF55C" w14:textId="71FB9910" w:rsidR="009B5B03" w:rsidRPr="007B2BE1" w:rsidRDefault="007B2BE1" w:rsidP="00E16003">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w:t>
            </w:r>
          </w:p>
        </w:tc>
      </w:tr>
      <w:tr w:rsidR="009B5B03" w:rsidRPr="007B2BE1" w14:paraId="2FD0C46C" w14:textId="77777777" w:rsidTr="00747705">
        <w:trPr>
          <w:trHeight w:val="227"/>
        </w:trPr>
        <w:tc>
          <w:tcPr>
            <w:tcW w:w="1559" w:type="dxa"/>
          </w:tcPr>
          <w:p w14:paraId="2A687C6E" w14:textId="1E85F769"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2009/10</w:t>
            </w:r>
          </w:p>
        </w:tc>
        <w:tc>
          <w:tcPr>
            <w:tcW w:w="1843" w:type="dxa"/>
          </w:tcPr>
          <w:p w14:paraId="057A4721" w14:textId="58B2D6EF" w:rsidR="009B5B03" w:rsidRPr="007B2BE1" w:rsidRDefault="007B2BE1" w:rsidP="00E16003">
            <w:pPr>
              <w:pStyle w:val="TableParagraph"/>
              <w:overflowPunct w:val="0"/>
              <w:spacing w:before="0"/>
              <w:ind w:left="-5" w:rightChars="206" w:right="494"/>
              <w:jc w:val="right"/>
              <w:rPr>
                <w:rFonts w:eastAsia="標楷體"/>
                <w:sz w:val="24"/>
                <w:szCs w:val="24"/>
              </w:rPr>
            </w:pPr>
            <w:r w:rsidRPr="007B2BE1">
              <w:rPr>
                <w:rFonts w:eastAsia="標楷體"/>
                <w:sz w:val="24"/>
                <w:szCs w:val="24"/>
                <w:lang w:eastAsia="zh-CN"/>
              </w:rPr>
              <w:t>360,000</w:t>
            </w:r>
          </w:p>
        </w:tc>
        <w:tc>
          <w:tcPr>
            <w:tcW w:w="1701" w:type="dxa"/>
          </w:tcPr>
          <w:p w14:paraId="3F07752F" w14:textId="0F85C4BF" w:rsidR="009B5B03" w:rsidRPr="007B2BE1" w:rsidRDefault="007B2BE1" w:rsidP="00F74386">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1,413,290</w:t>
            </w:r>
          </w:p>
        </w:tc>
        <w:tc>
          <w:tcPr>
            <w:tcW w:w="1417" w:type="dxa"/>
          </w:tcPr>
          <w:p w14:paraId="1C276EC2" w14:textId="4A4B301E" w:rsidR="009B5B03" w:rsidRPr="007B2BE1" w:rsidRDefault="007B2BE1" w:rsidP="00E16003">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1,053,290</w:t>
            </w:r>
          </w:p>
        </w:tc>
      </w:tr>
      <w:tr w:rsidR="009B5B03" w:rsidRPr="007B2BE1" w14:paraId="7129821A" w14:textId="77777777" w:rsidTr="00747705">
        <w:trPr>
          <w:trHeight w:val="227"/>
        </w:trPr>
        <w:tc>
          <w:tcPr>
            <w:tcW w:w="1559" w:type="dxa"/>
          </w:tcPr>
          <w:p w14:paraId="770C22B2" w14:textId="2DD60B9D"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2010/11</w:t>
            </w:r>
          </w:p>
        </w:tc>
        <w:tc>
          <w:tcPr>
            <w:tcW w:w="1843" w:type="dxa"/>
          </w:tcPr>
          <w:p w14:paraId="279C0119" w14:textId="14BC1298" w:rsidR="009B5B03" w:rsidRPr="007B2BE1" w:rsidRDefault="007B2BE1" w:rsidP="00E16003">
            <w:pPr>
              <w:pStyle w:val="TableParagraph"/>
              <w:overflowPunct w:val="0"/>
              <w:spacing w:before="0"/>
              <w:ind w:left="-5" w:rightChars="206" w:right="494"/>
              <w:jc w:val="right"/>
              <w:rPr>
                <w:rFonts w:eastAsia="標楷體"/>
                <w:sz w:val="24"/>
                <w:szCs w:val="24"/>
              </w:rPr>
            </w:pPr>
            <w:r w:rsidRPr="007B2BE1">
              <w:rPr>
                <w:rFonts w:eastAsia="標楷體"/>
                <w:sz w:val="24"/>
                <w:szCs w:val="24"/>
                <w:lang w:eastAsia="zh-CN"/>
              </w:rPr>
              <w:t>518,000</w:t>
            </w:r>
          </w:p>
        </w:tc>
        <w:tc>
          <w:tcPr>
            <w:tcW w:w="1701" w:type="dxa"/>
          </w:tcPr>
          <w:p w14:paraId="26E2EE6E" w14:textId="4C73B74E" w:rsidR="009B5B03" w:rsidRPr="007B2BE1" w:rsidRDefault="007B2BE1" w:rsidP="00F74386">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1,261,272</w:t>
            </w:r>
          </w:p>
        </w:tc>
        <w:tc>
          <w:tcPr>
            <w:tcW w:w="1417" w:type="dxa"/>
          </w:tcPr>
          <w:p w14:paraId="6AE1BD56" w14:textId="1885DD75" w:rsidR="009B5B03" w:rsidRPr="007B2BE1" w:rsidRDefault="007B2BE1" w:rsidP="00E16003">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743,272</w:t>
            </w:r>
          </w:p>
        </w:tc>
      </w:tr>
      <w:tr w:rsidR="009B5B03" w:rsidRPr="007B2BE1" w14:paraId="0E3FC908" w14:textId="77777777" w:rsidTr="00747705">
        <w:trPr>
          <w:trHeight w:val="227"/>
        </w:trPr>
        <w:tc>
          <w:tcPr>
            <w:tcW w:w="1559" w:type="dxa"/>
          </w:tcPr>
          <w:p w14:paraId="60711502" w14:textId="6CC5A53D"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2011/12</w:t>
            </w:r>
          </w:p>
        </w:tc>
        <w:tc>
          <w:tcPr>
            <w:tcW w:w="1843" w:type="dxa"/>
          </w:tcPr>
          <w:p w14:paraId="6D3FC76A" w14:textId="45ABF29A" w:rsidR="009B5B03" w:rsidRPr="007B2BE1" w:rsidRDefault="007B2BE1" w:rsidP="00E16003">
            <w:pPr>
              <w:pStyle w:val="TableParagraph"/>
              <w:overflowPunct w:val="0"/>
              <w:spacing w:before="0"/>
              <w:ind w:left="-5" w:rightChars="206" w:right="494"/>
              <w:jc w:val="right"/>
              <w:rPr>
                <w:rFonts w:eastAsia="標楷體"/>
                <w:sz w:val="24"/>
                <w:szCs w:val="24"/>
              </w:rPr>
            </w:pPr>
            <w:r w:rsidRPr="007B2BE1">
              <w:rPr>
                <w:rFonts w:eastAsia="標楷體"/>
                <w:sz w:val="24"/>
                <w:szCs w:val="24"/>
                <w:lang w:eastAsia="zh-CN"/>
              </w:rPr>
              <w:t>108,000</w:t>
            </w:r>
          </w:p>
        </w:tc>
        <w:tc>
          <w:tcPr>
            <w:tcW w:w="1701" w:type="dxa"/>
          </w:tcPr>
          <w:p w14:paraId="42D2179B" w14:textId="01A93955" w:rsidR="009B5B03" w:rsidRPr="007B2BE1" w:rsidRDefault="007B2BE1" w:rsidP="00F74386">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108,000</w:t>
            </w:r>
          </w:p>
        </w:tc>
        <w:tc>
          <w:tcPr>
            <w:tcW w:w="1417" w:type="dxa"/>
          </w:tcPr>
          <w:p w14:paraId="10E076F1" w14:textId="7C63F751" w:rsidR="009B5B03" w:rsidRPr="007B2BE1" w:rsidRDefault="007B2BE1" w:rsidP="00E16003">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w:t>
            </w:r>
          </w:p>
        </w:tc>
      </w:tr>
      <w:tr w:rsidR="009B5B03" w:rsidRPr="007B2BE1" w14:paraId="3338D32C" w14:textId="77777777" w:rsidTr="00747705">
        <w:trPr>
          <w:trHeight w:val="227"/>
        </w:trPr>
        <w:tc>
          <w:tcPr>
            <w:tcW w:w="1559" w:type="dxa"/>
          </w:tcPr>
          <w:p w14:paraId="400FE457" w14:textId="6EB83F29"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2012/13</w:t>
            </w:r>
          </w:p>
        </w:tc>
        <w:tc>
          <w:tcPr>
            <w:tcW w:w="1843" w:type="dxa"/>
          </w:tcPr>
          <w:p w14:paraId="3CB7AC6E" w14:textId="3EF195EE" w:rsidR="009B5B03" w:rsidRPr="007B2BE1" w:rsidRDefault="007B2BE1" w:rsidP="00E16003">
            <w:pPr>
              <w:pStyle w:val="TableParagraph"/>
              <w:overflowPunct w:val="0"/>
              <w:spacing w:before="0"/>
              <w:ind w:left="-5" w:rightChars="206" w:right="494"/>
              <w:jc w:val="right"/>
              <w:rPr>
                <w:rFonts w:eastAsia="標楷體"/>
                <w:sz w:val="24"/>
                <w:szCs w:val="24"/>
              </w:rPr>
            </w:pPr>
            <w:r w:rsidRPr="007B2BE1">
              <w:rPr>
                <w:rFonts w:eastAsia="標楷體"/>
                <w:sz w:val="24"/>
                <w:szCs w:val="24"/>
                <w:lang w:eastAsia="zh-CN"/>
              </w:rPr>
              <w:t>-</w:t>
            </w:r>
          </w:p>
        </w:tc>
        <w:tc>
          <w:tcPr>
            <w:tcW w:w="1701" w:type="dxa"/>
          </w:tcPr>
          <w:p w14:paraId="6D5ED518" w14:textId="204FF489" w:rsidR="009B5B03" w:rsidRPr="007B2BE1" w:rsidRDefault="007B2BE1" w:rsidP="00F74386">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330,000</w:t>
            </w:r>
          </w:p>
        </w:tc>
        <w:tc>
          <w:tcPr>
            <w:tcW w:w="1417" w:type="dxa"/>
          </w:tcPr>
          <w:p w14:paraId="6A21F174" w14:textId="59F181BC" w:rsidR="009B5B03" w:rsidRPr="007B2BE1" w:rsidRDefault="007B2BE1" w:rsidP="00E16003">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330,000</w:t>
            </w:r>
          </w:p>
        </w:tc>
      </w:tr>
      <w:tr w:rsidR="009B5B03" w:rsidRPr="007B2BE1" w14:paraId="4873E4A7" w14:textId="77777777" w:rsidTr="00747705">
        <w:trPr>
          <w:trHeight w:val="227"/>
        </w:trPr>
        <w:tc>
          <w:tcPr>
            <w:tcW w:w="1559" w:type="dxa"/>
          </w:tcPr>
          <w:p w14:paraId="260A0545" w14:textId="3B0E97FF"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2013/14</w:t>
            </w:r>
          </w:p>
        </w:tc>
        <w:tc>
          <w:tcPr>
            <w:tcW w:w="1843" w:type="dxa"/>
          </w:tcPr>
          <w:p w14:paraId="6978EA13" w14:textId="5F294B69" w:rsidR="009B5B03" w:rsidRPr="007B2BE1" w:rsidRDefault="007B2BE1" w:rsidP="00E16003">
            <w:pPr>
              <w:pStyle w:val="TableParagraph"/>
              <w:overflowPunct w:val="0"/>
              <w:spacing w:before="0"/>
              <w:ind w:left="-5" w:rightChars="206" w:right="494"/>
              <w:jc w:val="right"/>
              <w:rPr>
                <w:rFonts w:eastAsia="標楷體"/>
                <w:sz w:val="24"/>
                <w:szCs w:val="24"/>
              </w:rPr>
            </w:pPr>
            <w:r w:rsidRPr="007B2BE1">
              <w:rPr>
                <w:rFonts w:eastAsia="標楷體"/>
                <w:sz w:val="24"/>
                <w:szCs w:val="24"/>
                <w:lang w:eastAsia="zh-CN"/>
              </w:rPr>
              <w:t>-</w:t>
            </w:r>
          </w:p>
        </w:tc>
        <w:tc>
          <w:tcPr>
            <w:tcW w:w="1701" w:type="dxa"/>
          </w:tcPr>
          <w:p w14:paraId="5EB8DC14" w14:textId="5F910A46" w:rsidR="009B5B03" w:rsidRPr="007B2BE1" w:rsidRDefault="007B2BE1" w:rsidP="00F74386">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330,000</w:t>
            </w:r>
          </w:p>
        </w:tc>
        <w:tc>
          <w:tcPr>
            <w:tcW w:w="1417" w:type="dxa"/>
          </w:tcPr>
          <w:p w14:paraId="74DFCACC" w14:textId="7CB5FE1F" w:rsidR="009B5B03" w:rsidRPr="007B2BE1" w:rsidRDefault="007B2BE1" w:rsidP="00E16003">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330,000</w:t>
            </w:r>
          </w:p>
        </w:tc>
      </w:tr>
      <w:tr w:rsidR="009B5B03" w:rsidRPr="007B2BE1" w14:paraId="6844F25B" w14:textId="77777777" w:rsidTr="00747705">
        <w:trPr>
          <w:trHeight w:val="227"/>
        </w:trPr>
        <w:tc>
          <w:tcPr>
            <w:tcW w:w="1559" w:type="dxa"/>
          </w:tcPr>
          <w:p w14:paraId="2117ADEA" w14:textId="5A39117D"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2014/15</w:t>
            </w:r>
          </w:p>
        </w:tc>
        <w:tc>
          <w:tcPr>
            <w:tcW w:w="1843" w:type="dxa"/>
          </w:tcPr>
          <w:p w14:paraId="2477BC48" w14:textId="4E9B50D1" w:rsidR="009B5B03" w:rsidRPr="007B2BE1" w:rsidRDefault="007B2BE1" w:rsidP="00E16003">
            <w:pPr>
              <w:pStyle w:val="TableParagraph"/>
              <w:overflowPunct w:val="0"/>
              <w:spacing w:before="0"/>
              <w:ind w:left="-5" w:rightChars="206" w:right="494"/>
              <w:jc w:val="right"/>
              <w:rPr>
                <w:rFonts w:eastAsia="標楷體"/>
                <w:sz w:val="24"/>
                <w:szCs w:val="24"/>
              </w:rPr>
            </w:pPr>
            <w:r w:rsidRPr="007B2BE1">
              <w:rPr>
                <w:rFonts w:eastAsia="標楷體"/>
                <w:sz w:val="24"/>
                <w:szCs w:val="24"/>
                <w:lang w:eastAsia="zh-CN"/>
              </w:rPr>
              <w:t>400,000</w:t>
            </w:r>
          </w:p>
        </w:tc>
        <w:tc>
          <w:tcPr>
            <w:tcW w:w="1701" w:type="dxa"/>
          </w:tcPr>
          <w:p w14:paraId="207EDA91" w14:textId="1A4EE33D" w:rsidR="009B5B03" w:rsidRPr="007B2BE1" w:rsidRDefault="007B2BE1" w:rsidP="00F74386">
            <w:pPr>
              <w:pStyle w:val="TableParagraph"/>
              <w:overflowPunct w:val="0"/>
              <w:spacing w:before="0"/>
              <w:ind w:left="-5" w:rightChars="175" w:right="420"/>
              <w:jc w:val="right"/>
              <w:rPr>
                <w:rFonts w:eastAsia="標楷體"/>
                <w:sz w:val="24"/>
                <w:szCs w:val="24"/>
              </w:rPr>
            </w:pPr>
            <w:r w:rsidRPr="007B2BE1">
              <w:rPr>
                <w:rFonts w:eastAsia="標楷體"/>
                <w:sz w:val="24"/>
                <w:szCs w:val="24"/>
                <w:lang w:eastAsia="zh-CN"/>
              </w:rPr>
              <w:t>440,000</w:t>
            </w:r>
          </w:p>
        </w:tc>
        <w:tc>
          <w:tcPr>
            <w:tcW w:w="1417" w:type="dxa"/>
          </w:tcPr>
          <w:p w14:paraId="3D93C04C" w14:textId="77036127" w:rsidR="009B5B03" w:rsidRPr="007B2BE1" w:rsidRDefault="007B2BE1" w:rsidP="00E16003">
            <w:pPr>
              <w:pStyle w:val="TableParagraph"/>
              <w:overflowPunct w:val="0"/>
              <w:spacing w:before="0"/>
              <w:ind w:left="-5" w:rightChars="120" w:right="288"/>
              <w:jc w:val="right"/>
              <w:rPr>
                <w:rFonts w:eastAsia="標楷體"/>
                <w:sz w:val="24"/>
                <w:szCs w:val="24"/>
              </w:rPr>
            </w:pPr>
            <w:r w:rsidRPr="007B2BE1">
              <w:rPr>
                <w:rFonts w:eastAsia="標楷體"/>
                <w:sz w:val="24"/>
                <w:szCs w:val="24"/>
                <w:lang w:eastAsia="zh-CN"/>
              </w:rPr>
              <w:t>40,000</w:t>
            </w:r>
          </w:p>
        </w:tc>
      </w:tr>
      <w:tr w:rsidR="009B5B03" w:rsidRPr="007B2BE1" w14:paraId="2B665E51" w14:textId="77777777" w:rsidTr="00747705">
        <w:trPr>
          <w:trHeight w:val="227"/>
        </w:trPr>
        <w:tc>
          <w:tcPr>
            <w:tcW w:w="1559" w:type="dxa"/>
          </w:tcPr>
          <w:p w14:paraId="38128997" w14:textId="0C646DF8" w:rsidR="009B5B03" w:rsidRPr="007B2BE1" w:rsidRDefault="007B2BE1" w:rsidP="008D0C91">
            <w:pPr>
              <w:pStyle w:val="TableParagraph"/>
              <w:overflowPunct w:val="0"/>
              <w:spacing w:before="0"/>
              <w:ind w:left="-5"/>
              <w:rPr>
                <w:rFonts w:eastAsia="標楷體"/>
                <w:sz w:val="24"/>
                <w:szCs w:val="24"/>
              </w:rPr>
            </w:pPr>
            <w:r w:rsidRPr="007B2BE1">
              <w:rPr>
                <w:rFonts w:eastAsia="標楷體"/>
                <w:sz w:val="24"/>
                <w:szCs w:val="24"/>
                <w:lang w:eastAsia="zh-CN"/>
              </w:rPr>
              <w:t>2015/16</w:t>
            </w:r>
          </w:p>
        </w:tc>
        <w:tc>
          <w:tcPr>
            <w:tcW w:w="1843" w:type="dxa"/>
          </w:tcPr>
          <w:p w14:paraId="3A353B59" w14:textId="1209F664" w:rsidR="009B5B03" w:rsidRPr="007B2BE1" w:rsidRDefault="007B2BE1" w:rsidP="00E16003">
            <w:pPr>
              <w:pStyle w:val="TableParagraph"/>
              <w:wordWrap w:val="0"/>
              <w:overflowPunct w:val="0"/>
              <w:spacing w:before="0"/>
              <w:ind w:left="-5" w:rightChars="206" w:right="494"/>
              <w:jc w:val="right"/>
              <w:rPr>
                <w:rFonts w:eastAsia="標楷體"/>
                <w:sz w:val="24"/>
                <w:szCs w:val="24"/>
                <w:u w:val="single"/>
              </w:rPr>
            </w:pPr>
            <w:r w:rsidRPr="007B2BE1">
              <w:rPr>
                <w:rFonts w:eastAsia="標楷體"/>
                <w:sz w:val="24"/>
                <w:szCs w:val="24"/>
                <w:u w:val="single"/>
                <w:lang w:eastAsia="zh-CN"/>
              </w:rPr>
              <w:t xml:space="preserve">   500,000</w:t>
            </w:r>
          </w:p>
        </w:tc>
        <w:tc>
          <w:tcPr>
            <w:tcW w:w="1701" w:type="dxa"/>
          </w:tcPr>
          <w:p w14:paraId="2732A8D7" w14:textId="6D880E9D" w:rsidR="009B5B03" w:rsidRPr="007B2BE1" w:rsidRDefault="007B2BE1" w:rsidP="00F74386">
            <w:pPr>
              <w:pStyle w:val="TableParagraph"/>
              <w:overflowPunct w:val="0"/>
              <w:spacing w:before="0"/>
              <w:ind w:left="-5" w:rightChars="175" w:right="420"/>
              <w:jc w:val="right"/>
              <w:rPr>
                <w:rFonts w:eastAsia="標楷體"/>
                <w:sz w:val="24"/>
                <w:szCs w:val="24"/>
                <w:u w:val="single"/>
              </w:rPr>
            </w:pPr>
            <w:r w:rsidRPr="007B2BE1">
              <w:rPr>
                <w:rFonts w:eastAsia="標楷體"/>
                <w:sz w:val="24"/>
                <w:szCs w:val="24"/>
                <w:u w:val="single"/>
                <w:lang w:eastAsia="zh-CN"/>
              </w:rPr>
              <w:t xml:space="preserve">   550,000</w:t>
            </w:r>
          </w:p>
        </w:tc>
        <w:tc>
          <w:tcPr>
            <w:tcW w:w="1417" w:type="dxa"/>
          </w:tcPr>
          <w:p w14:paraId="5D83FBF9" w14:textId="04837D01" w:rsidR="009B5B03" w:rsidRPr="007B2BE1" w:rsidRDefault="007B2BE1" w:rsidP="00E16003">
            <w:pPr>
              <w:pStyle w:val="TableParagraph"/>
              <w:wordWrap w:val="0"/>
              <w:overflowPunct w:val="0"/>
              <w:spacing w:before="0"/>
              <w:ind w:left="-5" w:rightChars="120" w:right="288"/>
              <w:jc w:val="right"/>
              <w:rPr>
                <w:rFonts w:eastAsia="標楷體"/>
                <w:sz w:val="24"/>
                <w:szCs w:val="24"/>
                <w:u w:val="single"/>
              </w:rPr>
            </w:pPr>
            <w:r w:rsidRPr="007B2BE1">
              <w:rPr>
                <w:rFonts w:eastAsia="標楷體"/>
                <w:sz w:val="24"/>
                <w:szCs w:val="24"/>
                <w:u w:val="single"/>
                <w:lang w:eastAsia="zh-CN"/>
              </w:rPr>
              <w:t xml:space="preserve">     50,000</w:t>
            </w:r>
          </w:p>
        </w:tc>
      </w:tr>
      <w:tr w:rsidR="009B5B03" w:rsidRPr="007B2BE1" w14:paraId="3B1E090C" w14:textId="77777777" w:rsidTr="00747705">
        <w:trPr>
          <w:trHeight w:val="227"/>
        </w:trPr>
        <w:tc>
          <w:tcPr>
            <w:tcW w:w="1559" w:type="dxa"/>
          </w:tcPr>
          <w:p w14:paraId="113D219F" w14:textId="36357F11" w:rsidR="009B5B03" w:rsidRPr="007B2BE1" w:rsidRDefault="007B2BE1" w:rsidP="00F159D6">
            <w:pPr>
              <w:pStyle w:val="TableParagraph"/>
              <w:overflowPunct w:val="0"/>
              <w:spacing w:before="0"/>
              <w:ind w:left="281"/>
              <w:rPr>
                <w:rFonts w:eastAsia="標楷體"/>
                <w:sz w:val="24"/>
                <w:szCs w:val="24"/>
              </w:rPr>
            </w:pPr>
            <w:r w:rsidRPr="007B2BE1">
              <w:rPr>
                <w:rFonts w:eastAsia="標楷體"/>
                <w:sz w:val="24"/>
                <w:szCs w:val="24"/>
                <w:lang w:eastAsia="zh-CN"/>
              </w:rPr>
              <w:t>总额</w:t>
            </w:r>
          </w:p>
        </w:tc>
        <w:tc>
          <w:tcPr>
            <w:tcW w:w="1843" w:type="dxa"/>
          </w:tcPr>
          <w:p w14:paraId="2B8D57AC" w14:textId="06906705" w:rsidR="009B5B03" w:rsidRPr="007B2BE1" w:rsidRDefault="007B2BE1" w:rsidP="00E16003">
            <w:pPr>
              <w:pStyle w:val="TableParagraph"/>
              <w:overflowPunct w:val="0"/>
              <w:spacing w:before="0"/>
              <w:ind w:rightChars="206" w:right="494"/>
              <w:jc w:val="right"/>
              <w:rPr>
                <w:rFonts w:eastAsia="標楷體"/>
                <w:sz w:val="24"/>
                <w:szCs w:val="24"/>
                <w:u w:val="double"/>
              </w:rPr>
            </w:pPr>
            <w:r w:rsidRPr="007B2BE1">
              <w:rPr>
                <w:rFonts w:eastAsia="標楷體"/>
                <w:sz w:val="24"/>
                <w:szCs w:val="24"/>
                <w:u w:val="double"/>
                <w:lang w:eastAsia="zh-CN"/>
              </w:rPr>
              <w:t>2,276,000</w:t>
            </w:r>
          </w:p>
        </w:tc>
        <w:tc>
          <w:tcPr>
            <w:tcW w:w="1701" w:type="dxa"/>
          </w:tcPr>
          <w:p w14:paraId="251ED2F8" w14:textId="0A7B94CB" w:rsidR="009B5B03" w:rsidRPr="007B2BE1" w:rsidRDefault="007B2BE1" w:rsidP="00F74386">
            <w:pPr>
              <w:overflowPunct w:val="0"/>
              <w:ind w:left="-5" w:rightChars="175" w:right="420"/>
              <w:jc w:val="right"/>
              <w:rPr>
                <w:rFonts w:ascii="Times New Roman" w:eastAsia="標楷體" w:hAnsi="Times New Roman" w:cs="Times New Roman"/>
                <w:sz w:val="24"/>
                <w:szCs w:val="24"/>
                <w:u w:val="double"/>
              </w:rPr>
            </w:pPr>
            <w:r w:rsidRPr="007B2BE1">
              <w:rPr>
                <w:rFonts w:ascii="Times New Roman" w:eastAsia="標楷體" w:hAnsi="Times New Roman" w:cs="Times New Roman"/>
                <w:sz w:val="24"/>
                <w:szCs w:val="24"/>
                <w:u w:val="double"/>
                <w:lang w:eastAsia="zh-CN"/>
              </w:rPr>
              <w:t>4,822,562</w:t>
            </w:r>
          </w:p>
        </w:tc>
        <w:tc>
          <w:tcPr>
            <w:tcW w:w="1417" w:type="dxa"/>
          </w:tcPr>
          <w:p w14:paraId="794A86B0" w14:textId="42F85B23" w:rsidR="009B5B03" w:rsidRPr="007B2BE1" w:rsidRDefault="007B2BE1" w:rsidP="00E16003">
            <w:pPr>
              <w:pStyle w:val="TableParagraph"/>
              <w:overflowPunct w:val="0"/>
              <w:spacing w:before="0"/>
              <w:ind w:left="-5" w:rightChars="120" w:right="288"/>
              <w:jc w:val="right"/>
              <w:rPr>
                <w:rFonts w:eastAsia="標楷體"/>
                <w:sz w:val="24"/>
                <w:szCs w:val="24"/>
                <w:u w:val="double"/>
              </w:rPr>
            </w:pPr>
            <w:r w:rsidRPr="007B2BE1">
              <w:rPr>
                <w:rFonts w:eastAsia="標楷體"/>
                <w:sz w:val="24"/>
                <w:szCs w:val="24"/>
                <w:u w:val="double"/>
                <w:lang w:eastAsia="zh-CN"/>
              </w:rPr>
              <w:t>2,546,562</w:t>
            </w:r>
          </w:p>
        </w:tc>
      </w:tr>
    </w:tbl>
    <w:p w14:paraId="2FC3A037" w14:textId="77777777" w:rsidR="008D0C91" w:rsidRPr="007B2BE1" w:rsidRDefault="008D0C91"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712D3A51" w14:textId="50270E01" w:rsidR="00C4307C" w:rsidRPr="007B2BE1" w:rsidRDefault="007B2BE1" w:rsidP="00F159D6">
      <w:pPr>
        <w:overflowPunct w:val="0"/>
        <w:autoSpaceDE w:val="0"/>
        <w:autoSpaceDN w:val="0"/>
        <w:adjustRightInd w:val="0"/>
        <w:ind w:leftChars="878" w:left="2107"/>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注</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：就</w:t>
      </w: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2009/10</w:t>
      </w:r>
      <w:r w:rsidRPr="007B2BE1">
        <w:rPr>
          <w:rFonts w:ascii="Times New Roman" w:eastAsia="標楷體" w:hAnsi="Times New Roman" w:cs="Times New Roman"/>
          <w:lang w:val="en-US" w:eastAsia="zh-CN"/>
        </w:rPr>
        <w:t>课税年度，少申报的应评税值分别为</w:t>
      </w:r>
      <w:r w:rsidRPr="007B2BE1">
        <w:rPr>
          <w:rFonts w:ascii="Times New Roman" w:eastAsia="標楷體" w:hAnsi="Times New Roman" w:cs="Times New Roman"/>
          <w:lang w:val="en-US" w:eastAsia="zh-CN"/>
        </w:rPr>
        <w:t>12,646</w:t>
      </w:r>
      <w:r w:rsidRPr="007B2BE1">
        <w:rPr>
          <w:rFonts w:ascii="Times New Roman" w:eastAsia="標楷體" w:hAnsi="Times New Roman" w:cs="Times New Roman"/>
          <w:lang w:val="en-US" w:eastAsia="zh-CN"/>
        </w:rPr>
        <w:t>元、</w:t>
      </w:r>
      <w:r w:rsidRPr="007B2BE1">
        <w:rPr>
          <w:rFonts w:ascii="Times New Roman" w:eastAsia="標楷體" w:hAnsi="Times New Roman" w:cs="Times New Roman"/>
          <w:lang w:val="en-US" w:eastAsia="zh-CN"/>
        </w:rPr>
        <w:t>101,793</w:t>
      </w:r>
      <w:r w:rsidRPr="007B2BE1">
        <w:rPr>
          <w:rFonts w:ascii="Times New Roman" w:eastAsia="標楷體" w:hAnsi="Times New Roman" w:cs="Times New Roman"/>
          <w:lang w:val="en-US" w:eastAsia="zh-CN"/>
        </w:rPr>
        <w:t>元及</w:t>
      </w:r>
      <w:r w:rsidRPr="007B2BE1">
        <w:rPr>
          <w:rFonts w:ascii="Times New Roman" w:eastAsia="標楷體" w:hAnsi="Times New Roman" w:cs="Times New Roman"/>
          <w:lang w:val="en-US" w:eastAsia="zh-CN"/>
        </w:rPr>
        <w:t>18,083</w:t>
      </w:r>
      <w:r w:rsidRPr="007B2BE1">
        <w:rPr>
          <w:rFonts w:ascii="Times New Roman" w:eastAsia="標楷體" w:hAnsi="Times New Roman" w:cs="Times New Roman"/>
          <w:lang w:val="en-US" w:eastAsia="zh-CN"/>
        </w:rPr>
        <w:t>元，共</w:t>
      </w:r>
      <w:r w:rsidRPr="007B2BE1">
        <w:rPr>
          <w:rFonts w:ascii="Times New Roman" w:eastAsia="標楷體" w:hAnsi="Times New Roman" w:cs="Times New Roman"/>
          <w:lang w:val="en-US" w:eastAsia="zh-CN"/>
        </w:rPr>
        <w:t>132,522</w:t>
      </w:r>
      <w:r w:rsidRPr="007B2BE1">
        <w:rPr>
          <w:rFonts w:ascii="Times New Roman" w:eastAsia="標楷體" w:hAnsi="Times New Roman" w:cs="Times New Roman"/>
          <w:lang w:val="en-US" w:eastAsia="zh-CN"/>
        </w:rPr>
        <w:t>元。</w:t>
      </w:r>
    </w:p>
    <w:p w14:paraId="5224041C" w14:textId="77777777" w:rsidR="00D016C6" w:rsidRPr="007B2BE1" w:rsidRDefault="00D016C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4A4D2775" w14:textId="6364E58E" w:rsidR="00D016C6"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局长接受了</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公司提交日期为</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日的建议书以了结个案。评税主任及后根据该建议书了结个案基准于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27</w:t>
      </w:r>
      <w:r w:rsidRPr="007B2BE1">
        <w:rPr>
          <w:rFonts w:ascii="Times New Roman" w:eastAsia="標楷體" w:hAnsi="Times New Roman" w:cs="Times New Roman"/>
          <w:lang w:val="en-US" w:eastAsia="zh-CN"/>
        </w:rPr>
        <w:t>日向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公司发出：</w:t>
      </w:r>
    </w:p>
    <w:p w14:paraId="568DE265" w14:textId="77777777" w:rsidR="00F159D6" w:rsidRPr="007B2BE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5056A588" w14:textId="228CE031" w:rsidR="00D016C6" w:rsidRPr="007B2BE1" w:rsidRDefault="007B2BE1" w:rsidP="00F159D6">
      <w:pPr>
        <w:pStyle w:val="ac"/>
        <w:numPr>
          <w:ilvl w:val="0"/>
          <w:numId w:val="15"/>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2011/12</w:t>
      </w:r>
      <w:r w:rsidRPr="007B2BE1">
        <w:rPr>
          <w:rFonts w:ascii="Times New Roman" w:eastAsia="標楷體" w:hAnsi="Times New Roman" w:cs="Times New Roman"/>
          <w:lang w:val="en-US" w:eastAsia="zh-CN"/>
        </w:rPr>
        <w:t>课税年度的利得税补加评税；</w:t>
      </w:r>
    </w:p>
    <w:p w14:paraId="461D316B" w14:textId="77777777" w:rsidR="00F159D6" w:rsidRPr="007B2BE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67EADB52" w14:textId="5631FF35" w:rsidR="00D016C6" w:rsidRPr="007B2BE1" w:rsidRDefault="007B2BE1" w:rsidP="00F159D6">
      <w:pPr>
        <w:pStyle w:val="ac"/>
        <w:numPr>
          <w:ilvl w:val="0"/>
          <w:numId w:val="15"/>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课税年度的利得税评税；及</w:t>
      </w:r>
    </w:p>
    <w:p w14:paraId="75F8E708" w14:textId="77777777" w:rsidR="00F159D6" w:rsidRPr="007B2BE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1B9060D1" w14:textId="570B23BF" w:rsidR="00D016C6" w:rsidRPr="007B2BE1" w:rsidRDefault="007B2BE1" w:rsidP="00F159D6">
      <w:pPr>
        <w:pStyle w:val="ac"/>
        <w:numPr>
          <w:ilvl w:val="0"/>
          <w:numId w:val="15"/>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2013/14</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利得税补加评税。</w:t>
      </w:r>
    </w:p>
    <w:p w14:paraId="6F08502C" w14:textId="77777777" w:rsidR="00F159D6" w:rsidRPr="007B2BE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6D698FB" w14:textId="6CB84B38" w:rsidR="00EE0FDD" w:rsidRPr="007B2BE1" w:rsidRDefault="007B2BE1" w:rsidP="00F159D6">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局长接受了</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先生提交日期为</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日的建议书以了结个案。评税主任及后根据该建议书的了结个案基准于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27</w:t>
      </w:r>
      <w:r w:rsidRPr="007B2BE1">
        <w:rPr>
          <w:rFonts w:ascii="Times New Roman" w:eastAsia="標楷體" w:hAnsi="Times New Roman" w:cs="Times New Roman"/>
          <w:lang w:val="en-US" w:eastAsia="zh-CN"/>
        </w:rPr>
        <w:t>日向</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先生发出：</w:t>
      </w:r>
    </w:p>
    <w:p w14:paraId="55F51DAD" w14:textId="77777777" w:rsidR="00F159D6" w:rsidRPr="007B2BE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2FCF8D47" w14:textId="5D61B3DB" w:rsidR="00EE0FDD" w:rsidRPr="007B2BE1" w:rsidRDefault="007B2BE1" w:rsidP="00F159D6">
      <w:pPr>
        <w:pStyle w:val="ac"/>
        <w:numPr>
          <w:ilvl w:val="0"/>
          <w:numId w:val="1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2009/10</w:t>
      </w:r>
      <w:r w:rsidRPr="007B2BE1">
        <w:rPr>
          <w:rFonts w:ascii="Times New Roman" w:eastAsia="標楷體" w:hAnsi="Times New Roman" w:cs="Times New Roman"/>
          <w:lang w:val="en-US" w:eastAsia="zh-CN"/>
        </w:rPr>
        <w:t>课税年度的物业税修订评税；</w:t>
      </w:r>
    </w:p>
    <w:p w14:paraId="2EF515D6" w14:textId="77777777" w:rsidR="00F159D6" w:rsidRPr="007B2BE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1D1F7552" w14:textId="0C2E23B9" w:rsidR="00EE0FDD" w:rsidRPr="007B2BE1" w:rsidRDefault="007B2BE1" w:rsidP="00F159D6">
      <w:pPr>
        <w:pStyle w:val="ac"/>
        <w:numPr>
          <w:ilvl w:val="0"/>
          <w:numId w:val="1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2010/11</w:t>
      </w:r>
      <w:r w:rsidRPr="007B2BE1">
        <w:rPr>
          <w:rFonts w:ascii="Times New Roman" w:eastAsia="標楷體" w:hAnsi="Times New Roman" w:cs="Times New Roman"/>
          <w:lang w:val="en-US" w:eastAsia="zh-CN"/>
        </w:rPr>
        <w:t>课税年度的薪俸税修订评税；</w:t>
      </w:r>
    </w:p>
    <w:p w14:paraId="6DDA536E" w14:textId="77777777" w:rsidR="00F159D6" w:rsidRPr="007B2BE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437D2400" w14:textId="1C1210BC" w:rsidR="00C4307C" w:rsidRPr="007B2BE1" w:rsidRDefault="007B2BE1" w:rsidP="00F159D6">
      <w:pPr>
        <w:pStyle w:val="ac"/>
        <w:numPr>
          <w:ilvl w:val="0"/>
          <w:numId w:val="1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2014/15</w:t>
      </w:r>
      <w:r w:rsidRPr="007B2BE1">
        <w:rPr>
          <w:rFonts w:ascii="Times New Roman" w:eastAsia="標楷體" w:hAnsi="Times New Roman" w:cs="Times New Roman"/>
          <w:lang w:val="en-US" w:eastAsia="zh-CN"/>
        </w:rPr>
        <w:t>课税年度的薪俸税评税；及</w:t>
      </w:r>
    </w:p>
    <w:p w14:paraId="68141AA1" w14:textId="77777777" w:rsidR="00F159D6" w:rsidRPr="007B2BE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50FAEEF1" w14:textId="4EDC828A" w:rsidR="00C4307C" w:rsidRPr="007B2BE1" w:rsidRDefault="007B2BE1" w:rsidP="00F159D6">
      <w:pPr>
        <w:pStyle w:val="ac"/>
        <w:numPr>
          <w:ilvl w:val="0"/>
          <w:numId w:val="1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课税年度的薪俸补加评税。</w:t>
      </w:r>
    </w:p>
    <w:p w14:paraId="138613BA" w14:textId="77777777" w:rsidR="00F159D6" w:rsidRPr="007B2BE1" w:rsidRDefault="00F159D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p w14:paraId="0CB0377A" w14:textId="21121C7F" w:rsidR="00E853F4" w:rsidRPr="007B2BE1" w:rsidRDefault="007B2BE1" w:rsidP="00F159D6">
      <w:pPr>
        <w:overflowPunct w:val="0"/>
        <w:autoSpaceDE w:val="0"/>
        <w:autoSpaceDN w:val="0"/>
        <w:adjustRightInd w:val="0"/>
        <w:ind w:leftChars="878" w:left="2107"/>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上述</w:t>
      </w: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2010/11</w:t>
      </w:r>
      <w:r w:rsidRPr="007B2BE1">
        <w:rPr>
          <w:rFonts w:ascii="Times New Roman" w:eastAsia="標楷體" w:hAnsi="Times New Roman" w:cs="Times New Roman"/>
          <w:lang w:val="en-US" w:eastAsia="zh-CN"/>
        </w:rPr>
        <w:t>课税年度的修订评税乃根据税例第</w:t>
      </w:r>
      <w:r w:rsidRPr="007B2BE1">
        <w:rPr>
          <w:rFonts w:ascii="Times New Roman" w:eastAsia="標楷體" w:hAnsi="Times New Roman" w:cs="Times New Roman"/>
          <w:lang w:val="en-US" w:eastAsia="zh-CN"/>
        </w:rPr>
        <w:t>64(3)</w:t>
      </w:r>
      <w:r w:rsidRPr="007B2BE1">
        <w:rPr>
          <w:rFonts w:ascii="Times New Roman" w:eastAsia="標楷體" w:hAnsi="Times New Roman" w:cs="Times New Roman"/>
          <w:lang w:val="en-US" w:eastAsia="zh-CN"/>
        </w:rPr>
        <w:t>条就有效反对与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先生达成协议</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即</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日建议书</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而发出的修订评税，因此有关的修订评税已于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27</w:t>
      </w:r>
      <w:r w:rsidRPr="007B2BE1">
        <w:rPr>
          <w:rFonts w:ascii="Times New Roman" w:eastAsia="標楷體" w:hAnsi="Times New Roman" w:cs="Times New Roman"/>
          <w:lang w:val="en-US" w:eastAsia="zh-CN"/>
        </w:rPr>
        <w:t>日成为最终及决定性评税。</w:t>
      </w:r>
    </w:p>
    <w:p w14:paraId="6997F046" w14:textId="77777777" w:rsidR="00F159D6" w:rsidRPr="007B2BE1" w:rsidRDefault="00F159D6" w:rsidP="00F159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878" w:left="2107"/>
        <w:jc w:val="both"/>
        <w:rPr>
          <w:rFonts w:ascii="Times New Roman" w:eastAsia="標楷體" w:hAnsi="Times New Roman" w:cs="Times New Roman"/>
          <w:lang w:val="en-US" w:eastAsia="zh-TW"/>
        </w:rPr>
      </w:pPr>
    </w:p>
    <w:p w14:paraId="5C946EAF" w14:textId="40110F96" w:rsidR="00E853F4" w:rsidRPr="007B2BE1" w:rsidRDefault="007B2BE1" w:rsidP="00F159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878" w:left="2107"/>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lastRenderedPageBreak/>
        <w:t>注</w:t>
      </w:r>
      <w:r w:rsidRPr="007B2BE1">
        <w:rPr>
          <w:rFonts w:ascii="Times New Roman" w:eastAsia="標楷體" w:hAnsi="Times New Roman" w:cs="Times New Roman"/>
          <w:lang w:val="en-US" w:eastAsia="zh-CN"/>
        </w:rPr>
        <w:t>10</w:t>
      </w:r>
      <w:r w:rsidRPr="007B2BE1">
        <w:rPr>
          <w:rFonts w:ascii="Times New Roman" w:eastAsia="標楷體" w:hAnsi="Times New Roman" w:cs="Times New Roman"/>
          <w:lang w:val="en-US" w:eastAsia="zh-CN"/>
        </w:rPr>
        <w:t>：在税务审核后，因</w:t>
      </w:r>
      <w:r w:rsidRPr="007B2BE1">
        <w:rPr>
          <w:rFonts w:ascii="Times New Roman" w:eastAsia="標楷體" w:hAnsi="Times New Roman" w:cs="Times New Roman"/>
          <w:lang w:val="en-US" w:eastAsia="zh-CN"/>
        </w:rPr>
        <w:t>2011/12</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2013/14</w:t>
      </w:r>
      <w:r w:rsidRPr="007B2BE1">
        <w:rPr>
          <w:rFonts w:ascii="Times New Roman" w:eastAsia="標楷體" w:hAnsi="Times New Roman" w:cs="Times New Roman"/>
          <w:lang w:val="en-US" w:eastAsia="zh-CN"/>
        </w:rPr>
        <w:t>课税年度的应评税入息少于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先生所享有的免税额，所以评税主任没有发出有关课税年度的薪俸税评税。</w:t>
      </w:r>
    </w:p>
    <w:p w14:paraId="7AD8DC50" w14:textId="77777777" w:rsidR="00F159D6" w:rsidRPr="007B2BE1" w:rsidRDefault="00F159D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p w14:paraId="0E32692B" w14:textId="2A9F2EB7" w:rsidR="00E853F4"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5</w:t>
      </w:r>
      <w:r w:rsidRPr="007B2BE1">
        <w:rPr>
          <w:rFonts w:ascii="Times New Roman" w:eastAsia="標楷體" w:hAnsi="Times New Roman" w:cs="Times New Roman"/>
          <w:lang w:val="en-US" w:eastAsia="zh-CN"/>
        </w:rPr>
        <w:t>日委托「罗兵咸永道有限公司</w:t>
      </w:r>
      <w:r w:rsidRPr="007B2BE1">
        <w:rPr>
          <w:rFonts w:ascii="Times New Roman" w:eastAsia="標楷體" w:hAnsi="Times New Roman" w:cs="Times New Roman"/>
          <w:lang w:val="en-US" w:eastAsia="zh-CN"/>
        </w:rPr>
        <w:t>PricewaterhouseCoopers Ltd</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「第二税务代表」</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为其税务审核的税务代表。第二税务代表曾联络评税主任以了解了结个案基准。</w:t>
      </w:r>
    </w:p>
    <w:p w14:paraId="0CD4867E" w14:textId="77777777" w:rsidR="002B1226" w:rsidRPr="007B2BE1" w:rsidRDefault="002B1226" w:rsidP="002B122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6B18A454" w14:textId="4F6B05B3" w:rsidR="004E5FAF"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公司及第二税务代表在反对期限内没有就上文第</w:t>
      </w:r>
      <w:r w:rsidRPr="007B2BE1">
        <w:rPr>
          <w:rFonts w:ascii="Times New Roman" w:eastAsia="標楷體" w:hAnsi="Times New Roman" w:cs="Times New Roman"/>
          <w:lang w:val="en-US" w:eastAsia="zh-CN"/>
        </w:rPr>
        <w:t>25</w:t>
      </w:r>
      <w:r w:rsidRPr="007B2BE1">
        <w:rPr>
          <w:rFonts w:ascii="Times New Roman" w:eastAsia="標楷體" w:hAnsi="Times New Roman" w:cs="Times New Roman"/>
          <w:lang w:val="en-US" w:eastAsia="zh-CN"/>
        </w:rPr>
        <w:t>项所列的利得税评税及利得税补加评税提出异议或作出反对。有关的评税已根据税例第</w:t>
      </w:r>
      <w:r w:rsidRPr="007B2BE1">
        <w:rPr>
          <w:rFonts w:ascii="Times New Roman" w:eastAsia="標楷體" w:hAnsi="Times New Roman" w:cs="Times New Roman"/>
          <w:lang w:val="en-US" w:eastAsia="zh-CN"/>
        </w:rPr>
        <w:t>70</w:t>
      </w:r>
      <w:r w:rsidRPr="007B2BE1">
        <w:rPr>
          <w:rFonts w:ascii="Times New Roman" w:eastAsia="標楷體" w:hAnsi="Times New Roman" w:cs="Times New Roman"/>
          <w:lang w:val="en-US" w:eastAsia="zh-CN"/>
        </w:rPr>
        <w:t>条已成为最终及决定性评税。</w:t>
      </w:r>
    </w:p>
    <w:p w14:paraId="6A3DA204" w14:textId="77777777" w:rsidR="00F159D6" w:rsidRPr="007B2BE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3EE2ED30" w14:textId="0F3ECFBF" w:rsidR="00E853F4"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先生及第二税务代表在反对期限内没有就上文第</w:t>
      </w:r>
      <w:r w:rsidRPr="007B2BE1">
        <w:rPr>
          <w:rFonts w:ascii="Times New Roman" w:eastAsia="標楷體" w:hAnsi="Times New Roman" w:cs="Times New Roman"/>
          <w:lang w:val="en-US" w:eastAsia="zh-CN"/>
        </w:rPr>
        <w:t>26</w:t>
      </w:r>
      <w:r w:rsidRPr="007B2BE1">
        <w:rPr>
          <w:rFonts w:ascii="Times New Roman" w:eastAsia="標楷體" w:hAnsi="Times New Roman" w:cs="Times New Roman"/>
          <w:lang w:val="en-US" w:eastAsia="zh-CN"/>
        </w:rPr>
        <w:t>项所列的评税提出异议或作出反对。有关的评税根据税已根据税例第</w:t>
      </w:r>
      <w:r w:rsidRPr="007B2BE1">
        <w:rPr>
          <w:rFonts w:ascii="Times New Roman" w:eastAsia="標楷體" w:hAnsi="Times New Roman" w:cs="Times New Roman"/>
          <w:lang w:val="en-US" w:eastAsia="zh-CN"/>
        </w:rPr>
        <w:t>70</w:t>
      </w:r>
      <w:r w:rsidRPr="007B2BE1">
        <w:rPr>
          <w:rFonts w:ascii="Times New Roman" w:eastAsia="標楷體" w:hAnsi="Times New Roman" w:cs="Times New Roman"/>
          <w:lang w:val="en-US" w:eastAsia="zh-CN"/>
        </w:rPr>
        <w:t>条成为最终及决定性评税。</w:t>
      </w:r>
    </w:p>
    <w:p w14:paraId="48163E0D" w14:textId="77777777" w:rsidR="00F159D6" w:rsidRPr="007B2BE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7D94A56B" w14:textId="53BA0B75" w:rsidR="004E5FAF"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局长接纳了</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公司就未有遵守税例第</w:t>
      </w:r>
      <w:r w:rsidRPr="007B2BE1">
        <w:rPr>
          <w:rFonts w:ascii="Times New Roman" w:eastAsia="標楷體" w:hAnsi="Times New Roman" w:cs="Times New Roman"/>
          <w:lang w:val="en-US" w:eastAsia="zh-CN"/>
        </w:rPr>
        <w:t>51C</w:t>
      </w:r>
      <w:r w:rsidRPr="007B2BE1">
        <w:rPr>
          <w:rFonts w:ascii="Times New Roman" w:eastAsia="標楷體" w:hAnsi="Times New Roman" w:cs="Times New Roman"/>
          <w:lang w:val="en-US" w:eastAsia="zh-CN"/>
        </w:rPr>
        <w:t>条保存业务纪录的事宜所建议之罚款</w:t>
      </w:r>
      <w:r w:rsidRPr="007B2BE1">
        <w:rPr>
          <w:rFonts w:ascii="Times New Roman" w:eastAsia="標楷體" w:hAnsi="Times New Roman" w:cs="Times New Roman"/>
          <w:lang w:val="en-US" w:eastAsia="zh-CN"/>
        </w:rPr>
        <w:t>25,000</w:t>
      </w:r>
      <w:r w:rsidRPr="007B2BE1">
        <w:rPr>
          <w:rFonts w:ascii="Times New Roman" w:eastAsia="標楷體" w:hAnsi="Times New Roman" w:cs="Times New Roman"/>
          <w:lang w:val="en-US" w:eastAsia="zh-CN"/>
        </w:rPr>
        <w:t>元。税务局已于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8</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14</w:t>
      </w:r>
      <w:r w:rsidRPr="007B2BE1">
        <w:rPr>
          <w:rFonts w:ascii="Times New Roman" w:eastAsia="標楷體" w:hAnsi="Times New Roman" w:cs="Times New Roman"/>
          <w:lang w:val="en-US" w:eastAsia="zh-CN"/>
        </w:rPr>
        <w:t>日向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公司发出</w:t>
      </w:r>
      <w:r w:rsidRPr="007B2BE1">
        <w:rPr>
          <w:rFonts w:ascii="Times New Roman" w:eastAsia="標楷體" w:hAnsi="Times New Roman" w:cs="Times New Roman"/>
          <w:lang w:val="en-US" w:eastAsia="zh-CN"/>
        </w:rPr>
        <w:t>2011/12</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课税年度就违反税例第</w:t>
      </w:r>
      <w:r w:rsidRPr="007B2BE1">
        <w:rPr>
          <w:rFonts w:ascii="Times New Roman" w:eastAsia="標楷體" w:hAnsi="Times New Roman" w:cs="Times New Roman"/>
          <w:lang w:val="en-US" w:eastAsia="zh-CN"/>
        </w:rPr>
        <w:t>80(1A)</w:t>
      </w:r>
      <w:r w:rsidRPr="007B2BE1">
        <w:rPr>
          <w:rFonts w:ascii="Times New Roman" w:eastAsia="標楷體" w:hAnsi="Times New Roman" w:cs="Times New Roman"/>
          <w:lang w:val="en-US" w:eastAsia="zh-CN"/>
        </w:rPr>
        <w:t>条规定的缴款通知书要求缴款</w:t>
      </w:r>
      <w:r w:rsidRPr="007B2BE1">
        <w:rPr>
          <w:rFonts w:ascii="Times New Roman" w:eastAsia="標楷體" w:hAnsi="Times New Roman" w:cs="Times New Roman"/>
          <w:lang w:val="en-US" w:eastAsia="zh-CN"/>
        </w:rPr>
        <w:t>25,000</w:t>
      </w:r>
      <w:r w:rsidRPr="007B2BE1">
        <w:rPr>
          <w:rFonts w:ascii="Times New Roman" w:eastAsia="標楷體" w:hAnsi="Times New Roman" w:cs="Times New Roman"/>
          <w:lang w:val="en-US" w:eastAsia="zh-CN"/>
        </w:rPr>
        <w:t>元。</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公司已缴清通知书所列的款项。</w:t>
      </w:r>
    </w:p>
    <w:p w14:paraId="183A8EBE" w14:textId="77777777" w:rsidR="00F159D6" w:rsidRPr="007B2BE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299F941B" w14:textId="2571603A" w:rsidR="004E5FAF"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局长在</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日按照税例第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条规定，向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公司发出拟评定补加税通知书，就</w:t>
      </w:r>
      <w:r w:rsidRPr="007B2BE1">
        <w:rPr>
          <w:rFonts w:ascii="Times New Roman" w:eastAsia="標楷體" w:hAnsi="Times New Roman" w:cs="Times New Roman"/>
          <w:lang w:val="en-US" w:eastAsia="zh-CN"/>
        </w:rPr>
        <w:t>2011/12</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课税年度填报不正确的利得税报税表事宜就下列涉及的利润及多报亏损，要求</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公司提交书面申述，以决定是否向其征收补加税及所征收金额：</w:t>
      </w:r>
    </w:p>
    <w:p w14:paraId="03BEB13A" w14:textId="77777777" w:rsidR="004E5FAF" w:rsidRPr="007B2BE1" w:rsidRDefault="004E5F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val="en-US" w:eastAsia="zh-TW"/>
        </w:rPr>
      </w:pPr>
    </w:p>
    <w:tbl>
      <w:tblPr>
        <w:tblStyle w:val="TableNormal1"/>
        <w:tblW w:w="0" w:type="auto"/>
        <w:tblInd w:w="1843" w:type="dxa"/>
        <w:tblBorders>
          <w:top w:val="nil"/>
          <w:left w:val="nil"/>
          <w:bottom w:val="nil"/>
          <w:right w:val="nil"/>
          <w:insideH w:val="nil"/>
          <w:insideV w:val="nil"/>
        </w:tblBorders>
        <w:tblLayout w:type="fixed"/>
        <w:tblLook w:val="01E0" w:firstRow="1" w:lastRow="1" w:firstColumn="1" w:lastColumn="1" w:noHBand="0" w:noVBand="0"/>
      </w:tblPr>
      <w:tblGrid>
        <w:gridCol w:w="1418"/>
        <w:gridCol w:w="1538"/>
        <w:gridCol w:w="1297"/>
        <w:gridCol w:w="1134"/>
      </w:tblGrid>
      <w:tr w:rsidR="004E5FAF" w:rsidRPr="007B2BE1" w14:paraId="41ADAD64" w14:textId="77777777" w:rsidTr="00747705">
        <w:trPr>
          <w:trHeight w:val="227"/>
        </w:trPr>
        <w:tc>
          <w:tcPr>
            <w:tcW w:w="1418" w:type="dxa"/>
            <w:tcBorders>
              <w:top w:val="nil"/>
              <w:left w:val="nil"/>
              <w:bottom w:val="nil"/>
              <w:right w:val="nil"/>
            </w:tcBorders>
          </w:tcPr>
          <w:p w14:paraId="582E3DC0" w14:textId="59FF50E2" w:rsidR="004E5FAF" w:rsidRPr="007B2BE1" w:rsidRDefault="007B2BE1" w:rsidP="00F159D6">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课税年度</w:t>
            </w:r>
          </w:p>
        </w:tc>
        <w:tc>
          <w:tcPr>
            <w:tcW w:w="1538" w:type="dxa"/>
            <w:tcBorders>
              <w:top w:val="nil"/>
              <w:left w:val="nil"/>
              <w:bottom w:val="nil"/>
              <w:right w:val="nil"/>
            </w:tcBorders>
          </w:tcPr>
          <w:p w14:paraId="33FBC00B" w14:textId="41CADADF" w:rsidR="004E5FAF" w:rsidRPr="007B2BE1" w:rsidRDefault="007B2BE1" w:rsidP="001E406E">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涉及的利润</w:t>
            </w:r>
          </w:p>
          <w:p w14:paraId="0103C2C9" w14:textId="6790DA4B" w:rsidR="00FC3AAA"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元</w:t>
            </w:r>
          </w:p>
        </w:tc>
        <w:tc>
          <w:tcPr>
            <w:tcW w:w="1297" w:type="dxa"/>
            <w:tcBorders>
              <w:top w:val="nil"/>
              <w:left w:val="nil"/>
              <w:bottom w:val="nil"/>
              <w:right w:val="nil"/>
            </w:tcBorders>
          </w:tcPr>
          <w:p w14:paraId="27191E79" w14:textId="6E6EBC95" w:rsidR="004E5FAF" w:rsidRPr="007B2BE1" w:rsidRDefault="007B2BE1" w:rsidP="001E406E">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多报亏损</w:t>
            </w:r>
          </w:p>
          <w:p w14:paraId="08545484" w14:textId="6ECB928F" w:rsidR="00FC3AAA"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元</w:t>
            </w:r>
          </w:p>
        </w:tc>
        <w:tc>
          <w:tcPr>
            <w:tcW w:w="1134" w:type="dxa"/>
            <w:tcBorders>
              <w:left w:val="nil"/>
            </w:tcBorders>
          </w:tcPr>
          <w:p w14:paraId="1C405A3B" w14:textId="459D0F20" w:rsidR="004E5FAF" w:rsidRPr="007B2BE1" w:rsidRDefault="007B2BE1" w:rsidP="001E406E">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税款</w:t>
            </w:r>
          </w:p>
          <w:p w14:paraId="263B07F9" w14:textId="5B808960" w:rsidR="00FC3AAA"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元</w:t>
            </w:r>
          </w:p>
        </w:tc>
      </w:tr>
      <w:tr w:rsidR="004E5FAF" w:rsidRPr="007B2BE1" w14:paraId="39B25000" w14:textId="77777777" w:rsidTr="00747705">
        <w:trPr>
          <w:trHeight w:val="227"/>
        </w:trPr>
        <w:tc>
          <w:tcPr>
            <w:tcW w:w="1418" w:type="dxa"/>
            <w:tcBorders>
              <w:top w:val="nil"/>
            </w:tcBorders>
            <w:vAlign w:val="center"/>
          </w:tcPr>
          <w:p w14:paraId="73C05E1E" w14:textId="76FC4D7F" w:rsidR="004E5FAF" w:rsidRPr="007B2BE1" w:rsidRDefault="007B2BE1" w:rsidP="00DD6F64">
            <w:pPr>
              <w:pStyle w:val="TableParagraph"/>
              <w:overflowPunct w:val="0"/>
              <w:spacing w:before="0"/>
              <w:rPr>
                <w:rFonts w:eastAsia="標楷體"/>
                <w:sz w:val="24"/>
                <w:szCs w:val="24"/>
              </w:rPr>
            </w:pPr>
            <w:r w:rsidRPr="007B2BE1">
              <w:rPr>
                <w:rFonts w:eastAsia="標楷體"/>
                <w:sz w:val="24"/>
                <w:szCs w:val="24"/>
                <w:lang w:eastAsia="zh-CN"/>
              </w:rPr>
              <w:t>2011/12</w:t>
            </w:r>
          </w:p>
        </w:tc>
        <w:tc>
          <w:tcPr>
            <w:tcW w:w="1538" w:type="dxa"/>
            <w:tcBorders>
              <w:top w:val="nil"/>
            </w:tcBorders>
            <w:vAlign w:val="center"/>
          </w:tcPr>
          <w:p w14:paraId="0E715957" w14:textId="5B45B3B2" w:rsidR="004E5FAF" w:rsidRPr="007B2BE1" w:rsidRDefault="007B2BE1" w:rsidP="00DD6F64">
            <w:pPr>
              <w:pStyle w:val="TableParagraph"/>
              <w:overflowPunct w:val="0"/>
              <w:spacing w:before="0"/>
              <w:ind w:rightChars="108" w:right="259"/>
              <w:jc w:val="right"/>
              <w:rPr>
                <w:rFonts w:eastAsia="標楷體"/>
                <w:sz w:val="24"/>
                <w:szCs w:val="24"/>
              </w:rPr>
            </w:pPr>
            <w:r w:rsidRPr="007B2BE1">
              <w:rPr>
                <w:rFonts w:eastAsia="標楷體"/>
                <w:sz w:val="24"/>
                <w:szCs w:val="24"/>
                <w:lang w:eastAsia="zh-CN"/>
              </w:rPr>
              <w:t>1,288,118</w:t>
            </w:r>
          </w:p>
        </w:tc>
        <w:tc>
          <w:tcPr>
            <w:tcW w:w="1297" w:type="dxa"/>
            <w:tcBorders>
              <w:top w:val="nil"/>
            </w:tcBorders>
            <w:vAlign w:val="center"/>
          </w:tcPr>
          <w:p w14:paraId="321D21F3" w14:textId="03FDEB7E" w:rsidR="004E5FAF" w:rsidRPr="007B2BE1" w:rsidRDefault="007B2BE1" w:rsidP="00DD6F64">
            <w:pPr>
              <w:pStyle w:val="TableParagraph"/>
              <w:overflowPunct w:val="0"/>
              <w:spacing w:before="0"/>
              <w:ind w:rightChars="119" w:right="286"/>
              <w:jc w:val="right"/>
              <w:rPr>
                <w:rFonts w:eastAsia="標楷體"/>
                <w:sz w:val="24"/>
                <w:szCs w:val="24"/>
              </w:rPr>
            </w:pPr>
            <w:r w:rsidRPr="007B2BE1">
              <w:rPr>
                <w:rFonts w:eastAsia="標楷體"/>
                <w:sz w:val="24"/>
                <w:szCs w:val="24"/>
                <w:lang w:eastAsia="zh-CN"/>
              </w:rPr>
              <w:t>-</w:t>
            </w:r>
          </w:p>
        </w:tc>
        <w:tc>
          <w:tcPr>
            <w:tcW w:w="1134" w:type="dxa"/>
            <w:vAlign w:val="center"/>
          </w:tcPr>
          <w:p w14:paraId="42906CFF" w14:textId="157B568D" w:rsidR="004E5FAF" w:rsidRPr="007B2BE1" w:rsidRDefault="007B2BE1" w:rsidP="00DD6F64">
            <w:pPr>
              <w:pStyle w:val="TableParagraph"/>
              <w:overflowPunct w:val="0"/>
              <w:spacing w:before="0"/>
              <w:ind w:rightChars="57" w:right="137"/>
              <w:jc w:val="right"/>
              <w:rPr>
                <w:rFonts w:eastAsia="標楷體"/>
                <w:sz w:val="24"/>
                <w:szCs w:val="24"/>
              </w:rPr>
            </w:pPr>
            <w:r w:rsidRPr="007B2BE1">
              <w:rPr>
                <w:rFonts w:eastAsia="標楷體"/>
                <w:sz w:val="24"/>
                <w:szCs w:val="24"/>
                <w:lang w:eastAsia="zh-CN"/>
              </w:rPr>
              <w:t>200,898</w:t>
            </w:r>
          </w:p>
        </w:tc>
      </w:tr>
      <w:tr w:rsidR="004E5FAF" w:rsidRPr="007B2BE1" w14:paraId="774B826C" w14:textId="77777777" w:rsidTr="00747705">
        <w:trPr>
          <w:trHeight w:val="227"/>
        </w:trPr>
        <w:tc>
          <w:tcPr>
            <w:tcW w:w="1418" w:type="dxa"/>
            <w:vAlign w:val="center"/>
          </w:tcPr>
          <w:p w14:paraId="08B3CFEB" w14:textId="149133EF" w:rsidR="004E5FAF" w:rsidRPr="007B2BE1" w:rsidRDefault="007B2BE1" w:rsidP="00DD6F64">
            <w:pPr>
              <w:pStyle w:val="TableParagraph"/>
              <w:overflowPunct w:val="0"/>
              <w:spacing w:before="0"/>
              <w:rPr>
                <w:rFonts w:eastAsia="標楷體"/>
                <w:sz w:val="24"/>
                <w:szCs w:val="24"/>
              </w:rPr>
            </w:pPr>
            <w:r w:rsidRPr="007B2BE1">
              <w:rPr>
                <w:rFonts w:eastAsia="標楷體"/>
                <w:sz w:val="24"/>
                <w:szCs w:val="24"/>
                <w:lang w:eastAsia="zh-CN"/>
              </w:rPr>
              <w:t>2012/13</w:t>
            </w:r>
          </w:p>
        </w:tc>
        <w:tc>
          <w:tcPr>
            <w:tcW w:w="1538" w:type="dxa"/>
            <w:vAlign w:val="center"/>
          </w:tcPr>
          <w:p w14:paraId="753C1B85" w14:textId="138B4B12" w:rsidR="004E5FAF" w:rsidRPr="007B2BE1" w:rsidRDefault="007B2BE1" w:rsidP="00DD6F64">
            <w:pPr>
              <w:pStyle w:val="TableParagraph"/>
              <w:overflowPunct w:val="0"/>
              <w:spacing w:before="0"/>
              <w:ind w:rightChars="108" w:right="259"/>
              <w:jc w:val="right"/>
              <w:rPr>
                <w:rFonts w:eastAsia="標楷體"/>
                <w:sz w:val="24"/>
                <w:szCs w:val="24"/>
              </w:rPr>
            </w:pPr>
            <w:r w:rsidRPr="007B2BE1">
              <w:rPr>
                <w:rFonts w:eastAsia="標楷體"/>
                <w:sz w:val="24"/>
                <w:szCs w:val="24"/>
                <w:lang w:eastAsia="zh-CN"/>
              </w:rPr>
              <w:t>294,160</w:t>
            </w:r>
          </w:p>
        </w:tc>
        <w:tc>
          <w:tcPr>
            <w:tcW w:w="1297" w:type="dxa"/>
            <w:vAlign w:val="center"/>
          </w:tcPr>
          <w:p w14:paraId="1DF8C384" w14:textId="6026D25A" w:rsidR="004E5FAF" w:rsidRPr="007B2BE1" w:rsidRDefault="007B2BE1" w:rsidP="00DD6F64">
            <w:pPr>
              <w:pStyle w:val="TableParagraph"/>
              <w:overflowPunct w:val="0"/>
              <w:spacing w:before="0"/>
              <w:ind w:rightChars="119" w:right="286"/>
              <w:jc w:val="right"/>
              <w:rPr>
                <w:rFonts w:eastAsia="標楷體"/>
                <w:sz w:val="24"/>
                <w:szCs w:val="24"/>
              </w:rPr>
            </w:pPr>
            <w:r w:rsidRPr="007B2BE1">
              <w:rPr>
                <w:rFonts w:eastAsia="標楷體"/>
                <w:sz w:val="24"/>
                <w:szCs w:val="24"/>
                <w:lang w:eastAsia="zh-CN"/>
              </w:rPr>
              <w:t>158,249</w:t>
            </w:r>
          </w:p>
        </w:tc>
        <w:tc>
          <w:tcPr>
            <w:tcW w:w="1134" w:type="dxa"/>
            <w:vAlign w:val="center"/>
          </w:tcPr>
          <w:p w14:paraId="6B715EB7" w14:textId="33A7C62C" w:rsidR="004E5FAF" w:rsidRPr="007B2BE1" w:rsidRDefault="007B2BE1" w:rsidP="00DD6F64">
            <w:pPr>
              <w:pStyle w:val="TableParagraph"/>
              <w:overflowPunct w:val="0"/>
              <w:spacing w:before="0"/>
              <w:ind w:rightChars="57" w:right="137"/>
              <w:jc w:val="right"/>
              <w:rPr>
                <w:rFonts w:eastAsia="標楷體"/>
                <w:sz w:val="24"/>
                <w:szCs w:val="24"/>
              </w:rPr>
            </w:pPr>
            <w:r w:rsidRPr="007B2BE1">
              <w:rPr>
                <w:rFonts w:eastAsia="標楷體"/>
                <w:sz w:val="24"/>
                <w:szCs w:val="24"/>
                <w:lang w:eastAsia="zh-CN"/>
              </w:rPr>
              <w:t>38,536</w:t>
            </w:r>
          </w:p>
        </w:tc>
      </w:tr>
      <w:tr w:rsidR="004E5FAF" w:rsidRPr="007B2BE1" w14:paraId="21DC8D43" w14:textId="77777777" w:rsidTr="00747705">
        <w:trPr>
          <w:trHeight w:val="227"/>
        </w:trPr>
        <w:tc>
          <w:tcPr>
            <w:tcW w:w="1418" w:type="dxa"/>
            <w:vAlign w:val="center"/>
          </w:tcPr>
          <w:p w14:paraId="26D75176" w14:textId="79D1147C" w:rsidR="004E5FAF" w:rsidRPr="007B2BE1" w:rsidRDefault="007B2BE1" w:rsidP="00DD6F64">
            <w:pPr>
              <w:pStyle w:val="TableParagraph"/>
              <w:overflowPunct w:val="0"/>
              <w:spacing w:before="0"/>
              <w:rPr>
                <w:rFonts w:eastAsia="標楷體"/>
                <w:sz w:val="24"/>
                <w:szCs w:val="24"/>
              </w:rPr>
            </w:pPr>
            <w:r w:rsidRPr="007B2BE1">
              <w:rPr>
                <w:rFonts w:eastAsia="標楷體"/>
                <w:sz w:val="24"/>
                <w:szCs w:val="24"/>
                <w:lang w:eastAsia="zh-CN"/>
              </w:rPr>
              <w:t>2013/14</w:t>
            </w:r>
          </w:p>
        </w:tc>
        <w:tc>
          <w:tcPr>
            <w:tcW w:w="1538" w:type="dxa"/>
            <w:vAlign w:val="center"/>
          </w:tcPr>
          <w:p w14:paraId="2D5CE8D2" w14:textId="125820E6" w:rsidR="004E5FAF" w:rsidRPr="007B2BE1" w:rsidRDefault="007B2BE1" w:rsidP="00DD6F64">
            <w:pPr>
              <w:pStyle w:val="TableParagraph"/>
              <w:overflowPunct w:val="0"/>
              <w:spacing w:before="0"/>
              <w:ind w:rightChars="108" w:right="259"/>
              <w:jc w:val="right"/>
              <w:rPr>
                <w:rFonts w:eastAsia="標楷體"/>
                <w:sz w:val="24"/>
                <w:szCs w:val="24"/>
              </w:rPr>
            </w:pPr>
            <w:r w:rsidRPr="007B2BE1">
              <w:rPr>
                <w:rFonts w:eastAsia="標楷體"/>
                <w:sz w:val="24"/>
                <w:szCs w:val="24"/>
                <w:lang w:eastAsia="zh-CN"/>
              </w:rPr>
              <w:t>93,446</w:t>
            </w:r>
          </w:p>
        </w:tc>
        <w:tc>
          <w:tcPr>
            <w:tcW w:w="1297" w:type="dxa"/>
            <w:vAlign w:val="center"/>
          </w:tcPr>
          <w:p w14:paraId="605C88AB" w14:textId="55074530" w:rsidR="004E5FAF" w:rsidRPr="007B2BE1" w:rsidRDefault="007B2BE1" w:rsidP="00DD6F64">
            <w:pPr>
              <w:overflowPunct w:val="0"/>
              <w:ind w:rightChars="119" w:right="286"/>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134" w:type="dxa"/>
            <w:vAlign w:val="center"/>
          </w:tcPr>
          <w:p w14:paraId="58F3F3CB" w14:textId="052F1269" w:rsidR="004E5FAF" w:rsidRPr="007B2BE1" w:rsidRDefault="007B2BE1" w:rsidP="00DD6F64">
            <w:pPr>
              <w:pStyle w:val="TableParagraph"/>
              <w:overflowPunct w:val="0"/>
              <w:spacing w:before="0"/>
              <w:ind w:rightChars="57" w:right="137"/>
              <w:jc w:val="right"/>
              <w:rPr>
                <w:rFonts w:eastAsia="標楷體"/>
                <w:sz w:val="24"/>
                <w:szCs w:val="24"/>
              </w:rPr>
            </w:pPr>
            <w:r w:rsidRPr="007B2BE1">
              <w:rPr>
                <w:rFonts w:eastAsia="標楷體"/>
                <w:sz w:val="24"/>
                <w:szCs w:val="24"/>
                <w:lang w:eastAsia="zh-CN"/>
              </w:rPr>
              <w:t>41,530</w:t>
            </w:r>
          </w:p>
        </w:tc>
      </w:tr>
      <w:tr w:rsidR="004E5FAF" w:rsidRPr="007B2BE1" w14:paraId="5D577DE6" w14:textId="77777777" w:rsidTr="00747705">
        <w:trPr>
          <w:trHeight w:val="227"/>
        </w:trPr>
        <w:tc>
          <w:tcPr>
            <w:tcW w:w="1418" w:type="dxa"/>
            <w:vAlign w:val="center"/>
          </w:tcPr>
          <w:p w14:paraId="25240701" w14:textId="6D8B366C" w:rsidR="004E5FAF" w:rsidRPr="007B2BE1" w:rsidRDefault="007B2BE1" w:rsidP="00DD6F64">
            <w:pPr>
              <w:pStyle w:val="TableParagraph"/>
              <w:overflowPunct w:val="0"/>
              <w:spacing w:before="0"/>
              <w:rPr>
                <w:rFonts w:eastAsia="標楷體"/>
                <w:sz w:val="24"/>
                <w:szCs w:val="24"/>
              </w:rPr>
            </w:pPr>
            <w:r w:rsidRPr="007B2BE1">
              <w:rPr>
                <w:rFonts w:eastAsia="標楷體"/>
                <w:sz w:val="24"/>
                <w:szCs w:val="24"/>
                <w:lang w:eastAsia="zh-CN"/>
              </w:rPr>
              <w:t>2014/15</w:t>
            </w:r>
          </w:p>
        </w:tc>
        <w:tc>
          <w:tcPr>
            <w:tcW w:w="1538" w:type="dxa"/>
            <w:vAlign w:val="center"/>
          </w:tcPr>
          <w:p w14:paraId="722D65A9" w14:textId="5AE8E9F0" w:rsidR="004E5FAF" w:rsidRPr="007B2BE1" w:rsidRDefault="007B2BE1" w:rsidP="00DD6F64">
            <w:pPr>
              <w:pStyle w:val="TableParagraph"/>
              <w:overflowPunct w:val="0"/>
              <w:spacing w:before="0"/>
              <w:ind w:rightChars="108" w:right="259"/>
              <w:jc w:val="right"/>
              <w:rPr>
                <w:rFonts w:eastAsia="標楷體"/>
                <w:sz w:val="24"/>
                <w:szCs w:val="24"/>
              </w:rPr>
            </w:pPr>
            <w:r w:rsidRPr="007B2BE1">
              <w:rPr>
                <w:rFonts w:eastAsia="標楷體"/>
                <w:sz w:val="24"/>
                <w:szCs w:val="24"/>
                <w:lang w:eastAsia="zh-CN"/>
              </w:rPr>
              <w:t>396,764</w:t>
            </w:r>
          </w:p>
        </w:tc>
        <w:tc>
          <w:tcPr>
            <w:tcW w:w="1297" w:type="dxa"/>
            <w:vAlign w:val="center"/>
          </w:tcPr>
          <w:p w14:paraId="52A1FC5B" w14:textId="65E7A565" w:rsidR="004E5FAF" w:rsidRPr="007B2BE1" w:rsidRDefault="007B2BE1" w:rsidP="00DD6F64">
            <w:pPr>
              <w:overflowPunct w:val="0"/>
              <w:ind w:rightChars="119" w:right="286"/>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134" w:type="dxa"/>
            <w:vAlign w:val="center"/>
          </w:tcPr>
          <w:p w14:paraId="2B5B018E" w14:textId="41EEC357" w:rsidR="004E5FAF" w:rsidRPr="007B2BE1" w:rsidRDefault="007B2BE1" w:rsidP="00DD6F64">
            <w:pPr>
              <w:pStyle w:val="TableParagraph"/>
              <w:overflowPunct w:val="0"/>
              <w:spacing w:before="0"/>
              <w:ind w:rightChars="57" w:right="137"/>
              <w:jc w:val="right"/>
              <w:rPr>
                <w:rFonts w:eastAsia="標楷體"/>
                <w:sz w:val="24"/>
                <w:szCs w:val="24"/>
              </w:rPr>
            </w:pPr>
            <w:r w:rsidRPr="007B2BE1">
              <w:rPr>
                <w:rFonts w:eastAsia="標楷體"/>
                <w:sz w:val="24"/>
                <w:szCs w:val="24"/>
                <w:lang w:eastAsia="zh-CN"/>
              </w:rPr>
              <w:t>65,466</w:t>
            </w:r>
          </w:p>
        </w:tc>
      </w:tr>
      <w:tr w:rsidR="004E5FAF" w:rsidRPr="007B2BE1" w14:paraId="2A3773AF" w14:textId="77777777" w:rsidTr="00D660A1">
        <w:trPr>
          <w:trHeight w:val="227"/>
        </w:trPr>
        <w:tc>
          <w:tcPr>
            <w:tcW w:w="1418" w:type="dxa"/>
            <w:vAlign w:val="center"/>
          </w:tcPr>
          <w:p w14:paraId="0085CE2E" w14:textId="5382E621" w:rsidR="004E5FAF" w:rsidRPr="007B2BE1" w:rsidRDefault="007B2BE1" w:rsidP="00DD6F64">
            <w:pPr>
              <w:pStyle w:val="TableParagraph"/>
              <w:overflowPunct w:val="0"/>
              <w:spacing w:before="0"/>
              <w:rPr>
                <w:rFonts w:eastAsia="標楷體"/>
                <w:sz w:val="24"/>
                <w:szCs w:val="24"/>
              </w:rPr>
            </w:pPr>
            <w:r w:rsidRPr="007B2BE1">
              <w:rPr>
                <w:rFonts w:eastAsia="標楷體"/>
                <w:sz w:val="24"/>
                <w:szCs w:val="24"/>
                <w:lang w:eastAsia="zh-CN"/>
              </w:rPr>
              <w:t>2015/16</w:t>
            </w:r>
          </w:p>
        </w:tc>
        <w:tc>
          <w:tcPr>
            <w:tcW w:w="1538" w:type="dxa"/>
            <w:vAlign w:val="center"/>
          </w:tcPr>
          <w:p w14:paraId="28436439" w14:textId="6722CB9D" w:rsidR="004E5FAF" w:rsidRPr="007B2BE1" w:rsidRDefault="007B2BE1" w:rsidP="00DD6F64">
            <w:pPr>
              <w:pStyle w:val="TableParagraph"/>
              <w:overflowPunct w:val="0"/>
              <w:spacing w:before="0"/>
              <w:ind w:rightChars="108" w:right="259"/>
              <w:jc w:val="right"/>
              <w:rPr>
                <w:rFonts w:eastAsia="標楷體"/>
                <w:sz w:val="24"/>
                <w:szCs w:val="24"/>
              </w:rPr>
            </w:pPr>
            <w:r w:rsidRPr="007B2BE1">
              <w:rPr>
                <w:rFonts w:eastAsia="標楷體"/>
                <w:sz w:val="24"/>
                <w:szCs w:val="24"/>
                <w:lang w:eastAsia="zh-CN"/>
              </w:rPr>
              <w:t>274,125</w:t>
            </w:r>
          </w:p>
        </w:tc>
        <w:tc>
          <w:tcPr>
            <w:tcW w:w="1297" w:type="dxa"/>
            <w:vAlign w:val="center"/>
          </w:tcPr>
          <w:p w14:paraId="3C68AA50" w14:textId="7ED54F06" w:rsidR="004E5FAF" w:rsidRPr="007B2BE1" w:rsidRDefault="007B2BE1" w:rsidP="00DD6F64">
            <w:pPr>
              <w:overflowPunct w:val="0"/>
              <w:ind w:rightChars="119" w:right="286"/>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134" w:type="dxa"/>
            <w:tcBorders>
              <w:bottom w:val="nil"/>
            </w:tcBorders>
            <w:vAlign w:val="center"/>
          </w:tcPr>
          <w:p w14:paraId="165A889C" w14:textId="0124E69F" w:rsidR="004E5FAF" w:rsidRPr="007B2BE1" w:rsidRDefault="007B2BE1" w:rsidP="00D660A1">
            <w:pPr>
              <w:pStyle w:val="TableParagraph"/>
              <w:overflowPunct w:val="0"/>
              <w:spacing w:before="0"/>
              <w:ind w:rightChars="57" w:right="137"/>
              <w:jc w:val="right"/>
              <w:rPr>
                <w:rFonts w:eastAsia="標楷體"/>
                <w:sz w:val="24"/>
                <w:szCs w:val="24"/>
                <w:u w:val="single"/>
              </w:rPr>
            </w:pPr>
            <w:r w:rsidRPr="007B2BE1">
              <w:rPr>
                <w:rFonts w:eastAsia="標楷體"/>
                <w:sz w:val="24"/>
                <w:szCs w:val="24"/>
                <w:u w:val="single"/>
                <w:lang w:eastAsia="zh-CN"/>
              </w:rPr>
              <w:t xml:space="preserve">  45,231</w:t>
            </w:r>
          </w:p>
        </w:tc>
      </w:tr>
      <w:tr w:rsidR="004E5FAF" w:rsidRPr="007B2BE1" w14:paraId="53B23681" w14:textId="77777777" w:rsidTr="00D660A1">
        <w:trPr>
          <w:trHeight w:val="227"/>
        </w:trPr>
        <w:tc>
          <w:tcPr>
            <w:tcW w:w="1418" w:type="dxa"/>
            <w:vAlign w:val="center"/>
          </w:tcPr>
          <w:p w14:paraId="2C5DBE18" w14:textId="22A92DAB" w:rsidR="004E5FAF" w:rsidRPr="007B2BE1" w:rsidRDefault="007B2BE1" w:rsidP="00DD6F64">
            <w:pPr>
              <w:pStyle w:val="TableParagraph"/>
              <w:overflowPunct w:val="0"/>
              <w:spacing w:before="0"/>
              <w:ind w:left="313"/>
              <w:rPr>
                <w:rFonts w:eastAsia="標楷體"/>
                <w:sz w:val="24"/>
                <w:szCs w:val="24"/>
              </w:rPr>
            </w:pPr>
            <w:r w:rsidRPr="007B2BE1">
              <w:rPr>
                <w:rFonts w:eastAsia="標楷體"/>
                <w:sz w:val="24"/>
                <w:szCs w:val="24"/>
                <w:lang w:eastAsia="zh-CN"/>
              </w:rPr>
              <w:t>总额</w:t>
            </w:r>
          </w:p>
        </w:tc>
        <w:tc>
          <w:tcPr>
            <w:tcW w:w="1538" w:type="dxa"/>
            <w:vAlign w:val="center"/>
          </w:tcPr>
          <w:p w14:paraId="23525711" w14:textId="77777777" w:rsidR="004E5FAF" w:rsidRPr="007B2BE1" w:rsidRDefault="004E5FAF" w:rsidP="00DD6F64">
            <w:pPr>
              <w:overflowPunct w:val="0"/>
              <w:jc w:val="right"/>
              <w:rPr>
                <w:rFonts w:ascii="Times New Roman" w:eastAsia="標楷體" w:hAnsi="Times New Roman" w:cs="Times New Roman"/>
                <w:sz w:val="24"/>
                <w:szCs w:val="24"/>
              </w:rPr>
            </w:pPr>
          </w:p>
        </w:tc>
        <w:tc>
          <w:tcPr>
            <w:tcW w:w="1297" w:type="dxa"/>
            <w:tcBorders>
              <w:right w:val="nil"/>
            </w:tcBorders>
            <w:vAlign w:val="center"/>
          </w:tcPr>
          <w:p w14:paraId="28E2F16E" w14:textId="77777777" w:rsidR="004E5FAF" w:rsidRPr="007B2BE1" w:rsidRDefault="004E5FAF" w:rsidP="00DD6F64">
            <w:pPr>
              <w:overflowPunct w:val="0"/>
              <w:jc w:val="right"/>
              <w:rPr>
                <w:rFonts w:ascii="Times New Roman" w:eastAsia="標楷體" w:hAnsi="Times New Roman" w:cs="Times New Roman"/>
                <w:sz w:val="24"/>
                <w:szCs w:val="24"/>
              </w:rPr>
            </w:pPr>
          </w:p>
        </w:tc>
        <w:tc>
          <w:tcPr>
            <w:tcW w:w="1134" w:type="dxa"/>
            <w:tcBorders>
              <w:top w:val="nil"/>
              <w:left w:val="nil"/>
              <w:bottom w:val="nil"/>
              <w:right w:val="nil"/>
            </w:tcBorders>
            <w:vAlign w:val="center"/>
          </w:tcPr>
          <w:p w14:paraId="449643C2" w14:textId="5A0D28A1" w:rsidR="004E5FAF" w:rsidRPr="007B2BE1" w:rsidRDefault="007B2BE1" w:rsidP="00DD6F64">
            <w:pPr>
              <w:pStyle w:val="TableParagraph"/>
              <w:overflowPunct w:val="0"/>
              <w:spacing w:before="0"/>
              <w:ind w:rightChars="57" w:right="137"/>
              <w:jc w:val="right"/>
              <w:rPr>
                <w:rFonts w:eastAsia="標楷體"/>
                <w:sz w:val="24"/>
                <w:szCs w:val="24"/>
                <w:u w:val="double"/>
              </w:rPr>
            </w:pPr>
            <w:r w:rsidRPr="007B2BE1">
              <w:rPr>
                <w:rFonts w:eastAsia="標楷體"/>
                <w:sz w:val="24"/>
                <w:szCs w:val="24"/>
                <w:u w:val="double"/>
                <w:lang w:eastAsia="zh-CN"/>
              </w:rPr>
              <w:t>391,661</w:t>
            </w:r>
          </w:p>
        </w:tc>
      </w:tr>
    </w:tbl>
    <w:p w14:paraId="78651222" w14:textId="77777777" w:rsidR="004E5FAF" w:rsidRPr="007B2BE1" w:rsidRDefault="004E5F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val="en-US" w:eastAsia="zh-TW"/>
        </w:rPr>
      </w:pPr>
    </w:p>
    <w:p w14:paraId="6C952812" w14:textId="7EDA5F37" w:rsidR="004E5FAF"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公司没有就上文第</w:t>
      </w:r>
      <w:r w:rsidRPr="007B2BE1">
        <w:rPr>
          <w:rFonts w:ascii="Times New Roman" w:eastAsia="標楷體" w:hAnsi="Times New Roman" w:cs="Times New Roman"/>
          <w:lang w:val="en-US" w:eastAsia="zh-CN"/>
        </w:rPr>
        <w:t>33</w:t>
      </w:r>
      <w:r w:rsidRPr="007B2BE1">
        <w:rPr>
          <w:rFonts w:ascii="Times New Roman" w:eastAsia="標楷體" w:hAnsi="Times New Roman" w:cs="Times New Roman"/>
          <w:lang w:val="en-US" w:eastAsia="zh-CN"/>
        </w:rPr>
        <w:t>项的相同事实受到根据税例第</w:t>
      </w:r>
      <w:r w:rsidRPr="007B2BE1">
        <w:rPr>
          <w:rFonts w:ascii="Times New Roman" w:eastAsia="標楷體" w:hAnsi="Times New Roman" w:cs="Times New Roman"/>
          <w:lang w:val="en-US" w:eastAsia="zh-CN"/>
        </w:rPr>
        <w:t>80(2)</w:t>
      </w:r>
      <w:r w:rsidRPr="007B2BE1">
        <w:rPr>
          <w:rFonts w:ascii="Times New Roman" w:eastAsia="標楷體" w:hAnsi="Times New Roman" w:cs="Times New Roman"/>
          <w:lang w:val="en-US" w:eastAsia="zh-CN"/>
        </w:rPr>
        <w:t>或第</w:t>
      </w:r>
      <w:r w:rsidRPr="007B2BE1">
        <w:rPr>
          <w:rFonts w:ascii="Times New Roman" w:eastAsia="標楷體" w:hAnsi="Times New Roman" w:cs="Times New Roman"/>
          <w:lang w:val="en-US" w:eastAsia="zh-CN"/>
        </w:rPr>
        <w:t>82(1)</w:t>
      </w:r>
      <w:r w:rsidRPr="007B2BE1">
        <w:rPr>
          <w:rFonts w:ascii="Times New Roman" w:eastAsia="標楷體" w:hAnsi="Times New Roman" w:cs="Times New Roman"/>
          <w:lang w:val="en-US" w:eastAsia="zh-CN"/>
        </w:rPr>
        <w:t>条提出的检控。</w:t>
      </w:r>
    </w:p>
    <w:p w14:paraId="65C8263C" w14:textId="77777777" w:rsidR="00F159D6" w:rsidRPr="007B2BE1" w:rsidRDefault="00F159D6"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A6B3C36" w14:textId="6BDED207" w:rsidR="00D20CA7"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局长在</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日按照税例第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条规定，向</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先生发出拟评定补加税通知书，就以下事宜要求</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先生提交书面申述，以决定是否向其征收补加税及所征收金额：</w:t>
      </w:r>
    </w:p>
    <w:p w14:paraId="3585F7AB" w14:textId="77777777" w:rsidR="00F159D6" w:rsidRPr="007B2BE1" w:rsidRDefault="00F159D6"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FC3A11F" w14:textId="7BA3680C" w:rsidR="00EE0FDD" w:rsidRPr="007B2BE1" w:rsidRDefault="007B2BE1" w:rsidP="007D2A87">
      <w:pPr>
        <w:pStyle w:val="ac"/>
        <w:numPr>
          <w:ilvl w:val="0"/>
          <w:numId w:val="17"/>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lastRenderedPageBreak/>
        <w:t>2007/08</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2010/11, 2014/15</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课税年度填报不正确个别人士报税表；及</w:t>
      </w:r>
    </w:p>
    <w:p w14:paraId="172BF6BE" w14:textId="77777777" w:rsidR="00F159D6" w:rsidRPr="007B2BE1" w:rsidRDefault="00F159D6"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2B18636" w14:textId="7BDEFE28" w:rsidR="00EE0FDD" w:rsidRPr="007B2BE1" w:rsidRDefault="007B2BE1" w:rsidP="007D2A87">
      <w:pPr>
        <w:pStyle w:val="ac"/>
        <w:numPr>
          <w:ilvl w:val="0"/>
          <w:numId w:val="17"/>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未有在</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课税年度的评税基期结束后</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个月内，以书面通知税务局他须就</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课税年度课税。</w:t>
      </w:r>
    </w:p>
    <w:p w14:paraId="4873E301" w14:textId="77777777" w:rsidR="00F159D6" w:rsidRPr="007B2BE1" w:rsidRDefault="00F159D6" w:rsidP="007D2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jc w:val="both"/>
        <w:rPr>
          <w:rFonts w:ascii="Times New Roman" w:eastAsia="標楷體" w:hAnsi="Times New Roman" w:cs="Times New Roman"/>
          <w:lang w:val="en-US" w:eastAsia="zh-TW"/>
        </w:rPr>
      </w:pPr>
    </w:p>
    <w:p w14:paraId="3FA33906" w14:textId="28AF2E6D" w:rsidR="0078011D" w:rsidRPr="007B2BE1" w:rsidRDefault="007B2BE1" w:rsidP="007D2A87">
      <w:pPr>
        <w:overflowPunct w:val="0"/>
        <w:autoSpaceDE w:val="0"/>
        <w:autoSpaceDN w:val="0"/>
        <w:adjustRightInd w:val="0"/>
        <w:ind w:leftChars="878" w:left="2107"/>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所涉及的课税年度、应评税入息、应评税值及税款表列如下：</w:t>
      </w:r>
    </w:p>
    <w:p w14:paraId="7D6241FE" w14:textId="77777777" w:rsidR="00FC3AAA" w:rsidRPr="007B2BE1" w:rsidRDefault="00FC3AAA"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tbl>
      <w:tblPr>
        <w:tblStyle w:val="TableNormal1"/>
        <w:tblW w:w="6818" w:type="dxa"/>
        <w:tblInd w:w="1843" w:type="dxa"/>
        <w:tblLayout w:type="fixed"/>
        <w:tblLook w:val="01E0" w:firstRow="1" w:lastRow="1" w:firstColumn="1" w:lastColumn="1" w:noHBand="0" w:noVBand="0"/>
      </w:tblPr>
      <w:tblGrid>
        <w:gridCol w:w="1418"/>
        <w:gridCol w:w="2126"/>
        <w:gridCol w:w="1984"/>
        <w:gridCol w:w="1290"/>
      </w:tblGrid>
      <w:tr w:rsidR="0078011D" w:rsidRPr="007B2BE1" w14:paraId="35C12681" w14:textId="77777777" w:rsidTr="00747705">
        <w:trPr>
          <w:trHeight w:val="227"/>
        </w:trPr>
        <w:tc>
          <w:tcPr>
            <w:tcW w:w="1418" w:type="dxa"/>
          </w:tcPr>
          <w:p w14:paraId="54B7F808" w14:textId="5D61A2D7" w:rsidR="0078011D" w:rsidRPr="007B2BE1" w:rsidRDefault="007B2BE1" w:rsidP="001E406E">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课税年度</w:t>
            </w:r>
          </w:p>
        </w:tc>
        <w:tc>
          <w:tcPr>
            <w:tcW w:w="2126" w:type="dxa"/>
          </w:tcPr>
          <w:p w14:paraId="30B32EC9" w14:textId="6FC2CFCC" w:rsidR="0078011D" w:rsidRPr="007B2BE1" w:rsidRDefault="007B2BE1" w:rsidP="001E406E">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涉及的应评税入息</w:t>
            </w:r>
          </w:p>
        </w:tc>
        <w:tc>
          <w:tcPr>
            <w:tcW w:w="1984" w:type="dxa"/>
          </w:tcPr>
          <w:p w14:paraId="6516B3BA" w14:textId="75747EFA" w:rsidR="0078011D" w:rsidRPr="007B2BE1" w:rsidRDefault="007B2BE1" w:rsidP="001E406E">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涉及的应评税值</w:t>
            </w:r>
          </w:p>
        </w:tc>
        <w:tc>
          <w:tcPr>
            <w:tcW w:w="1290" w:type="dxa"/>
          </w:tcPr>
          <w:p w14:paraId="32F9D730" w14:textId="6855B6EE" w:rsidR="0078011D" w:rsidRPr="007B2BE1" w:rsidRDefault="007B2BE1" w:rsidP="001E406E">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税款</w:t>
            </w:r>
          </w:p>
        </w:tc>
      </w:tr>
      <w:tr w:rsidR="0078011D" w:rsidRPr="007B2BE1" w14:paraId="5DBD5174" w14:textId="77777777" w:rsidTr="00747705">
        <w:trPr>
          <w:trHeight w:val="227"/>
        </w:trPr>
        <w:tc>
          <w:tcPr>
            <w:tcW w:w="1418" w:type="dxa"/>
          </w:tcPr>
          <w:p w14:paraId="4DEEE314" w14:textId="77777777" w:rsidR="0078011D" w:rsidRPr="007B2BE1" w:rsidRDefault="0078011D" w:rsidP="001E406E">
            <w:pPr>
              <w:overflowPunct w:val="0"/>
              <w:jc w:val="center"/>
              <w:rPr>
                <w:rFonts w:ascii="Times New Roman" w:eastAsia="標楷體" w:hAnsi="Times New Roman" w:cs="Times New Roman"/>
                <w:sz w:val="24"/>
                <w:szCs w:val="24"/>
              </w:rPr>
            </w:pPr>
          </w:p>
        </w:tc>
        <w:tc>
          <w:tcPr>
            <w:tcW w:w="2126" w:type="dxa"/>
          </w:tcPr>
          <w:p w14:paraId="608A434A" w14:textId="2EAEF67A" w:rsidR="0078011D"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元</w:t>
            </w:r>
          </w:p>
        </w:tc>
        <w:tc>
          <w:tcPr>
            <w:tcW w:w="1984" w:type="dxa"/>
          </w:tcPr>
          <w:p w14:paraId="33446399" w14:textId="71FE0FF8" w:rsidR="0078011D"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元</w:t>
            </w:r>
          </w:p>
        </w:tc>
        <w:tc>
          <w:tcPr>
            <w:tcW w:w="1290" w:type="dxa"/>
          </w:tcPr>
          <w:p w14:paraId="61ADA5C5" w14:textId="2E48BEBE" w:rsidR="0078011D"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元</w:t>
            </w:r>
          </w:p>
        </w:tc>
      </w:tr>
      <w:tr w:rsidR="0078011D" w:rsidRPr="007B2BE1" w14:paraId="30F36DFA" w14:textId="77777777" w:rsidTr="00747705">
        <w:trPr>
          <w:trHeight w:val="227"/>
        </w:trPr>
        <w:tc>
          <w:tcPr>
            <w:tcW w:w="1418" w:type="dxa"/>
          </w:tcPr>
          <w:p w14:paraId="42EAB5A5" w14:textId="68780B30" w:rsidR="0078011D" w:rsidRPr="007B2BE1" w:rsidRDefault="007B2BE1" w:rsidP="007D2A87">
            <w:pPr>
              <w:pStyle w:val="TableParagraph"/>
              <w:overflowPunct w:val="0"/>
              <w:spacing w:before="0"/>
              <w:rPr>
                <w:rFonts w:eastAsia="標楷體"/>
                <w:sz w:val="24"/>
                <w:szCs w:val="24"/>
              </w:rPr>
            </w:pPr>
            <w:r w:rsidRPr="007B2BE1">
              <w:rPr>
                <w:rFonts w:eastAsia="標楷體"/>
                <w:sz w:val="24"/>
                <w:szCs w:val="24"/>
                <w:lang w:eastAsia="zh-CN"/>
              </w:rPr>
              <w:t>2007/08</w:t>
            </w:r>
          </w:p>
        </w:tc>
        <w:tc>
          <w:tcPr>
            <w:tcW w:w="2126" w:type="dxa"/>
          </w:tcPr>
          <w:p w14:paraId="41474100" w14:textId="4A40CAD9" w:rsidR="0078011D" w:rsidRPr="007B2BE1" w:rsidRDefault="007B2BE1" w:rsidP="007D2A87">
            <w:pPr>
              <w:overflowPunct w:val="0"/>
              <w:ind w:rightChars="235" w:right="564"/>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984" w:type="dxa"/>
          </w:tcPr>
          <w:p w14:paraId="65957078" w14:textId="0E2BFCF2" w:rsidR="0078011D" w:rsidRPr="007B2BE1" w:rsidRDefault="007B2BE1" w:rsidP="007D2A87">
            <w:pPr>
              <w:pStyle w:val="TableParagraph"/>
              <w:overflowPunct w:val="0"/>
              <w:spacing w:before="0"/>
              <w:ind w:leftChars="64" w:left="154" w:rightChars="237" w:right="569"/>
              <w:jc w:val="right"/>
              <w:rPr>
                <w:rFonts w:eastAsia="標楷體"/>
                <w:sz w:val="24"/>
                <w:szCs w:val="24"/>
              </w:rPr>
            </w:pPr>
            <w:r w:rsidRPr="007B2BE1">
              <w:rPr>
                <w:rFonts w:eastAsia="標楷體"/>
                <w:sz w:val="24"/>
                <w:szCs w:val="24"/>
                <w:lang w:eastAsia="zh-CN"/>
              </w:rPr>
              <w:t>12,646</w:t>
            </w:r>
          </w:p>
        </w:tc>
        <w:tc>
          <w:tcPr>
            <w:tcW w:w="1290" w:type="dxa"/>
          </w:tcPr>
          <w:p w14:paraId="310892C5" w14:textId="5DEDC775" w:rsidR="0078011D" w:rsidRPr="007B2BE1" w:rsidRDefault="007B2BE1" w:rsidP="007D2A87">
            <w:pPr>
              <w:pStyle w:val="TableParagraph"/>
              <w:overflowPunct w:val="0"/>
              <w:spacing w:before="0"/>
              <w:ind w:rightChars="125" w:right="300"/>
              <w:jc w:val="right"/>
              <w:rPr>
                <w:rFonts w:eastAsia="標楷體"/>
                <w:sz w:val="24"/>
                <w:szCs w:val="24"/>
              </w:rPr>
            </w:pPr>
            <w:r w:rsidRPr="007B2BE1">
              <w:rPr>
                <w:rFonts w:eastAsia="標楷體"/>
                <w:sz w:val="24"/>
                <w:szCs w:val="24"/>
                <w:lang w:eastAsia="zh-CN"/>
              </w:rPr>
              <w:t>303</w:t>
            </w:r>
          </w:p>
        </w:tc>
      </w:tr>
      <w:tr w:rsidR="0078011D" w:rsidRPr="007B2BE1" w14:paraId="3D2DBB86" w14:textId="77777777" w:rsidTr="00747705">
        <w:trPr>
          <w:trHeight w:val="227"/>
        </w:trPr>
        <w:tc>
          <w:tcPr>
            <w:tcW w:w="1418" w:type="dxa"/>
          </w:tcPr>
          <w:p w14:paraId="05CEE491" w14:textId="3C76F8B4" w:rsidR="0078011D" w:rsidRPr="007B2BE1" w:rsidRDefault="007B2BE1" w:rsidP="007D2A87">
            <w:pPr>
              <w:pStyle w:val="TableParagraph"/>
              <w:overflowPunct w:val="0"/>
              <w:spacing w:before="0"/>
              <w:rPr>
                <w:rFonts w:eastAsia="標楷體"/>
                <w:sz w:val="24"/>
                <w:szCs w:val="24"/>
              </w:rPr>
            </w:pPr>
            <w:r w:rsidRPr="007B2BE1">
              <w:rPr>
                <w:rFonts w:eastAsia="標楷體"/>
                <w:sz w:val="24"/>
                <w:szCs w:val="24"/>
                <w:lang w:eastAsia="zh-CN"/>
              </w:rPr>
              <w:t>2008/09</w:t>
            </w:r>
          </w:p>
        </w:tc>
        <w:tc>
          <w:tcPr>
            <w:tcW w:w="2126" w:type="dxa"/>
          </w:tcPr>
          <w:p w14:paraId="6D2352DC" w14:textId="34CB115D" w:rsidR="0078011D" w:rsidRPr="007B2BE1" w:rsidRDefault="007B2BE1" w:rsidP="007D2A87">
            <w:pPr>
              <w:overflowPunct w:val="0"/>
              <w:ind w:rightChars="235" w:right="564"/>
              <w:jc w:val="right"/>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c>
          <w:tcPr>
            <w:tcW w:w="1984" w:type="dxa"/>
          </w:tcPr>
          <w:p w14:paraId="7F2EA6FF" w14:textId="776BFB11" w:rsidR="0078011D" w:rsidRPr="007B2BE1" w:rsidRDefault="007B2BE1" w:rsidP="007D2A87">
            <w:pPr>
              <w:pStyle w:val="TableParagraph"/>
              <w:overflowPunct w:val="0"/>
              <w:spacing w:before="0"/>
              <w:ind w:leftChars="64" w:left="154" w:rightChars="237" w:right="569"/>
              <w:jc w:val="right"/>
              <w:rPr>
                <w:rFonts w:eastAsia="標楷體"/>
                <w:sz w:val="24"/>
                <w:szCs w:val="24"/>
              </w:rPr>
            </w:pPr>
            <w:r w:rsidRPr="007B2BE1">
              <w:rPr>
                <w:rFonts w:eastAsia="標楷體"/>
                <w:sz w:val="24"/>
                <w:szCs w:val="24"/>
                <w:lang w:eastAsia="zh-CN"/>
              </w:rPr>
              <w:t>101,793</w:t>
            </w:r>
          </w:p>
        </w:tc>
        <w:tc>
          <w:tcPr>
            <w:tcW w:w="1290" w:type="dxa"/>
          </w:tcPr>
          <w:p w14:paraId="3BC98630" w14:textId="7F278F6A" w:rsidR="0078011D" w:rsidRPr="007B2BE1" w:rsidRDefault="007B2BE1" w:rsidP="007D2A87">
            <w:pPr>
              <w:pStyle w:val="TableParagraph"/>
              <w:overflowPunct w:val="0"/>
              <w:spacing w:before="0"/>
              <w:ind w:rightChars="125" w:right="300"/>
              <w:jc w:val="right"/>
              <w:rPr>
                <w:rFonts w:eastAsia="標楷體"/>
                <w:sz w:val="24"/>
                <w:szCs w:val="24"/>
              </w:rPr>
            </w:pPr>
            <w:r w:rsidRPr="007B2BE1">
              <w:rPr>
                <w:rFonts w:eastAsia="標楷體"/>
                <w:sz w:val="24"/>
                <w:szCs w:val="24"/>
                <w:lang w:eastAsia="zh-CN"/>
              </w:rPr>
              <w:t>12,215</w:t>
            </w:r>
          </w:p>
        </w:tc>
      </w:tr>
      <w:tr w:rsidR="0078011D" w:rsidRPr="007B2BE1" w14:paraId="05FE76EF" w14:textId="77777777" w:rsidTr="00747705">
        <w:trPr>
          <w:trHeight w:val="227"/>
        </w:trPr>
        <w:tc>
          <w:tcPr>
            <w:tcW w:w="1418" w:type="dxa"/>
          </w:tcPr>
          <w:p w14:paraId="1E7FE696" w14:textId="77FFEDDE" w:rsidR="0078011D" w:rsidRPr="007B2BE1" w:rsidRDefault="007B2BE1" w:rsidP="007D2A87">
            <w:pPr>
              <w:pStyle w:val="TableParagraph"/>
              <w:overflowPunct w:val="0"/>
              <w:spacing w:before="0"/>
              <w:rPr>
                <w:rFonts w:eastAsia="標楷體"/>
                <w:sz w:val="24"/>
                <w:szCs w:val="24"/>
              </w:rPr>
            </w:pPr>
            <w:r w:rsidRPr="007B2BE1">
              <w:rPr>
                <w:rFonts w:eastAsia="標楷體"/>
                <w:sz w:val="24"/>
                <w:szCs w:val="24"/>
                <w:lang w:eastAsia="zh-CN"/>
              </w:rPr>
              <w:t>2009/10</w:t>
            </w:r>
          </w:p>
        </w:tc>
        <w:tc>
          <w:tcPr>
            <w:tcW w:w="2126" w:type="dxa"/>
          </w:tcPr>
          <w:p w14:paraId="2BBDD957" w14:textId="531B8741" w:rsidR="0078011D" w:rsidRPr="007B2BE1" w:rsidRDefault="007B2BE1" w:rsidP="007D2A87">
            <w:pPr>
              <w:pStyle w:val="TableParagraph"/>
              <w:overflowPunct w:val="0"/>
              <w:spacing w:before="0"/>
              <w:ind w:rightChars="235" w:right="564"/>
              <w:jc w:val="right"/>
              <w:rPr>
                <w:rFonts w:eastAsia="標楷體"/>
                <w:sz w:val="24"/>
                <w:szCs w:val="24"/>
              </w:rPr>
            </w:pPr>
            <w:r w:rsidRPr="007B2BE1">
              <w:rPr>
                <w:rFonts w:eastAsia="標楷體"/>
                <w:sz w:val="24"/>
                <w:szCs w:val="24"/>
                <w:lang w:eastAsia="zh-CN"/>
              </w:rPr>
              <w:t>1,053,290</w:t>
            </w:r>
          </w:p>
        </w:tc>
        <w:tc>
          <w:tcPr>
            <w:tcW w:w="1984" w:type="dxa"/>
          </w:tcPr>
          <w:p w14:paraId="2D47B812" w14:textId="18C8B088" w:rsidR="0078011D" w:rsidRPr="007B2BE1" w:rsidRDefault="007B2BE1" w:rsidP="007D2A87">
            <w:pPr>
              <w:pStyle w:val="TableParagraph"/>
              <w:overflowPunct w:val="0"/>
              <w:spacing w:before="0"/>
              <w:ind w:leftChars="64" w:left="154" w:rightChars="237" w:right="569"/>
              <w:jc w:val="right"/>
              <w:rPr>
                <w:rFonts w:eastAsia="標楷體"/>
                <w:sz w:val="24"/>
                <w:szCs w:val="24"/>
              </w:rPr>
            </w:pPr>
            <w:r w:rsidRPr="007B2BE1">
              <w:rPr>
                <w:rFonts w:eastAsia="標楷體"/>
                <w:sz w:val="24"/>
                <w:szCs w:val="24"/>
                <w:lang w:eastAsia="zh-CN"/>
              </w:rPr>
              <w:t>18,083</w:t>
            </w:r>
          </w:p>
        </w:tc>
        <w:tc>
          <w:tcPr>
            <w:tcW w:w="1290" w:type="dxa"/>
          </w:tcPr>
          <w:p w14:paraId="336D5FBC" w14:textId="5014739B" w:rsidR="0078011D" w:rsidRPr="007B2BE1" w:rsidRDefault="007B2BE1" w:rsidP="007D2A87">
            <w:pPr>
              <w:pStyle w:val="TableParagraph"/>
              <w:overflowPunct w:val="0"/>
              <w:spacing w:before="0"/>
              <w:ind w:rightChars="125" w:right="300"/>
              <w:jc w:val="right"/>
              <w:rPr>
                <w:rFonts w:eastAsia="標楷體"/>
                <w:sz w:val="24"/>
                <w:szCs w:val="24"/>
              </w:rPr>
            </w:pPr>
            <w:r w:rsidRPr="007B2BE1">
              <w:rPr>
                <w:rFonts w:eastAsia="標楷體"/>
                <w:sz w:val="24"/>
                <w:szCs w:val="24"/>
                <w:lang w:eastAsia="zh-CN"/>
              </w:rPr>
              <w:t>181,519</w:t>
            </w:r>
          </w:p>
        </w:tc>
      </w:tr>
      <w:tr w:rsidR="0078011D" w:rsidRPr="007B2BE1" w14:paraId="366F1C25" w14:textId="77777777" w:rsidTr="00747705">
        <w:trPr>
          <w:trHeight w:val="227"/>
        </w:trPr>
        <w:tc>
          <w:tcPr>
            <w:tcW w:w="1418" w:type="dxa"/>
          </w:tcPr>
          <w:p w14:paraId="0E2554D1" w14:textId="1B540D5D" w:rsidR="0078011D" w:rsidRPr="007B2BE1" w:rsidRDefault="007B2BE1" w:rsidP="007D2A87">
            <w:pPr>
              <w:pStyle w:val="TableParagraph"/>
              <w:overflowPunct w:val="0"/>
              <w:spacing w:before="0"/>
              <w:rPr>
                <w:rFonts w:eastAsia="標楷體"/>
                <w:sz w:val="24"/>
                <w:szCs w:val="24"/>
              </w:rPr>
            </w:pPr>
            <w:r w:rsidRPr="007B2BE1">
              <w:rPr>
                <w:rFonts w:eastAsia="標楷體"/>
                <w:sz w:val="24"/>
                <w:szCs w:val="24"/>
                <w:lang w:eastAsia="zh-CN"/>
              </w:rPr>
              <w:t>2010/11</w:t>
            </w:r>
          </w:p>
        </w:tc>
        <w:tc>
          <w:tcPr>
            <w:tcW w:w="2126" w:type="dxa"/>
          </w:tcPr>
          <w:p w14:paraId="49338CEC" w14:textId="1E761D8A" w:rsidR="0078011D" w:rsidRPr="007B2BE1" w:rsidRDefault="007B2BE1" w:rsidP="007D2A87">
            <w:pPr>
              <w:pStyle w:val="TableParagraph"/>
              <w:overflowPunct w:val="0"/>
              <w:spacing w:before="0"/>
              <w:ind w:rightChars="235" w:right="564"/>
              <w:jc w:val="right"/>
              <w:rPr>
                <w:rFonts w:eastAsia="標楷體"/>
                <w:sz w:val="24"/>
                <w:szCs w:val="24"/>
              </w:rPr>
            </w:pPr>
            <w:r w:rsidRPr="007B2BE1">
              <w:rPr>
                <w:rFonts w:eastAsia="標楷體"/>
                <w:sz w:val="24"/>
                <w:szCs w:val="24"/>
                <w:lang w:eastAsia="zh-CN"/>
              </w:rPr>
              <w:t>743,272</w:t>
            </w:r>
          </w:p>
        </w:tc>
        <w:tc>
          <w:tcPr>
            <w:tcW w:w="1984" w:type="dxa"/>
          </w:tcPr>
          <w:p w14:paraId="59B22003" w14:textId="77777777" w:rsidR="0078011D" w:rsidRPr="007B2BE1" w:rsidRDefault="0078011D" w:rsidP="001E406E">
            <w:pPr>
              <w:overflowPunct w:val="0"/>
              <w:jc w:val="right"/>
              <w:rPr>
                <w:rFonts w:ascii="Times New Roman" w:eastAsia="標楷體" w:hAnsi="Times New Roman" w:cs="Times New Roman"/>
                <w:sz w:val="24"/>
                <w:szCs w:val="24"/>
              </w:rPr>
            </w:pPr>
          </w:p>
        </w:tc>
        <w:tc>
          <w:tcPr>
            <w:tcW w:w="1290" w:type="dxa"/>
          </w:tcPr>
          <w:p w14:paraId="2182EA9C" w14:textId="2D76D856" w:rsidR="0078011D" w:rsidRPr="007B2BE1" w:rsidRDefault="007B2BE1" w:rsidP="007D2A87">
            <w:pPr>
              <w:pStyle w:val="TableParagraph"/>
              <w:overflowPunct w:val="0"/>
              <w:spacing w:before="0"/>
              <w:ind w:rightChars="125" w:right="300"/>
              <w:jc w:val="right"/>
              <w:rPr>
                <w:rFonts w:eastAsia="標楷體"/>
                <w:sz w:val="24"/>
                <w:szCs w:val="24"/>
              </w:rPr>
            </w:pPr>
            <w:r w:rsidRPr="007B2BE1">
              <w:rPr>
                <w:rFonts w:eastAsia="標楷體"/>
                <w:sz w:val="24"/>
                <w:szCs w:val="24"/>
                <w:lang w:eastAsia="zh-CN"/>
              </w:rPr>
              <w:t>126,356</w:t>
            </w:r>
          </w:p>
        </w:tc>
      </w:tr>
      <w:tr w:rsidR="0078011D" w:rsidRPr="007B2BE1" w14:paraId="2A4046B4" w14:textId="77777777" w:rsidTr="00747705">
        <w:trPr>
          <w:trHeight w:val="227"/>
        </w:trPr>
        <w:tc>
          <w:tcPr>
            <w:tcW w:w="1418" w:type="dxa"/>
          </w:tcPr>
          <w:p w14:paraId="5F977721" w14:textId="5D05BAE3" w:rsidR="0078011D" w:rsidRPr="007B2BE1" w:rsidRDefault="007B2BE1" w:rsidP="007D2A87">
            <w:pPr>
              <w:pStyle w:val="TableParagraph"/>
              <w:overflowPunct w:val="0"/>
              <w:spacing w:before="0"/>
              <w:rPr>
                <w:rFonts w:eastAsia="標楷體"/>
                <w:sz w:val="24"/>
                <w:szCs w:val="24"/>
              </w:rPr>
            </w:pPr>
            <w:r w:rsidRPr="007B2BE1">
              <w:rPr>
                <w:rFonts w:eastAsia="標楷體"/>
                <w:sz w:val="24"/>
                <w:szCs w:val="24"/>
                <w:lang w:eastAsia="zh-CN"/>
              </w:rPr>
              <w:t>2012/13</w:t>
            </w:r>
          </w:p>
        </w:tc>
        <w:tc>
          <w:tcPr>
            <w:tcW w:w="2126" w:type="dxa"/>
          </w:tcPr>
          <w:p w14:paraId="50C215F6" w14:textId="7AAD68F4" w:rsidR="0078011D" w:rsidRPr="007B2BE1" w:rsidRDefault="007B2BE1" w:rsidP="007D2A87">
            <w:pPr>
              <w:pStyle w:val="TableParagraph"/>
              <w:overflowPunct w:val="0"/>
              <w:spacing w:before="0"/>
              <w:ind w:rightChars="235" w:right="564"/>
              <w:jc w:val="right"/>
              <w:rPr>
                <w:rFonts w:eastAsia="標楷體"/>
                <w:sz w:val="24"/>
                <w:szCs w:val="24"/>
              </w:rPr>
            </w:pPr>
            <w:r w:rsidRPr="007B2BE1">
              <w:rPr>
                <w:rFonts w:eastAsia="標楷體"/>
                <w:sz w:val="24"/>
                <w:szCs w:val="24"/>
                <w:lang w:eastAsia="zh-CN"/>
              </w:rPr>
              <w:t>330,000</w:t>
            </w:r>
          </w:p>
        </w:tc>
        <w:tc>
          <w:tcPr>
            <w:tcW w:w="1984" w:type="dxa"/>
          </w:tcPr>
          <w:p w14:paraId="40D16A90" w14:textId="77777777" w:rsidR="0078011D" w:rsidRPr="007B2BE1" w:rsidRDefault="0078011D" w:rsidP="001E406E">
            <w:pPr>
              <w:overflowPunct w:val="0"/>
              <w:jc w:val="right"/>
              <w:rPr>
                <w:rFonts w:ascii="Times New Roman" w:eastAsia="標楷體" w:hAnsi="Times New Roman" w:cs="Times New Roman"/>
                <w:sz w:val="24"/>
                <w:szCs w:val="24"/>
              </w:rPr>
            </w:pPr>
          </w:p>
        </w:tc>
        <w:tc>
          <w:tcPr>
            <w:tcW w:w="1290" w:type="dxa"/>
          </w:tcPr>
          <w:p w14:paraId="3CF1FB3E" w14:textId="446F4B64" w:rsidR="0078011D" w:rsidRPr="007B2BE1" w:rsidRDefault="007B2BE1" w:rsidP="007D2A87">
            <w:pPr>
              <w:pStyle w:val="TableParagraph"/>
              <w:overflowPunct w:val="0"/>
              <w:spacing w:before="0"/>
              <w:ind w:rightChars="125" w:right="300"/>
              <w:jc w:val="right"/>
              <w:rPr>
                <w:rFonts w:eastAsia="標楷體"/>
                <w:sz w:val="24"/>
                <w:szCs w:val="24"/>
              </w:rPr>
            </w:pPr>
            <w:r w:rsidRPr="007B2BE1">
              <w:rPr>
                <w:rFonts w:eastAsia="標楷體"/>
                <w:sz w:val="24"/>
                <w:szCs w:val="24"/>
                <w:lang w:eastAsia="zh-CN"/>
              </w:rPr>
              <w:t>742</w:t>
            </w:r>
          </w:p>
        </w:tc>
      </w:tr>
      <w:tr w:rsidR="0078011D" w:rsidRPr="007B2BE1" w14:paraId="32D542EA" w14:textId="77777777" w:rsidTr="00D660A1">
        <w:trPr>
          <w:trHeight w:val="227"/>
        </w:trPr>
        <w:tc>
          <w:tcPr>
            <w:tcW w:w="1418" w:type="dxa"/>
          </w:tcPr>
          <w:p w14:paraId="7EE51E4F" w14:textId="72F0EA8E" w:rsidR="0078011D" w:rsidRPr="007B2BE1" w:rsidRDefault="007B2BE1" w:rsidP="007D2A87">
            <w:pPr>
              <w:pStyle w:val="TableParagraph"/>
              <w:overflowPunct w:val="0"/>
              <w:spacing w:before="0"/>
              <w:rPr>
                <w:rFonts w:eastAsia="標楷體"/>
                <w:sz w:val="24"/>
                <w:szCs w:val="24"/>
              </w:rPr>
            </w:pPr>
            <w:r w:rsidRPr="007B2BE1">
              <w:rPr>
                <w:rFonts w:eastAsia="標楷體"/>
                <w:sz w:val="24"/>
                <w:szCs w:val="24"/>
                <w:lang w:eastAsia="zh-CN"/>
              </w:rPr>
              <w:t>2014/15</w:t>
            </w:r>
          </w:p>
        </w:tc>
        <w:tc>
          <w:tcPr>
            <w:tcW w:w="2126" w:type="dxa"/>
          </w:tcPr>
          <w:p w14:paraId="36C8C25F" w14:textId="3CD975BD" w:rsidR="0078011D" w:rsidRPr="007B2BE1" w:rsidRDefault="007B2BE1" w:rsidP="007D2A87">
            <w:pPr>
              <w:pStyle w:val="TableParagraph"/>
              <w:overflowPunct w:val="0"/>
              <w:spacing w:before="0"/>
              <w:ind w:rightChars="235" w:right="564"/>
              <w:jc w:val="right"/>
              <w:rPr>
                <w:rFonts w:eastAsia="標楷體"/>
                <w:sz w:val="24"/>
                <w:szCs w:val="24"/>
              </w:rPr>
            </w:pPr>
            <w:r w:rsidRPr="007B2BE1">
              <w:rPr>
                <w:rFonts w:eastAsia="標楷體"/>
                <w:sz w:val="24"/>
                <w:szCs w:val="24"/>
                <w:lang w:eastAsia="zh-CN"/>
              </w:rPr>
              <w:t>40,000</w:t>
            </w:r>
          </w:p>
        </w:tc>
        <w:tc>
          <w:tcPr>
            <w:tcW w:w="1984" w:type="dxa"/>
          </w:tcPr>
          <w:p w14:paraId="4ED59226" w14:textId="77777777" w:rsidR="0078011D" w:rsidRPr="007B2BE1" w:rsidRDefault="0078011D" w:rsidP="001E406E">
            <w:pPr>
              <w:overflowPunct w:val="0"/>
              <w:jc w:val="right"/>
              <w:rPr>
                <w:rFonts w:ascii="Times New Roman" w:eastAsia="標楷體" w:hAnsi="Times New Roman" w:cs="Times New Roman"/>
                <w:sz w:val="24"/>
                <w:szCs w:val="24"/>
              </w:rPr>
            </w:pPr>
          </w:p>
        </w:tc>
        <w:tc>
          <w:tcPr>
            <w:tcW w:w="1290" w:type="dxa"/>
          </w:tcPr>
          <w:p w14:paraId="72549B43" w14:textId="2F81DE4A" w:rsidR="0078011D" w:rsidRPr="007B2BE1" w:rsidRDefault="007B2BE1" w:rsidP="007D2A87">
            <w:pPr>
              <w:pStyle w:val="TableParagraph"/>
              <w:overflowPunct w:val="0"/>
              <w:spacing w:before="0"/>
              <w:ind w:rightChars="125" w:right="300"/>
              <w:jc w:val="right"/>
              <w:rPr>
                <w:rFonts w:eastAsia="標楷體"/>
                <w:sz w:val="24"/>
                <w:szCs w:val="24"/>
              </w:rPr>
            </w:pPr>
            <w:r w:rsidRPr="007B2BE1">
              <w:rPr>
                <w:rFonts w:eastAsia="標楷體"/>
                <w:sz w:val="24"/>
                <w:szCs w:val="24"/>
                <w:lang w:eastAsia="zh-CN"/>
              </w:rPr>
              <w:t>1,325</w:t>
            </w:r>
          </w:p>
        </w:tc>
      </w:tr>
      <w:tr w:rsidR="0078011D" w:rsidRPr="007B2BE1" w14:paraId="6019D84F" w14:textId="77777777" w:rsidTr="00D660A1">
        <w:trPr>
          <w:trHeight w:val="227"/>
        </w:trPr>
        <w:tc>
          <w:tcPr>
            <w:tcW w:w="1418" w:type="dxa"/>
          </w:tcPr>
          <w:p w14:paraId="3A74E24D" w14:textId="401BE28F" w:rsidR="0078011D" w:rsidRPr="007B2BE1" w:rsidRDefault="007B2BE1" w:rsidP="007D2A87">
            <w:pPr>
              <w:pStyle w:val="TableParagraph"/>
              <w:overflowPunct w:val="0"/>
              <w:spacing w:before="0"/>
              <w:rPr>
                <w:rFonts w:eastAsia="標楷體"/>
                <w:sz w:val="24"/>
                <w:szCs w:val="24"/>
              </w:rPr>
            </w:pPr>
            <w:r w:rsidRPr="007B2BE1">
              <w:rPr>
                <w:rFonts w:eastAsia="標楷體"/>
                <w:sz w:val="24"/>
                <w:szCs w:val="24"/>
                <w:lang w:eastAsia="zh-CN"/>
              </w:rPr>
              <w:t>2015/16</w:t>
            </w:r>
          </w:p>
        </w:tc>
        <w:tc>
          <w:tcPr>
            <w:tcW w:w="2126" w:type="dxa"/>
          </w:tcPr>
          <w:p w14:paraId="311A6EE7" w14:textId="175A4EE2" w:rsidR="0078011D" w:rsidRPr="007B2BE1" w:rsidRDefault="007B2BE1" w:rsidP="007D2A87">
            <w:pPr>
              <w:pStyle w:val="TableParagraph"/>
              <w:overflowPunct w:val="0"/>
              <w:spacing w:before="0"/>
              <w:ind w:rightChars="235" w:right="564"/>
              <w:jc w:val="right"/>
              <w:rPr>
                <w:rFonts w:eastAsia="標楷體"/>
                <w:sz w:val="24"/>
                <w:szCs w:val="24"/>
              </w:rPr>
            </w:pPr>
            <w:r w:rsidRPr="007B2BE1">
              <w:rPr>
                <w:rFonts w:eastAsia="標楷體"/>
                <w:sz w:val="24"/>
                <w:szCs w:val="24"/>
                <w:lang w:eastAsia="zh-CN"/>
              </w:rPr>
              <w:t>50,000</w:t>
            </w:r>
          </w:p>
        </w:tc>
        <w:tc>
          <w:tcPr>
            <w:tcW w:w="1984" w:type="dxa"/>
          </w:tcPr>
          <w:p w14:paraId="5E1D5FF8" w14:textId="77777777" w:rsidR="0078011D" w:rsidRPr="007B2BE1" w:rsidRDefault="0078011D" w:rsidP="001E406E">
            <w:pPr>
              <w:overflowPunct w:val="0"/>
              <w:jc w:val="right"/>
              <w:rPr>
                <w:rFonts w:ascii="Times New Roman" w:eastAsia="標楷體" w:hAnsi="Times New Roman" w:cs="Times New Roman"/>
                <w:sz w:val="24"/>
                <w:szCs w:val="24"/>
              </w:rPr>
            </w:pPr>
          </w:p>
        </w:tc>
        <w:tc>
          <w:tcPr>
            <w:tcW w:w="1290" w:type="dxa"/>
          </w:tcPr>
          <w:p w14:paraId="27F794F2" w14:textId="62704945" w:rsidR="0078011D" w:rsidRPr="007B2BE1" w:rsidRDefault="007B2BE1" w:rsidP="00D660A1">
            <w:pPr>
              <w:pStyle w:val="TableParagraph"/>
              <w:wordWrap w:val="0"/>
              <w:overflowPunct w:val="0"/>
              <w:spacing w:before="0"/>
              <w:ind w:rightChars="125" w:right="300"/>
              <w:jc w:val="right"/>
              <w:rPr>
                <w:rFonts w:eastAsia="標楷體"/>
                <w:sz w:val="24"/>
                <w:szCs w:val="24"/>
                <w:u w:val="single"/>
              </w:rPr>
            </w:pPr>
            <w:r w:rsidRPr="007B2BE1">
              <w:rPr>
                <w:rFonts w:eastAsia="標楷體"/>
                <w:sz w:val="24"/>
                <w:szCs w:val="24"/>
                <w:u w:val="single"/>
                <w:lang w:eastAsia="zh-CN"/>
              </w:rPr>
              <w:t xml:space="preserve">    2,975</w:t>
            </w:r>
          </w:p>
        </w:tc>
      </w:tr>
      <w:tr w:rsidR="0078011D" w:rsidRPr="007B2BE1" w14:paraId="26F4C28C" w14:textId="77777777" w:rsidTr="00D660A1">
        <w:trPr>
          <w:trHeight w:val="227"/>
        </w:trPr>
        <w:tc>
          <w:tcPr>
            <w:tcW w:w="1418" w:type="dxa"/>
          </w:tcPr>
          <w:p w14:paraId="5A8C4B14" w14:textId="0B938DE7" w:rsidR="0078011D" w:rsidRPr="007B2BE1" w:rsidRDefault="007B2BE1" w:rsidP="007D2A87">
            <w:pPr>
              <w:pStyle w:val="TableParagraph"/>
              <w:overflowPunct w:val="0"/>
              <w:spacing w:before="0"/>
              <w:ind w:left="313"/>
              <w:rPr>
                <w:rFonts w:eastAsia="標楷體"/>
                <w:sz w:val="24"/>
                <w:szCs w:val="24"/>
              </w:rPr>
            </w:pPr>
            <w:r w:rsidRPr="007B2BE1">
              <w:rPr>
                <w:rFonts w:eastAsia="標楷體"/>
                <w:sz w:val="24"/>
                <w:szCs w:val="24"/>
                <w:lang w:eastAsia="zh-CN"/>
              </w:rPr>
              <w:t>总额</w:t>
            </w:r>
          </w:p>
        </w:tc>
        <w:tc>
          <w:tcPr>
            <w:tcW w:w="2126" w:type="dxa"/>
          </w:tcPr>
          <w:p w14:paraId="53292C2F" w14:textId="77777777" w:rsidR="0078011D" w:rsidRPr="007B2BE1" w:rsidRDefault="0078011D" w:rsidP="007D2A87">
            <w:pPr>
              <w:pStyle w:val="TableParagraph"/>
              <w:overflowPunct w:val="0"/>
              <w:spacing w:before="0"/>
              <w:ind w:rightChars="235" w:right="564"/>
              <w:jc w:val="left"/>
              <w:rPr>
                <w:rFonts w:eastAsia="標楷體"/>
                <w:sz w:val="24"/>
                <w:szCs w:val="24"/>
              </w:rPr>
            </w:pPr>
          </w:p>
        </w:tc>
        <w:tc>
          <w:tcPr>
            <w:tcW w:w="1984" w:type="dxa"/>
          </w:tcPr>
          <w:p w14:paraId="6D90F2D2" w14:textId="77777777" w:rsidR="0078011D" w:rsidRPr="007B2BE1" w:rsidRDefault="0078011D" w:rsidP="001E406E">
            <w:pPr>
              <w:overflowPunct w:val="0"/>
              <w:ind w:left="313"/>
              <w:rPr>
                <w:rFonts w:ascii="Times New Roman" w:eastAsia="標楷體" w:hAnsi="Times New Roman" w:cs="Times New Roman"/>
                <w:sz w:val="24"/>
                <w:szCs w:val="24"/>
              </w:rPr>
            </w:pPr>
          </w:p>
        </w:tc>
        <w:tc>
          <w:tcPr>
            <w:tcW w:w="1290" w:type="dxa"/>
          </w:tcPr>
          <w:p w14:paraId="6CC043C5" w14:textId="3CF6F753" w:rsidR="0078011D" w:rsidRPr="007B2BE1" w:rsidRDefault="007B2BE1" w:rsidP="007D2A87">
            <w:pPr>
              <w:pStyle w:val="TableParagraph"/>
              <w:overflowPunct w:val="0"/>
              <w:spacing w:before="0"/>
              <w:ind w:rightChars="125" w:right="300"/>
              <w:jc w:val="right"/>
              <w:rPr>
                <w:rFonts w:eastAsia="標楷體"/>
                <w:sz w:val="24"/>
                <w:szCs w:val="24"/>
                <w:u w:val="double"/>
              </w:rPr>
            </w:pPr>
            <w:r w:rsidRPr="007B2BE1">
              <w:rPr>
                <w:rFonts w:eastAsia="標楷體"/>
                <w:sz w:val="24"/>
                <w:szCs w:val="24"/>
                <w:u w:val="double"/>
                <w:lang w:eastAsia="zh-CN"/>
              </w:rPr>
              <w:t>325,435</w:t>
            </w:r>
          </w:p>
        </w:tc>
      </w:tr>
    </w:tbl>
    <w:p w14:paraId="44D0C73C" w14:textId="77777777" w:rsidR="00FC3AAA" w:rsidRPr="007B2BE1" w:rsidRDefault="00FC3AAA" w:rsidP="001E406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79C563B5" w14:textId="496C94D2" w:rsidR="0078011D"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先生没有就第</w:t>
      </w:r>
      <w:r w:rsidRPr="007B2BE1">
        <w:rPr>
          <w:rFonts w:ascii="Times New Roman" w:eastAsia="標楷體" w:hAnsi="Times New Roman" w:cs="Times New Roman"/>
          <w:lang w:val="en-US" w:eastAsia="zh-CN"/>
        </w:rPr>
        <w:t>35</w:t>
      </w:r>
      <w:r w:rsidRPr="007B2BE1">
        <w:rPr>
          <w:rFonts w:ascii="Times New Roman" w:eastAsia="標楷體" w:hAnsi="Times New Roman" w:cs="Times New Roman"/>
          <w:lang w:val="en-US" w:eastAsia="zh-CN"/>
        </w:rPr>
        <w:t>项的相同事实受到根据税例第</w:t>
      </w:r>
      <w:r w:rsidRPr="007B2BE1">
        <w:rPr>
          <w:rFonts w:ascii="Times New Roman" w:eastAsia="標楷體" w:hAnsi="Times New Roman" w:cs="Times New Roman"/>
          <w:lang w:val="en-US" w:eastAsia="zh-CN"/>
        </w:rPr>
        <w:t>80(2)</w:t>
      </w:r>
      <w:r w:rsidRPr="007B2BE1">
        <w:rPr>
          <w:rFonts w:ascii="Times New Roman" w:eastAsia="標楷體" w:hAnsi="Times New Roman" w:cs="Times New Roman"/>
          <w:lang w:val="en-US" w:eastAsia="zh-CN"/>
        </w:rPr>
        <w:t>或第</w:t>
      </w:r>
      <w:r w:rsidRPr="007B2BE1">
        <w:rPr>
          <w:rFonts w:ascii="Times New Roman" w:eastAsia="標楷體" w:hAnsi="Times New Roman" w:cs="Times New Roman"/>
          <w:lang w:val="en-US" w:eastAsia="zh-CN"/>
        </w:rPr>
        <w:t>82(1)</w:t>
      </w:r>
      <w:r w:rsidRPr="007B2BE1">
        <w:rPr>
          <w:rFonts w:ascii="Times New Roman" w:eastAsia="標楷體" w:hAnsi="Times New Roman" w:cs="Times New Roman"/>
          <w:lang w:val="en-US" w:eastAsia="zh-CN"/>
        </w:rPr>
        <w:t>条提出的检控。</w:t>
      </w:r>
    </w:p>
    <w:p w14:paraId="24781305" w14:textId="77777777" w:rsidR="007D2A87" w:rsidRPr="007B2BE1" w:rsidRDefault="007D2A87"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0E5008F" w14:textId="1893F75D" w:rsidR="0078011D" w:rsidRPr="007B2BE1" w:rsidRDefault="007B2BE1" w:rsidP="003F6978">
      <w:pPr>
        <w:pStyle w:val="ac"/>
        <w:numPr>
          <w:ilvl w:val="0"/>
          <w:numId w:val="7"/>
        </w:numPr>
        <w:tabs>
          <w:tab w:val="left" w:pos="2107"/>
        </w:tabs>
        <w:overflowPunct w:val="0"/>
        <w:autoSpaceDE w:val="0"/>
        <w:autoSpaceDN w:val="0"/>
        <w:adjustRightInd w:val="0"/>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18</w:t>
      </w:r>
      <w:r w:rsidRPr="007B2BE1">
        <w:rPr>
          <w:rFonts w:ascii="Times New Roman" w:eastAsia="標楷體" w:hAnsi="Times New Roman" w:cs="Times New Roman"/>
          <w:lang w:val="en-US" w:eastAsia="zh-CN"/>
        </w:rPr>
        <w:t>日均委托区敬文先生</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「第三税务代表」</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为其税务代表，并于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20</w:t>
      </w:r>
      <w:r w:rsidRPr="007B2BE1">
        <w:rPr>
          <w:rFonts w:ascii="Times New Roman" w:eastAsia="標楷體" w:hAnsi="Times New Roman" w:cs="Times New Roman"/>
          <w:lang w:val="en-US" w:eastAsia="zh-CN"/>
        </w:rPr>
        <w:t>日以传真将委托书副本提交予税务局；惟有关传真文件未能于即日送呈</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先生的档案。当上述两份税例第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日寄发后，评税主任即日联络第三税务代表并告知有关税例第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条通知书事宜。</w:t>
      </w:r>
    </w:p>
    <w:p w14:paraId="0B19E7E5" w14:textId="77777777" w:rsidR="007D2A87" w:rsidRPr="007B2BE1" w:rsidRDefault="007D2A87"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336E2F6E" w14:textId="2B831B77" w:rsidR="00735B06"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先生在第三税务代表陪同下，在</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10</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日依约到访税务局。会晤期间：</w:t>
      </w:r>
    </w:p>
    <w:p w14:paraId="0234EDE3" w14:textId="77777777" w:rsidR="007D2A87" w:rsidRPr="007B2BE1" w:rsidRDefault="007D2A87"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0EDE794" w14:textId="6AD4A36E" w:rsidR="00735B06" w:rsidRPr="007B2BE1" w:rsidRDefault="007B2BE1" w:rsidP="007D2A87">
      <w:pPr>
        <w:pStyle w:val="ac"/>
        <w:numPr>
          <w:ilvl w:val="0"/>
          <w:numId w:val="20"/>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第三税务代表表示他被</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先生委托重新审视其税务审核及税例第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条补加税事宜，而在重新审视时第三税务代表将会按照事实重新提交相关资料给税务局考虑。评税主任口头同意会审阅重新提交的资料但一切有待审议；</w:t>
      </w:r>
    </w:p>
    <w:p w14:paraId="2BFF2B99" w14:textId="77777777" w:rsidR="007D2A87" w:rsidRPr="007B2BE1" w:rsidRDefault="007D2A87"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CN"/>
        </w:rPr>
      </w:pPr>
    </w:p>
    <w:p w14:paraId="628BDD8C" w14:textId="77CFA355" w:rsidR="00735B06" w:rsidRPr="007B2BE1" w:rsidRDefault="007B2BE1" w:rsidP="007D2A87">
      <w:pPr>
        <w:pStyle w:val="ac"/>
        <w:numPr>
          <w:ilvl w:val="0"/>
          <w:numId w:val="20"/>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第三税务代表声称第一税务代表没有妥善履行职责，因此令</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先生招致罚款，</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先生为此可能追讨第一税务代表；</w:t>
      </w:r>
    </w:p>
    <w:p w14:paraId="53255C7E" w14:textId="77777777" w:rsidR="007D2A87" w:rsidRPr="007B2BE1" w:rsidRDefault="007D2A87"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7FE563E" w14:textId="36CF003E" w:rsidR="00735B06" w:rsidRPr="007B2BE1" w:rsidRDefault="007B2BE1" w:rsidP="007D2A87">
      <w:pPr>
        <w:pStyle w:val="ac"/>
        <w:numPr>
          <w:ilvl w:val="0"/>
          <w:numId w:val="20"/>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评税主任告知</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先生及第三税务代表，税务局已接纳了</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日的建议书及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lastRenderedPageBreak/>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日建议书以了结个案，而依从该两份建议书所发出的评税根据税例第</w:t>
      </w:r>
      <w:r w:rsidRPr="007B2BE1">
        <w:rPr>
          <w:rFonts w:ascii="Times New Roman" w:eastAsia="標楷體" w:hAnsi="Times New Roman" w:cs="Times New Roman"/>
          <w:lang w:val="en-US" w:eastAsia="zh-CN"/>
        </w:rPr>
        <w:t>70</w:t>
      </w:r>
      <w:r w:rsidRPr="007B2BE1">
        <w:rPr>
          <w:rFonts w:ascii="Times New Roman" w:eastAsia="標楷體" w:hAnsi="Times New Roman" w:cs="Times New Roman"/>
          <w:lang w:val="en-US" w:eastAsia="zh-CN"/>
        </w:rPr>
        <w:t>条已成为最终及决定性评税；</w:t>
      </w:r>
    </w:p>
    <w:p w14:paraId="7407CA28" w14:textId="77777777" w:rsidR="007D2A87" w:rsidRPr="007B2BE1" w:rsidRDefault="007D2A87"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7D857531" w14:textId="0B927D38" w:rsidR="00735B06" w:rsidRPr="007B2BE1" w:rsidRDefault="007B2BE1" w:rsidP="007D2A87">
      <w:pPr>
        <w:pStyle w:val="ac"/>
        <w:numPr>
          <w:ilvl w:val="0"/>
          <w:numId w:val="20"/>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评税主任提醒</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先生，局长已在</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日按照税例第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条的规定，向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先生发出税例第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条通知书。第三税务代表称</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先生将会提交详细的书面申述。</w:t>
      </w:r>
    </w:p>
    <w:p w14:paraId="334B70B6" w14:textId="77777777" w:rsidR="007D2A87" w:rsidRPr="007B2BE1" w:rsidRDefault="007D2A87"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CN"/>
        </w:rPr>
      </w:pPr>
    </w:p>
    <w:p w14:paraId="5E1D6C66" w14:textId="41AF930D" w:rsidR="002357A7"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税务局于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日收到两封</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15</w:t>
      </w:r>
      <w:r w:rsidRPr="007B2BE1">
        <w:rPr>
          <w:rFonts w:ascii="Times New Roman" w:eastAsia="標楷體" w:hAnsi="Times New Roman" w:cs="Times New Roman"/>
          <w:lang w:val="en-US" w:eastAsia="zh-CN"/>
        </w:rPr>
        <w:t>日签发的信件，</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先生提出：</w:t>
      </w:r>
    </w:p>
    <w:p w14:paraId="585BB15A" w14:textId="77777777" w:rsidR="00264944" w:rsidRPr="007B2BE1" w:rsidRDefault="00264944" w:rsidP="00264944">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0503F18B" w14:textId="5A21AC42" w:rsidR="002357A7" w:rsidRPr="007B2BE1" w:rsidRDefault="007B2BE1" w:rsidP="00264944">
      <w:pPr>
        <w:pStyle w:val="ac"/>
        <w:numPr>
          <w:ilvl w:val="0"/>
          <w:numId w:val="22"/>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不同意</w:t>
      </w: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课税年度</w:t>
      </w:r>
      <w:r w:rsidRPr="007B2BE1">
        <w:rPr>
          <w:rFonts w:ascii="Times New Roman" w:eastAsia="標楷體" w:hAnsi="Times New Roman" w:cs="Times New Roman"/>
          <w:lang w:val="en-US" w:eastAsia="zh-CN"/>
        </w:rPr>
        <w:t>G</w:t>
      </w:r>
      <w:r w:rsidRPr="007B2BE1">
        <w:rPr>
          <w:rFonts w:ascii="Times New Roman" w:eastAsia="標楷體" w:hAnsi="Times New Roman" w:cs="Times New Roman"/>
          <w:lang w:val="en-US" w:eastAsia="zh-CN"/>
        </w:rPr>
        <w:t>物业及</w:t>
      </w:r>
      <w:r w:rsidRPr="007B2BE1">
        <w:rPr>
          <w:rFonts w:ascii="Times New Roman" w:eastAsia="標楷體" w:hAnsi="Times New Roman" w:cs="Times New Roman"/>
          <w:lang w:val="en-US" w:eastAsia="zh-CN"/>
        </w:rPr>
        <w:t>H</w:t>
      </w:r>
      <w:r w:rsidRPr="007B2BE1">
        <w:rPr>
          <w:rFonts w:ascii="Times New Roman" w:eastAsia="標楷體" w:hAnsi="Times New Roman" w:cs="Times New Roman"/>
          <w:lang w:val="en-US" w:eastAsia="zh-CN"/>
        </w:rPr>
        <w:t>物业租金收入计算，并申索扣减</w:t>
      </w: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课税年度差饷；</w:t>
      </w:r>
    </w:p>
    <w:p w14:paraId="0AC0D0C3" w14:textId="77777777" w:rsidR="00264944" w:rsidRPr="007B2BE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29D7B52A" w14:textId="59D19A7E" w:rsidR="002357A7" w:rsidRPr="007B2BE1" w:rsidRDefault="007B2BE1" w:rsidP="00264944">
      <w:pPr>
        <w:pStyle w:val="ac"/>
        <w:numPr>
          <w:ilvl w:val="0"/>
          <w:numId w:val="22"/>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就</w:t>
      </w: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课税年度申请以个人入息课税评税；及</w:t>
      </w:r>
    </w:p>
    <w:p w14:paraId="09B474AB" w14:textId="77777777" w:rsidR="00264944" w:rsidRPr="007B2BE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58F9567F" w14:textId="0B16F2EA" w:rsidR="002357A7" w:rsidRPr="007B2BE1" w:rsidRDefault="007B2BE1" w:rsidP="00264944">
      <w:pPr>
        <w:pStyle w:val="ac"/>
        <w:numPr>
          <w:ilvl w:val="0"/>
          <w:numId w:val="22"/>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就</w:t>
      </w: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课税年度申请扣减为产生租金收入而支付的贷款利息。</w:t>
      </w:r>
    </w:p>
    <w:p w14:paraId="7D862BE9" w14:textId="77777777" w:rsidR="00264944" w:rsidRPr="007B2BE1" w:rsidRDefault="00264944" w:rsidP="00264944">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2040"/>
        <w:jc w:val="both"/>
        <w:rPr>
          <w:rFonts w:ascii="Times New Roman" w:eastAsia="標楷體" w:hAnsi="Times New Roman" w:cs="Times New Roman"/>
          <w:lang w:val="en-US" w:eastAsia="zh-TW"/>
        </w:rPr>
      </w:pPr>
    </w:p>
    <w:p w14:paraId="4F25D578" w14:textId="7547FE81" w:rsidR="002357A7"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10</w:t>
      </w:r>
      <w:r w:rsidRPr="007B2BE1">
        <w:rPr>
          <w:rFonts w:ascii="Times New Roman" w:eastAsia="標楷體" w:hAnsi="Times New Roman" w:cs="Times New Roman"/>
          <w:lang w:val="en-US" w:eastAsia="zh-CN"/>
        </w:rPr>
        <w:t>日作出回复，解释：</w:t>
      </w:r>
    </w:p>
    <w:p w14:paraId="4AB86C5F" w14:textId="77777777" w:rsidR="00264944" w:rsidRPr="007B2BE1" w:rsidRDefault="00264944" w:rsidP="00264944">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8DD1407" w14:textId="088D7BDD" w:rsidR="002357A7" w:rsidRPr="007B2BE1" w:rsidRDefault="007B2BE1" w:rsidP="00264944">
      <w:pPr>
        <w:pStyle w:val="ac"/>
        <w:numPr>
          <w:ilvl w:val="0"/>
          <w:numId w:val="23"/>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15</w:t>
      </w:r>
      <w:r w:rsidRPr="007B2BE1">
        <w:rPr>
          <w:rFonts w:ascii="Times New Roman" w:eastAsia="標楷體" w:hAnsi="Times New Roman" w:cs="Times New Roman"/>
          <w:lang w:val="en-US" w:eastAsia="zh-CN"/>
        </w:rPr>
        <w:t>日的信件中就</w:t>
      </w:r>
      <w:r w:rsidRPr="007B2BE1">
        <w:rPr>
          <w:rFonts w:ascii="Times New Roman" w:eastAsia="標楷體" w:hAnsi="Times New Roman" w:cs="Times New Roman"/>
          <w:lang w:val="en-US" w:eastAsia="zh-CN"/>
        </w:rPr>
        <w:t>G</w:t>
      </w:r>
      <w:r w:rsidRPr="007B2BE1">
        <w:rPr>
          <w:rFonts w:ascii="Times New Roman" w:eastAsia="標楷體" w:hAnsi="Times New Roman" w:cs="Times New Roman"/>
          <w:lang w:val="en-US" w:eastAsia="zh-CN"/>
        </w:rPr>
        <w:t>物业及</w:t>
      </w:r>
      <w:r w:rsidRPr="007B2BE1">
        <w:rPr>
          <w:rFonts w:ascii="Times New Roman" w:eastAsia="標楷體" w:hAnsi="Times New Roman" w:cs="Times New Roman"/>
          <w:lang w:val="en-US" w:eastAsia="zh-CN"/>
        </w:rPr>
        <w:t>H</w:t>
      </w:r>
      <w:r w:rsidRPr="007B2BE1">
        <w:rPr>
          <w:rFonts w:ascii="Times New Roman" w:eastAsia="標楷體" w:hAnsi="Times New Roman" w:cs="Times New Roman"/>
          <w:lang w:val="en-US" w:eastAsia="zh-CN"/>
        </w:rPr>
        <w:t>物业租金收入的计算与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日建议书内租金收入的计算无异。</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15</w:t>
      </w:r>
      <w:r w:rsidRPr="007B2BE1">
        <w:rPr>
          <w:rFonts w:ascii="Times New Roman" w:eastAsia="標楷體" w:hAnsi="Times New Roman" w:cs="Times New Roman"/>
          <w:lang w:val="en-US" w:eastAsia="zh-CN"/>
        </w:rPr>
        <w:t>日信件中声称的租金收入差异实为误把应评税净值当作租金收入所致；</w:t>
      </w:r>
    </w:p>
    <w:p w14:paraId="6C6C2588" w14:textId="77777777" w:rsidR="00264944" w:rsidRPr="007B2BE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CN"/>
        </w:rPr>
      </w:pPr>
    </w:p>
    <w:p w14:paraId="0A46DC79" w14:textId="346F1281" w:rsidR="002357A7" w:rsidRPr="007B2BE1" w:rsidRDefault="007B2BE1" w:rsidP="00264944">
      <w:pPr>
        <w:pStyle w:val="ac"/>
        <w:numPr>
          <w:ilvl w:val="0"/>
          <w:numId w:val="23"/>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课税年度的物业税修订评税乃根据税例第</w:t>
      </w:r>
      <w:r w:rsidRPr="007B2BE1">
        <w:rPr>
          <w:rFonts w:ascii="Times New Roman" w:eastAsia="標楷體" w:hAnsi="Times New Roman" w:cs="Times New Roman"/>
          <w:lang w:val="en-US" w:eastAsia="zh-CN"/>
        </w:rPr>
        <w:t>64(3)</w:t>
      </w:r>
      <w:r w:rsidRPr="007B2BE1">
        <w:rPr>
          <w:rFonts w:ascii="Times New Roman" w:eastAsia="標楷體" w:hAnsi="Times New Roman" w:cs="Times New Roman"/>
          <w:lang w:val="en-US" w:eastAsia="zh-CN"/>
        </w:rPr>
        <w:t>条就有效反对作出的协议</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即</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日建议书</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而发出的修订评税，因此有关的物业税修订评税已于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27</w:t>
      </w:r>
      <w:r w:rsidRPr="007B2BE1">
        <w:rPr>
          <w:rFonts w:ascii="Times New Roman" w:eastAsia="標楷體" w:hAnsi="Times New Roman" w:cs="Times New Roman"/>
          <w:lang w:val="en-US" w:eastAsia="zh-CN"/>
        </w:rPr>
        <w:t>日成为最终及决定性评税，不能对所申索的差饷予以扣减；</w:t>
      </w:r>
    </w:p>
    <w:p w14:paraId="52C68AE1" w14:textId="77777777" w:rsidR="00264944" w:rsidRPr="007B2BE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64A63A61" w14:textId="719DF187" w:rsidR="002357A7" w:rsidRPr="007B2BE1" w:rsidRDefault="007B2BE1" w:rsidP="00264944">
      <w:pPr>
        <w:pStyle w:val="ac"/>
        <w:numPr>
          <w:ilvl w:val="0"/>
          <w:numId w:val="23"/>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2007/08</w:t>
      </w:r>
      <w:r w:rsidRPr="007B2BE1">
        <w:rPr>
          <w:rFonts w:ascii="Times New Roman" w:eastAsia="標楷體" w:hAnsi="Times New Roman" w:cs="Times New Roman"/>
          <w:lang w:val="en-US" w:eastAsia="zh-CN"/>
        </w:rPr>
        <w:t>课税年度个人入息课税评税已成最终及决定性评税，而</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课税年度个人入息课税评税的申请亦已逾时，因此不能对所申索的贷款利息支出作出扣减；及</w:t>
      </w:r>
    </w:p>
    <w:p w14:paraId="26A37F4C" w14:textId="77777777" w:rsidR="00264944" w:rsidRPr="007B2BE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4BE3BECB" w14:textId="04B8A753" w:rsidR="002357A7" w:rsidRPr="007B2BE1" w:rsidRDefault="007B2BE1" w:rsidP="00264944">
      <w:pPr>
        <w:pStyle w:val="ac"/>
        <w:numPr>
          <w:ilvl w:val="0"/>
          <w:numId w:val="23"/>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评税主任亦提醒</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先生就税例第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条通知书尽快于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年年底前提交书面申述。</w:t>
      </w:r>
    </w:p>
    <w:p w14:paraId="5F582A01" w14:textId="5BD3BB52" w:rsidR="00264944" w:rsidRPr="007B2BE1" w:rsidRDefault="00264944" w:rsidP="00264944">
      <w:pPr>
        <w:tabs>
          <w:tab w:val="left" w:pos="2683"/>
        </w:tabs>
        <w:overflowPunct w:val="0"/>
        <w:autoSpaceDE w:val="0"/>
        <w:autoSpaceDN w:val="0"/>
        <w:adjustRightInd w:val="0"/>
        <w:jc w:val="both"/>
        <w:rPr>
          <w:rFonts w:ascii="Times New Roman" w:eastAsia="標楷體" w:hAnsi="Times New Roman" w:cs="Times New Roman"/>
          <w:lang w:val="en-US" w:eastAsia="zh-TW"/>
        </w:rPr>
      </w:pPr>
    </w:p>
    <w:p w14:paraId="729587F5" w14:textId="18A85BA2" w:rsidR="002357A7"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税务局于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24</w:t>
      </w:r>
      <w:r w:rsidRPr="007B2BE1">
        <w:rPr>
          <w:rFonts w:ascii="Times New Roman" w:eastAsia="標楷體" w:hAnsi="Times New Roman" w:cs="Times New Roman"/>
          <w:lang w:val="en-US" w:eastAsia="zh-CN"/>
        </w:rPr>
        <w:t>日收到</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18</w:t>
      </w:r>
      <w:r w:rsidRPr="007B2BE1">
        <w:rPr>
          <w:rFonts w:ascii="Times New Roman" w:eastAsia="標楷體" w:hAnsi="Times New Roman" w:cs="Times New Roman"/>
          <w:lang w:val="en-US" w:eastAsia="zh-CN"/>
        </w:rPr>
        <w:t>日签发的信件，在信中：</w:t>
      </w:r>
    </w:p>
    <w:p w14:paraId="212F54D9" w14:textId="77777777" w:rsidR="00264944" w:rsidRPr="007B2BE1" w:rsidRDefault="00264944" w:rsidP="00264944">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930DBF0" w14:textId="3659B9F8" w:rsidR="002357A7" w:rsidRPr="007B2BE1" w:rsidRDefault="007B2BE1" w:rsidP="00264944">
      <w:pPr>
        <w:pStyle w:val="ac"/>
        <w:numPr>
          <w:ilvl w:val="0"/>
          <w:numId w:val="21"/>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lastRenderedPageBreak/>
        <w:t>B</w:t>
      </w:r>
      <w:r w:rsidRPr="007B2BE1">
        <w:rPr>
          <w:rFonts w:ascii="Times New Roman" w:eastAsia="標楷體" w:hAnsi="Times New Roman" w:cs="Times New Roman"/>
          <w:lang w:val="en-US" w:eastAsia="zh-CN"/>
        </w:rPr>
        <w:t>先生声称评税主任无故于</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课税年度把金额</w:t>
      </w:r>
      <w:r w:rsidRPr="007B2BE1">
        <w:rPr>
          <w:rFonts w:ascii="Times New Roman" w:eastAsia="標楷體" w:hAnsi="Times New Roman" w:cs="Times New Roman"/>
          <w:lang w:val="en-US" w:eastAsia="zh-CN"/>
        </w:rPr>
        <w:t>294,160</w:t>
      </w:r>
      <w:r w:rsidRPr="007B2BE1">
        <w:rPr>
          <w:rFonts w:ascii="Times New Roman" w:eastAsia="標楷體" w:hAnsi="Times New Roman" w:cs="Times New Roman"/>
          <w:lang w:val="en-US" w:eastAsia="zh-CN"/>
        </w:rPr>
        <w:t>元视为</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公司的利润；</w:t>
      </w:r>
    </w:p>
    <w:p w14:paraId="5F5F5156" w14:textId="77777777" w:rsidR="002B1226" w:rsidRPr="007B2BE1" w:rsidRDefault="002B1226" w:rsidP="002B1226">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AEF7BAF" w14:textId="700DF4DA" w:rsidR="002357A7" w:rsidRPr="007B2BE1" w:rsidRDefault="007B2BE1" w:rsidP="00264944">
      <w:pPr>
        <w:pStyle w:val="ac"/>
        <w:numPr>
          <w:ilvl w:val="0"/>
          <w:numId w:val="21"/>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先生再次提出扣减为产生租金收入而支付的贷款利息，亦对其</w:t>
      </w:r>
      <w:r w:rsidRPr="007B2BE1">
        <w:rPr>
          <w:rFonts w:ascii="Times New Roman" w:eastAsia="標楷體" w:hAnsi="Times New Roman" w:cs="Times New Roman"/>
          <w:lang w:val="en-US" w:eastAsia="zh-CN"/>
        </w:rPr>
        <w:t>2009/10</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2010/11</w:t>
      </w:r>
      <w:r w:rsidRPr="007B2BE1">
        <w:rPr>
          <w:rFonts w:ascii="Times New Roman" w:eastAsia="標楷體" w:hAnsi="Times New Roman" w:cs="Times New Roman"/>
          <w:lang w:val="en-US" w:eastAsia="zh-CN"/>
        </w:rPr>
        <w:t>课税年度的应评税入息提出异议；</w:t>
      </w:r>
    </w:p>
    <w:p w14:paraId="2A391A98" w14:textId="77777777" w:rsidR="00264944" w:rsidRPr="007B2BE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0131BB2D" w14:textId="3C4C62B3" w:rsidR="002357A7" w:rsidRPr="007B2BE1" w:rsidRDefault="007B2BE1" w:rsidP="00264944">
      <w:pPr>
        <w:pStyle w:val="ac"/>
        <w:numPr>
          <w:ilvl w:val="0"/>
          <w:numId w:val="21"/>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先生声称没有收到关于</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条通知书并要求延期回复该通知书；及</w:t>
      </w:r>
    </w:p>
    <w:p w14:paraId="64956C83" w14:textId="77777777" w:rsidR="00264944" w:rsidRPr="007B2BE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5F23AD52" w14:textId="1B293DEC" w:rsidR="002357A7" w:rsidRPr="007B2BE1" w:rsidRDefault="007B2BE1" w:rsidP="00264944">
      <w:pPr>
        <w:pStyle w:val="ac"/>
        <w:numPr>
          <w:ilvl w:val="0"/>
          <w:numId w:val="21"/>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先生声称没有收到关于他的税例第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条通知书并要求延期回复该通知书。</w:t>
      </w:r>
    </w:p>
    <w:p w14:paraId="6199570D" w14:textId="77777777" w:rsidR="00264944" w:rsidRPr="007B2BE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0FB2967" w14:textId="7BFC158F" w:rsidR="00096404"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评税主任于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28</w:t>
      </w:r>
      <w:r w:rsidRPr="007B2BE1">
        <w:rPr>
          <w:rFonts w:ascii="Times New Roman" w:eastAsia="標楷體" w:hAnsi="Times New Roman" w:cs="Times New Roman"/>
          <w:lang w:val="en-US" w:eastAsia="zh-CN"/>
        </w:rPr>
        <w:t>日回复</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公司，夹附税例第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条通知书的副本并提醒</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公司于</w:t>
      </w:r>
      <w:r w:rsidRPr="007B2BE1">
        <w:rPr>
          <w:rFonts w:ascii="Times New Roman" w:eastAsia="標楷體" w:hAnsi="Times New Roman" w:cs="Times New Roman"/>
          <w:lang w:val="en-US" w:eastAsia="zh-CN"/>
        </w:rPr>
        <w:t>14</w:t>
      </w:r>
      <w:r w:rsidRPr="007B2BE1">
        <w:rPr>
          <w:rFonts w:ascii="Times New Roman" w:eastAsia="標楷體" w:hAnsi="Times New Roman" w:cs="Times New Roman"/>
          <w:lang w:val="en-US" w:eastAsia="zh-CN"/>
        </w:rPr>
        <w:t>天内回作出书面申述。评税主任也于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28</w:t>
      </w:r>
      <w:r w:rsidRPr="007B2BE1">
        <w:rPr>
          <w:rFonts w:ascii="Times New Roman" w:eastAsia="標楷體" w:hAnsi="Times New Roman" w:cs="Times New Roman"/>
          <w:lang w:val="en-US" w:eastAsia="zh-CN"/>
        </w:rPr>
        <w:t>日回复</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先生，除了夹附税例第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条通知书的副本并提醒</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14</w:t>
      </w:r>
      <w:r w:rsidRPr="007B2BE1">
        <w:rPr>
          <w:rFonts w:ascii="Times New Roman" w:eastAsia="標楷體" w:hAnsi="Times New Roman" w:cs="Times New Roman"/>
          <w:lang w:val="en-US" w:eastAsia="zh-CN"/>
        </w:rPr>
        <w:t>天内回作出书面申述外，亦邀请</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先生进行会议以便清楚理解他的疑问查询并作出解答。</w:t>
      </w:r>
    </w:p>
    <w:p w14:paraId="76C03FDC" w14:textId="77777777" w:rsidR="00F5089C" w:rsidRPr="007B2BE1" w:rsidRDefault="00F5089C" w:rsidP="00F5089C">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4A0C3C8B" w14:textId="2D3A4955" w:rsidR="00096404"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由于未能成功安排与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先生再次会晤，评税主任于</w:t>
      </w:r>
      <w:r w:rsidRPr="007B2BE1">
        <w:rPr>
          <w:rFonts w:ascii="Times New Roman" w:eastAsia="標楷體" w:hAnsi="Times New Roman" w:cs="Times New Roman"/>
          <w:lang w:val="en-US" w:eastAsia="zh-CN"/>
        </w:rPr>
        <w:t>2019</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2</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22</w:t>
      </w:r>
      <w:r w:rsidRPr="007B2BE1">
        <w:rPr>
          <w:rFonts w:ascii="Times New Roman" w:eastAsia="標楷體" w:hAnsi="Times New Roman" w:cs="Times New Roman"/>
          <w:lang w:val="en-US" w:eastAsia="zh-CN"/>
        </w:rPr>
        <w:t>日发信分别回复</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公司和</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先生。在发给</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公司信件中：</w:t>
      </w:r>
    </w:p>
    <w:p w14:paraId="3C8ED683" w14:textId="77777777" w:rsidR="00F5089C" w:rsidRPr="007B2BE1" w:rsidRDefault="00F5089C" w:rsidP="00F5089C">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E8AD45D" w14:textId="29104E46" w:rsidR="00096404" w:rsidRPr="007B2BE1" w:rsidRDefault="007B2BE1"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评税主任指出第四次了结个案建议的基准源于第一税务代表在</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5</w:t>
      </w:r>
      <w:r w:rsidRPr="007B2BE1">
        <w:rPr>
          <w:rFonts w:ascii="Times New Roman" w:eastAsia="標楷體" w:hAnsi="Times New Roman" w:cs="Times New Roman"/>
          <w:lang w:val="en-US" w:eastAsia="zh-CN"/>
        </w:rPr>
        <w:t>日提交的资料；</w:t>
      </w:r>
    </w:p>
    <w:p w14:paraId="628C5B4D" w14:textId="77777777" w:rsidR="00F5089C" w:rsidRPr="007B2BE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2333F5DF" w14:textId="2D56190D" w:rsidR="006E7FD5" w:rsidRPr="007B2BE1" w:rsidRDefault="007B2BE1"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评税主任指出所述金额</w:t>
      </w:r>
      <w:r w:rsidRPr="007B2BE1">
        <w:rPr>
          <w:rFonts w:ascii="Times New Roman" w:eastAsia="標楷體" w:hAnsi="Times New Roman" w:cs="Times New Roman"/>
          <w:lang w:val="en-US" w:eastAsia="zh-CN"/>
        </w:rPr>
        <w:t>294,160</w:t>
      </w:r>
      <w:r w:rsidRPr="007B2BE1">
        <w:rPr>
          <w:rFonts w:ascii="Times New Roman" w:eastAsia="標楷體" w:hAnsi="Times New Roman" w:cs="Times New Roman"/>
          <w:lang w:val="en-US" w:eastAsia="zh-CN"/>
        </w:rPr>
        <w:t>元实为</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课税年度的应评税利润款额，有关的计算已包括在第四次了结个案建议的基准当中。然而</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公司并未有就第四次了结个案建议中应评税利润款额的计算作出异议或提供有关款项并非其业务收入的佐证。反之，</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日建议书提议相同的应评税利润款额；</w:t>
      </w:r>
    </w:p>
    <w:p w14:paraId="59B0336F" w14:textId="77777777" w:rsidR="00F5089C" w:rsidRPr="007B2BE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CN"/>
        </w:rPr>
      </w:pPr>
    </w:p>
    <w:p w14:paraId="1F8EE98D" w14:textId="3D04C895" w:rsidR="006E7FD5" w:rsidRPr="007B2BE1" w:rsidRDefault="007B2BE1"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因为</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日建议书已为</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公司及税务局双方同意，所以根据该建议书于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27</w:t>
      </w:r>
      <w:r w:rsidRPr="007B2BE1">
        <w:rPr>
          <w:rFonts w:ascii="Times New Roman" w:eastAsia="標楷體" w:hAnsi="Times New Roman" w:cs="Times New Roman"/>
          <w:lang w:val="en-US" w:eastAsia="zh-CN"/>
        </w:rPr>
        <w:t>日发出的利得税评税，包括</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课税年度利得税评税，未能再作修订；及</w:t>
      </w:r>
    </w:p>
    <w:p w14:paraId="73ABD2FB" w14:textId="77777777" w:rsidR="00F5089C" w:rsidRPr="007B2BE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5B3EC8A4" w14:textId="7C4E9741" w:rsidR="006E7FD5" w:rsidRPr="007B2BE1" w:rsidRDefault="007B2BE1"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评税主任表示纵然曾于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10</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日的会面中及</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28</w:t>
      </w:r>
      <w:r w:rsidRPr="007B2BE1">
        <w:rPr>
          <w:rFonts w:ascii="Times New Roman" w:eastAsia="標楷體" w:hAnsi="Times New Roman" w:cs="Times New Roman"/>
          <w:lang w:val="en-US" w:eastAsia="zh-CN"/>
        </w:rPr>
        <w:t>日的信件中提醒</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公司作出书面申述，但一直未有收到</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公司就税例第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条通知书的书面申述，故此</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公司的个案将在没有书面申述回复的情况下，被提交给予局长就评定补加税的事宜作出决定。</w:t>
      </w:r>
    </w:p>
    <w:p w14:paraId="2C7F0D4A" w14:textId="77777777" w:rsidR="009B4674" w:rsidRPr="007B2BE1" w:rsidRDefault="009B4674" w:rsidP="00F5089C">
      <w:p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5D434767" w14:textId="7EFA8EF4" w:rsidR="006E7FD5" w:rsidRPr="007B2BE1" w:rsidRDefault="007B2BE1" w:rsidP="00F5089C">
      <w:p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在发给</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先生信件中：</w:t>
      </w:r>
    </w:p>
    <w:p w14:paraId="485A21DA" w14:textId="77777777" w:rsidR="00F5089C" w:rsidRPr="007B2BE1" w:rsidRDefault="00F5089C" w:rsidP="00F5089C">
      <w:p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6964DB70" w14:textId="29ED3694" w:rsidR="006E7FD5" w:rsidRPr="007B2BE1" w:rsidRDefault="007B2BE1"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评税主任指出第四次了结个案建议的基准源于第一税务代表在</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5</w:t>
      </w:r>
      <w:r w:rsidRPr="007B2BE1">
        <w:rPr>
          <w:rFonts w:ascii="Times New Roman" w:eastAsia="標楷體" w:hAnsi="Times New Roman" w:cs="Times New Roman"/>
          <w:lang w:val="en-US" w:eastAsia="zh-CN"/>
        </w:rPr>
        <w:t>日提交的资料；</w:t>
      </w:r>
    </w:p>
    <w:p w14:paraId="0F356AE1" w14:textId="77777777" w:rsidR="00F5089C" w:rsidRPr="007B2BE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F7889F7" w14:textId="6D0FA896" w:rsidR="006E7FD5" w:rsidRPr="007B2BE1" w:rsidRDefault="007B2BE1"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评税主任指出</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先生并未有就第四次了结个案建议的基准中应评税入</w:t>
      </w:r>
      <w:r w:rsidRPr="007B2BE1">
        <w:rPr>
          <w:rFonts w:ascii="Times New Roman" w:eastAsia="標楷體" w:hAnsi="Times New Roman" w:cs="Times New Roman"/>
          <w:lang w:eastAsia="zh-CN"/>
        </w:rPr>
        <w:t>息</w:t>
      </w:r>
      <w:r w:rsidRPr="007B2BE1">
        <w:rPr>
          <w:rFonts w:ascii="Times New Roman" w:eastAsia="標楷體" w:hAnsi="Times New Roman" w:cs="Times New Roman"/>
          <w:lang w:val="en-US" w:eastAsia="zh-CN"/>
        </w:rPr>
        <w:t>款额作出异议或提供有关款项并非薪金入的佐证。反之，</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日建议书提议相同的应评税入息款额；</w:t>
      </w:r>
    </w:p>
    <w:p w14:paraId="362927FF" w14:textId="77777777" w:rsidR="00F5089C" w:rsidRPr="007B2BE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CN"/>
        </w:rPr>
      </w:pPr>
    </w:p>
    <w:p w14:paraId="673E29AF" w14:textId="0EC0BAF0" w:rsidR="006E7FD5" w:rsidRPr="007B2BE1" w:rsidRDefault="007B2BE1"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因为</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日建议书已为</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先生及税务局双方同意，所以根据该建议书于</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27</w:t>
      </w:r>
      <w:r w:rsidRPr="007B2BE1">
        <w:rPr>
          <w:rFonts w:ascii="Times New Roman" w:eastAsia="標楷體" w:hAnsi="Times New Roman" w:cs="Times New Roman"/>
          <w:lang w:val="en-US" w:eastAsia="zh-CN"/>
        </w:rPr>
        <w:t>日发出的</w:t>
      </w:r>
      <w:r w:rsidRPr="007B2BE1">
        <w:rPr>
          <w:rFonts w:ascii="Times New Roman" w:eastAsia="標楷體" w:hAnsi="Times New Roman" w:cs="Times New Roman"/>
          <w:lang w:val="en-US" w:eastAsia="zh-CN"/>
        </w:rPr>
        <w:t>2009/10</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2010/11</w:t>
      </w:r>
      <w:r w:rsidRPr="007B2BE1">
        <w:rPr>
          <w:rFonts w:ascii="Times New Roman" w:eastAsia="標楷體" w:hAnsi="Times New Roman" w:cs="Times New Roman"/>
          <w:lang w:val="en-US" w:eastAsia="zh-CN"/>
        </w:rPr>
        <w:t>课税年度薪俸税修订评税未能再作修订；及</w:t>
      </w:r>
    </w:p>
    <w:p w14:paraId="2F87C53C" w14:textId="77777777" w:rsidR="00F5089C" w:rsidRPr="007B2BE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44E557F3" w14:textId="367E50E7" w:rsidR="006E7FD5" w:rsidRPr="007B2BE1" w:rsidRDefault="007B2BE1"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纵然评税主任曾于</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10</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日的会面中及</w:t>
      </w:r>
      <w:r w:rsidRPr="007B2BE1">
        <w:rPr>
          <w:rFonts w:ascii="Times New Roman" w:eastAsia="標楷體" w:hAnsi="Times New Roman" w:cs="Times New Roman"/>
          <w:lang w:val="en-US" w:eastAsia="zh-CN"/>
        </w:rPr>
        <w:t>2018</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28</w:t>
      </w:r>
      <w:r w:rsidRPr="007B2BE1">
        <w:rPr>
          <w:rFonts w:ascii="Times New Roman" w:eastAsia="標楷體" w:hAnsi="Times New Roman" w:cs="Times New Roman"/>
          <w:lang w:val="en-US" w:eastAsia="zh-CN"/>
        </w:rPr>
        <w:t>日的信件中提醒</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先生作出书面申述，但一直未有收到</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先生的就税例第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条通知书的书面申述，故此</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先生的个案将在没有书面申述回复的情况下，被提交给予局长就评定补加税的事宜作出决定。</w:t>
      </w:r>
    </w:p>
    <w:p w14:paraId="3BBBA3D6" w14:textId="77777777" w:rsidR="00F5089C" w:rsidRPr="007B2BE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325A5070" w14:textId="4A0D3BC1" w:rsidR="006E7FD5" w:rsidRPr="007B2BE1" w:rsidRDefault="007B2BE1"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公司没有就税例第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条通知书作出书面申述，局长不信纳</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公司有合理辩解导致填报不正确报税表，经考虑到</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先生的背景、</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公司漏报入息的情况及整个审核个案的情况等，局长在</w:t>
      </w:r>
      <w:r w:rsidRPr="007B2BE1">
        <w:rPr>
          <w:rFonts w:ascii="Times New Roman" w:eastAsia="標楷體" w:hAnsi="Times New Roman" w:cs="Times New Roman"/>
          <w:lang w:val="en-US" w:eastAsia="zh-CN"/>
        </w:rPr>
        <w:t>2019</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16</w:t>
      </w:r>
      <w:r w:rsidRPr="007B2BE1">
        <w:rPr>
          <w:rFonts w:ascii="Times New Roman" w:eastAsia="標楷體" w:hAnsi="Times New Roman" w:cs="Times New Roman"/>
          <w:lang w:val="en-US" w:eastAsia="zh-CN"/>
        </w:rPr>
        <w:t>日根据税例第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条向</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公司发出下述的评定及缴纳补加税通知书，界定此个案为「不完全披露或延迟披露事实」组别</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组别</w:t>
      </w:r>
      <w:r w:rsidRPr="007B2BE1">
        <w:rPr>
          <w:rFonts w:ascii="Times New Roman" w:eastAsia="標楷體" w:hAnsi="Times New Roman" w:cs="Times New Roman"/>
          <w:lang w:val="en-US" w:eastAsia="zh-CN"/>
        </w:rPr>
        <w:t>(b)) (</w:t>
      </w:r>
      <w:r w:rsidRPr="007B2BE1">
        <w:rPr>
          <w:rFonts w:ascii="Times New Roman" w:eastAsia="標楷體" w:hAnsi="Times New Roman" w:cs="Times New Roman"/>
          <w:lang w:val="en-US" w:eastAsia="zh-CN"/>
        </w:rPr>
        <w:t>注</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，并以一般邮递方式把通知书寄至</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公司的通讯地址：</w:t>
      </w:r>
    </w:p>
    <w:p w14:paraId="3C45777E" w14:textId="77777777" w:rsidR="00F7134D" w:rsidRPr="007B2BE1" w:rsidRDefault="00F7134D" w:rsidP="001E406E">
      <w:pPr>
        <w:pStyle w:val="ae"/>
        <w:overflowPunct w:val="0"/>
        <w:rPr>
          <w:rFonts w:ascii="Times New Roman" w:eastAsia="標楷體" w:hAnsi="Times New Roman" w:cs="Times New Roman"/>
          <w:lang w:eastAsia="zh-TW"/>
        </w:rPr>
      </w:pPr>
    </w:p>
    <w:tbl>
      <w:tblPr>
        <w:tblStyle w:val="TableNormal1"/>
        <w:tblW w:w="0" w:type="auto"/>
        <w:tblInd w:w="2127" w:type="dxa"/>
        <w:tblBorders>
          <w:top w:val="nil"/>
          <w:left w:val="nil"/>
          <w:bottom w:val="nil"/>
          <w:right w:val="nil"/>
          <w:insideH w:val="nil"/>
          <w:insideV w:val="nil"/>
        </w:tblBorders>
        <w:tblLayout w:type="fixed"/>
        <w:tblLook w:val="01E0" w:firstRow="1" w:lastRow="1" w:firstColumn="1" w:lastColumn="1" w:noHBand="0" w:noVBand="0"/>
      </w:tblPr>
      <w:tblGrid>
        <w:gridCol w:w="1417"/>
        <w:gridCol w:w="1559"/>
        <w:gridCol w:w="1701"/>
        <w:gridCol w:w="1843"/>
      </w:tblGrid>
      <w:tr w:rsidR="00F7134D" w:rsidRPr="007B2BE1" w14:paraId="496E560E" w14:textId="77777777" w:rsidTr="00747705">
        <w:trPr>
          <w:trHeight w:val="227"/>
        </w:trPr>
        <w:tc>
          <w:tcPr>
            <w:tcW w:w="1417" w:type="dxa"/>
            <w:tcBorders>
              <w:top w:val="nil"/>
              <w:left w:val="nil"/>
              <w:bottom w:val="nil"/>
              <w:right w:val="nil"/>
            </w:tcBorders>
          </w:tcPr>
          <w:p w14:paraId="5005F6D6" w14:textId="77777777" w:rsidR="00F7134D" w:rsidRPr="007B2BE1" w:rsidRDefault="00F7134D" w:rsidP="00F5089C">
            <w:pPr>
              <w:overflowPunct w:val="0"/>
              <w:jc w:val="center"/>
              <w:rPr>
                <w:rFonts w:ascii="Times New Roman" w:eastAsia="標楷體" w:hAnsi="Times New Roman" w:cs="Times New Roman"/>
                <w:sz w:val="24"/>
                <w:szCs w:val="24"/>
                <w:lang w:eastAsia="zh-TW"/>
              </w:rPr>
            </w:pPr>
          </w:p>
        </w:tc>
        <w:tc>
          <w:tcPr>
            <w:tcW w:w="1559" w:type="dxa"/>
            <w:tcBorders>
              <w:top w:val="nil"/>
              <w:left w:val="nil"/>
              <w:bottom w:val="nil"/>
              <w:right w:val="nil"/>
            </w:tcBorders>
          </w:tcPr>
          <w:p w14:paraId="0FDB5653" w14:textId="77777777" w:rsidR="00F7134D" w:rsidRPr="007B2BE1" w:rsidRDefault="00F7134D" w:rsidP="00F5089C">
            <w:pPr>
              <w:overflowPunct w:val="0"/>
              <w:jc w:val="center"/>
              <w:rPr>
                <w:rFonts w:ascii="Times New Roman" w:eastAsia="標楷體" w:hAnsi="Times New Roman" w:cs="Times New Roman"/>
                <w:sz w:val="24"/>
                <w:szCs w:val="24"/>
                <w:lang w:eastAsia="zh-TW"/>
              </w:rPr>
            </w:pPr>
          </w:p>
        </w:tc>
        <w:tc>
          <w:tcPr>
            <w:tcW w:w="1701" w:type="dxa"/>
            <w:tcBorders>
              <w:top w:val="nil"/>
              <w:left w:val="nil"/>
              <w:bottom w:val="nil"/>
              <w:right w:val="nil"/>
            </w:tcBorders>
          </w:tcPr>
          <w:p w14:paraId="6C8B54D0" w14:textId="67D22875" w:rsidR="00F7134D" w:rsidRPr="007B2BE1" w:rsidRDefault="007B2BE1" w:rsidP="001E406E">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第</w:t>
            </w:r>
            <w:r w:rsidRPr="007B2BE1">
              <w:rPr>
                <w:rFonts w:ascii="Times New Roman" w:eastAsia="標楷體" w:hAnsi="Times New Roman" w:cs="Times New Roman"/>
                <w:sz w:val="24"/>
                <w:szCs w:val="24"/>
                <w:u w:val="single"/>
                <w:lang w:eastAsia="zh-CN"/>
              </w:rPr>
              <w:t>82A(1)</w:t>
            </w:r>
            <w:r w:rsidRPr="007B2BE1">
              <w:rPr>
                <w:rFonts w:ascii="Times New Roman" w:eastAsia="標楷體" w:hAnsi="Times New Roman" w:cs="Times New Roman"/>
                <w:sz w:val="24"/>
                <w:szCs w:val="24"/>
                <w:u w:val="single"/>
                <w:lang w:eastAsia="zh-CN"/>
              </w:rPr>
              <w:t>条</w:t>
            </w:r>
          </w:p>
        </w:tc>
        <w:tc>
          <w:tcPr>
            <w:tcW w:w="1843" w:type="dxa"/>
            <w:tcBorders>
              <w:left w:val="nil"/>
            </w:tcBorders>
          </w:tcPr>
          <w:p w14:paraId="3841A547" w14:textId="006907E5" w:rsidR="00F7134D" w:rsidRPr="007B2BE1" w:rsidRDefault="007B2BE1" w:rsidP="001E406E">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补加税为少征收</w:t>
            </w:r>
          </w:p>
        </w:tc>
      </w:tr>
      <w:tr w:rsidR="00F7134D" w:rsidRPr="007B2BE1" w14:paraId="02ED9FAC" w14:textId="77777777" w:rsidTr="00747705">
        <w:trPr>
          <w:trHeight w:val="227"/>
        </w:trPr>
        <w:tc>
          <w:tcPr>
            <w:tcW w:w="1417" w:type="dxa"/>
            <w:tcBorders>
              <w:top w:val="nil"/>
              <w:left w:val="nil"/>
              <w:bottom w:val="nil"/>
              <w:right w:val="nil"/>
            </w:tcBorders>
          </w:tcPr>
          <w:p w14:paraId="28E838F2" w14:textId="0D854D00" w:rsidR="00F7134D" w:rsidRPr="007B2BE1" w:rsidRDefault="007B2BE1" w:rsidP="00F5089C">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课税年度</w:t>
            </w:r>
          </w:p>
        </w:tc>
        <w:tc>
          <w:tcPr>
            <w:tcW w:w="1559" w:type="dxa"/>
            <w:tcBorders>
              <w:top w:val="nil"/>
              <w:left w:val="nil"/>
              <w:bottom w:val="nil"/>
              <w:right w:val="nil"/>
            </w:tcBorders>
          </w:tcPr>
          <w:p w14:paraId="6CFF8406" w14:textId="4F402E6B" w:rsidR="00FC3AAA" w:rsidRPr="007B2BE1" w:rsidRDefault="007B2BE1" w:rsidP="00F5089C">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少征收税款</w:t>
            </w:r>
          </w:p>
          <w:p w14:paraId="6FDD57EE" w14:textId="2C38C808" w:rsidR="00FC3AAA" w:rsidRPr="007B2BE1" w:rsidRDefault="007B2BE1" w:rsidP="00F5089C">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元</w:t>
            </w:r>
          </w:p>
        </w:tc>
        <w:tc>
          <w:tcPr>
            <w:tcW w:w="1701" w:type="dxa"/>
            <w:tcBorders>
              <w:top w:val="nil"/>
              <w:left w:val="nil"/>
              <w:bottom w:val="nil"/>
              <w:right w:val="nil"/>
            </w:tcBorders>
          </w:tcPr>
          <w:p w14:paraId="5A3144E7" w14:textId="5EADF310" w:rsidR="00FC3AAA" w:rsidRPr="007B2BE1" w:rsidRDefault="007B2BE1" w:rsidP="001E406E">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补加税</w:t>
            </w:r>
          </w:p>
          <w:p w14:paraId="19833242" w14:textId="42804C4A" w:rsidR="00FC3AAA" w:rsidRPr="007B2BE1" w:rsidRDefault="007B2BE1" w:rsidP="001E406E">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元</w:t>
            </w:r>
          </w:p>
        </w:tc>
        <w:tc>
          <w:tcPr>
            <w:tcW w:w="1843" w:type="dxa"/>
            <w:tcBorders>
              <w:left w:val="nil"/>
            </w:tcBorders>
          </w:tcPr>
          <w:p w14:paraId="592BDDED" w14:textId="22EAEB89" w:rsidR="00F7134D" w:rsidRPr="007B2BE1" w:rsidRDefault="007B2BE1" w:rsidP="001E406E">
            <w:pPr>
              <w:overflowPunct w:val="0"/>
              <w:jc w:val="center"/>
              <w:rPr>
                <w:rFonts w:ascii="Times New Roman" w:eastAsia="標楷體" w:hAnsi="Times New Roman" w:cs="Times New Roman"/>
                <w:sz w:val="24"/>
                <w:szCs w:val="24"/>
                <w:u w:val="single"/>
              </w:rPr>
            </w:pPr>
            <w:r w:rsidRPr="007B2BE1">
              <w:rPr>
                <w:rFonts w:ascii="Times New Roman" w:eastAsia="標楷體" w:hAnsi="Times New Roman" w:cs="Times New Roman"/>
                <w:sz w:val="24"/>
                <w:szCs w:val="24"/>
                <w:u w:val="single"/>
                <w:lang w:eastAsia="zh-CN"/>
              </w:rPr>
              <w:t>税款的百份比</w:t>
            </w:r>
          </w:p>
        </w:tc>
      </w:tr>
      <w:tr w:rsidR="00F7134D" w:rsidRPr="007B2BE1" w14:paraId="09925D87" w14:textId="77777777" w:rsidTr="00747705">
        <w:trPr>
          <w:trHeight w:val="227"/>
        </w:trPr>
        <w:tc>
          <w:tcPr>
            <w:tcW w:w="1417" w:type="dxa"/>
            <w:tcBorders>
              <w:top w:val="nil"/>
              <w:left w:val="nil"/>
              <w:bottom w:val="nil"/>
              <w:right w:val="nil"/>
            </w:tcBorders>
          </w:tcPr>
          <w:p w14:paraId="0B0DAFEC" w14:textId="18C73BEB" w:rsidR="00F7134D" w:rsidRPr="007B2BE1" w:rsidRDefault="007B2BE1" w:rsidP="00F5089C">
            <w:pPr>
              <w:pStyle w:val="TableParagraph"/>
              <w:overflowPunct w:val="0"/>
              <w:spacing w:before="0"/>
              <w:ind w:left="40"/>
              <w:rPr>
                <w:rFonts w:eastAsia="標楷體"/>
                <w:sz w:val="24"/>
                <w:szCs w:val="24"/>
              </w:rPr>
            </w:pPr>
            <w:r w:rsidRPr="007B2BE1">
              <w:rPr>
                <w:rFonts w:eastAsia="標楷體"/>
                <w:sz w:val="24"/>
                <w:szCs w:val="24"/>
                <w:lang w:eastAsia="zh-CN"/>
              </w:rPr>
              <w:t>2011/12</w:t>
            </w:r>
          </w:p>
        </w:tc>
        <w:tc>
          <w:tcPr>
            <w:tcW w:w="1559" w:type="dxa"/>
            <w:tcBorders>
              <w:top w:val="nil"/>
              <w:left w:val="nil"/>
              <w:bottom w:val="nil"/>
              <w:right w:val="nil"/>
            </w:tcBorders>
          </w:tcPr>
          <w:p w14:paraId="7907E602" w14:textId="27F1AFA5" w:rsidR="00F7134D" w:rsidRPr="007B2BE1" w:rsidRDefault="007B2BE1" w:rsidP="00F5089C">
            <w:pPr>
              <w:pStyle w:val="TableParagraph"/>
              <w:overflowPunct w:val="0"/>
              <w:spacing w:before="0"/>
              <w:ind w:left="142" w:rightChars="174" w:right="418"/>
              <w:jc w:val="right"/>
              <w:rPr>
                <w:rFonts w:eastAsia="標楷體"/>
                <w:sz w:val="24"/>
                <w:szCs w:val="24"/>
              </w:rPr>
            </w:pPr>
            <w:r w:rsidRPr="007B2BE1">
              <w:rPr>
                <w:rFonts w:eastAsia="標楷體"/>
                <w:sz w:val="24"/>
                <w:szCs w:val="24"/>
                <w:lang w:eastAsia="zh-CN"/>
              </w:rPr>
              <w:t>200,898</w:t>
            </w:r>
          </w:p>
        </w:tc>
        <w:tc>
          <w:tcPr>
            <w:tcW w:w="1701" w:type="dxa"/>
            <w:tcBorders>
              <w:top w:val="nil"/>
              <w:left w:val="nil"/>
              <w:bottom w:val="nil"/>
              <w:right w:val="nil"/>
            </w:tcBorders>
          </w:tcPr>
          <w:p w14:paraId="5C4F053A" w14:textId="644B7E59" w:rsidR="00F7134D" w:rsidRPr="007B2BE1" w:rsidRDefault="007B2BE1" w:rsidP="00F5089C">
            <w:pPr>
              <w:pStyle w:val="TableParagraph"/>
              <w:overflowPunct w:val="0"/>
              <w:spacing w:before="0"/>
              <w:ind w:left="-6" w:rightChars="175" w:right="420"/>
              <w:jc w:val="right"/>
              <w:rPr>
                <w:rFonts w:eastAsia="標楷體"/>
                <w:sz w:val="24"/>
                <w:szCs w:val="24"/>
              </w:rPr>
            </w:pPr>
            <w:r w:rsidRPr="007B2BE1">
              <w:rPr>
                <w:rFonts w:eastAsia="標楷體"/>
                <w:sz w:val="24"/>
                <w:szCs w:val="24"/>
                <w:lang w:eastAsia="zh-CN"/>
              </w:rPr>
              <w:t>211,000</w:t>
            </w:r>
          </w:p>
        </w:tc>
        <w:tc>
          <w:tcPr>
            <w:tcW w:w="1843" w:type="dxa"/>
            <w:tcBorders>
              <w:top w:val="nil"/>
              <w:left w:val="nil"/>
              <w:bottom w:val="nil"/>
              <w:right w:val="nil"/>
            </w:tcBorders>
          </w:tcPr>
          <w:p w14:paraId="31E7180C" w14:textId="574A21E4"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105%</w:t>
            </w:r>
          </w:p>
        </w:tc>
      </w:tr>
      <w:tr w:rsidR="00F7134D" w:rsidRPr="007B2BE1" w14:paraId="251C4410" w14:textId="77777777" w:rsidTr="00747705">
        <w:trPr>
          <w:trHeight w:val="227"/>
        </w:trPr>
        <w:tc>
          <w:tcPr>
            <w:tcW w:w="1417" w:type="dxa"/>
            <w:tcBorders>
              <w:top w:val="nil"/>
            </w:tcBorders>
          </w:tcPr>
          <w:p w14:paraId="4F1ABD5D" w14:textId="5BF5E5AA"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2012/13</w:t>
            </w:r>
          </w:p>
        </w:tc>
        <w:tc>
          <w:tcPr>
            <w:tcW w:w="1559" w:type="dxa"/>
            <w:tcBorders>
              <w:top w:val="nil"/>
            </w:tcBorders>
          </w:tcPr>
          <w:p w14:paraId="4FDF70E6" w14:textId="46467C6B" w:rsidR="00F7134D" w:rsidRPr="007B2BE1" w:rsidRDefault="007B2BE1" w:rsidP="00F5089C">
            <w:pPr>
              <w:pStyle w:val="TableParagraph"/>
              <w:overflowPunct w:val="0"/>
              <w:spacing w:before="0"/>
              <w:ind w:left="142" w:rightChars="174" w:right="418"/>
              <w:jc w:val="right"/>
              <w:rPr>
                <w:rFonts w:eastAsia="標楷體"/>
                <w:sz w:val="24"/>
                <w:szCs w:val="24"/>
              </w:rPr>
            </w:pPr>
            <w:r w:rsidRPr="007B2BE1">
              <w:rPr>
                <w:rFonts w:eastAsia="標楷體"/>
                <w:sz w:val="24"/>
                <w:szCs w:val="24"/>
                <w:lang w:eastAsia="zh-CN"/>
              </w:rPr>
              <w:t>38,536</w:t>
            </w:r>
          </w:p>
        </w:tc>
        <w:tc>
          <w:tcPr>
            <w:tcW w:w="1701" w:type="dxa"/>
            <w:tcBorders>
              <w:top w:val="nil"/>
            </w:tcBorders>
          </w:tcPr>
          <w:p w14:paraId="49FB18C5" w14:textId="7B9F308F" w:rsidR="00F7134D" w:rsidRPr="007B2BE1" w:rsidRDefault="007B2BE1" w:rsidP="00F5089C">
            <w:pPr>
              <w:pStyle w:val="TableParagraph"/>
              <w:overflowPunct w:val="0"/>
              <w:spacing w:before="0"/>
              <w:ind w:left="-6" w:rightChars="175" w:right="420"/>
              <w:jc w:val="right"/>
              <w:rPr>
                <w:rFonts w:eastAsia="標楷體"/>
                <w:sz w:val="24"/>
                <w:szCs w:val="24"/>
              </w:rPr>
            </w:pPr>
            <w:r w:rsidRPr="007B2BE1">
              <w:rPr>
                <w:rFonts w:eastAsia="標楷體"/>
                <w:sz w:val="24"/>
                <w:szCs w:val="24"/>
                <w:lang w:eastAsia="zh-CN"/>
              </w:rPr>
              <w:t>40,500</w:t>
            </w:r>
          </w:p>
        </w:tc>
        <w:tc>
          <w:tcPr>
            <w:tcW w:w="1843" w:type="dxa"/>
            <w:tcBorders>
              <w:top w:val="nil"/>
            </w:tcBorders>
          </w:tcPr>
          <w:p w14:paraId="40F22904" w14:textId="77ABE30D"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105%</w:t>
            </w:r>
          </w:p>
        </w:tc>
      </w:tr>
      <w:tr w:rsidR="00F7134D" w:rsidRPr="007B2BE1" w14:paraId="3B95F571" w14:textId="77777777" w:rsidTr="00747705">
        <w:trPr>
          <w:trHeight w:val="227"/>
        </w:trPr>
        <w:tc>
          <w:tcPr>
            <w:tcW w:w="1417" w:type="dxa"/>
          </w:tcPr>
          <w:p w14:paraId="486BE9D6" w14:textId="617B1664"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2013/14</w:t>
            </w:r>
          </w:p>
        </w:tc>
        <w:tc>
          <w:tcPr>
            <w:tcW w:w="1559" w:type="dxa"/>
          </w:tcPr>
          <w:p w14:paraId="6EF69047" w14:textId="6C3D401B" w:rsidR="00F7134D" w:rsidRPr="007B2BE1" w:rsidRDefault="007B2BE1" w:rsidP="00F5089C">
            <w:pPr>
              <w:pStyle w:val="TableParagraph"/>
              <w:overflowPunct w:val="0"/>
              <w:spacing w:before="0"/>
              <w:ind w:left="142" w:rightChars="174" w:right="418"/>
              <w:jc w:val="right"/>
              <w:rPr>
                <w:rFonts w:eastAsia="標楷體"/>
                <w:sz w:val="24"/>
                <w:szCs w:val="24"/>
              </w:rPr>
            </w:pPr>
            <w:r w:rsidRPr="007B2BE1">
              <w:rPr>
                <w:rFonts w:eastAsia="標楷體"/>
                <w:sz w:val="24"/>
                <w:szCs w:val="24"/>
                <w:lang w:eastAsia="zh-CN"/>
              </w:rPr>
              <w:t>41,530</w:t>
            </w:r>
          </w:p>
        </w:tc>
        <w:tc>
          <w:tcPr>
            <w:tcW w:w="1701" w:type="dxa"/>
          </w:tcPr>
          <w:p w14:paraId="0409F652" w14:textId="6924E5E0" w:rsidR="00F7134D" w:rsidRPr="007B2BE1" w:rsidRDefault="007B2BE1" w:rsidP="00F5089C">
            <w:pPr>
              <w:pStyle w:val="TableParagraph"/>
              <w:overflowPunct w:val="0"/>
              <w:spacing w:before="0"/>
              <w:ind w:left="-6" w:rightChars="175" w:right="420"/>
              <w:jc w:val="right"/>
              <w:rPr>
                <w:rFonts w:eastAsia="標楷體"/>
                <w:sz w:val="24"/>
                <w:szCs w:val="24"/>
              </w:rPr>
            </w:pPr>
            <w:r w:rsidRPr="007B2BE1">
              <w:rPr>
                <w:rFonts w:eastAsia="標楷體"/>
                <w:sz w:val="24"/>
                <w:szCs w:val="24"/>
                <w:lang w:eastAsia="zh-CN"/>
              </w:rPr>
              <w:t>43,500</w:t>
            </w:r>
          </w:p>
        </w:tc>
        <w:tc>
          <w:tcPr>
            <w:tcW w:w="1843" w:type="dxa"/>
          </w:tcPr>
          <w:p w14:paraId="0D3B6B74" w14:textId="09912578"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105%</w:t>
            </w:r>
          </w:p>
        </w:tc>
      </w:tr>
      <w:tr w:rsidR="00F7134D" w:rsidRPr="007B2BE1" w14:paraId="280ECB8C" w14:textId="77777777" w:rsidTr="00747705">
        <w:trPr>
          <w:trHeight w:val="227"/>
        </w:trPr>
        <w:tc>
          <w:tcPr>
            <w:tcW w:w="1417" w:type="dxa"/>
          </w:tcPr>
          <w:p w14:paraId="02F5C1A7" w14:textId="495685A2"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2014/15</w:t>
            </w:r>
          </w:p>
        </w:tc>
        <w:tc>
          <w:tcPr>
            <w:tcW w:w="1559" w:type="dxa"/>
            <w:tcBorders>
              <w:bottom w:val="nil"/>
            </w:tcBorders>
          </w:tcPr>
          <w:p w14:paraId="2912CFBA" w14:textId="2B7D79B9" w:rsidR="00F7134D" w:rsidRPr="007B2BE1" w:rsidRDefault="007B2BE1" w:rsidP="00F5089C">
            <w:pPr>
              <w:pStyle w:val="TableParagraph"/>
              <w:overflowPunct w:val="0"/>
              <w:spacing w:before="0"/>
              <w:ind w:left="142" w:rightChars="174" w:right="418"/>
              <w:jc w:val="right"/>
              <w:rPr>
                <w:rFonts w:eastAsia="標楷體"/>
                <w:sz w:val="24"/>
                <w:szCs w:val="24"/>
              </w:rPr>
            </w:pPr>
            <w:r w:rsidRPr="007B2BE1">
              <w:rPr>
                <w:rFonts w:eastAsia="標楷體"/>
                <w:sz w:val="24"/>
                <w:szCs w:val="24"/>
                <w:lang w:eastAsia="zh-CN"/>
              </w:rPr>
              <w:t>65,466</w:t>
            </w:r>
          </w:p>
        </w:tc>
        <w:tc>
          <w:tcPr>
            <w:tcW w:w="1701" w:type="dxa"/>
            <w:tcBorders>
              <w:bottom w:val="nil"/>
            </w:tcBorders>
          </w:tcPr>
          <w:p w14:paraId="51B7E4EB" w14:textId="0B68FDB4" w:rsidR="00F7134D" w:rsidRPr="007B2BE1" w:rsidRDefault="007B2BE1" w:rsidP="00F5089C">
            <w:pPr>
              <w:pStyle w:val="TableParagraph"/>
              <w:overflowPunct w:val="0"/>
              <w:spacing w:before="0"/>
              <w:ind w:left="-6" w:rightChars="175" w:right="420"/>
              <w:jc w:val="right"/>
              <w:rPr>
                <w:rFonts w:eastAsia="標楷體"/>
                <w:sz w:val="24"/>
                <w:szCs w:val="24"/>
              </w:rPr>
            </w:pPr>
            <w:r w:rsidRPr="007B2BE1">
              <w:rPr>
                <w:rFonts w:eastAsia="標楷體"/>
                <w:sz w:val="24"/>
                <w:szCs w:val="24"/>
                <w:lang w:eastAsia="zh-CN"/>
              </w:rPr>
              <w:t>68,000</w:t>
            </w:r>
          </w:p>
        </w:tc>
        <w:tc>
          <w:tcPr>
            <w:tcW w:w="1843" w:type="dxa"/>
          </w:tcPr>
          <w:p w14:paraId="16D5EDC1" w14:textId="154EEEBB"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104%</w:t>
            </w:r>
          </w:p>
        </w:tc>
      </w:tr>
      <w:tr w:rsidR="00F7134D" w:rsidRPr="007B2BE1" w14:paraId="1D3DDC21" w14:textId="77777777" w:rsidTr="00747705">
        <w:trPr>
          <w:trHeight w:val="227"/>
        </w:trPr>
        <w:tc>
          <w:tcPr>
            <w:tcW w:w="1417" w:type="dxa"/>
            <w:tcBorders>
              <w:right w:val="nil"/>
            </w:tcBorders>
          </w:tcPr>
          <w:p w14:paraId="5AA389CE" w14:textId="1987E43D"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2015/16</w:t>
            </w:r>
          </w:p>
        </w:tc>
        <w:tc>
          <w:tcPr>
            <w:tcW w:w="1559" w:type="dxa"/>
            <w:tcBorders>
              <w:top w:val="nil"/>
              <w:left w:val="nil"/>
              <w:bottom w:val="nil"/>
              <w:right w:val="nil"/>
            </w:tcBorders>
          </w:tcPr>
          <w:p w14:paraId="4EEA9CC5" w14:textId="2C716D77" w:rsidR="00F7134D" w:rsidRPr="007B2BE1" w:rsidRDefault="007B2BE1" w:rsidP="00F5089C">
            <w:pPr>
              <w:pStyle w:val="TableParagraph"/>
              <w:overflowPunct w:val="0"/>
              <w:spacing w:before="0"/>
              <w:ind w:left="142" w:rightChars="174" w:right="418"/>
              <w:jc w:val="right"/>
              <w:rPr>
                <w:rFonts w:eastAsia="標楷體"/>
                <w:sz w:val="24"/>
                <w:szCs w:val="24"/>
                <w:u w:val="single"/>
              </w:rPr>
            </w:pPr>
            <w:r w:rsidRPr="007B2BE1">
              <w:rPr>
                <w:rFonts w:eastAsia="標楷體"/>
                <w:sz w:val="24"/>
                <w:szCs w:val="24"/>
                <w:u w:val="single"/>
                <w:lang w:eastAsia="zh-CN"/>
              </w:rPr>
              <w:t>45,231</w:t>
            </w:r>
          </w:p>
        </w:tc>
        <w:tc>
          <w:tcPr>
            <w:tcW w:w="1701" w:type="dxa"/>
            <w:tcBorders>
              <w:top w:val="nil"/>
              <w:left w:val="nil"/>
              <w:bottom w:val="nil"/>
              <w:right w:val="nil"/>
            </w:tcBorders>
          </w:tcPr>
          <w:p w14:paraId="198D11DA" w14:textId="74F3B788" w:rsidR="00F7134D" w:rsidRPr="007B2BE1" w:rsidRDefault="007B2BE1" w:rsidP="00F5089C">
            <w:pPr>
              <w:pStyle w:val="TableParagraph"/>
              <w:overflowPunct w:val="0"/>
              <w:spacing w:before="0"/>
              <w:ind w:left="-6" w:rightChars="175" w:right="420"/>
              <w:jc w:val="right"/>
              <w:rPr>
                <w:rFonts w:eastAsia="標楷體"/>
                <w:sz w:val="24"/>
                <w:szCs w:val="24"/>
                <w:u w:val="single"/>
              </w:rPr>
            </w:pPr>
            <w:r w:rsidRPr="007B2BE1">
              <w:rPr>
                <w:rFonts w:eastAsia="標楷體"/>
                <w:sz w:val="24"/>
                <w:szCs w:val="24"/>
                <w:u w:val="single"/>
                <w:lang w:eastAsia="zh-CN"/>
              </w:rPr>
              <w:t>47,000</w:t>
            </w:r>
          </w:p>
        </w:tc>
        <w:tc>
          <w:tcPr>
            <w:tcW w:w="1843" w:type="dxa"/>
            <w:tcBorders>
              <w:left w:val="nil"/>
            </w:tcBorders>
          </w:tcPr>
          <w:p w14:paraId="53F29B55" w14:textId="34FAC02D"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104%</w:t>
            </w:r>
          </w:p>
        </w:tc>
      </w:tr>
      <w:tr w:rsidR="00F7134D" w:rsidRPr="007B2BE1" w14:paraId="26115758" w14:textId="77777777" w:rsidTr="00747705">
        <w:trPr>
          <w:trHeight w:val="227"/>
        </w:trPr>
        <w:tc>
          <w:tcPr>
            <w:tcW w:w="1417" w:type="dxa"/>
            <w:tcBorders>
              <w:right w:val="nil"/>
            </w:tcBorders>
          </w:tcPr>
          <w:p w14:paraId="6932A611" w14:textId="50F02BCB" w:rsidR="00F7134D" w:rsidRPr="007B2BE1" w:rsidRDefault="007B2BE1" w:rsidP="00F5089C">
            <w:pPr>
              <w:pStyle w:val="TableParagraph"/>
              <w:overflowPunct w:val="0"/>
              <w:spacing w:before="0"/>
              <w:ind w:leftChars="145" w:left="348"/>
              <w:rPr>
                <w:rFonts w:eastAsia="標楷體"/>
                <w:sz w:val="24"/>
                <w:szCs w:val="24"/>
              </w:rPr>
            </w:pPr>
            <w:r w:rsidRPr="007B2BE1">
              <w:rPr>
                <w:rFonts w:eastAsia="標楷體"/>
                <w:sz w:val="24"/>
                <w:szCs w:val="24"/>
                <w:lang w:eastAsia="zh-CN"/>
              </w:rPr>
              <w:t>总数</w:t>
            </w:r>
          </w:p>
        </w:tc>
        <w:tc>
          <w:tcPr>
            <w:tcW w:w="1559" w:type="dxa"/>
            <w:tcBorders>
              <w:top w:val="nil"/>
              <w:left w:val="nil"/>
              <w:bottom w:val="nil"/>
              <w:right w:val="nil"/>
            </w:tcBorders>
          </w:tcPr>
          <w:p w14:paraId="145A5E3E" w14:textId="56870A61" w:rsidR="00F7134D" w:rsidRPr="007B2BE1" w:rsidRDefault="007B2BE1" w:rsidP="00F5089C">
            <w:pPr>
              <w:pStyle w:val="TableParagraph"/>
              <w:overflowPunct w:val="0"/>
              <w:spacing w:before="0"/>
              <w:ind w:left="142" w:rightChars="174" w:right="418"/>
              <w:jc w:val="right"/>
              <w:rPr>
                <w:rFonts w:eastAsia="標楷體"/>
                <w:sz w:val="24"/>
                <w:szCs w:val="24"/>
                <w:u w:val="double"/>
              </w:rPr>
            </w:pPr>
            <w:r w:rsidRPr="007B2BE1">
              <w:rPr>
                <w:rFonts w:eastAsia="標楷體"/>
                <w:sz w:val="24"/>
                <w:szCs w:val="24"/>
                <w:u w:val="double"/>
                <w:lang w:eastAsia="zh-CN"/>
              </w:rPr>
              <w:t>321,661</w:t>
            </w:r>
          </w:p>
        </w:tc>
        <w:tc>
          <w:tcPr>
            <w:tcW w:w="1701" w:type="dxa"/>
            <w:tcBorders>
              <w:top w:val="nil"/>
              <w:left w:val="nil"/>
              <w:bottom w:val="nil"/>
              <w:right w:val="nil"/>
            </w:tcBorders>
          </w:tcPr>
          <w:p w14:paraId="0C4B4C54" w14:textId="1FD82283" w:rsidR="00F7134D" w:rsidRPr="007B2BE1" w:rsidRDefault="007B2BE1" w:rsidP="00F5089C">
            <w:pPr>
              <w:pStyle w:val="TableParagraph"/>
              <w:overflowPunct w:val="0"/>
              <w:spacing w:before="0"/>
              <w:ind w:left="-6" w:rightChars="175" w:right="420"/>
              <w:jc w:val="right"/>
              <w:rPr>
                <w:rFonts w:eastAsia="標楷體"/>
                <w:sz w:val="24"/>
                <w:szCs w:val="24"/>
                <w:u w:val="double"/>
              </w:rPr>
            </w:pPr>
            <w:r w:rsidRPr="007B2BE1">
              <w:rPr>
                <w:rFonts w:eastAsia="標楷體"/>
                <w:sz w:val="24"/>
                <w:szCs w:val="24"/>
                <w:u w:val="double"/>
                <w:lang w:eastAsia="zh-CN"/>
              </w:rPr>
              <w:t>410,000</w:t>
            </w:r>
          </w:p>
        </w:tc>
        <w:tc>
          <w:tcPr>
            <w:tcW w:w="1843" w:type="dxa"/>
            <w:tcBorders>
              <w:left w:val="nil"/>
            </w:tcBorders>
          </w:tcPr>
          <w:p w14:paraId="3FBBE372" w14:textId="374F1644" w:rsidR="00F7134D" w:rsidRPr="007B2BE1" w:rsidRDefault="007B2BE1" w:rsidP="00F5089C">
            <w:pPr>
              <w:pStyle w:val="TableParagraph"/>
              <w:overflowPunct w:val="0"/>
              <w:spacing w:before="0"/>
              <w:rPr>
                <w:rFonts w:eastAsia="標楷體"/>
                <w:sz w:val="24"/>
                <w:szCs w:val="24"/>
              </w:rPr>
            </w:pPr>
            <w:r w:rsidRPr="007B2BE1">
              <w:rPr>
                <w:rFonts w:eastAsia="標楷體"/>
                <w:sz w:val="24"/>
                <w:szCs w:val="24"/>
                <w:lang w:eastAsia="zh-CN"/>
              </w:rPr>
              <w:t>105%</w:t>
            </w:r>
          </w:p>
        </w:tc>
      </w:tr>
    </w:tbl>
    <w:p w14:paraId="1D241F04" w14:textId="77777777" w:rsidR="00F5089C" w:rsidRPr="007B2BE1" w:rsidRDefault="00F5089C"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p w14:paraId="71A0E8EC" w14:textId="5C423031" w:rsidR="00F7134D" w:rsidRPr="007B2BE1" w:rsidRDefault="007B2BE1" w:rsidP="00F5089C">
      <w:pPr>
        <w:overflowPunct w:val="0"/>
        <w:autoSpaceDE w:val="0"/>
        <w:autoSpaceDN w:val="0"/>
        <w:adjustRightInd w:val="0"/>
        <w:ind w:leftChars="878" w:left="2107"/>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注</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：若个案中的纳税人由于鲁莽疏忽遗漏，犯事的严重程度较低，可被界定为组别</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w:t>
      </w:r>
    </w:p>
    <w:p w14:paraId="45149561" w14:textId="77777777" w:rsidR="00F7134D" w:rsidRPr="007B2BE1" w:rsidRDefault="00F7134D"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1A3F0A0E" w14:textId="2F8BBBCE" w:rsidR="00F7134D"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公司已缴清上文第</w:t>
      </w:r>
      <w:r w:rsidRPr="007B2BE1">
        <w:rPr>
          <w:rFonts w:ascii="Times New Roman" w:eastAsia="標楷體" w:hAnsi="Times New Roman" w:cs="Times New Roman"/>
          <w:lang w:val="en-US" w:eastAsia="zh-CN"/>
        </w:rPr>
        <w:t>44</w:t>
      </w:r>
      <w:r w:rsidRPr="007B2BE1">
        <w:rPr>
          <w:rFonts w:ascii="Times New Roman" w:eastAsia="標楷體" w:hAnsi="Times New Roman" w:cs="Times New Roman"/>
          <w:lang w:val="en-US" w:eastAsia="zh-CN"/>
        </w:rPr>
        <w:t>项所列的补加税。</w:t>
      </w:r>
    </w:p>
    <w:p w14:paraId="20BAAD17" w14:textId="77777777" w:rsidR="001F0676" w:rsidRPr="007B2BE1" w:rsidRDefault="001F0676" w:rsidP="001F067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74511201" w14:textId="14812D21" w:rsidR="00D06500"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先生没有就税例第</w:t>
      </w:r>
      <w:r w:rsidRPr="007B2BE1">
        <w:rPr>
          <w:rFonts w:ascii="Times New Roman" w:eastAsia="標楷體" w:hAnsi="Times New Roman" w:cs="Times New Roman"/>
          <w:lang w:val="en-US" w:eastAsia="zh-CN"/>
        </w:rPr>
        <w:t>82A(4)</w:t>
      </w:r>
      <w:r w:rsidRPr="007B2BE1">
        <w:rPr>
          <w:rFonts w:ascii="Times New Roman" w:eastAsia="標楷體" w:hAnsi="Times New Roman" w:cs="Times New Roman"/>
          <w:lang w:val="en-US" w:eastAsia="zh-CN"/>
        </w:rPr>
        <w:t>条通知书作出书面申述。局长不信纳</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先生有合理辩解导致填报不正确报税表及不通知税务局他须课税。经考虑到</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先生的背景、漏报入息的情况、</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先生就差饷及贷款利息所作的逾时申索及整个审核个案的情况等，局长在</w:t>
      </w:r>
      <w:r w:rsidRPr="007B2BE1">
        <w:rPr>
          <w:rFonts w:ascii="Times New Roman" w:eastAsia="標楷體" w:hAnsi="Times New Roman" w:cs="Times New Roman"/>
          <w:lang w:val="en-US" w:eastAsia="zh-CN"/>
        </w:rPr>
        <w:t>2019</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16</w:t>
      </w:r>
      <w:r w:rsidRPr="007B2BE1">
        <w:rPr>
          <w:rFonts w:ascii="Times New Roman" w:eastAsia="標楷體" w:hAnsi="Times New Roman" w:cs="Times New Roman"/>
          <w:lang w:val="en-US" w:eastAsia="zh-CN"/>
        </w:rPr>
        <w:t>日根据税例第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条向</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先生发出下述的评定及缴纳补加税通知书，界定此个案为「不完全披露或延迟披露事实」组别</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组别</w:t>
      </w:r>
      <w:r w:rsidRPr="007B2BE1">
        <w:rPr>
          <w:rFonts w:ascii="Times New Roman" w:eastAsia="標楷體" w:hAnsi="Times New Roman" w:cs="Times New Roman"/>
          <w:lang w:val="en-US" w:eastAsia="zh-CN"/>
        </w:rPr>
        <w:t>(b)) (</w:t>
      </w:r>
      <w:r w:rsidRPr="007B2BE1">
        <w:rPr>
          <w:rFonts w:ascii="Times New Roman" w:eastAsia="標楷體" w:hAnsi="Times New Roman" w:cs="Times New Roman"/>
          <w:lang w:val="en-US" w:eastAsia="zh-CN"/>
        </w:rPr>
        <w:t>注</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，并以一般邮递方式把通知书寄至</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公司的通讯地址：</w:t>
      </w:r>
    </w:p>
    <w:p w14:paraId="55D2C155" w14:textId="77777777" w:rsidR="00F0187F" w:rsidRPr="007B2BE1" w:rsidRDefault="00F0187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CN"/>
        </w:rPr>
      </w:pPr>
    </w:p>
    <w:tbl>
      <w:tblPr>
        <w:tblStyle w:val="TableNormal1"/>
        <w:tblW w:w="8309" w:type="dxa"/>
        <w:tblInd w:w="426" w:type="dxa"/>
        <w:tblBorders>
          <w:top w:val="nil"/>
          <w:left w:val="nil"/>
          <w:bottom w:val="nil"/>
          <w:right w:val="nil"/>
          <w:insideH w:val="nil"/>
          <w:insideV w:val="nil"/>
        </w:tblBorders>
        <w:tblLayout w:type="fixed"/>
        <w:tblLook w:val="01E0" w:firstRow="1" w:lastRow="1" w:firstColumn="1" w:lastColumn="1" w:noHBand="0" w:noVBand="0"/>
      </w:tblPr>
      <w:tblGrid>
        <w:gridCol w:w="1275"/>
        <w:gridCol w:w="1843"/>
        <w:gridCol w:w="1559"/>
        <w:gridCol w:w="1843"/>
        <w:gridCol w:w="1789"/>
      </w:tblGrid>
      <w:tr w:rsidR="00CD3387" w:rsidRPr="007B2BE1" w14:paraId="7DD7F632" w14:textId="77777777" w:rsidTr="004F0160">
        <w:trPr>
          <w:trHeight w:val="227"/>
          <w:tblHeader/>
        </w:trPr>
        <w:tc>
          <w:tcPr>
            <w:tcW w:w="1275" w:type="dxa"/>
            <w:tcBorders>
              <w:top w:val="nil"/>
              <w:left w:val="nil"/>
              <w:bottom w:val="nil"/>
              <w:right w:val="nil"/>
            </w:tcBorders>
          </w:tcPr>
          <w:p w14:paraId="095D3FCE" w14:textId="77777777" w:rsidR="00F0187F" w:rsidRPr="007B2BE1" w:rsidRDefault="00F0187F" w:rsidP="001F0676">
            <w:pPr>
              <w:overflowPunct w:val="0"/>
              <w:jc w:val="center"/>
              <w:rPr>
                <w:rFonts w:ascii="Times New Roman" w:eastAsia="標楷體" w:hAnsi="Times New Roman" w:cs="Times New Roman"/>
                <w:sz w:val="24"/>
                <w:szCs w:val="24"/>
                <w:u w:val="single"/>
                <w:lang w:eastAsia="zh-CN"/>
              </w:rPr>
            </w:pPr>
          </w:p>
          <w:p w14:paraId="59657D54" w14:textId="18326959" w:rsidR="00F0187F" w:rsidRPr="007B2BE1" w:rsidRDefault="007B2BE1" w:rsidP="001F0676">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课税年度</w:t>
            </w:r>
          </w:p>
        </w:tc>
        <w:tc>
          <w:tcPr>
            <w:tcW w:w="1843" w:type="dxa"/>
            <w:tcBorders>
              <w:left w:val="nil"/>
              <w:right w:val="nil"/>
            </w:tcBorders>
          </w:tcPr>
          <w:p w14:paraId="2585E1E6" w14:textId="77777777" w:rsidR="00F0187F" w:rsidRPr="007B2BE1" w:rsidRDefault="00F0187F" w:rsidP="001F0676">
            <w:pPr>
              <w:overflowPunct w:val="0"/>
              <w:jc w:val="center"/>
              <w:rPr>
                <w:rFonts w:ascii="Times New Roman" w:eastAsia="標楷體" w:hAnsi="Times New Roman" w:cs="Times New Roman"/>
                <w:sz w:val="24"/>
                <w:szCs w:val="24"/>
                <w:u w:val="single"/>
                <w:lang w:eastAsia="zh-TW"/>
              </w:rPr>
            </w:pPr>
          </w:p>
          <w:p w14:paraId="1C37FAFD" w14:textId="619D0F83" w:rsidR="00F0187F" w:rsidRPr="007B2BE1" w:rsidRDefault="007B2BE1" w:rsidP="001F0676">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税种</w:t>
            </w:r>
          </w:p>
        </w:tc>
        <w:tc>
          <w:tcPr>
            <w:tcW w:w="1559" w:type="dxa"/>
            <w:tcBorders>
              <w:top w:val="nil"/>
              <w:left w:val="nil"/>
              <w:bottom w:val="nil"/>
              <w:right w:val="nil"/>
            </w:tcBorders>
          </w:tcPr>
          <w:p w14:paraId="2AA48BDC" w14:textId="77777777" w:rsidR="00F0187F" w:rsidRPr="007B2BE1" w:rsidRDefault="00F0187F" w:rsidP="001E406E">
            <w:pPr>
              <w:overflowPunct w:val="0"/>
              <w:jc w:val="center"/>
              <w:rPr>
                <w:rFonts w:ascii="Times New Roman" w:eastAsia="標楷體" w:hAnsi="Times New Roman" w:cs="Times New Roman"/>
                <w:sz w:val="24"/>
                <w:szCs w:val="24"/>
                <w:u w:val="single"/>
                <w:lang w:eastAsia="zh-TW"/>
              </w:rPr>
            </w:pPr>
          </w:p>
          <w:p w14:paraId="7BAB2AAB" w14:textId="1507FBAD" w:rsidR="00F0187F" w:rsidRPr="007B2BE1" w:rsidRDefault="007B2BE1" w:rsidP="001E406E">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少征收税款</w:t>
            </w:r>
          </w:p>
          <w:p w14:paraId="0596497F" w14:textId="5F46A267" w:rsidR="00F4091A" w:rsidRPr="007B2BE1" w:rsidRDefault="007B2BE1" w:rsidP="001F0676">
            <w:pPr>
              <w:pStyle w:val="TableParagraph"/>
              <w:overflowPunct w:val="0"/>
              <w:spacing w:before="0"/>
              <w:ind w:left="-4"/>
              <w:rPr>
                <w:rFonts w:eastAsia="標楷體"/>
                <w:sz w:val="24"/>
                <w:szCs w:val="24"/>
              </w:rPr>
            </w:pPr>
            <w:r w:rsidRPr="007B2BE1">
              <w:rPr>
                <w:rFonts w:eastAsia="標楷體"/>
                <w:sz w:val="24"/>
                <w:szCs w:val="24"/>
                <w:lang w:eastAsia="zh-CN"/>
              </w:rPr>
              <w:t>元</w:t>
            </w:r>
          </w:p>
        </w:tc>
        <w:tc>
          <w:tcPr>
            <w:tcW w:w="1843" w:type="dxa"/>
            <w:tcBorders>
              <w:left w:val="nil"/>
              <w:right w:val="nil"/>
            </w:tcBorders>
          </w:tcPr>
          <w:p w14:paraId="718E470E" w14:textId="1A236BF6" w:rsidR="00F0187F" w:rsidRPr="007B2BE1" w:rsidRDefault="007B2BE1" w:rsidP="00CD3387">
            <w:pPr>
              <w:overflowPunct w:val="0"/>
              <w:ind w:rightChars="235" w:right="564"/>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第</w:t>
            </w:r>
            <w:r w:rsidRPr="007B2BE1">
              <w:rPr>
                <w:rFonts w:ascii="Times New Roman" w:eastAsia="標楷體" w:hAnsi="Times New Roman" w:cs="Times New Roman"/>
                <w:sz w:val="24"/>
                <w:szCs w:val="24"/>
                <w:u w:val="single"/>
                <w:lang w:eastAsia="zh-CN"/>
              </w:rPr>
              <w:t>82A(1)</w:t>
            </w:r>
            <w:r w:rsidRPr="007B2BE1">
              <w:rPr>
                <w:rFonts w:ascii="Times New Roman" w:eastAsia="標楷體" w:hAnsi="Times New Roman" w:cs="Times New Roman"/>
                <w:sz w:val="24"/>
                <w:szCs w:val="24"/>
                <w:u w:val="single"/>
                <w:lang w:eastAsia="zh-CN"/>
              </w:rPr>
              <w:t>条</w:t>
            </w:r>
          </w:p>
          <w:p w14:paraId="7DB3EBAE" w14:textId="5759CEC7" w:rsidR="00F4091A" w:rsidRPr="007B2BE1" w:rsidRDefault="007B2BE1" w:rsidP="00CD3387">
            <w:pPr>
              <w:pStyle w:val="TableParagraph"/>
              <w:overflowPunct w:val="0"/>
              <w:spacing w:before="0"/>
              <w:ind w:left="117" w:rightChars="235" w:right="564"/>
              <w:rPr>
                <w:rFonts w:eastAsia="標楷體"/>
                <w:sz w:val="24"/>
                <w:szCs w:val="24"/>
                <w:u w:val="single"/>
                <w:lang w:eastAsia="zh-TW"/>
              </w:rPr>
            </w:pPr>
            <w:r w:rsidRPr="007B2BE1">
              <w:rPr>
                <w:rFonts w:eastAsia="標楷體"/>
                <w:sz w:val="24"/>
                <w:szCs w:val="24"/>
                <w:u w:val="single"/>
                <w:lang w:eastAsia="zh-CN"/>
              </w:rPr>
              <w:t>补加税</w:t>
            </w:r>
          </w:p>
          <w:p w14:paraId="7A48CD95" w14:textId="6778F891" w:rsidR="00F0187F" w:rsidRPr="007B2BE1" w:rsidRDefault="007B2BE1" w:rsidP="00CD3387">
            <w:pPr>
              <w:pStyle w:val="TableParagraph"/>
              <w:overflowPunct w:val="0"/>
              <w:spacing w:before="0"/>
              <w:ind w:left="117" w:rightChars="235" w:right="564"/>
              <w:rPr>
                <w:rFonts w:eastAsia="標楷體"/>
                <w:sz w:val="24"/>
                <w:szCs w:val="24"/>
              </w:rPr>
            </w:pPr>
            <w:r w:rsidRPr="007B2BE1">
              <w:rPr>
                <w:rFonts w:eastAsia="標楷體"/>
                <w:sz w:val="24"/>
                <w:szCs w:val="24"/>
                <w:lang w:eastAsia="zh-CN"/>
              </w:rPr>
              <w:t>元</w:t>
            </w:r>
          </w:p>
        </w:tc>
        <w:tc>
          <w:tcPr>
            <w:tcW w:w="1789" w:type="dxa"/>
            <w:tcBorders>
              <w:top w:val="nil"/>
              <w:left w:val="nil"/>
              <w:bottom w:val="nil"/>
              <w:right w:val="nil"/>
            </w:tcBorders>
          </w:tcPr>
          <w:p w14:paraId="5603C3BD" w14:textId="32DF9A65" w:rsidR="00F0187F" w:rsidRPr="007B2BE1" w:rsidRDefault="007B2BE1" w:rsidP="001E406E">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补加税为少征收</w:t>
            </w:r>
          </w:p>
          <w:p w14:paraId="6979182D" w14:textId="06BF370D" w:rsidR="00F0187F" w:rsidRPr="007B2BE1" w:rsidRDefault="007B2BE1" w:rsidP="001E406E">
            <w:pPr>
              <w:overflowPunct w:val="0"/>
              <w:jc w:val="center"/>
              <w:rPr>
                <w:rFonts w:ascii="Times New Roman" w:eastAsia="標楷體" w:hAnsi="Times New Roman" w:cs="Times New Roman"/>
                <w:sz w:val="24"/>
                <w:szCs w:val="24"/>
                <w:u w:val="single"/>
                <w:lang w:eastAsia="zh-TW"/>
              </w:rPr>
            </w:pPr>
            <w:r w:rsidRPr="007B2BE1">
              <w:rPr>
                <w:rFonts w:ascii="Times New Roman" w:eastAsia="標楷體" w:hAnsi="Times New Roman" w:cs="Times New Roman"/>
                <w:sz w:val="24"/>
                <w:szCs w:val="24"/>
                <w:u w:val="single"/>
                <w:lang w:eastAsia="zh-CN"/>
              </w:rPr>
              <w:t>税款的百份比</w:t>
            </w:r>
          </w:p>
          <w:p w14:paraId="65A1737A" w14:textId="77777777" w:rsidR="00F0187F" w:rsidRPr="007B2BE1" w:rsidRDefault="00F0187F" w:rsidP="001E406E">
            <w:pPr>
              <w:overflowPunct w:val="0"/>
              <w:jc w:val="center"/>
              <w:rPr>
                <w:rFonts w:ascii="Times New Roman" w:eastAsia="標楷體" w:hAnsi="Times New Roman" w:cs="Times New Roman"/>
                <w:sz w:val="24"/>
                <w:szCs w:val="24"/>
                <w:lang w:eastAsia="zh-TW"/>
              </w:rPr>
            </w:pPr>
          </w:p>
        </w:tc>
      </w:tr>
      <w:tr w:rsidR="00CD3387" w:rsidRPr="007B2BE1" w14:paraId="38CC305F" w14:textId="77777777" w:rsidTr="00747705">
        <w:trPr>
          <w:trHeight w:val="227"/>
        </w:trPr>
        <w:tc>
          <w:tcPr>
            <w:tcW w:w="1275" w:type="dxa"/>
            <w:tcBorders>
              <w:top w:val="nil"/>
            </w:tcBorders>
          </w:tcPr>
          <w:p w14:paraId="41F0DC0A" w14:textId="1A6C4E5C"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2007/08</w:t>
            </w:r>
          </w:p>
        </w:tc>
        <w:tc>
          <w:tcPr>
            <w:tcW w:w="1843" w:type="dxa"/>
          </w:tcPr>
          <w:p w14:paraId="4F5B8A60" w14:textId="4BFA6F04" w:rsidR="00F0187F" w:rsidRPr="007B2BE1" w:rsidRDefault="007B2BE1" w:rsidP="00CD3387">
            <w:pPr>
              <w:pStyle w:val="TableParagraph"/>
              <w:overflowPunct w:val="0"/>
              <w:spacing w:before="0"/>
              <w:rPr>
                <w:rFonts w:eastAsia="標楷體"/>
                <w:sz w:val="24"/>
                <w:szCs w:val="24"/>
              </w:rPr>
            </w:pPr>
            <w:r w:rsidRPr="007B2BE1">
              <w:rPr>
                <w:rFonts w:eastAsia="標楷體"/>
                <w:sz w:val="24"/>
                <w:szCs w:val="24"/>
                <w:lang w:eastAsia="zh-CN"/>
              </w:rPr>
              <w:t>物业税</w:t>
            </w:r>
          </w:p>
        </w:tc>
        <w:tc>
          <w:tcPr>
            <w:tcW w:w="1559" w:type="dxa"/>
            <w:tcBorders>
              <w:top w:val="nil"/>
            </w:tcBorders>
          </w:tcPr>
          <w:p w14:paraId="59C1B820" w14:textId="4A1CC2DE" w:rsidR="00F0187F" w:rsidRPr="007B2BE1" w:rsidRDefault="007B2BE1" w:rsidP="00CD3387">
            <w:pPr>
              <w:pStyle w:val="TableParagraph"/>
              <w:overflowPunct w:val="0"/>
              <w:spacing w:before="0"/>
              <w:ind w:leftChars="115" w:left="276" w:rightChars="179" w:right="430"/>
              <w:jc w:val="right"/>
              <w:rPr>
                <w:rFonts w:eastAsia="標楷體"/>
                <w:sz w:val="24"/>
                <w:szCs w:val="24"/>
              </w:rPr>
            </w:pPr>
            <w:r w:rsidRPr="007B2BE1">
              <w:rPr>
                <w:rFonts w:eastAsia="標楷體"/>
                <w:sz w:val="24"/>
                <w:szCs w:val="24"/>
                <w:lang w:eastAsia="zh-CN"/>
              </w:rPr>
              <w:t>303</w:t>
            </w:r>
          </w:p>
        </w:tc>
        <w:tc>
          <w:tcPr>
            <w:tcW w:w="1843" w:type="dxa"/>
          </w:tcPr>
          <w:p w14:paraId="54F43008" w14:textId="3C567988" w:rsidR="00F0187F" w:rsidRPr="007B2BE1" w:rsidRDefault="007B2BE1" w:rsidP="00CD3387">
            <w:pPr>
              <w:pStyle w:val="TableParagraph"/>
              <w:overflowPunct w:val="0"/>
              <w:spacing w:before="0"/>
              <w:ind w:left="175" w:rightChars="1" w:right="2"/>
              <w:jc w:val="right"/>
              <w:rPr>
                <w:rFonts w:eastAsia="標楷體"/>
                <w:sz w:val="24"/>
                <w:szCs w:val="24"/>
              </w:rPr>
            </w:pPr>
            <w:r w:rsidRPr="007B2BE1">
              <w:rPr>
                <w:rFonts w:eastAsia="標楷體"/>
                <w:sz w:val="24"/>
                <w:szCs w:val="24"/>
                <w:lang w:eastAsia="zh-CN"/>
              </w:rPr>
              <w:t>- (</w:t>
            </w:r>
            <w:r w:rsidRPr="007B2BE1">
              <w:rPr>
                <w:rFonts w:eastAsia="標楷體"/>
                <w:sz w:val="24"/>
                <w:szCs w:val="24"/>
                <w:lang w:eastAsia="zh-CN"/>
              </w:rPr>
              <w:t>注</w:t>
            </w:r>
            <w:r w:rsidRPr="007B2BE1">
              <w:rPr>
                <w:rFonts w:eastAsia="標楷體"/>
                <w:sz w:val="24"/>
                <w:szCs w:val="24"/>
                <w:lang w:eastAsia="zh-CN"/>
              </w:rPr>
              <w:t>12)</w:t>
            </w:r>
          </w:p>
        </w:tc>
        <w:tc>
          <w:tcPr>
            <w:tcW w:w="1789" w:type="dxa"/>
            <w:tcBorders>
              <w:top w:val="nil"/>
            </w:tcBorders>
          </w:tcPr>
          <w:p w14:paraId="50C53697" w14:textId="6324B28F" w:rsidR="00F0187F" w:rsidRPr="007B2BE1" w:rsidRDefault="007B2BE1" w:rsidP="001F0676">
            <w:pPr>
              <w:overflowPunct w:val="0"/>
              <w:jc w:val="center"/>
              <w:rPr>
                <w:rFonts w:ascii="Times New Roman" w:eastAsia="標楷體" w:hAnsi="Times New Roman" w:cs="Times New Roman"/>
                <w:sz w:val="24"/>
                <w:szCs w:val="24"/>
              </w:rPr>
            </w:pPr>
            <w:r w:rsidRPr="007B2BE1">
              <w:rPr>
                <w:rFonts w:ascii="Times New Roman" w:eastAsia="標楷體" w:hAnsi="Times New Roman" w:cs="Times New Roman"/>
                <w:sz w:val="24"/>
                <w:szCs w:val="24"/>
                <w:lang w:eastAsia="zh-CN"/>
              </w:rPr>
              <w:t>-</w:t>
            </w:r>
          </w:p>
        </w:tc>
      </w:tr>
      <w:tr w:rsidR="00CD3387" w:rsidRPr="007B2BE1" w14:paraId="25E94270" w14:textId="77777777" w:rsidTr="00747705">
        <w:trPr>
          <w:trHeight w:val="227"/>
        </w:trPr>
        <w:tc>
          <w:tcPr>
            <w:tcW w:w="1275" w:type="dxa"/>
          </w:tcPr>
          <w:p w14:paraId="0C688D79" w14:textId="4A5164D5"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2008/09</w:t>
            </w:r>
          </w:p>
        </w:tc>
        <w:tc>
          <w:tcPr>
            <w:tcW w:w="1843" w:type="dxa"/>
          </w:tcPr>
          <w:p w14:paraId="22081015" w14:textId="2A35E355" w:rsidR="00F0187F" w:rsidRPr="007B2BE1" w:rsidRDefault="007B2BE1" w:rsidP="00CD3387">
            <w:pPr>
              <w:pStyle w:val="TableParagraph"/>
              <w:overflowPunct w:val="0"/>
              <w:spacing w:before="0"/>
              <w:rPr>
                <w:rFonts w:eastAsia="標楷體"/>
                <w:sz w:val="24"/>
                <w:szCs w:val="24"/>
              </w:rPr>
            </w:pPr>
            <w:r w:rsidRPr="007B2BE1">
              <w:rPr>
                <w:rFonts w:eastAsia="標楷體"/>
                <w:sz w:val="24"/>
                <w:szCs w:val="24"/>
                <w:lang w:eastAsia="zh-CN"/>
              </w:rPr>
              <w:t>物业税</w:t>
            </w:r>
          </w:p>
        </w:tc>
        <w:tc>
          <w:tcPr>
            <w:tcW w:w="1559" w:type="dxa"/>
          </w:tcPr>
          <w:p w14:paraId="2A5DC727" w14:textId="04EC9394" w:rsidR="00F0187F" w:rsidRPr="007B2BE1" w:rsidRDefault="007B2BE1" w:rsidP="00CD3387">
            <w:pPr>
              <w:pStyle w:val="TableParagraph"/>
              <w:overflowPunct w:val="0"/>
              <w:spacing w:before="0"/>
              <w:ind w:leftChars="115" w:left="276" w:rightChars="179" w:right="430"/>
              <w:jc w:val="right"/>
              <w:rPr>
                <w:rFonts w:eastAsia="標楷體"/>
                <w:sz w:val="24"/>
                <w:szCs w:val="24"/>
              </w:rPr>
            </w:pPr>
            <w:r w:rsidRPr="007B2BE1">
              <w:rPr>
                <w:rFonts w:eastAsia="標楷體"/>
                <w:sz w:val="24"/>
                <w:szCs w:val="24"/>
                <w:lang w:eastAsia="zh-CN"/>
              </w:rPr>
              <w:t>12,215</w:t>
            </w:r>
          </w:p>
        </w:tc>
        <w:tc>
          <w:tcPr>
            <w:tcW w:w="1843" w:type="dxa"/>
          </w:tcPr>
          <w:p w14:paraId="6AADEE9E" w14:textId="73A7C87A" w:rsidR="00F0187F" w:rsidRPr="007B2BE1" w:rsidRDefault="007B2BE1" w:rsidP="00CD3387">
            <w:pPr>
              <w:pStyle w:val="TableParagraph"/>
              <w:overflowPunct w:val="0"/>
              <w:spacing w:before="0"/>
              <w:ind w:rightChars="1" w:right="2"/>
              <w:jc w:val="right"/>
              <w:rPr>
                <w:rFonts w:eastAsia="標楷體"/>
                <w:sz w:val="24"/>
                <w:szCs w:val="24"/>
              </w:rPr>
            </w:pPr>
            <w:r w:rsidRPr="007B2BE1">
              <w:rPr>
                <w:rFonts w:eastAsia="標楷體"/>
                <w:sz w:val="24"/>
                <w:szCs w:val="24"/>
                <w:lang w:eastAsia="zh-CN"/>
              </w:rPr>
              <w:t>6,700 (</w:t>
            </w:r>
            <w:r w:rsidRPr="007B2BE1">
              <w:rPr>
                <w:rFonts w:eastAsia="標楷體"/>
                <w:sz w:val="24"/>
                <w:szCs w:val="24"/>
                <w:lang w:eastAsia="zh-CN"/>
              </w:rPr>
              <w:t>注</w:t>
            </w:r>
            <w:r w:rsidRPr="007B2BE1">
              <w:rPr>
                <w:rFonts w:eastAsia="標楷體"/>
                <w:sz w:val="24"/>
                <w:szCs w:val="24"/>
                <w:lang w:eastAsia="zh-CN"/>
              </w:rPr>
              <w:t>12)</w:t>
            </w:r>
          </w:p>
        </w:tc>
        <w:tc>
          <w:tcPr>
            <w:tcW w:w="1789" w:type="dxa"/>
          </w:tcPr>
          <w:p w14:paraId="2DA8203B" w14:textId="7BEBE087"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55%</w:t>
            </w:r>
          </w:p>
        </w:tc>
      </w:tr>
      <w:tr w:rsidR="00CD3387" w:rsidRPr="007B2BE1" w14:paraId="602EB7B7" w14:textId="77777777" w:rsidTr="00747705">
        <w:trPr>
          <w:trHeight w:val="227"/>
        </w:trPr>
        <w:tc>
          <w:tcPr>
            <w:tcW w:w="1275" w:type="dxa"/>
          </w:tcPr>
          <w:p w14:paraId="00A695B6" w14:textId="7701A03F"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2009/10</w:t>
            </w:r>
          </w:p>
        </w:tc>
        <w:tc>
          <w:tcPr>
            <w:tcW w:w="1843" w:type="dxa"/>
          </w:tcPr>
          <w:p w14:paraId="11CA247D" w14:textId="7879BA3D" w:rsidR="00F0187F" w:rsidRPr="007B2BE1" w:rsidRDefault="007B2BE1" w:rsidP="00CD3387">
            <w:pPr>
              <w:pStyle w:val="TableParagraph"/>
              <w:overflowPunct w:val="0"/>
              <w:spacing w:before="0"/>
              <w:rPr>
                <w:rFonts w:eastAsia="標楷體"/>
                <w:sz w:val="24"/>
                <w:szCs w:val="24"/>
              </w:rPr>
            </w:pPr>
            <w:r w:rsidRPr="007B2BE1">
              <w:rPr>
                <w:rFonts w:eastAsia="標楷體"/>
                <w:sz w:val="24"/>
                <w:szCs w:val="24"/>
                <w:lang w:eastAsia="zh-CN"/>
              </w:rPr>
              <w:t>物业税及薪俸税</w:t>
            </w:r>
          </w:p>
        </w:tc>
        <w:tc>
          <w:tcPr>
            <w:tcW w:w="1559" w:type="dxa"/>
          </w:tcPr>
          <w:p w14:paraId="12E679D3" w14:textId="73A5AAAB" w:rsidR="00F0187F" w:rsidRPr="007B2BE1" w:rsidRDefault="007B2BE1" w:rsidP="00CD3387">
            <w:pPr>
              <w:pStyle w:val="TableParagraph"/>
              <w:overflowPunct w:val="0"/>
              <w:spacing w:before="0"/>
              <w:ind w:leftChars="115" w:left="276" w:rightChars="179" w:right="430"/>
              <w:jc w:val="right"/>
              <w:rPr>
                <w:rFonts w:eastAsia="標楷體"/>
                <w:sz w:val="24"/>
                <w:szCs w:val="24"/>
              </w:rPr>
            </w:pPr>
            <w:r w:rsidRPr="007B2BE1">
              <w:rPr>
                <w:rFonts w:eastAsia="標楷體"/>
                <w:sz w:val="24"/>
                <w:szCs w:val="24"/>
                <w:lang w:eastAsia="zh-CN"/>
              </w:rPr>
              <w:t>181,519</w:t>
            </w:r>
          </w:p>
        </w:tc>
        <w:tc>
          <w:tcPr>
            <w:tcW w:w="1843" w:type="dxa"/>
          </w:tcPr>
          <w:p w14:paraId="2EDC4B4A" w14:textId="262DD3A0" w:rsidR="00F0187F" w:rsidRPr="007B2BE1" w:rsidRDefault="007B2BE1" w:rsidP="00CD3387">
            <w:pPr>
              <w:pStyle w:val="TableParagraph"/>
              <w:overflowPunct w:val="0"/>
              <w:spacing w:before="0"/>
              <w:ind w:rightChars="297" w:right="713"/>
              <w:jc w:val="right"/>
              <w:rPr>
                <w:rFonts w:eastAsia="標楷體"/>
                <w:sz w:val="24"/>
                <w:szCs w:val="24"/>
              </w:rPr>
            </w:pPr>
            <w:r w:rsidRPr="007B2BE1">
              <w:rPr>
                <w:rFonts w:eastAsia="標楷體"/>
                <w:sz w:val="24"/>
                <w:szCs w:val="24"/>
                <w:lang w:eastAsia="zh-CN"/>
              </w:rPr>
              <w:t>203,400</w:t>
            </w:r>
          </w:p>
        </w:tc>
        <w:tc>
          <w:tcPr>
            <w:tcW w:w="1789" w:type="dxa"/>
          </w:tcPr>
          <w:p w14:paraId="5441177B" w14:textId="26987617"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112%</w:t>
            </w:r>
          </w:p>
        </w:tc>
      </w:tr>
      <w:tr w:rsidR="00CD3387" w:rsidRPr="007B2BE1" w14:paraId="59FA0581" w14:textId="77777777" w:rsidTr="00747705">
        <w:trPr>
          <w:trHeight w:val="227"/>
        </w:trPr>
        <w:tc>
          <w:tcPr>
            <w:tcW w:w="1275" w:type="dxa"/>
          </w:tcPr>
          <w:p w14:paraId="7B4ACA88" w14:textId="40C4813A"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2010/11</w:t>
            </w:r>
          </w:p>
        </w:tc>
        <w:tc>
          <w:tcPr>
            <w:tcW w:w="1843" w:type="dxa"/>
          </w:tcPr>
          <w:p w14:paraId="7F48C88D" w14:textId="3FF2AFA9" w:rsidR="00F0187F" w:rsidRPr="007B2BE1" w:rsidRDefault="007B2BE1" w:rsidP="00CD3387">
            <w:pPr>
              <w:pStyle w:val="TableParagraph"/>
              <w:overflowPunct w:val="0"/>
              <w:spacing w:before="0"/>
              <w:rPr>
                <w:rFonts w:eastAsia="標楷體"/>
                <w:sz w:val="24"/>
                <w:szCs w:val="24"/>
              </w:rPr>
            </w:pPr>
            <w:r w:rsidRPr="007B2BE1">
              <w:rPr>
                <w:rFonts w:eastAsia="標楷體"/>
                <w:sz w:val="24"/>
                <w:szCs w:val="24"/>
                <w:lang w:eastAsia="zh-CN"/>
              </w:rPr>
              <w:t>薪俸税</w:t>
            </w:r>
          </w:p>
        </w:tc>
        <w:tc>
          <w:tcPr>
            <w:tcW w:w="1559" w:type="dxa"/>
          </w:tcPr>
          <w:p w14:paraId="2642C0E3" w14:textId="11587264" w:rsidR="00F0187F" w:rsidRPr="007B2BE1" w:rsidRDefault="007B2BE1" w:rsidP="00CD3387">
            <w:pPr>
              <w:pStyle w:val="TableParagraph"/>
              <w:overflowPunct w:val="0"/>
              <w:spacing w:before="0"/>
              <w:ind w:leftChars="115" w:left="276" w:rightChars="179" w:right="430"/>
              <w:jc w:val="right"/>
              <w:rPr>
                <w:rFonts w:eastAsia="標楷體"/>
                <w:sz w:val="24"/>
                <w:szCs w:val="24"/>
              </w:rPr>
            </w:pPr>
            <w:r w:rsidRPr="007B2BE1">
              <w:rPr>
                <w:rFonts w:eastAsia="標楷體"/>
                <w:sz w:val="24"/>
                <w:szCs w:val="24"/>
                <w:lang w:eastAsia="zh-CN"/>
              </w:rPr>
              <w:t>126,356</w:t>
            </w:r>
          </w:p>
        </w:tc>
        <w:tc>
          <w:tcPr>
            <w:tcW w:w="1843" w:type="dxa"/>
          </w:tcPr>
          <w:p w14:paraId="69EE7B16" w14:textId="08C44607" w:rsidR="00F0187F" w:rsidRPr="007B2BE1" w:rsidRDefault="007B2BE1" w:rsidP="00CD3387">
            <w:pPr>
              <w:pStyle w:val="TableParagraph"/>
              <w:overflowPunct w:val="0"/>
              <w:spacing w:before="0"/>
              <w:ind w:rightChars="297" w:right="713"/>
              <w:jc w:val="right"/>
              <w:rPr>
                <w:rFonts w:eastAsia="標楷體"/>
                <w:sz w:val="24"/>
                <w:szCs w:val="24"/>
              </w:rPr>
            </w:pPr>
            <w:r w:rsidRPr="007B2BE1">
              <w:rPr>
                <w:rFonts w:eastAsia="標楷體"/>
                <w:sz w:val="24"/>
                <w:szCs w:val="24"/>
                <w:lang w:eastAsia="zh-CN"/>
              </w:rPr>
              <w:t>141,700</w:t>
            </w:r>
          </w:p>
        </w:tc>
        <w:tc>
          <w:tcPr>
            <w:tcW w:w="1789" w:type="dxa"/>
          </w:tcPr>
          <w:p w14:paraId="7CF4E4CA" w14:textId="7FBC6BCF"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112%</w:t>
            </w:r>
          </w:p>
        </w:tc>
      </w:tr>
      <w:tr w:rsidR="00CD3387" w:rsidRPr="007B2BE1" w14:paraId="6BA48167" w14:textId="77777777" w:rsidTr="00747705">
        <w:trPr>
          <w:trHeight w:val="227"/>
        </w:trPr>
        <w:tc>
          <w:tcPr>
            <w:tcW w:w="1275" w:type="dxa"/>
          </w:tcPr>
          <w:p w14:paraId="67B203E5" w14:textId="3DC7152A"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2012/13</w:t>
            </w:r>
          </w:p>
        </w:tc>
        <w:tc>
          <w:tcPr>
            <w:tcW w:w="1843" w:type="dxa"/>
          </w:tcPr>
          <w:p w14:paraId="334C66D2" w14:textId="11401FCF" w:rsidR="00F0187F" w:rsidRPr="007B2BE1" w:rsidRDefault="007B2BE1" w:rsidP="00CD3387">
            <w:pPr>
              <w:pStyle w:val="TableParagraph"/>
              <w:overflowPunct w:val="0"/>
              <w:spacing w:before="0"/>
              <w:rPr>
                <w:rFonts w:eastAsia="標楷體"/>
                <w:sz w:val="24"/>
                <w:szCs w:val="24"/>
              </w:rPr>
            </w:pPr>
            <w:r w:rsidRPr="007B2BE1">
              <w:rPr>
                <w:rFonts w:eastAsia="標楷體"/>
                <w:sz w:val="24"/>
                <w:szCs w:val="24"/>
                <w:lang w:eastAsia="zh-CN"/>
              </w:rPr>
              <w:t>薪俸税</w:t>
            </w:r>
          </w:p>
        </w:tc>
        <w:tc>
          <w:tcPr>
            <w:tcW w:w="1559" w:type="dxa"/>
          </w:tcPr>
          <w:p w14:paraId="15115F15" w14:textId="7D656D0E" w:rsidR="00F0187F" w:rsidRPr="007B2BE1" w:rsidRDefault="007B2BE1" w:rsidP="00CD3387">
            <w:pPr>
              <w:pStyle w:val="TableParagraph"/>
              <w:overflowPunct w:val="0"/>
              <w:spacing w:before="0"/>
              <w:ind w:leftChars="115" w:left="276" w:rightChars="179" w:right="430"/>
              <w:jc w:val="right"/>
              <w:rPr>
                <w:rFonts w:eastAsia="標楷體"/>
                <w:sz w:val="24"/>
                <w:szCs w:val="24"/>
              </w:rPr>
            </w:pPr>
            <w:r w:rsidRPr="007B2BE1">
              <w:rPr>
                <w:rFonts w:eastAsia="標楷體"/>
                <w:sz w:val="24"/>
                <w:szCs w:val="24"/>
                <w:lang w:eastAsia="zh-CN"/>
              </w:rPr>
              <w:t>742</w:t>
            </w:r>
          </w:p>
        </w:tc>
        <w:tc>
          <w:tcPr>
            <w:tcW w:w="1843" w:type="dxa"/>
          </w:tcPr>
          <w:p w14:paraId="56796578" w14:textId="568AF0DF" w:rsidR="00F0187F" w:rsidRPr="007B2BE1" w:rsidRDefault="007B2BE1" w:rsidP="00CD3387">
            <w:pPr>
              <w:pStyle w:val="TableParagraph"/>
              <w:overflowPunct w:val="0"/>
              <w:spacing w:before="0"/>
              <w:ind w:rightChars="297" w:right="713"/>
              <w:jc w:val="right"/>
              <w:rPr>
                <w:rFonts w:eastAsia="標楷體"/>
                <w:sz w:val="24"/>
                <w:szCs w:val="24"/>
              </w:rPr>
            </w:pPr>
            <w:r w:rsidRPr="007B2BE1">
              <w:rPr>
                <w:rFonts w:eastAsia="標楷體"/>
                <w:sz w:val="24"/>
                <w:szCs w:val="24"/>
                <w:lang w:eastAsia="zh-CN"/>
              </w:rPr>
              <w:t>800</w:t>
            </w:r>
          </w:p>
        </w:tc>
        <w:tc>
          <w:tcPr>
            <w:tcW w:w="1789" w:type="dxa"/>
          </w:tcPr>
          <w:p w14:paraId="0A369951" w14:textId="72C199AE"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108%</w:t>
            </w:r>
          </w:p>
        </w:tc>
      </w:tr>
      <w:tr w:rsidR="00CD3387" w:rsidRPr="007B2BE1" w14:paraId="6C748580" w14:textId="77777777" w:rsidTr="00747705">
        <w:trPr>
          <w:trHeight w:val="227"/>
        </w:trPr>
        <w:tc>
          <w:tcPr>
            <w:tcW w:w="1275" w:type="dxa"/>
          </w:tcPr>
          <w:p w14:paraId="2105497A" w14:textId="70DDC14B"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2014/15</w:t>
            </w:r>
          </w:p>
        </w:tc>
        <w:tc>
          <w:tcPr>
            <w:tcW w:w="1843" w:type="dxa"/>
          </w:tcPr>
          <w:p w14:paraId="62E086F0" w14:textId="6EAA85E8" w:rsidR="00F0187F" w:rsidRPr="007B2BE1" w:rsidRDefault="007B2BE1" w:rsidP="00CD3387">
            <w:pPr>
              <w:pStyle w:val="TableParagraph"/>
              <w:overflowPunct w:val="0"/>
              <w:spacing w:before="0"/>
              <w:rPr>
                <w:rFonts w:eastAsia="標楷體"/>
                <w:sz w:val="24"/>
                <w:szCs w:val="24"/>
              </w:rPr>
            </w:pPr>
            <w:r w:rsidRPr="007B2BE1">
              <w:rPr>
                <w:rFonts w:eastAsia="標楷體"/>
                <w:sz w:val="24"/>
                <w:szCs w:val="24"/>
                <w:lang w:eastAsia="zh-CN"/>
              </w:rPr>
              <w:t>薪俸税</w:t>
            </w:r>
          </w:p>
        </w:tc>
        <w:tc>
          <w:tcPr>
            <w:tcW w:w="1559" w:type="dxa"/>
          </w:tcPr>
          <w:p w14:paraId="5AA5992D" w14:textId="1329C474" w:rsidR="00F0187F" w:rsidRPr="007B2BE1" w:rsidRDefault="007B2BE1" w:rsidP="00CD3387">
            <w:pPr>
              <w:pStyle w:val="TableParagraph"/>
              <w:overflowPunct w:val="0"/>
              <w:spacing w:before="0"/>
              <w:ind w:leftChars="115" w:left="276" w:rightChars="179" w:right="430"/>
              <w:jc w:val="right"/>
              <w:rPr>
                <w:rFonts w:eastAsia="標楷體"/>
                <w:sz w:val="24"/>
                <w:szCs w:val="24"/>
              </w:rPr>
            </w:pPr>
            <w:r w:rsidRPr="007B2BE1">
              <w:rPr>
                <w:rFonts w:eastAsia="標楷體"/>
                <w:sz w:val="24"/>
                <w:szCs w:val="24"/>
                <w:lang w:eastAsia="zh-CN"/>
              </w:rPr>
              <w:t>1,325</w:t>
            </w:r>
          </w:p>
        </w:tc>
        <w:tc>
          <w:tcPr>
            <w:tcW w:w="1843" w:type="dxa"/>
          </w:tcPr>
          <w:p w14:paraId="1DF23415" w14:textId="0A361DFF" w:rsidR="00F0187F" w:rsidRPr="007B2BE1" w:rsidRDefault="007B2BE1" w:rsidP="00CD3387">
            <w:pPr>
              <w:pStyle w:val="TableParagraph"/>
              <w:overflowPunct w:val="0"/>
              <w:spacing w:before="0"/>
              <w:ind w:rightChars="297" w:right="713"/>
              <w:jc w:val="right"/>
              <w:rPr>
                <w:rFonts w:eastAsia="標楷體"/>
                <w:sz w:val="24"/>
                <w:szCs w:val="24"/>
              </w:rPr>
            </w:pPr>
            <w:r w:rsidRPr="007B2BE1">
              <w:rPr>
                <w:rFonts w:eastAsia="標楷體"/>
                <w:sz w:val="24"/>
                <w:szCs w:val="24"/>
                <w:lang w:eastAsia="zh-CN"/>
              </w:rPr>
              <w:t>1,500</w:t>
            </w:r>
          </w:p>
        </w:tc>
        <w:tc>
          <w:tcPr>
            <w:tcW w:w="1789" w:type="dxa"/>
          </w:tcPr>
          <w:p w14:paraId="6FC4D035" w14:textId="25D8D538"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113%</w:t>
            </w:r>
          </w:p>
        </w:tc>
      </w:tr>
      <w:tr w:rsidR="00CD3387" w:rsidRPr="007B2BE1" w14:paraId="2F935F4A" w14:textId="77777777" w:rsidTr="00747705">
        <w:trPr>
          <w:trHeight w:val="227"/>
        </w:trPr>
        <w:tc>
          <w:tcPr>
            <w:tcW w:w="1275" w:type="dxa"/>
          </w:tcPr>
          <w:p w14:paraId="4D327044" w14:textId="4C946CE1"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2015/16</w:t>
            </w:r>
          </w:p>
        </w:tc>
        <w:tc>
          <w:tcPr>
            <w:tcW w:w="1843" w:type="dxa"/>
          </w:tcPr>
          <w:p w14:paraId="2309C8C8" w14:textId="3C624F4D" w:rsidR="00F0187F" w:rsidRPr="007B2BE1" w:rsidRDefault="007B2BE1" w:rsidP="00CD3387">
            <w:pPr>
              <w:pStyle w:val="TableParagraph"/>
              <w:overflowPunct w:val="0"/>
              <w:spacing w:before="0"/>
              <w:rPr>
                <w:rFonts w:eastAsia="標楷體"/>
                <w:sz w:val="24"/>
                <w:szCs w:val="24"/>
              </w:rPr>
            </w:pPr>
            <w:r w:rsidRPr="007B2BE1">
              <w:rPr>
                <w:rFonts w:eastAsia="標楷體"/>
                <w:sz w:val="24"/>
                <w:szCs w:val="24"/>
                <w:lang w:eastAsia="zh-CN"/>
              </w:rPr>
              <w:t>薪俸税</w:t>
            </w:r>
          </w:p>
        </w:tc>
        <w:tc>
          <w:tcPr>
            <w:tcW w:w="1559" w:type="dxa"/>
          </w:tcPr>
          <w:p w14:paraId="49685F99" w14:textId="008D779E" w:rsidR="00F0187F" w:rsidRPr="007B2BE1" w:rsidRDefault="007B2BE1" w:rsidP="00CD3387">
            <w:pPr>
              <w:pStyle w:val="TableParagraph"/>
              <w:overflowPunct w:val="0"/>
              <w:spacing w:before="0"/>
              <w:ind w:leftChars="115" w:left="276" w:rightChars="179" w:right="430"/>
              <w:jc w:val="right"/>
              <w:rPr>
                <w:rFonts w:eastAsia="標楷體"/>
                <w:sz w:val="24"/>
                <w:szCs w:val="24"/>
              </w:rPr>
            </w:pPr>
            <w:r w:rsidRPr="007B2BE1">
              <w:rPr>
                <w:rFonts w:eastAsia="標楷體"/>
                <w:sz w:val="24"/>
                <w:szCs w:val="24"/>
                <w:lang w:eastAsia="zh-CN"/>
              </w:rPr>
              <w:t>2,975</w:t>
            </w:r>
          </w:p>
        </w:tc>
        <w:tc>
          <w:tcPr>
            <w:tcW w:w="1843" w:type="dxa"/>
          </w:tcPr>
          <w:p w14:paraId="44283A3D" w14:textId="0675F358" w:rsidR="00F0187F" w:rsidRPr="007B2BE1" w:rsidRDefault="007B2BE1" w:rsidP="00CD3387">
            <w:pPr>
              <w:pStyle w:val="TableParagraph"/>
              <w:overflowPunct w:val="0"/>
              <w:spacing w:before="0"/>
              <w:ind w:rightChars="297" w:right="713"/>
              <w:jc w:val="right"/>
              <w:rPr>
                <w:rFonts w:eastAsia="標楷體"/>
                <w:sz w:val="24"/>
                <w:szCs w:val="24"/>
              </w:rPr>
            </w:pPr>
            <w:r w:rsidRPr="007B2BE1">
              <w:rPr>
                <w:rFonts w:eastAsia="標楷體"/>
                <w:sz w:val="24"/>
                <w:szCs w:val="24"/>
                <w:lang w:eastAsia="zh-CN"/>
              </w:rPr>
              <w:t>3,300</w:t>
            </w:r>
          </w:p>
        </w:tc>
        <w:tc>
          <w:tcPr>
            <w:tcW w:w="1789" w:type="dxa"/>
          </w:tcPr>
          <w:p w14:paraId="564EFED7" w14:textId="414DF129"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110%</w:t>
            </w:r>
          </w:p>
        </w:tc>
      </w:tr>
      <w:tr w:rsidR="00CD3387" w:rsidRPr="007B2BE1" w14:paraId="522DF5E6" w14:textId="77777777" w:rsidTr="00747705">
        <w:trPr>
          <w:trHeight w:val="227"/>
        </w:trPr>
        <w:tc>
          <w:tcPr>
            <w:tcW w:w="1275" w:type="dxa"/>
          </w:tcPr>
          <w:p w14:paraId="43BB63E9" w14:textId="638EF535" w:rsidR="00F0187F" w:rsidRPr="007B2BE1" w:rsidRDefault="007B2BE1" w:rsidP="00CD3387">
            <w:pPr>
              <w:pStyle w:val="TableParagraph"/>
              <w:overflowPunct w:val="0"/>
              <w:spacing w:before="0"/>
              <w:ind w:leftChars="120" w:left="288"/>
              <w:rPr>
                <w:rFonts w:eastAsia="標楷體"/>
                <w:sz w:val="24"/>
                <w:szCs w:val="24"/>
              </w:rPr>
            </w:pPr>
            <w:r w:rsidRPr="007B2BE1">
              <w:rPr>
                <w:rFonts w:eastAsia="標楷體"/>
                <w:sz w:val="24"/>
                <w:szCs w:val="24"/>
                <w:lang w:eastAsia="zh-CN"/>
              </w:rPr>
              <w:t>总数</w:t>
            </w:r>
          </w:p>
        </w:tc>
        <w:tc>
          <w:tcPr>
            <w:tcW w:w="1843" w:type="dxa"/>
          </w:tcPr>
          <w:p w14:paraId="06F4CD2C" w14:textId="77777777" w:rsidR="00F0187F" w:rsidRPr="007B2BE1" w:rsidRDefault="00F0187F" w:rsidP="00CD3387">
            <w:pPr>
              <w:overflowPunct w:val="0"/>
              <w:ind w:leftChars="62" w:left="149"/>
              <w:jc w:val="center"/>
              <w:rPr>
                <w:rFonts w:ascii="Times New Roman" w:eastAsia="標楷體" w:hAnsi="Times New Roman" w:cs="Times New Roman"/>
                <w:sz w:val="24"/>
                <w:szCs w:val="24"/>
              </w:rPr>
            </w:pPr>
          </w:p>
        </w:tc>
        <w:tc>
          <w:tcPr>
            <w:tcW w:w="1559" w:type="dxa"/>
          </w:tcPr>
          <w:p w14:paraId="70D3EB6D" w14:textId="1F242F37" w:rsidR="00F0187F" w:rsidRPr="007B2BE1" w:rsidRDefault="007B2BE1" w:rsidP="00CD3387">
            <w:pPr>
              <w:pStyle w:val="TableParagraph"/>
              <w:overflowPunct w:val="0"/>
              <w:spacing w:before="0"/>
              <w:ind w:leftChars="115" w:left="276" w:rightChars="179" w:right="430"/>
              <w:jc w:val="right"/>
              <w:rPr>
                <w:rFonts w:eastAsia="標楷體"/>
                <w:sz w:val="24"/>
                <w:szCs w:val="24"/>
                <w:u w:val="double"/>
              </w:rPr>
            </w:pPr>
            <w:r w:rsidRPr="007B2BE1">
              <w:rPr>
                <w:rFonts w:eastAsia="標楷體"/>
                <w:sz w:val="24"/>
                <w:szCs w:val="24"/>
                <w:u w:val="double"/>
                <w:lang w:eastAsia="zh-CN"/>
              </w:rPr>
              <w:t>325,435</w:t>
            </w:r>
          </w:p>
        </w:tc>
        <w:tc>
          <w:tcPr>
            <w:tcW w:w="1843" w:type="dxa"/>
          </w:tcPr>
          <w:p w14:paraId="2F59ADF6" w14:textId="4CF71BFF" w:rsidR="00F0187F" w:rsidRPr="007B2BE1" w:rsidRDefault="007B2BE1" w:rsidP="00CD3387">
            <w:pPr>
              <w:pStyle w:val="TableParagraph"/>
              <w:overflowPunct w:val="0"/>
              <w:spacing w:before="0"/>
              <w:ind w:rightChars="297" w:right="713"/>
              <w:jc w:val="right"/>
              <w:rPr>
                <w:rFonts w:eastAsia="標楷體"/>
                <w:sz w:val="24"/>
                <w:szCs w:val="24"/>
                <w:u w:val="double"/>
              </w:rPr>
            </w:pPr>
            <w:r w:rsidRPr="007B2BE1">
              <w:rPr>
                <w:rFonts w:eastAsia="標楷體"/>
                <w:sz w:val="24"/>
                <w:szCs w:val="24"/>
                <w:u w:val="double"/>
                <w:lang w:eastAsia="zh-CN"/>
              </w:rPr>
              <w:t>357,400</w:t>
            </w:r>
          </w:p>
        </w:tc>
        <w:tc>
          <w:tcPr>
            <w:tcW w:w="1789" w:type="dxa"/>
          </w:tcPr>
          <w:p w14:paraId="1E738E7C" w14:textId="14C54890" w:rsidR="00F0187F" w:rsidRPr="007B2BE1" w:rsidRDefault="007B2BE1" w:rsidP="001F0676">
            <w:pPr>
              <w:pStyle w:val="TableParagraph"/>
              <w:overflowPunct w:val="0"/>
              <w:spacing w:before="0"/>
              <w:rPr>
                <w:rFonts w:eastAsia="標楷體"/>
                <w:sz w:val="24"/>
                <w:szCs w:val="24"/>
              </w:rPr>
            </w:pPr>
            <w:r w:rsidRPr="007B2BE1">
              <w:rPr>
                <w:rFonts w:eastAsia="標楷體"/>
                <w:sz w:val="24"/>
                <w:szCs w:val="24"/>
                <w:lang w:eastAsia="zh-CN"/>
              </w:rPr>
              <w:t>110%</w:t>
            </w:r>
          </w:p>
        </w:tc>
      </w:tr>
    </w:tbl>
    <w:p w14:paraId="5FA9AD19" w14:textId="77777777" w:rsidR="001F0676" w:rsidRPr="007B2BE1" w:rsidRDefault="001F067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6C427EA9" w14:textId="311E121C" w:rsidR="00F0187F" w:rsidRPr="007B2BE1" w:rsidRDefault="007B2BE1" w:rsidP="00CD3387">
      <w:pPr>
        <w:overflowPunct w:val="0"/>
        <w:autoSpaceDE w:val="0"/>
        <w:autoSpaceDN w:val="0"/>
        <w:adjustRightInd w:val="0"/>
        <w:ind w:leftChars="878" w:left="2107"/>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注</w:t>
      </w:r>
      <w:r w:rsidRPr="007B2BE1">
        <w:rPr>
          <w:rFonts w:ascii="Times New Roman" w:eastAsia="標楷體" w:hAnsi="Times New Roman" w:cs="Times New Roman"/>
          <w:lang w:val="en-US" w:eastAsia="zh-CN"/>
        </w:rPr>
        <w:t>12</w:t>
      </w:r>
      <w:r w:rsidRPr="007B2BE1">
        <w:rPr>
          <w:rFonts w:ascii="Times New Roman" w:eastAsia="標楷體" w:hAnsi="Times New Roman" w:cs="Times New Roman"/>
          <w:lang w:val="en-US" w:eastAsia="zh-CN"/>
        </w:rPr>
        <w:t>：在考虑了</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先生就差饷及贷款利息所作的逾时申索的资料后，局长决定不就</w:t>
      </w:r>
      <w:r w:rsidRPr="007B2BE1">
        <w:rPr>
          <w:rFonts w:ascii="Times New Roman" w:eastAsia="標楷體" w:hAnsi="Times New Roman" w:cs="Times New Roman"/>
          <w:lang w:val="en-US" w:eastAsia="zh-CN"/>
        </w:rPr>
        <w:t>2007</w:t>
      </w:r>
      <w:r w:rsidRPr="007B2BE1">
        <w:rPr>
          <w:rFonts w:ascii="Times New Roman" w:eastAsia="標楷體" w:hAnsi="Times New Roman" w:cs="Times New Roman"/>
          <w:lang w:eastAsia="zh-CN"/>
        </w:rPr>
        <w:t>/0</w:t>
      </w:r>
      <w:r w:rsidRPr="007B2BE1">
        <w:rPr>
          <w:rFonts w:ascii="Times New Roman" w:eastAsia="標楷體" w:hAnsi="Times New Roman" w:cs="Times New Roman"/>
          <w:lang w:val="en-US" w:eastAsia="zh-CN"/>
        </w:rPr>
        <w:t>8</w:t>
      </w:r>
      <w:r w:rsidRPr="007B2BE1">
        <w:rPr>
          <w:rFonts w:ascii="Times New Roman" w:eastAsia="標楷體" w:hAnsi="Times New Roman" w:cs="Times New Roman"/>
          <w:lang w:val="en-US" w:eastAsia="zh-CN"/>
        </w:rPr>
        <w:t>课税年度填报不正确报税表的事宜向</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先生采取任何行动，税务局亦于</w:t>
      </w:r>
      <w:r w:rsidRPr="007B2BE1">
        <w:rPr>
          <w:rFonts w:ascii="Times New Roman" w:eastAsia="標楷體" w:hAnsi="Times New Roman" w:cs="Times New Roman"/>
          <w:lang w:val="en-US" w:eastAsia="zh-CN"/>
        </w:rPr>
        <w:t>2019</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16</w:t>
      </w:r>
      <w:r w:rsidRPr="007B2BE1">
        <w:rPr>
          <w:rFonts w:ascii="Times New Roman" w:eastAsia="標楷體" w:hAnsi="Times New Roman" w:cs="Times New Roman"/>
          <w:lang w:val="en-US" w:eastAsia="zh-CN"/>
        </w:rPr>
        <w:t>日书面告知</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先生有关决定。局长亦因考虑了上述逾时申索的资料后，就</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课税年度补加税的款项作出下调。</w:t>
      </w:r>
    </w:p>
    <w:p w14:paraId="53F4AA9F" w14:textId="77777777" w:rsidR="00F0187F" w:rsidRPr="007B2BE1" w:rsidRDefault="00F0187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CN"/>
        </w:rPr>
      </w:pPr>
    </w:p>
    <w:p w14:paraId="0E216D63" w14:textId="2F39C0E0" w:rsidR="00C6710C" w:rsidRPr="007B2BE1" w:rsidRDefault="007B2BE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先生已缴清上文第</w:t>
      </w:r>
      <w:r w:rsidRPr="007B2BE1">
        <w:rPr>
          <w:rFonts w:ascii="Times New Roman" w:eastAsia="標楷體" w:hAnsi="Times New Roman" w:cs="Times New Roman"/>
          <w:lang w:val="en-US" w:eastAsia="zh-CN"/>
        </w:rPr>
        <w:t>46</w:t>
      </w:r>
      <w:r w:rsidRPr="007B2BE1">
        <w:rPr>
          <w:rFonts w:ascii="Times New Roman" w:eastAsia="標楷體" w:hAnsi="Times New Roman" w:cs="Times New Roman"/>
          <w:lang w:val="en-US" w:eastAsia="zh-CN"/>
        </w:rPr>
        <w:t>项所列的补加税。</w:t>
      </w:r>
    </w:p>
    <w:p w14:paraId="21FAB01F" w14:textId="77777777" w:rsidR="00C6710C" w:rsidRPr="007B2BE1" w:rsidRDefault="00C6710C"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13DC9261" w14:textId="4653D93A" w:rsidR="004D4B5F" w:rsidRPr="007B2BE1" w:rsidRDefault="007B2BE1" w:rsidP="00703E06">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CN"/>
        </w:rPr>
      </w:pPr>
      <w:r w:rsidRPr="007B2BE1">
        <w:rPr>
          <w:rFonts w:ascii="Times New Roman" w:eastAsia="標楷體" w:hAnsi="Times New Roman" w:cs="Times New Roman"/>
          <w:lang w:eastAsia="zh-CN"/>
        </w:rPr>
        <w:t>上文第</w:t>
      </w:r>
      <w:r w:rsidRPr="007B2BE1">
        <w:rPr>
          <w:rFonts w:ascii="Times New Roman" w:eastAsia="標楷體" w:hAnsi="Times New Roman" w:cs="Times New Roman"/>
          <w:lang w:eastAsia="zh-CN"/>
        </w:rPr>
        <w:t>4</w:t>
      </w:r>
      <w:r w:rsidRPr="007B2BE1">
        <w:rPr>
          <w:rFonts w:ascii="Times New Roman" w:eastAsia="標楷體" w:hAnsi="Times New Roman" w:cs="Times New Roman"/>
          <w:lang w:eastAsia="zh-CN"/>
        </w:rPr>
        <w:t>段注</w:t>
      </w:r>
      <w:r w:rsidRPr="007B2BE1">
        <w:rPr>
          <w:rFonts w:ascii="Times New Roman" w:eastAsia="標楷體" w:hAnsi="Times New Roman" w:cs="Times New Roman"/>
          <w:lang w:eastAsia="zh-CN"/>
        </w:rPr>
        <w:t>11</w:t>
      </w:r>
      <w:r w:rsidRPr="007B2BE1">
        <w:rPr>
          <w:rFonts w:ascii="Times New Roman" w:eastAsia="標楷體" w:hAnsi="Times New Roman" w:cs="Times New Roman"/>
          <w:lang w:eastAsia="zh-CN"/>
        </w:rPr>
        <w:t>所提述的组别</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是指税务局的「第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条对涉及实地审核及调查个案的罚款政策」采用的「加征罚款比率表」的组别。该罚款政策适用于经实地审核或调查的利得税、薪俸税、物业税及个人入息课税个案，而税务局指这里个案最常见的违例事项是</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漏报或少报入息或利润；</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就申索扣除或免税额方面作出不正确的陈述；及</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没有就应课税事项通知税务局。「加征罚款比率表」有</w:t>
      </w:r>
      <w:r w:rsidRPr="007B2BE1">
        <w:rPr>
          <w:rFonts w:ascii="Times New Roman" w:eastAsia="標楷體" w:hAnsi="Times New Roman" w:cs="Times New Roman"/>
          <w:lang w:val="en-US" w:eastAsia="zh-CN"/>
        </w:rPr>
        <w:t>3</w:t>
      </w:r>
      <w:r w:rsidRPr="007B2BE1">
        <w:rPr>
          <w:rFonts w:ascii="Times New Roman" w:eastAsia="標楷體" w:hAnsi="Times New Roman" w:cs="Times New Roman"/>
          <w:lang w:val="en-US" w:eastAsia="zh-CN"/>
        </w:rPr>
        <w:t>个组别，以漏报或少报的性质分类，每一组别按个案中的纳税人是「完全自愿披露事实」，「在受质疑后迅速披露全部事实」，「不完全披露或延迟披露事实」和「拒绝披露事实」等状况来指定加征罚款比率，而有关比率是按少征税款计算的百分比。税务局订定的</w:t>
      </w:r>
      <w:r w:rsidRPr="007B2BE1">
        <w:rPr>
          <w:rFonts w:ascii="Times New Roman" w:eastAsia="標楷體" w:hAnsi="Times New Roman" w:cs="Times New Roman"/>
          <w:lang w:eastAsia="zh-CN"/>
        </w:rPr>
        <w:t>组别</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是指个案中的纳税人蓄意漠视法例，采取故意隐瞒的手段，包括长期拟备虚假账簿、虚报薪金开支、虚构记项或屡次多重漏报等；</w:t>
      </w:r>
      <w:r w:rsidRPr="007B2BE1">
        <w:rPr>
          <w:rFonts w:ascii="Times New Roman" w:eastAsia="標楷體" w:hAnsi="Times New Roman" w:cs="Times New Roman"/>
          <w:lang w:eastAsia="zh-CN"/>
        </w:rPr>
        <w:t>组别</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是指个案中的纳税人由于鲁莽而漏报收入，犯事的严重程度较低，包括挪用营业入息、出售废料所得款额不入账、或疏忽遗漏等；而</w:t>
      </w:r>
      <w:r w:rsidRPr="007B2BE1">
        <w:rPr>
          <w:rFonts w:ascii="Times New Roman" w:eastAsia="標楷體" w:hAnsi="Times New Roman" w:cs="Times New Roman"/>
          <w:lang w:eastAsia="zh-CN"/>
        </w:rPr>
        <w:t>组别</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是指个案中的纳税人没有</w:t>
      </w:r>
      <w:r w:rsidRPr="007B2BE1">
        <w:rPr>
          <w:rFonts w:ascii="Times New Roman" w:eastAsia="標楷體" w:hAnsi="Times New Roman" w:cs="Times New Roman"/>
          <w:lang w:val="en-US" w:eastAsia="zh-CN"/>
        </w:rPr>
        <w:lastRenderedPageBreak/>
        <w:t>作出合理的谨慎措施，以致漏报入息，例如租约顶手费、一次过收取的佣金等。税务局指出加征罚款比率表内所列的百分比仅作为一般指引。加征的罚款可视乎每宗个案的情况而上调或下调。在决定最终罚款额时会考虑一系列的加重及宽减因素。税务局指定，若纳税人没有作自愿披露，为简便起见，由初次会晤日期起计</w:t>
      </w:r>
      <w:r w:rsidRPr="007B2BE1">
        <w:rPr>
          <w:rFonts w:ascii="Times New Roman" w:eastAsia="標楷體" w:hAnsi="Times New Roman" w:cs="Times New Roman"/>
          <w:lang w:val="en-US" w:eastAsia="zh-CN"/>
        </w:rPr>
        <w:t>3</w:t>
      </w:r>
      <w:r w:rsidRPr="007B2BE1">
        <w:rPr>
          <w:rFonts w:ascii="Times New Roman" w:eastAsia="標楷體" w:hAnsi="Times New Roman" w:cs="Times New Roman"/>
          <w:lang w:val="en-US" w:eastAsia="zh-CN"/>
        </w:rPr>
        <w:t>个月内完结的实地审核个案</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包括反避税个案</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，以及由初次会晤日期起计</w:t>
      </w:r>
      <w:r w:rsidRPr="007B2BE1">
        <w:rPr>
          <w:rFonts w:ascii="Times New Roman" w:eastAsia="標楷體" w:hAnsi="Times New Roman" w:cs="Times New Roman"/>
          <w:lang w:val="en-US" w:eastAsia="zh-CN"/>
        </w:rPr>
        <w:t>6</w:t>
      </w:r>
      <w:r w:rsidRPr="007B2BE1">
        <w:rPr>
          <w:rFonts w:ascii="Times New Roman" w:eastAsia="標楷體" w:hAnsi="Times New Roman" w:cs="Times New Roman"/>
          <w:lang w:val="en-US" w:eastAsia="zh-CN"/>
        </w:rPr>
        <w:t>个月内完结的调查个案，一般将会被归类为「在受质疑后迅速披露全部事实」类别。另外，实地审核或调查个案通常会被列入「在受质疑后迅速披露全部事实」组别</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及「不完全披露或延迟披露全部事实」组别</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的类别。就大多数个案来说，如涉及下列情况，在考虑各种加重或宽减因素后，所判处的罚款，应约为少征税款的</w:t>
      </w:r>
      <w:r w:rsidRPr="007B2BE1">
        <w:rPr>
          <w:rFonts w:ascii="Times New Roman" w:eastAsia="標楷體" w:hAnsi="Times New Roman" w:cs="Times New Roman"/>
          <w:lang w:val="en-US" w:eastAsia="zh-CN"/>
        </w:rPr>
        <w:t>100%</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(i)</w:t>
      </w:r>
      <w:r w:rsidRPr="007B2BE1">
        <w:rPr>
          <w:rFonts w:ascii="Times New Roman" w:eastAsia="標楷體" w:hAnsi="Times New Roman" w:cs="Times New Roman"/>
          <w:lang w:val="en-US" w:eastAsia="zh-CN"/>
        </w:rPr>
        <w:t>纳税人完全未有履行《税务条例》规定的责任，但个案没有涉及任何刑事意图；及</w:t>
      </w:r>
      <w:r w:rsidRPr="007B2BE1">
        <w:rPr>
          <w:rFonts w:ascii="Times New Roman" w:eastAsia="標楷體" w:hAnsi="Times New Roman" w:cs="Times New Roman"/>
          <w:lang w:val="en-US" w:eastAsia="zh-CN"/>
        </w:rPr>
        <w:t>(ii)</w:t>
      </w:r>
      <w:r w:rsidRPr="007B2BE1">
        <w:rPr>
          <w:rFonts w:ascii="Times New Roman" w:eastAsia="標楷體" w:hAnsi="Times New Roman" w:cs="Times New Roman"/>
          <w:lang w:val="en-US" w:eastAsia="zh-CN"/>
        </w:rPr>
        <w:t>局长须要进行调查或编制资产递增表，否则难以作出评税；及</w:t>
      </w:r>
      <w:r w:rsidRPr="007B2BE1">
        <w:rPr>
          <w:rFonts w:ascii="Times New Roman" w:eastAsia="標楷體" w:hAnsi="Times New Roman" w:cs="Times New Roman"/>
          <w:lang w:val="en-US" w:eastAsia="zh-CN"/>
        </w:rPr>
        <w:t>(iii)</w:t>
      </w:r>
      <w:r w:rsidRPr="007B2BE1">
        <w:rPr>
          <w:rFonts w:ascii="Times New Roman" w:eastAsia="標楷體" w:hAnsi="Times New Roman" w:cs="Times New Roman"/>
          <w:lang w:val="en-US" w:eastAsia="zh-CN"/>
        </w:rPr>
        <w:t>个案中的纳税人已持续多年未有履行《税务条例》所规定的责任。</w:t>
      </w:r>
    </w:p>
    <w:p w14:paraId="500A88D5" w14:textId="77777777" w:rsidR="004D4B5F" w:rsidRPr="007B2BE1" w:rsidRDefault="004D4B5F"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CN"/>
        </w:rPr>
      </w:pPr>
    </w:p>
    <w:p w14:paraId="2D3E6996" w14:textId="48CC73E7" w:rsidR="002D38CA" w:rsidRPr="007B2BE1" w:rsidRDefault="007B2BE1" w:rsidP="00703E06">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另外，</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先生作供时也提出及指称下述各项：</w:t>
      </w:r>
    </w:p>
    <w:p w14:paraId="21D072E3" w14:textId="77777777" w:rsidR="002D38CA" w:rsidRPr="007B2BE1" w:rsidRDefault="002D38CA"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7E118C69" w14:textId="284303B5" w:rsidR="002D38CA"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先生指第一税务代表的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先生经亲戚介绍认识，然后</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先生帮忙处理</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公司、以及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先生自己的税务问题。另外，</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先生在</w:t>
      </w:r>
      <w:r w:rsidRPr="007B2BE1">
        <w:rPr>
          <w:rFonts w:ascii="Times New Roman" w:eastAsia="標楷體" w:hAnsi="Times New Roman" w:cs="Times New Roman"/>
          <w:lang w:val="en-US" w:eastAsia="zh-CN"/>
        </w:rPr>
        <w:t>N</w:t>
      </w:r>
      <w:r w:rsidRPr="007B2BE1">
        <w:rPr>
          <w:rFonts w:ascii="Times New Roman" w:eastAsia="標楷體" w:hAnsi="Times New Roman" w:cs="Times New Roman"/>
          <w:lang w:val="en-US" w:eastAsia="zh-CN"/>
        </w:rPr>
        <w:t>发型屋的两位合伙人也将他们各自的私人及公司的税务问题交由</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先生帮忙处理。</w:t>
      </w:r>
    </w:p>
    <w:p w14:paraId="462999C6"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6119BE6D" w14:textId="04039E8A" w:rsidR="005E09EB"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先生指他每年付给第一税务代表的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先生约一万元的费用。</w:t>
      </w:r>
    </w:p>
    <w:p w14:paraId="7C2CD1C4"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C5F59E6" w14:textId="29000FFF" w:rsidR="002D38CA"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先生指自己完全依赖第一税务代表的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先生，他说对会计税务等事是「一头雾水」，但即使问</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先生通常也只是回应会帮助他处理。对于在</w:t>
      </w:r>
      <w:r w:rsidRPr="007B2BE1">
        <w:rPr>
          <w:rFonts w:ascii="Times New Roman" w:eastAsia="標楷體" w:hAnsi="Times New Roman" w:cs="Times New Roman"/>
          <w:lang w:val="en-US" w:eastAsia="zh-CN"/>
        </w:rPr>
        <w:t>2014</w:t>
      </w:r>
      <w:r w:rsidRPr="007B2BE1">
        <w:rPr>
          <w:rFonts w:ascii="Times New Roman" w:eastAsia="標楷體" w:hAnsi="Times New Roman" w:cs="Times New Roman"/>
          <w:lang w:val="en-US" w:eastAsia="zh-CN"/>
        </w:rPr>
        <w:t>或</w:t>
      </w:r>
      <w:r w:rsidRPr="007B2BE1">
        <w:rPr>
          <w:rFonts w:ascii="Times New Roman" w:eastAsia="標楷體" w:hAnsi="Times New Roman" w:cs="Times New Roman"/>
          <w:lang w:val="en-US" w:eastAsia="zh-CN"/>
        </w:rPr>
        <w:t>2015</w:t>
      </w:r>
      <w:r w:rsidRPr="007B2BE1">
        <w:rPr>
          <w:rFonts w:ascii="Times New Roman" w:eastAsia="標楷體" w:hAnsi="Times New Roman" w:cs="Times New Roman"/>
          <w:lang w:val="en-US" w:eastAsia="zh-CN"/>
        </w:rPr>
        <w:t>年税务局开始对</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先生作税务审查，</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先生从</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先生得悉的理据是可能是公司开业一段时间后，「循例调查一下」，并请他放心。</w:t>
      </w:r>
    </w:p>
    <w:p w14:paraId="62E14762"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2DD04CA0" w14:textId="5B2B9218" w:rsidR="004337B2"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先生记得参与</w:t>
      </w:r>
      <w:r w:rsidRPr="007B2BE1">
        <w:rPr>
          <w:rFonts w:ascii="Times New Roman" w:eastAsia="標楷體" w:hAnsi="Times New Roman" w:cs="Times New Roman"/>
          <w:lang w:val="en-US" w:eastAsia="zh-CN"/>
        </w:rPr>
        <w:t>2015</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3</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23</w:t>
      </w:r>
      <w:r w:rsidRPr="007B2BE1">
        <w:rPr>
          <w:rFonts w:ascii="Times New Roman" w:eastAsia="標楷體" w:hAnsi="Times New Roman" w:cs="Times New Roman"/>
          <w:lang w:val="en-US" w:eastAsia="zh-CN"/>
        </w:rPr>
        <w:t>日同税务局人员的会晤有其他人士，包括</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公司的两位经理</w:t>
      </w:r>
      <w:r w:rsidRPr="007B2BE1">
        <w:rPr>
          <w:rFonts w:ascii="Times New Roman" w:eastAsia="標楷體" w:hAnsi="Times New Roman" w:cs="Times New Roman"/>
          <w:lang w:val="en-US" w:eastAsia="zh-CN"/>
        </w:rPr>
        <w:t>L</w:t>
      </w:r>
      <w:r w:rsidRPr="007B2BE1">
        <w:rPr>
          <w:rFonts w:ascii="Times New Roman" w:eastAsia="標楷體" w:hAnsi="Times New Roman" w:cs="Times New Roman"/>
          <w:lang w:val="en-US" w:eastAsia="zh-CN"/>
        </w:rPr>
        <w:t>先生和</w:t>
      </w:r>
      <w:r w:rsidRPr="007B2BE1">
        <w:rPr>
          <w:rFonts w:ascii="Times New Roman" w:eastAsia="標楷體" w:hAnsi="Times New Roman" w:cs="Times New Roman"/>
          <w:lang w:val="en-US" w:eastAsia="zh-CN"/>
        </w:rPr>
        <w:t>M</w:t>
      </w:r>
      <w:r w:rsidRPr="007B2BE1">
        <w:rPr>
          <w:rFonts w:ascii="Times New Roman" w:eastAsia="標楷體" w:hAnsi="Times New Roman" w:cs="Times New Roman"/>
          <w:lang w:val="en-US" w:eastAsia="zh-CN"/>
        </w:rPr>
        <w:t>女士，而</w:t>
      </w:r>
      <w:r w:rsidRPr="007B2BE1">
        <w:rPr>
          <w:rFonts w:ascii="Times New Roman" w:eastAsia="標楷體" w:hAnsi="Times New Roman" w:cs="Times New Roman"/>
          <w:lang w:val="en-US" w:eastAsia="zh-CN"/>
        </w:rPr>
        <w:t>M</w:t>
      </w:r>
      <w:r w:rsidRPr="007B2BE1">
        <w:rPr>
          <w:rFonts w:ascii="Times New Roman" w:eastAsia="標楷體" w:hAnsi="Times New Roman" w:cs="Times New Roman"/>
          <w:lang w:val="en-US" w:eastAsia="zh-CN"/>
        </w:rPr>
        <w:t>女士有帮助回答有关账目的问题。</w:t>
      </w:r>
    </w:p>
    <w:p w14:paraId="33A65E02"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41B9C97A" w14:textId="468B51F8" w:rsidR="006A18EC"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先生在本委员会邀请下翻阅</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公司的董事报告及财务报表。对于</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公司的董事报告及财务报表，</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先生记得的只是第一税务代表的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先生每年把文件交给他签名，但他却是后来聘请了第二税务代表后才经他们的解释后才明白那些是什么文件。</w:t>
      </w:r>
    </w:p>
    <w:p w14:paraId="575D38CF"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7BD9159A" w14:textId="7E99A52F" w:rsidR="006A18EC"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先生在本委员会的邀请下翻阅</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先生自己的报税表。</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先生说他在</w:t>
      </w:r>
      <w:r w:rsidRPr="007B2BE1">
        <w:rPr>
          <w:rFonts w:ascii="Times New Roman" w:eastAsia="標楷體" w:hAnsi="Times New Roman" w:cs="Times New Roman"/>
          <w:lang w:val="en-US" w:eastAsia="zh-CN"/>
        </w:rPr>
        <w:t>2015</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3</w:t>
      </w:r>
      <w:r w:rsidRPr="007B2BE1">
        <w:rPr>
          <w:rFonts w:ascii="Times New Roman" w:eastAsia="標楷體" w:hAnsi="Times New Roman" w:cs="Times New Roman"/>
          <w:lang w:val="en-US" w:eastAsia="zh-CN"/>
        </w:rPr>
        <w:t>月的会面时从税务局人员收到报税表后就把那些文件交给第一税务代表的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先生翻阅关于他自己的报税表时说对于报税表上的签名没有印象或没有印象曾签署过，也说没有印象他的太太曾签署过。</w:t>
      </w:r>
    </w:p>
    <w:p w14:paraId="56DE11E6"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1FADED69" w14:textId="00762E42" w:rsidR="00C07DD8"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先生亦在答辩人的代表的邀请下翻阅</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先生自己的报税表。答辩人的代表指出该等报税表上有个别项目须被填上资料但却没有被填上。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先生回应指他曾有向第一税务代表提及有关事情，但是对方没有替他填上。</w:t>
      </w:r>
    </w:p>
    <w:p w14:paraId="7AF740A2"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451ED226" w14:textId="69A58DAC" w:rsidR="00E52CD9"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先生说他是后来收到税务局寄来的税单及缴款通知书后，看到上面的款项数字，就询问第一税务代表的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先生，而</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先生说已替他上诉或延迟。之后，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先生致电税务局人员，通话后才知道税务局的立场并不如</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先生所告知他的。那时候，</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先生仍然可以找到</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w:t>
      </w:r>
    </w:p>
    <w:p w14:paraId="77179223"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05451F80" w14:textId="34CEFBB7" w:rsidR="00D66D0A"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另外，对于了结个案建议，</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先生说他自己没有什么概念，这事情一直是由第一税务代表的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先生去跟税务局谈的。</w:t>
      </w:r>
    </w:p>
    <w:p w14:paraId="4DA17CC5"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33714E64" w14:textId="49849CE8" w:rsidR="00E52CD9"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后来，</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先生起了疑心，聘用了第二税务代表。听过第二税务代表的解释后，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先生知道可能之前所托非人，发现有不少的事项</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先生均没有提他申报。那时，</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先生已经再没法联络上</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包括用</w:t>
      </w:r>
      <w:r w:rsidRPr="007B2BE1">
        <w:rPr>
          <w:rFonts w:ascii="Times New Roman" w:eastAsia="標楷體" w:hAnsi="Times New Roman" w:cs="Times New Roman"/>
          <w:lang w:val="en-US" w:eastAsia="zh-CN"/>
        </w:rPr>
        <w:t>WhatsApp</w:t>
      </w:r>
      <w:r w:rsidRPr="007B2BE1">
        <w:rPr>
          <w:rFonts w:ascii="Times New Roman" w:eastAsia="標楷體" w:hAnsi="Times New Roman" w:cs="Times New Roman"/>
          <w:lang w:val="en-US" w:eastAsia="zh-CN"/>
        </w:rPr>
        <w:t>而对方没有回复</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eastAsia="zh-CN"/>
        </w:rPr>
        <w:t>。</w:t>
      </w:r>
    </w:p>
    <w:p w14:paraId="14FBAE96"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1ED11968" w14:textId="4E689495" w:rsidR="00D66D0A"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先生同意，不论他自己还是</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公司，都是在</w:t>
      </w:r>
      <w:r w:rsidRPr="007B2BE1">
        <w:rPr>
          <w:rFonts w:ascii="Times New Roman" w:eastAsia="標楷體" w:hAnsi="Times New Roman" w:cs="Times New Roman"/>
          <w:lang w:eastAsia="zh-CN"/>
        </w:rPr>
        <w:t>2012</w:t>
      </w:r>
      <w:r w:rsidRPr="007B2BE1">
        <w:rPr>
          <w:rFonts w:ascii="Times New Roman" w:eastAsia="標楷體" w:hAnsi="Times New Roman" w:cs="Times New Roman"/>
          <w:lang w:eastAsia="zh-CN"/>
        </w:rPr>
        <w:t>年至</w:t>
      </w:r>
      <w:r w:rsidRPr="007B2BE1">
        <w:rPr>
          <w:rFonts w:ascii="Times New Roman" w:eastAsia="標楷體" w:hAnsi="Times New Roman" w:cs="Times New Roman"/>
          <w:lang w:eastAsia="zh-CN"/>
        </w:rPr>
        <w:t>2017</w:t>
      </w:r>
      <w:r w:rsidRPr="007B2BE1">
        <w:rPr>
          <w:rFonts w:ascii="Times New Roman" w:eastAsia="標楷體" w:hAnsi="Times New Roman" w:cs="Times New Roman"/>
          <w:lang w:eastAsia="zh-CN"/>
        </w:rPr>
        <w:t>年期间一直委任第一税务代表，没有更换。</w:t>
      </w:r>
    </w:p>
    <w:p w14:paraId="7CF28FC2"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72FB7B24" w14:textId="4DAD3C66" w:rsidR="005E09EB" w:rsidRPr="007B2BE1" w:rsidRDefault="007B2BE1" w:rsidP="00D63287">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先生说他理解</w:t>
      </w:r>
      <w:r w:rsidRPr="007B2BE1">
        <w:rPr>
          <w:rFonts w:ascii="Times New Roman" w:eastAsia="標楷體" w:hAnsi="Times New Roman" w:cs="Times New Roman"/>
          <w:lang w:eastAsia="zh-CN"/>
        </w:rPr>
        <w:t>J</w:t>
      </w:r>
      <w:r w:rsidRPr="007B2BE1">
        <w:rPr>
          <w:rFonts w:ascii="Times New Roman" w:eastAsia="標楷體" w:hAnsi="Times New Roman" w:cs="Times New Roman"/>
          <w:lang w:eastAsia="zh-CN"/>
        </w:rPr>
        <w:t>先生是第一税务代表的老板。到了</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先生自己</w:t>
      </w:r>
      <w:r w:rsidRPr="007B2BE1">
        <w:rPr>
          <w:rFonts w:ascii="Times New Roman" w:eastAsia="標楷體" w:hAnsi="Times New Roman" w:cs="Times New Roman"/>
          <w:lang w:val="en-US" w:eastAsia="zh-CN"/>
        </w:rPr>
        <w:t>没法联络上</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先生的时候，他曾致电联络第一税务代表的办公室，但那边回复说他们与</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先生没有什么关系。其后，代表税务局的白先生向</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先生指出，</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公司在有关时间一直聘用第一税务代表为它的公司秘书。</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先生回应说他不清楚。</w:t>
      </w:r>
    </w:p>
    <w:p w14:paraId="4E9ACE14" w14:textId="77777777" w:rsidR="00703E06" w:rsidRPr="007B2BE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3E3C70DE" w14:textId="25798D59" w:rsidR="005C0706" w:rsidRPr="007B2BE1" w:rsidRDefault="007B2BE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先生表示，认同每一个纳税人都不应有任何意图去少报或漏报个人入息或利润，可是他并非专业人士，有些问题真的回答不到</w:t>
      </w:r>
      <w:r w:rsidRPr="007B2BE1">
        <w:rPr>
          <w:rFonts w:ascii="Times New Roman" w:eastAsia="標楷體" w:hAnsi="Times New Roman" w:cs="Times New Roman"/>
          <w:lang w:val="en-US" w:eastAsia="zh-CN"/>
        </w:rPr>
        <w:t>。他说如果知道税务调查的结果是现在这样，他不会找</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先生去处理。他希望本委员会相信他不是存心及故意遗</w:t>
      </w:r>
      <w:r w:rsidRPr="007B2BE1">
        <w:rPr>
          <w:rFonts w:ascii="Times New Roman" w:eastAsia="標楷體" w:hAnsi="Times New Roman" w:cs="Times New Roman"/>
          <w:lang w:eastAsia="zh-CN"/>
        </w:rPr>
        <w:t>漏或少报，他强调是因为没有谨慎地选择会计公司及好好地和税务代表协调和沟通，导致有税务问题产生。他在本税务上诉提出处罚严苛。</w:t>
      </w:r>
    </w:p>
    <w:p w14:paraId="6097D626" w14:textId="7E61D81B" w:rsidR="005C0706" w:rsidRPr="007B2BE1" w:rsidRDefault="005C0706"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0AAC71CF" w14:textId="4F328553" w:rsidR="00F8524D" w:rsidRPr="007B2BE1" w:rsidRDefault="007B2BE1" w:rsidP="00703E06">
      <w:pPr>
        <w:widowControl w:val="0"/>
        <w:overflowPunct w:val="0"/>
        <w:autoSpaceDE w:val="0"/>
        <w:autoSpaceDN w:val="0"/>
        <w:adjustRightInd w:val="0"/>
        <w:ind w:leftChars="638" w:left="1531"/>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本委员会理解</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先生企图说服本委员会的事项，但不接纳上文第</w:t>
      </w:r>
      <w:r w:rsidRPr="007B2BE1">
        <w:rPr>
          <w:rFonts w:ascii="Times New Roman" w:eastAsia="標楷體" w:hAnsi="Times New Roman" w:cs="Times New Roman"/>
          <w:lang w:val="en-US" w:eastAsia="zh-CN"/>
        </w:rPr>
        <w:t>(6)</w:t>
      </w:r>
      <w:r w:rsidRPr="007B2BE1">
        <w:rPr>
          <w:rFonts w:ascii="Times New Roman" w:eastAsia="標楷體" w:hAnsi="Times New Roman" w:cs="Times New Roman"/>
          <w:lang w:val="en-US" w:eastAsia="zh-CN"/>
        </w:rPr>
        <w:t>项的指称，以及从这等指称可能推论的事实，原因是这等指称与上诉人</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先生在第</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段的承认事实的第</w:t>
      </w:r>
      <w:r w:rsidRPr="007B2BE1">
        <w:rPr>
          <w:rFonts w:ascii="Times New Roman" w:eastAsia="標楷體" w:hAnsi="Times New Roman" w:cs="Times New Roman"/>
          <w:lang w:val="en-US" w:eastAsia="zh-CN"/>
        </w:rPr>
        <w:t>(14)</w:t>
      </w:r>
      <w:r w:rsidRPr="007B2BE1">
        <w:rPr>
          <w:rFonts w:ascii="Times New Roman" w:eastAsia="標楷體" w:hAnsi="Times New Roman" w:cs="Times New Roman"/>
          <w:lang w:val="en-US" w:eastAsia="zh-CN"/>
        </w:rPr>
        <w:t>项不符，而他作供时亦已确认该等承认事实和表明采用它们作为其证供。本委员会在下文讨论本上诉要决定的问题时，不会衡量本委员会在上文表明不接纳的指称。</w:t>
      </w:r>
    </w:p>
    <w:p w14:paraId="7524E6CC" w14:textId="77777777" w:rsidR="00F8524D" w:rsidRPr="007B2BE1" w:rsidRDefault="00F8524D"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CN"/>
        </w:rPr>
      </w:pPr>
    </w:p>
    <w:p w14:paraId="4686F3D3" w14:textId="5373E57D" w:rsidR="005C0706" w:rsidRPr="007B2BE1" w:rsidRDefault="007B2BE1" w:rsidP="00D15279">
      <w:pPr>
        <w:widowControl w:val="0"/>
        <w:overflowPunct w:val="0"/>
        <w:autoSpaceDE w:val="0"/>
        <w:autoSpaceDN w:val="0"/>
        <w:adjustRightInd w:val="0"/>
        <w:jc w:val="both"/>
        <w:rPr>
          <w:rFonts w:ascii="Times New Roman" w:eastAsia="標楷體" w:hAnsi="Times New Roman" w:cs="Times New Roman"/>
          <w:b/>
          <w:sz w:val="28"/>
          <w:szCs w:val="28"/>
          <w:lang w:eastAsia="zh-TW"/>
        </w:rPr>
      </w:pPr>
      <w:r w:rsidRPr="007B2BE1">
        <w:rPr>
          <w:rFonts w:ascii="Times New Roman" w:eastAsia="標楷體" w:hAnsi="Times New Roman" w:cs="Times New Roman"/>
          <w:b/>
          <w:sz w:val="28"/>
          <w:szCs w:val="28"/>
          <w:lang w:eastAsia="zh-CN"/>
        </w:rPr>
        <w:t>上诉人的上诉理由及陈述</w:t>
      </w:r>
    </w:p>
    <w:p w14:paraId="78433CF8" w14:textId="77777777" w:rsidR="005C0706" w:rsidRPr="007B2BE1" w:rsidRDefault="005C0706" w:rsidP="00D15279">
      <w:pPr>
        <w:widowControl w:val="0"/>
        <w:overflowPunct w:val="0"/>
        <w:autoSpaceDE w:val="0"/>
        <w:autoSpaceDN w:val="0"/>
        <w:adjustRightInd w:val="0"/>
        <w:jc w:val="both"/>
        <w:rPr>
          <w:rFonts w:ascii="Times New Roman" w:eastAsia="標楷體" w:hAnsi="Times New Roman" w:cs="Times New Roman"/>
          <w:lang w:eastAsia="zh-TW"/>
        </w:rPr>
      </w:pPr>
    </w:p>
    <w:p w14:paraId="239E5DE2" w14:textId="14CC2E79" w:rsidR="00245EB3" w:rsidRPr="007B2BE1" w:rsidRDefault="007B2BE1" w:rsidP="00D15279">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先生在其代表</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公司提出的上诉理由，以及在代表自己的上诉理由主要共提出四点：第一、</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先生声称自身缺乏专业税务知识及第一税务代表不负责任，导致</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公司被动同意有关</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公司的了结个案建议及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先生被动同意有关自己的了结个案建议；第二、</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公司声称评税主任就</w:t>
      </w:r>
      <w:r w:rsidRPr="007B2BE1">
        <w:rPr>
          <w:rFonts w:ascii="Times New Roman" w:eastAsia="標楷體" w:hAnsi="Times New Roman" w:cs="Times New Roman"/>
          <w:lang w:val="en-US" w:eastAsia="zh-CN"/>
        </w:rPr>
        <w:t>2011/12</w:t>
      </w:r>
      <w:r w:rsidRPr="007B2BE1">
        <w:rPr>
          <w:rFonts w:ascii="Times New Roman" w:eastAsia="標楷體" w:hAnsi="Times New Roman" w:cs="Times New Roman"/>
          <w:lang w:val="en-US" w:eastAsia="zh-CN"/>
        </w:rPr>
        <w:t>课税年度未有将为数</w:t>
      </w:r>
      <w:r w:rsidRPr="007B2BE1">
        <w:rPr>
          <w:rFonts w:ascii="Times New Roman" w:eastAsia="標楷體" w:hAnsi="Times New Roman" w:cs="Times New Roman"/>
          <w:lang w:val="en-US" w:eastAsia="zh-CN"/>
        </w:rPr>
        <w:t>236,000</w:t>
      </w:r>
      <w:r w:rsidRPr="007B2BE1">
        <w:rPr>
          <w:rFonts w:ascii="Times New Roman" w:eastAsia="標楷體" w:hAnsi="Times New Roman" w:cs="Times New Roman"/>
          <w:lang w:val="en-US" w:eastAsia="zh-CN"/>
        </w:rPr>
        <w:t>元的董事袍金予以扣减；第三、</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先生声称评税主任就</w:t>
      </w:r>
      <w:r w:rsidRPr="007B2BE1">
        <w:rPr>
          <w:rFonts w:ascii="Times New Roman" w:eastAsia="標楷體" w:hAnsi="Times New Roman" w:cs="Times New Roman"/>
          <w:lang w:val="en-US" w:eastAsia="zh-CN"/>
        </w:rPr>
        <w:t>2009/10</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2010/11</w:t>
      </w:r>
      <w:r w:rsidRPr="007B2BE1">
        <w:rPr>
          <w:rFonts w:ascii="Times New Roman" w:eastAsia="標楷體" w:hAnsi="Times New Roman" w:cs="Times New Roman"/>
          <w:lang w:val="en-US" w:eastAsia="zh-CN"/>
        </w:rPr>
        <w:t>课税年度，将</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先生之间的所有入账误认为</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先生的薪金；及第四、</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先生均声称没有足够的流动资金缴交罚款</w:t>
      </w:r>
      <w:r w:rsidRPr="007B2BE1">
        <w:rPr>
          <w:rFonts w:ascii="Times New Roman" w:eastAsia="標楷體" w:hAnsi="Times New Roman" w:cs="Times New Roman"/>
          <w:lang w:eastAsia="zh-CN"/>
        </w:rPr>
        <w:t>。</w:t>
      </w:r>
    </w:p>
    <w:p w14:paraId="5395BDC7" w14:textId="77777777" w:rsidR="00245EB3" w:rsidRPr="007B2BE1" w:rsidRDefault="00245EB3" w:rsidP="00D15279">
      <w:pPr>
        <w:widowControl w:val="0"/>
        <w:overflowPunct w:val="0"/>
        <w:autoSpaceDE w:val="0"/>
        <w:autoSpaceDN w:val="0"/>
        <w:adjustRightInd w:val="0"/>
        <w:jc w:val="both"/>
        <w:rPr>
          <w:rFonts w:ascii="Times New Roman" w:eastAsia="標楷體" w:hAnsi="Times New Roman" w:cs="Times New Roman"/>
          <w:lang w:eastAsia="zh-TW"/>
        </w:rPr>
      </w:pPr>
    </w:p>
    <w:p w14:paraId="3936071F" w14:textId="2E738ACE" w:rsidR="00921C47" w:rsidRPr="007B2BE1" w:rsidRDefault="007B2BE1" w:rsidP="00D15279">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上诉人</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先生及</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公司的代表区先生就两个上诉的</w:t>
      </w:r>
      <w:r w:rsidRPr="007B2BE1">
        <w:rPr>
          <w:rFonts w:ascii="Times New Roman" w:eastAsia="標楷體" w:hAnsi="Times New Roman" w:cs="Times New Roman"/>
          <w:lang w:eastAsia="zh-CN"/>
        </w:rPr>
        <w:t>陈述可简述如下：</w:t>
      </w:r>
    </w:p>
    <w:p w14:paraId="68BC02C1" w14:textId="77777777" w:rsidR="00921C47" w:rsidRPr="007B2BE1" w:rsidRDefault="00921C47" w:rsidP="001E406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rPr>
          <w:rFonts w:ascii="Times New Roman" w:eastAsia="標楷體" w:hAnsi="Times New Roman" w:cs="Times New Roman"/>
          <w:lang w:val="en-US" w:eastAsia="zh-TW"/>
        </w:rPr>
      </w:pPr>
    </w:p>
    <w:p w14:paraId="2F2C7BCC" w14:textId="3FFC9DBA" w:rsidR="002D084A" w:rsidRPr="007B2BE1" w:rsidRDefault="007B2BE1"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上诉人</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先生及</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公司反对税务局将他们的个案列为</w:t>
      </w:r>
      <w:r w:rsidRPr="007B2BE1">
        <w:rPr>
          <w:rFonts w:ascii="Times New Roman" w:eastAsia="標楷體" w:hAnsi="Times New Roman" w:cs="Times New Roman"/>
          <w:lang w:eastAsia="zh-CN"/>
        </w:rPr>
        <w:t>组别</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eastAsia="zh-CN"/>
        </w:rPr>
        <w:t>区先生提出，两个个案都应属组别</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w:t>
      </w:r>
    </w:p>
    <w:p w14:paraId="79956F30" w14:textId="77777777" w:rsidR="00D15279" w:rsidRPr="007B2BE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0FC2A5CB" w14:textId="2A70BF82" w:rsidR="00921C47" w:rsidRPr="007B2BE1" w:rsidRDefault="007B2BE1"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先生只不过是一个拥有客源的发型师；</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先生没有任何帐务、会计和税务方面的知识，他亦没有有关知识去理解报税表的内容。</w:t>
      </w:r>
    </w:p>
    <w:p w14:paraId="472498D8" w14:textId="77777777" w:rsidR="00D15279" w:rsidRPr="007B2BE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95F2401" w14:textId="419DCB1D" w:rsidR="00921C47" w:rsidRPr="007B2BE1" w:rsidRDefault="007B2BE1"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t>C</w:t>
      </w:r>
      <w:r w:rsidRPr="007B2BE1">
        <w:rPr>
          <w:rFonts w:ascii="Times New Roman" w:eastAsia="標楷體" w:hAnsi="Times New Roman" w:cs="Times New Roman"/>
          <w:lang w:eastAsia="zh-CN"/>
        </w:rPr>
        <w:t>公司、</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先生和</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公司委托第一税务代表的</w:t>
      </w:r>
      <w:r w:rsidRPr="007B2BE1">
        <w:rPr>
          <w:rFonts w:ascii="Times New Roman" w:eastAsia="標楷體" w:hAnsi="Times New Roman" w:cs="Times New Roman"/>
          <w:lang w:eastAsia="zh-CN"/>
        </w:rPr>
        <w:t>J</w:t>
      </w:r>
      <w:r w:rsidRPr="007B2BE1">
        <w:rPr>
          <w:rFonts w:ascii="Times New Roman" w:eastAsia="標楷體" w:hAnsi="Times New Roman" w:cs="Times New Roman"/>
          <w:lang w:eastAsia="zh-CN"/>
        </w:rPr>
        <w:t>先生负责处理税务事宜</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公司本身没有聘请会计文员，只是每月把相关纪录交予</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先生编制账目。</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先生也是每月把资料交给</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先生的。这等事情税务局是清楚，也是合情合理的。</w:t>
      </w:r>
    </w:p>
    <w:p w14:paraId="60F12A99" w14:textId="77777777" w:rsidR="00D15279" w:rsidRPr="007B2BE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5AB41A17" w14:textId="14611FF8" w:rsidR="00D261F9" w:rsidRPr="007B2BE1" w:rsidRDefault="007B2BE1"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先生依赖</w:t>
      </w:r>
      <w:r w:rsidRPr="007B2BE1">
        <w:rPr>
          <w:rFonts w:ascii="Times New Roman" w:eastAsia="標楷體" w:hAnsi="Times New Roman" w:cs="Times New Roman"/>
          <w:lang w:eastAsia="zh-CN"/>
        </w:rPr>
        <w:t>J</w:t>
      </w:r>
      <w:r w:rsidRPr="007B2BE1">
        <w:rPr>
          <w:rFonts w:ascii="Times New Roman" w:eastAsia="標楷體" w:hAnsi="Times New Roman" w:cs="Times New Roman"/>
          <w:lang w:eastAsia="zh-CN"/>
        </w:rPr>
        <w:t>先生的会计工作及计算。区先生指称，</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公司的报税表全是由</w:t>
      </w:r>
      <w:r w:rsidRPr="007B2BE1">
        <w:rPr>
          <w:rFonts w:ascii="Times New Roman" w:eastAsia="標楷體" w:hAnsi="Times New Roman" w:cs="Times New Roman"/>
          <w:lang w:eastAsia="zh-CN"/>
        </w:rPr>
        <w:t>J</w:t>
      </w:r>
      <w:r w:rsidRPr="007B2BE1">
        <w:rPr>
          <w:rFonts w:ascii="Times New Roman" w:eastAsia="標楷體" w:hAnsi="Times New Roman" w:cs="Times New Roman"/>
          <w:lang w:eastAsia="zh-CN"/>
        </w:rPr>
        <w:t>先生填上资料后签名的。可是，</w:t>
      </w:r>
      <w:r w:rsidRPr="007B2BE1">
        <w:rPr>
          <w:rFonts w:ascii="Times New Roman" w:eastAsia="標楷體" w:hAnsi="Times New Roman" w:cs="Times New Roman"/>
          <w:lang w:eastAsia="zh-CN"/>
        </w:rPr>
        <w:t>J</w:t>
      </w:r>
      <w:r w:rsidRPr="007B2BE1">
        <w:rPr>
          <w:rFonts w:ascii="Times New Roman" w:eastAsia="標楷體" w:hAnsi="Times New Roman" w:cs="Times New Roman"/>
          <w:lang w:eastAsia="zh-CN"/>
        </w:rPr>
        <w:t>先生没有克尽他作为税务代表的责任，清楚按照事实表达有关客户的会计和填报资料给税务局。</w:t>
      </w:r>
    </w:p>
    <w:p w14:paraId="59448EAD" w14:textId="77777777" w:rsidR="00D15279" w:rsidRPr="007B2BE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2D931FF9" w14:textId="1FB35E9C" w:rsidR="0056148C" w:rsidRPr="007B2BE1" w:rsidRDefault="007B2BE1"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t>区先生指称，</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先生是「被动地」签署税务局提出的第四个和解建议，那是因为他知道每一次的建议的税金比之前的多，而他如果再不签署及接受建议，之后他要负担的税金会越来越多。区先生再指称，</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先生没有参与会计过程，他只是真诚相信他的税务代表，而税务局在知道这样情况下要求</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先生接受评估的税金是不公平的。区先生认为</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先生不应全盘地负上责任，因为是他的会计出了问题。</w:t>
      </w:r>
    </w:p>
    <w:p w14:paraId="30DCB760" w14:textId="77777777" w:rsidR="00D15279" w:rsidRPr="007B2BE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11F50A3D" w14:textId="3BCCBF4B" w:rsidR="00921C47" w:rsidRPr="007B2BE1" w:rsidRDefault="007B2BE1"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税务局方面在评估发型服务的入息时可能在</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先生没有提出文件的情况下</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eastAsia="zh-CN"/>
        </w:rPr>
        <w:t>因为有部分可能已被水浸毁烂，也有部分在交了给第一税务代表后因为该方的不合作而无法索回</w:t>
      </w:r>
      <w:r w:rsidRPr="007B2BE1">
        <w:rPr>
          <w:rFonts w:ascii="Times New Roman" w:eastAsia="標楷體" w:hAnsi="Times New Roman" w:cs="Times New Roman"/>
          <w:lang w:eastAsia="zh-CN"/>
        </w:rPr>
        <w:t>)</w:t>
      </w:r>
      <w:r w:rsidRPr="007B2BE1">
        <w:rPr>
          <w:rFonts w:ascii="Times New Roman" w:eastAsia="標楷體" w:hAnsi="Times New Roman" w:cs="Times New Roman"/>
          <w:lang w:val="en-US" w:eastAsia="zh-CN"/>
        </w:rPr>
        <w:t>把所有费用当成</w:t>
      </w:r>
      <w:r w:rsidRPr="007B2BE1">
        <w:rPr>
          <w:rFonts w:ascii="Times New Roman" w:eastAsia="標楷體" w:hAnsi="Times New Roman" w:cs="Times New Roman"/>
          <w:lang w:val="en-US" w:eastAsia="zh-CN"/>
        </w:rPr>
        <w:lastRenderedPageBreak/>
        <w:t>他的入息，以此作为基础计算税款和补加税，其实是高估了他的收入或</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公司的利润。</w:t>
      </w:r>
    </w:p>
    <w:p w14:paraId="5AD07F7F" w14:textId="77777777" w:rsidR="00D15279" w:rsidRPr="007B2BE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009691C4" w14:textId="43C80697" w:rsidR="00921C47" w:rsidRPr="007B2BE1" w:rsidRDefault="007B2BE1"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先生是负责任的纳税人，他全程配合</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先生在税务方面向他作出的要求，包括税务局对他和</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公司的税务调查有关的要求。对于税务局指他未有妥善保存公司的文件，</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先生承认自己有不足的地方，也接受了税务局的判罚。对于税务局的评税和补加税，他亦都已经全数缴清。</w:t>
      </w:r>
    </w:p>
    <w:p w14:paraId="77C87F4A" w14:textId="77777777" w:rsidR="00D15279" w:rsidRPr="007B2BE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2B62CA3F" w14:textId="62A25346" w:rsidR="00921C47" w:rsidRPr="007B2BE1" w:rsidRDefault="007B2BE1"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eastAsia="zh-CN"/>
        </w:rPr>
        <w:t>区先生表示他接手处理</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先生及</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公司的个案后一直有帮助</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先生找回及补交文件给税务局，同时他希望可以能和税务局讨论一个补救方案，或者更正税务资料，又或者澄清一些事情，例如</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先生一方面以为没有交报税表但税务局说已经就有关课税年度将他享有的已婚免税额计算在内，可是没有能力很快的把有关文件准备。区先生说一直跟税务局表明他希望税务局方面能够和他再审视</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先生及</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公司的个案和厘清所有资料，然后才处理</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先生的责任。可是，税务局全是以</w:t>
      </w:r>
      <w:r w:rsidRPr="007B2BE1">
        <w:rPr>
          <w:rFonts w:ascii="Times New Roman" w:eastAsia="標楷體" w:hAnsi="Times New Roman" w:cs="Times New Roman"/>
          <w:lang w:eastAsia="zh-CN"/>
        </w:rPr>
        <w:t>2017</w:t>
      </w:r>
      <w:r w:rsidRPr="007B2BE1">
        <w:rPr>
          <w:rFonts w:ascii="Times New Roman" w:eastAsia="標楷體" w:hAnsi="Times New Roman" w:cs="Times New Roman"/>
          <w:lang w:eastAsia="zh-CN"/>
        </w:rPr>
        <w:t>年</w:t>
      </w:r>
      <w:r w:rsidRPr="007B2BE1">
        <w:rPr>
          <w:rFonts w:ascii="Times New Roman" w:eastAsia="標楷體" w:hAnsi="Times New Roman" w:cs="Times New Roman"/>
          <w:lang w:eastAsia="zh-CN"/>
        </w:rPr>
        <w:t>9</w:t>
      </w:r>
      <w:r w:rsidRPr="007B2BE1">
        <w:rPr>
          <w:rFonts w:ascii="Times New Roman" w:eastAsia="標楷體" w:hAnsi="Times New Roman" w:cs="Times New Roman"/>
          <w:lang w:eastAsia="zh-CN"/>
        </w:rPr>
        <w:t>月</w:t>
      </w:r>
      <w:r w:rsidRPr="007B2BE1">
        <w:rPr>
          <w:rFonts w:ascii="Times New Roman" w:eastAsia="標楷體" w:hAnsi="Times New Roman" w:cs="Times New Roman"/>
          <w:lang w:eastAsia="zh-CN"/>
        </w:rPr>
        <w:t>29</w:t>
      </w:r>
      <w:r w:rsidRPr="007B2BE1">
        <w:rPr>
          <w:rFonts w:ascii="Times New Roman" w:eastAsia="標楷體" w:hAnsi="Times New Roman" w:cs="Times New Roman"/>
          <w:lang w:eastAsia="zh-CN"/>
        </w:rPr>
        <w:t>日签署的建议书内容为基准，表示不会考虑，并在没有书面陈述下交由税务局局长决定，最后决定判罚</w:t>
      </w:r>
      <w:r w:rsidRPr="007B2BE1">
        <w:rPr>
          <w:rFonts w:ascii="Times New Roman" w:eastAsia="標楷體" w:hAnsi="Times New Roman" w:cs="Times New Roman"/>
          <w:lang w:eastAsia="zh-CN"/>
        </w:rPr>
        <w:t>110%</w:t>
      </w:r>
      <w:r w:rsidRPr="007B2BE1">
        <w:rPr>
          <w:rFonts w:ascii="Times New Roman" w:eastAsia="標楷體" w:hAnsi="Times New Roman" w:cs="Times New Roman"/>
          <w:lang w:eastAsia="zh-CN"/>
        </w:rPr>
        <w:t>的补加税。这等情况就显得对</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先生不公平。</w:t>
      </w:r>
    </w:p>
    <w:p w14:paraId="6888F1E4" w14:textId="77777777" w:rsidR="00D15279" w:rsidRPr="007B2BE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02E56937" w14:textId="7E1E3309" w:rsidR="00A82A9A" w:rsidRPr="007B2BE1" w:rsidRDefault="007B2BE1"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另外，区先生认为，由于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先生可从</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公司分得四分之一的利润，这等利润可从</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先生的入息及</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公司的营业额扣除，于是有四个财政年度的课税应重新厘定。</w:t>
      </w:r>
    </w:p>
    <w:p w14:paraId="07F595A7" w14:textId="77777777" w:rsidR="0028130A" w:rsidRPr="007B2BE1" w:rsidRDefault="0028130A" w:rsidP="00D15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737AE093" w14:textId="32E1DBDB" w:rsidR="0028130A" w:rsidRPr="007B2BE1" w:rsidRDefault="007B2BE1" w:rsidP="00D15279">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《税务条例》第</w:t>
      </w:r>
      <w:r w:rsidRPr="007B2BE1">
        <w:rPr>
          <w:rFonts w:ascii="Times New Roman" w:eastAsia="標楷體" w:hAnsi="Times New Roman" w:cs="Times New Roman"/>
          <w:lang w:val="en-US" w:eastAsia="zh-CN"/>
        </w:rPr>
        <w:t>82B(3)</w:t>
      </w:r>
      <w:r w:rsidRPr="007B2BE1">
        <w:rPr>
          <w:rFonts w:ascii="Times New Roman" w:eastAsia="標楷體" w:hAnsi="Times New Roman" w:cs="Times New Roman"/>
          <w:lang w:val="en-US" w:eastAsia="zh-CN"/>
        </w:rPr>
        <w:t>条规定，在第</w:t>
      </w:r>
      <w:r w:rsidRPr="007B2BE1">
        <w:rPr>
          <w:rFonts w:ascii="Times New Roman" w:eastAsia="標楷體" w:hAnsi="Times New Roman" w:cs="Times New Roman"/>
          <w:lang w:val="en-US" w:eastAsia="zh-CN"/>
        </w:rPr>
        <w:t>66(3)</w:t>
      </w:r>
      <w:r w:rsidRPr="007B2BE1">
        <w:rPr>
          <w:rFonts w:ascii="Times New Roman" w:eastAsia="標楷體" w:hAnsi="Times New Roman" w:cs="Times New Roman"/>
          <w:lang w:val="en-US" w:eastAsia="zh-CN"/>
        </w:rPr>
        <w:t>与第</w:t>
      </w:r>
      <w:r w:rsidRPr="007B2BE1">
        <w:rPr>
          <w:rFonts w:ascii="Times New Roman" w:eastAsia="標楷體" w:hAnsi="Times New Roman" w:cs="Times New Roman"/>
          <w:lang w:val="en-US" w:eastAsia="zh-CN"/>
        </w:rPr>
        <w:t>68</w:t>
      </w:r>
      <w:r w:rsidRPr="007B2BE1">
        <w:rPr>
          <w:rFonts w:ascii="Times New Roman" w:eastAsia="標楷體" w:hAnsi="Times New Roman" w:cs="Times New Roman"/>
          <w:lang w:val="en-US" w:eastAsia="zh-CN"/>
        </w:rPr>
        <w:t>条属适用的范围内，该等条文就为反对补加税而提出的上诉而有效，犹如该等上诉是为反对补加税以外的其他评税而提出的一样。第</w:t>
      </w:r>
      <w:r w:rsidRPr="007B2BE1">
        <w:rPr>
          <w:rFonts w:ascii="Times New Roman" w:eastAsia="標楷體" w:hAnsi="Times New Roman" w:cs="Times New Roman"/>
          <w:lang w:val="en-US" w:eastAsia="zh-CN"/>
        </w:rPr>
        <w:t>66(3)</w:t>
      </w:r>
      <w:r w:rsidRPr="007B2BE1">
        <w:rPr>
          <w:rFonts w:ascii="Times New Roman" w:eastAsia="標楷體" w:hAnsi="Times New Roman" w:cs="Times New Roman"/>
          <w:lang w:val="en-US" w:eastAsia="zh-CN"/>
        </w:rPr>
        <w:t>条规定，除非获得税务上诉委员会的同意并遵照委员会所决定的条款进行，否则上诉人不得在其上诉的聆讯中，倚赖其发出的上诉理由陈述书所载理由以外的任何其他理由。</w:t>
      </w:r>
      <w:r w:rsidRPr="007B2BE1">
        <w:rPr>
          <w:rFonts w:ascii="Times New Roman" w:eastAsia="標楷體" w:hAnsi="Times New Roman" w:cs="Times New Roman"/>
          <w:lang w:eastAsia="zh-CN"/>
        </w:rPr>
        <w:t>根据</w:t>
      </w:r>
      <w:r w:rsidRPr="007B2BE1">
        <w:rPr>
          <w:rFonts w:ascii="Times New Roman" w:eastAsia="標楷體" w:hAnsi="Times New Roman" w:cs="Times New Roman"/>
          <w:lang w:val="en-US" w:eastAsia="zh-CN"/>
        </w:rPr>
        <w:t>《税务条例》第</w:t>
      </w:r>
      <w:r w:rsidRPr="007B2BE1">
        <w:rPr>
          <w:rFonts w:ascii="Times New Roman" w:eastAsia="標楷體" w:hAnsi="Times New Roman" w:cs="Times New Roman"/>
          <w:lang w:val="en-US" w:eastAsia="zh-CN"/>
        </w:rPr>
        <w:t>68(4)</w:t>
      </w:r>
      <w:r w:rsidRPr="007B2BE1">
        <w:rPr>
          <w:rFonts w:ascii="Times New Roman" w:eastAsia="標楷體" w:hAnsi="Times New Roman" w:cs="Times New Roman"/>
          <w:lang w:val="en-US" w:eastAsia="zh-CN"/>
        </w:rPr>
        <w:t>条，</w:t>
      </w:r>
      <w:r w:rsidRPr="007B2BE1">
        <w:rPr>
          <w:rFonts w:ascii="Times New Roman" w:eastAsia="標楷體" w:hAnsi="Times New Roman" w:cs="Times New Roman"/>
          <w:lang w:eastAsia="zh-CN"/>
        </w:rPr>
        <w:t>上诉人须承担证明上诉所针对的</w:t>
      </w:r>
      <w:r w:rsidRPr="007B2BE1">
        <w:rPr>
          <w:rFonts w:ascii="Times New Roman" w:eastAsia="標楷體" w:hAnsi="Times New Roman" w:cs="Times New Roman"/>
          <w:lang w:val="en-US" w:eastAsia="zh-CN"/>
        </w:rPr>
        <w:t>评</w:t>
      </w:r>
      <w:r w:rsidRPr="007B2BE1">
        <w:rPr>
          <w:rFonts w:ascii="Times New Roman" w:eastAsia="標楷體" w:hAnsi="Times New Roman" w:cs="Times New Roman"/>
          <w:lang w:eastAsia="zh-CN"/>
        </w:rPr>
        <w:t>税过多或不正确的举证责任。综合上述两条文，上诉人须在本上诉依据其上诉通知内载的上诉理由证明税务局局长的补加税评税不正确或补加税评税款额过多。</w:t>
      </w:r>
    </w:p>
    <w:p w14:paraId="4C0652BD" w14:textId="77777777" w:rsidR="00D20CA7" w:rsidRPr="007B2BE1" w:rsidRDefault="00D20CA7"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560"/>
        <w:jc w:val="both"/>
        <w:rPr>
          <w:rFonts w:ascii="Times New Roman" w:eastAsia="標楷體" w:hAnsi="Times New Roman" w:cs="Times New Roman"/>
          <w:lang w:eastAsia="zh-CN"/>
        </w:rPr>
      </w:pPr>
    </w:p>
    <w:p w14:paraId="38CAF859" w14:textId="58897331" w:rsidR="00BF06A3" w:rsidRPr="007B2BE1" w:rsidRDefault="007B2BE1" w:rsidP="00D15279">
      <w:pPr>
        <w:pStyle w:val="ac"/>
        <w:widowControl w:val="0"/>
        <w:overflowPunct w:val="0"/>
        <w:autoSpaceDE w:val="0"/>
        <w:autoSpaceDN w:val="0"/>
        <w:adjustRightInd w:val="0"/>
        <w:ind w:left="0"/>
        <w:jc w:val="both"/>
        <w:rPr>
          <w:rFonts w:ascii="Times New Roman" w:eastAsia="標楷體" w:hAnsi="Times New Roman" w:cs="Times New Roman"/>
          <w:b/>
          <w:sz w:val="28"/>
          <w:szCs w:val="28"/>
          <w:lang w:eastAsia="zh-TW"/>
        </w:rPr>
      </w:pPr>
      <w:r w:rsidRPr="007B2BE1">
        <w:rPr>
          <w:rFonts w:ascii="Times New Roman" w:eastAsia="標楷體" w:hAnsi="Times New Roman" w:cs="Times New Roman"/>
          <w:b/>
          <w:sz w:val="28"/>
          <w:szCs w:val="28"/>
          <w:lang w:eastAsia="zh-CN"/>
        </w:rPr>
        <w:t>相关法律</w:t>
      </w:r>
    </w:p>
    <w:p w14:paraId="5DA6507D" w14:textId="77777777" w:rsidR="00BF06A3" w:rsidRPr="007B2BE1" w:rsidRDefault="00BF06A3" w:rsidP="00D15279">
      <w:pPr>
        <w:pStyle w:val="ac"/>
        <w:widowControl w:val="0"/>
        <w:overflowPunct w:val="0"/>
        <w:autoSpaceDE w:val="0"/>
        <w:autoSpaceDN w:val="0"/>
        <w:adjustRightInd w:val="0"/>
        <w:ind w:left="0"/>
        <w:jc w:val="both"/>
        <w:rPr>
          <w:rFonts w:ascii="Times New Roman" w:eastAsia="標楷體" w:hAnsi="Times New Roman" w:cs="Times New Roman"/>
          <w:lang w:eastAsia="zh-TW"/>
        </w:rPr>
      </w:pPr>
    </w:p>
    <w:p w14:paraId="29A0EB1D" w14:textId="79A778B5" w:rsidR="00701DCE" w:rsidRPr="007B2BE1" w:rsidRDefault="007B2BE1" w:rsidP="00D15279">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《税务条例》第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条规定：</w:t>
      </w:r>
    </w:p>
    <w:p w14:paraId="4AE3B7FE" w14:textId="7603F7D0" w:rsidR="005764F1" w:rsidRPr="007B2BE1" w:rsidRDefault="005764F1"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1D166D48" w14:textId="04D9922B" w:rsidR="00701DCE" w:rsidRPr="007B2BE1" w:rsidRDefault="007B2BE1"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任何人无合理辩解而</w:t>
      </w:r>
      <w:r w:rsidRPr="007B2BE1">
        <w:rPr>
          <w:rFonts w:ascii="Times New Roman" w:eastAsia="標楷體" w:hAnsi="Times New Roman" w:cs="Times New Roman"/>
          <w:lang w:val="en-US" w:eastAsia="zh-CN"/>
        </w:rPr>
        <w:t xml:space="preserve"> —</w:t>
      </w:r>
    </w:p>
    <w:p w14:paraId="006B2D1D" w14:textId="77777777" w:rsidR="00701DCE" w:rsidRPr="007B2BE1" w:rsidRDefault="00701DCE"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0C2A856B" w14:textId="3459A8D4" w:rsidR="00765715" w:rsidRPr="007B2BE1" w:rsidRDefault="007B2BE1"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漏报或少报本条例规定其须代其本人或代任何其他人申报的资料，以致其提交的报税表申报不确；或</w:t>
      </w:r>
    </w:p>
    <w:p w14:paraId="44522EEC" w14:textId="77777777" w:rsidR="00344307" w:rsidRPr="007B2BE1" w:rsidRDefault="00344307"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3F96966E" w14:textId="69CA1342" w:rsidR="00765715" w:rsidRPr="007B2BE1" w:rsidRDefault="007B2BE1"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在根据本条例申索任何扣除或免税额的有关方面，作出不正确的陈述；或</w:t>
      </w:r>
    </w:p>
    <w:p w14:paraId="28995EA5" w14:textId="77777777" w:rsidR="00344307" w:rsidRPr="007B2BE1" w:rsidRDefault="00344307"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73B6F95E" w14:textId="7F9C2EB1" w:rsidR="00765715" w:rsidRPr="007B2BE1" w:rsidRDefault="007B2BE1"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在影响其本人</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或任何其他人</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的缴税法律责任的事情或事物方面，提供不正确的资料；或</w:t>
      </w:r>
    </w:p>
    <w:p w14:paraId="6365DCAB" w14:textId="77777777" w:rsidR="00344307" w:rsidRPr="007B2BE1" w:rsidRDefault="00344307"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440"/>
        <w:jc w:val="both"/>
        <w:rPr>
          <w:rFonts w:ascii="Times New Roman" w:eastAsia="標楷體" w:hAnsi="Times New Roman" w:cs="Times New Roman"/>
          <w:lang w:val="en-US" w:eastAsia="zh-TW"/>
        </w:rPr>
      </w:pPr>
    </w:p>
    <w:p w14:paraId="290285FD" w14:textId="285D6DF5" w:rsidR="00765715" w:rsidRPr="007B2BE1" w:rsidRDefault="007B2BE1" w:rsidP="00344307">
      <w:pPr>
        <w:pStyle w:val="ac"/>
        <w:widowControl w:val="0"/>
        <w:overflowPunct w:val="0"/>
        <w:autoSpaceDE w:val="0"/>
        <w:autoSpaceDN w:val="0"/>
        <w:adjustRightInd w:val="0"/>
        <w:ind w:leftChars="1118" w:left="2683"/>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w:t>
      </w:r>
    </w:p>
    <w:p w14:paraId="4C7640ED" w14:textId="77777777" w:rsidR="00765715" w:rsidRPr="007B2BE1" w:rsidRDefault="00765715"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440"/>
        <w:jc w:val="both"/>
        <w:rPr>
          <w:rFonts w:ascii="Times New Roman" w:eastAsia="標楷體" w:hAnsi="Times New Roman" w:cs="Times New Roman"/>
          <w:lang w:val="en-US" w:eastAsia="zh-TW"/>
        </w:rPr>
      </w:pPr>
    </w:p>
    <w:p w14:paraId="55284B9F" w14:textId="0542B737" w:rsidR="00964823" w:rsidRPr="007B2BE1" w:rsidRDefault="007B2BE1" w:rsidP="00344307">
      <w:pPr>
        <w:pStyle w:val="ac"/>
        <w:widowControl w:val="0"/>
        <w:overflowPunct w:val="0"/>
        <w:autoSpaceDE w:val="0"/>
        <w:autoSpaceDN w:val="0"/>
        <w:adjustRightInd w:val="0"/>
        <w:ind w:leftChars="878" w:left="2107"/>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如没有就相同的事实受到根据第</w:t>
      </w:r>
      <w:r w:rsidRPr="007B2BE1">
        <w:rPr>
          <w:rFonts w:ascii="Times New Roman" w:eastAsia="標楷體" w:hAnsi="Times New Roman" w:cs="Times New Roman"/>
          <w:lang w:val="en-US" w:eastAsia="zh-CN"/>
        </w:rPr>
        <w:t>80(2)</w:t>
      </w:r>
      <w:r w:rsidRPr="007B2BE1">
        <w:rPr>
          <w:rFonts w:ascii="Times New Roman" w:eastAsia="標楷體" w:hAnsi="Times New Roman" w:cs="Times New Roman"/>
          <w:lang w:val="en-US" w:eastAsia="zh-CN"/>
        </w:rPr>
        <w:t>或</w:t>
      </w:r>
      <w:r w:rsidRPr="007B2BE1">
        <w:rPr>
          <w:rFonts w:ascii="Times New Roman" w:eastAsia="標楷體" w:hAnsi="Times New Roman" w:cs="Times New Roman"/>
          <w:lang w:val="en-US" w:eastAsia="zh-CN"/>
        </w:rPr>
        <w:t>82(1)</w:t>
      </w:r>
      <w:r w:rsidRPr="007B2BE1">
        <w:rPr>
          <w:rFonts w:ascii="Times New Roman" w:eastAsia="標楷體" w:hAnsi="Times New Roman" w:cs="Times New Roman"/>
          <w:lang w:val="en-US" w:eastAsia="zh-CN"/>
        </w:rPr>
        <w:t>条提出的检控，则该人有法律责任根据本条被评定补加税，款额以不超出以下税额的三倍为限。</w:t>
      </w:r>
    </w:p>
    <w:p w14:paraId="05E9ECD4" w14:textId="77777777" w:rsidR="00964823" w:rsidRPr="007B2BE1" w:rsidRDefault="0096482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7A2F413A" w14:textId="0A3BE16F" w:rsidR="00964823" w:rsidRPr="007B2BE1" w:rsidRDefault="007B2BE1"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补加税是在缴付根据任何评税或根据第</w:t>
      </w:r>
      <w:r w:rsidRPr="007B2BE1">
        <w:rPr>
          <w:rFonts w:ascii="Times New Roman" w:eastAsia="標楷體" w:hAnsi="Times New Roman" w:cs="Times New Roman"/>
          <w:lang w:val="en-US" w:eastAsia="zh-CN"/>
        </w:rPr>
        <w:t>60</w:t>
      </w:r>
      <w:r w:rsidRPr="007B2BE1">
        <w:rPr>
          <w:rFonts w:ascii="Times New Roman" w:eastAsia="標楷體" w:hAnsi="Times New Roman" w:cs="Times New Roman"/>
          <w:lang w:val="en-US" w:eastAsia="zh-CN"/>
        </w:rPr>
        <w:t>条作出的补加税评税而须缴付的税款外，另行须缴付的税款。</w:t>
      </w:r>
    </w:p>
    <w:p w14:paraId="01E64177" w14:textId="7C68208E" w:rsidR="00964823" w:rsidRPr="007B2BE1" w:rsidRDefault="0096482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41B5DF66" w14:textId="197E38D1" w:rsidR="00765715" w:rsidRPr="007B2BE1" w:rsidRDefault="007B2BE1"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补加税评税只可由局长本人或副局长本人亲自作出。</w:t>
      </w:r>
    </w:p>
    <w:p w14:paraId="5CB23897" w14:textId="77777777" w:rsidR="00765715" w:rsidRPr="007B2BE1" w:rsidRDefault="00765715"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796A1B37" w14:textId="2602EEDA" w:rsidR="00964823" w:rsidRPr="007B2BE1" w:rsidRDefault="007B2BE1"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局长或副局长</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视属何情况而定</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在作出补加税评税前，须</w:t>
      </w:r>
      <w:r w:rsidRPr="007B2BE1">
        <w:rPr>
          <w:rFonts w:ascii="Times New Roman" w:eastAsia="標楷體" w:hAnsi="Times New Roman" w:cs="Times New Roman"/>
          <w:lang w:val="en-US" w:eastAsia="zh-CN"/>
        </w:rPr>
        <w:t xml:space="preserve"> —</w:t>
      </w:r>
    </w:p>
    <w:p w14:paraId="76A2F488" w14:textId="77777777" w:rsidR="00964823" w:rsidRPr="007B2BE1" w:rsidRDefault="0096482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648BF75F" w14:textId="6F692386" w:rsidR="00964823" w:rsidRPr="007B2BE1" w:rsidRDefault="007B2BE1"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安排发出通知予他打算作出补加税评税的人</w:t>
      </w:r>
      <w:r w:rsidRPr="007B2BE1">
        <w:rPr>
          <w:rFonts w:ascii="Times New Roman" w:eastAsia="標楷體" w:hAnsi="Times New Roman" w:cs="Times New Roman"/>
          <w:lang w:val="en-US" w:eastAsia="zh-CN"/>
        </w:rPr>
        <w:t>…</w:t>
      </w:r>
    </w:p>
    <w:p w14:paraId="21EE24E4" w14:textId="77777777" w:rsidR="00344307" w:rsidRPr="007B2BE1" w:rsidRDefault="00344307"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689DDBFD" w14:textId="101419A9" w:rsidR="00964823" w:rsidRPr="007B2BE1" w:rsidRDefault="007B2BE1"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顾及他可能根据</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段接获的由他打算向其评定补加税的人所提出的申述或他人代该人所提出的申述，并加以考虑。</w:t>
      </w:r>
    </w:p>
    <w:p w14:paraId="53E30843" w14:textId="3BC4D34F" w:rsidR="009E630F" w:rsidRPr="007B2BE1" w:rsidRDefault="009E630F"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08EB64A8" w14:textId="3C7D9065" w:rsidR="00765715" w:rsidRPr="007B2BE1" w:rsidRDefault="007B2BE1" w:rsidP="00907BDA">
      <w:pPr>
        <w:pStyle w:val="ac"/>
        <w:widowControl w:val="0"/>
        <w:overflowPunct w:val="0"/>
        <w:autoSpaceDE w:val="0"/>
        <w:autoSpaceDN w:val="0"/>
        <w:adjustRightInd w:val="0"/>
        <w:ind w:leftChars="638" w:left="1531"/>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w:t>
      </w:r>
    </w:p>
    <w:p w14:paraId="1C821B04" w14:textId="461679A5" w:rsidR="00964823" w:rsidRPr="007B2BE1" w:rsidRDefault="0096482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6745778B" w14:textId="50480A13" w:rsidR="00765715" w:rsidRPr="007B2BE1" w:rsidRDefault="007B2BE1"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关于拟评定补加税的通知书及补加税评税通知书，须按与第</w:t>
      </w:r>
      <w:r w:rsidRPr="007B2BE1">
        <w:rPr>
          <w:rFonts w:ascii="Times New Roman" w:eastAsia="標楷體" w:hAnsi="Times New Roman" w:cs="Times New Roman"/>
          <w:lang w:val="en-US" w:eastAsia="zh-CN"/>
        </w:rPr>
        <w:t>58(2)</w:t>
      </w:r>
      <w:r w:rsidRPr="007B2BE1">
        <w:rPr>
          <w:rFonts w:ascii="Times New Roman" w:eastAsia="標楷體" w:hAnsi="Times New Roman" w:cs="Times New Roman"/>
          <w:lang w:val="en-US" w:eastAsia="zh-CN"/>
        </w:rPr>
        <w:t>条就第</w:t>
      </w:r>
      <w:r w:rsidRPr="007B2BE1">
        <w:rPr>
          <w:rFonts w:ascii="Times New Roman" w:eastAsia="標楷體" w:hAnsi="Times New Roman" w:cs="Times New Roman"/>
          <w:lang w:val="en-US" w:eastAsia="zh-CN"/>
        </w:rPr>
        <w:t>62</w:t>
      </w:r>
      <w:r w:rsidRPr="007B2BE1">
        <w:rPr>
          <w:rFonts w:ascii="Times New Roman" w:eastAsia="標楷體" w:hAnsi="Times New Roman" w:cs="Times New Roman"/>
          <w:lang w:val="en-US" w:eastAsia="zh-CN"/>
        </w:rPr>
        <w:t>条所指的评税通知书而订定的同样方式发出。</w:t>
      </w:r>
    </w:p>
    <w:p w14:paraId="07074620" w14:textId="3D19DDBE" w:rsidR="009C09B3" w:rsidRPr="007B2BE1" w:rsidRDefault="009C09B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493CF38A" w14:textId="738DFF6F" w:rsidR="009C09B3" w:rsidRPr="007B2BE1" w:rsidRDefault="007B2BE1" w:rsidP="00907BDA">
      <w:pPr>
        <w:pStyle w:val="ac"/>
        <w:widowControl w:val="0"/>
        <w:overflowPunct w:val="0"/>
        <w:autoSpaceDE w:val="0"/>
        <w:autoSpaceDN w:val="0"/>
        <w:adjustRightInd w:val="0"/>
        <w:ind w:leftChars="638" w:left="1531"/>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w:t>
      </w:r>
    </w:p>
    <w:p w14:paraId="245C8AA2" w14:textId="4257E048" w:rsidR="009C09B3" w:rsidRPr="007B2BE1" w:rsidRDefault="009C09B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4043FA41" w14:textId="030285B5" w:rsidR="009C09B3" w:rsidRPr="007B2BE1" w:rsidRDefault="007B2BE1" w:rsidP="00907BDA">
      <w:pPr>
        <w:pStyle w:val="ac"/>
        <w:widowControl w:val="0"/>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在本条中</w:t>
      </w:r>
      <w:r w:rsidRPr="007B2BE1">
        <w:rPr>
          <w:rFonts w:ascii="Times New Roman" w:eastAsia="標楷體" w:hAnsi="Times New Roman" w:cs="Times New Roman"/>
          <w:lang w:val="en-US" w:eastAsia="zh-CN"/>
        </w:rPr>
        <w:t xml:space="preserve"> —</w:t>
      </w:r>
    </w:p>
    <w:p w14:paraId="2B3F27DB" w14:textId="77777777" w:rsidR="00344307" w:rsidRPr="007B2BE1" w:rsidRDefault="00344307"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71332605" w14:textId="1A4E1A99" w:rsidR="009C09B3" w:rsidRPr="007B2BE1" w:rsidRDefault="007B2BE1" w:rsidP="00907BDA">
      <w:pPr>
        <w:pStyle w:val="ac"/>
        <w:widowControl w:val="0"/>
        <w:overflowPunct w:val="0"/>
        <w:autoSpaceDE w:val="0"/>
        <w:autoSpaceDN w:val="0"/>
        <w:adjustRightInd w:val="0"/>
        <w:ind w:leftChars="878" w:left="2107"/>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少征税款</w:t>
      </w:r>
      <w:r w:rsidRPr="007B2BE1">
        <w:rPr>
          <w:rFonts w:ascii="Times New Roman" w:eastAsia="標楷體" w:hAnsi="Times New Roman" w:cs="Times New Roman"/>
          <w:lang w:eastAsia="zh-CN"/>
        </w:rPr>
        <w:t>(undercharged amount)</w:t>
      </w:r>
      <w:r w:rsidRPr="007B2BE1">
        <w:rPr>
          <w:rFonts w:ascii="Times New Roman" w:eastAsia="標楷體" w:hAnsi="Times New Roman" w:cs="Times New Roman"/>
          <w:lang w:eastAsia="zh-CN"/>
        </w:rPr>
        <w:t>的涵义如下</w:t>
      </w:r>
      <w:r w:rsidRPr="007B2BE1">
        <w:rPr>
          <w:rFonts w:ascii="Times New Roman" w:eastAsia="標楷體" w:hAnsi="Times New Roman" w:cs="Times New Roman"/>
          <w:lang w:eastAsia="zh-CN"/>
        </w:rPr>
        <w:t xml:space="preserve"> —</w:t>
      </w:r>
    </w:p>
    <w:p w14:paraId="36BE2ACD" w14:textId="77777777" w:rsidR="00907BDA" w:rsidRPr="007B2BE1" w:rsidRDefault="00907BDA"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6BABA9BC" w14:textId="3B994B37" w:rsidR="009C09B3" w:rsidRPr="007B2BE1" w:rsidRDefault="007B2BE1" w:rsidP="00907BDA">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如因为不正确报表、陈述或资料，或因为在陈述或资料中遗漏事项，而评定补加税，则就该补加税而言，少征税款指</w:t>
      </w:r>
      <w:r w:rsidRPr="007B2BE1">
        <w:rPr>
          <w:rFonts w:ascii="Times New Roman" w:eastAsia="標楷體" w:hAnsi="Times New Roman" w:cs="Times New Roman"/>
          <w:lang w:val="en-US" w:eastAsia="zh-CN"/>
        </w:rPr>
        <w:t xml:space="preserve"> —</w:t>
      </w:r>
    </w:p>
    <w:p w14:paraId="2D7064D1" w14:textId="77777777" w:rsidR="00907BDA" w:rsidRPr="007B2BE1" w:rsidRDefault="00907BDA"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440"/>
        <w:jc w:val="both"/>
        <w:rPr>
          <w:rFonts w:ascii="Times New Roman" w:eastAsia="標楷體" w:hAnsi="Times New Roman" w:cs="Times New Roman"/>
          <w:lang w:val="en-US" w:eastAsia="zh-TW"/>
        </w:rPr>
      </w:pPr>
    </w:p>
    <w:p w14:paraId="4119959E" w14:textId="4343FA45" w:rsidR="009C09B3" w:rsidRPr="007B2BE1" w:rsidRDefault="007B2BE1" w:rsidP="00907BDA">
      <w:pPr>
        <w:pStyle w:val="ac"/>
        <w:widowControl w:val="0"/>
        <w:tabs>
          <w:tab w:val="left" w:pos="3259"/>
        </w:tabs>
        <w:overflowPunct w:val="0"/>
        <w:autoSpaceDE w:val="0"/>
        <w:autoSpaceDN w:val="0"/>
        <w:adjustRightInd w:val="0"/>
        <w:ind w:leftChars="1118" w:left="3259"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(i)</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因该不正确报表、陈述或资料，或因该项遗漏，而少征收的税款；或</w:t>
      </w:r>
    </w:p>
    <w:p w14:paraId="3A4B59F5" w14:textId="77777777" w:rsidR="00907BDA" w:rsidRPr="007B2BE1" w:rsidRDefault="00907BDA" w:rsidP="00907BDA">
      <w:pPr>
        <w:pStyle w:val="ac"/>
        <w:widowControl w:val="0"/>
        <w:tabs>
          <w:tab w:val="left" w:pos="3259"/>
        </w:tabs>
        <w:overflowPunct w:val="0"/>
        <w:autoSpaceDE w:val="0"/>
        <w:autoSpaceDN w:val="0"/>
        <w:adjustRightInd w:val="0"/>
        <w:ind w:leftChars="1118" w:left="3259" w:hangingChars="240" w:hanging="576"/>
        <w:jc w:val="both"/>
        <w:rPr>
          <w:rFonts w:ascii="Times New Roman" w:eastAsia="標楷體" w:hAnsi="Times New Roman" w:cs="Times New Roman"/>
          <w:lang w:val="en-US" w:eastAsia="zh-TW"/>
        </w:rPr>
      </w:pPr>
    </w:p>
    <w:p w14:paraId="2BE912B4" w14:textId="4230FC48" w:rsidR="009C09B3" w:rsidRPr="007B2BE1" w:rsidRDefault="007B2BE1" w:rsidP="00907BDA">
      <w:pPr>
        <w:pStyle w:val="ac"/>
        <w:widowControl w:val="0"/>
        <w:tabs>
          <w:tab w:val="left" w:pos="3259"/>
        </w:tabs>
        <w:overflowPunct w:val="0"/>
        <w:autoSpaceDE w:val="0"/>
        <w:autoSpaceDN w:val="0"/>
        <w:adjustRightInd w:val="0"/>
        <w:ind w:leftChars="1118" w:left="3259"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(ii)</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假使该报表、陈述或资料获接纳为正确，或假使没</w:t>
      </w:r>
      <w:r w:rsidRPr="007B2BE1">
        <w:rPr>
          <w:rFonts w:ascii="Times New Roman" w:eastAsia="標楷體" w:hAnsi="Times New Roman" w:cs="Times New Roman"/>
          <w:lang w:val="en-US" w:eastAsia="zh-CN"/>
        </w:rPr>
        <w:lastRenderedPageBreak/>
        <w:t>有揭发该项遗漏，便会如此少征收的税款；或</w:t>
      </w:r>
    </w:p>
    <w:p w14:paraId="5724D308" w14:textId="77777777" w:rsidR="00907BDA" w:rsidRPr="007B2BE1" w:rsidRDefault="00907BDA"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2160"/>
        <w:jc w:val="both"/>
        <w:rPr>
          <w:rFonts w:ascii="Times New Roman" w:eastAsia="標楷體" w:hAnsi="Times New Roman" w:cs="Times New Roman"/>
          <w:lang w:eastAsia="zh-TW"/>
        </w:rPr>
      </w:pPr>
    </w:p>
    <w:p w14:paraId="0DDB0514" w14:textId="3D42C665" w:rsidR="009C09B3" w:rsidRPr="007B2BE1" w:rsidRDefault="007B2BE1" w:rsidP="00907BDA">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如因为没有遵守本条例的条文或没有遵从根据有关条文给予的通知</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统称错失</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，而评定补加税，则就该补加税而言，少征税款指因该项错失而少征收的税款，或假使没有揭发该项错失，便会如此少征收的税款。</w:t>
      </w:r>
    </w:p>
    <w:p w14:paraId="6DD995C7" w14:textId="77777777" w:rsidR="005764F1" w:rsidRPr="007B2BE1" w:rsidRDefault="005764F1"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4F53E34F" w14:textId="6D1543EF" w:rsidR="005764F1" w:rsidRPr="007B2BE1" w:rsidRDefault="007B2BE1" w:rsidP="008D0FC2">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《税务条例》第</w:t>
      </w:r>
      <w:r w:rsidRPr="007B2BE1">
        <w:rPr>
          <w:rFonts w:ascii="Times New Roman" w:eastAsia="標楷體" w:hAnsi="Times New Roman" w:cs="Times New Roman"/>
          <w:lang w:val="en-US" w:eastAsia="zh-CN"/>
        </w:rPr>
        <w:t>82B(2)</w:t>
      </w:r>
      <w:r w:rsidRPr="007B2BE1">
        <w:rPr>
          <w:rFonts w:ascii="Times New Roman" w:eastAsia="標楷體" w:hAnsi="Times New Roman" w:cs="Times New Roman"/>
          <w:lang w:val="en-US" w:eastAsia="zh-CN"/>
        </w:rPr>
        <w:t>条规定：</w:t>
      </w:r>
    </w:p>
    <w:p w14:paraId="60443CD1" w14:textId="77777777" w:rsidR="005764F1" w:rsidRPr="007B2BE1" w:rsidRDefault="005764F1"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00523098" w14:textId="377C964C" w:rsidR="00F5143F" w:rsidRPr="007B2BE1" w:rsidRDefault="007B2BE1" w:rsidP="008D0FC2">
      <w:pPr>
        <w:widowControl w:val="0"/>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(2)</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在反对补加税评税的上诉中，上诉人可争辩</w:t>
      </w:r>
      <w:r w:rsidRPr="007B2BE1">
        <w:rPr>
          <w:rFonts w:ascii="Times New Roman" w:eastAsia="標楷體" w:hAnsi="Times New Roman" w:cs="Times New Roman"/>
          <w:lang w:val="en-US" w:eastAsia="zh-CN"/>
        </w:rPr>
        <w:t xml:space="preserve"> </w:t>
      </w:r>
      <w:r w:rsidRPr="007B2BE1">
        <w:rPr>
          <w:rFonts w:ascii="Times New Roman" w:eastAsia="標楷體" w:hAnsi="Times New Roman" w:cs="Times New Roman"/>
          <w:lang w:eastAsia="zh-CN"/>
        </w:rPr>
        <w:t>—</w:t>
      </w:r>
    </w:p>
    <w:p w14:paraId="6C1ED7E3" w14:textId="77777777" w:rsidR="00F5143F" w:rsidRPr="007B2BE1" w:rsidRDefault="00F5143F"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764D00CC" w14:textId="7E26D73E" w:rsidR="00F5143F" w:rsidRPr="007B2BE1" w:rsidRDefault="007B2BE1"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他无须负上缴付补加税的法律责任；</w:t>
      </w:r>
    </w:p>
    <w:p w14:paraId="43A63FB0" w14:textId="77777777" w:rsidR="008D0FC2" w:rsidRPr="007B2BE1" w:rsidRDefault="008D0FC2"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6C4F2C7E" w14:textId="49074E6A" w:rsidR="009C09B3" w:rsidRPr="007B2BE1" w:rsidRDefault="007B2BE1"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对其评定的补加税额超出其根据第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条有法律责任缴付的款额；</w:t>
      </w:r>
    </w:p>
    <w:p w14:paraId="764FA5FA" w14:textId="77777777" w:rsidR="008D0FC2" w:rsidRPr="007B2BE1" w:rsidRDefault="008D0FC2"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6E034699" w14:textId="3F802238" w:rsidR="005764F1" w:rsidRPr="007B2BE1" w:rsidRDefault="007B2BE1"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ab/>
      </w:r>
      <w:r w:rsidRPr="007B2BE1">
        <w:rPr>
          <w:rFonts w:ascii="Times New Roman" w:eastAsia="標楷體" w:hAnsi="Times New Roman" w:cs="Times New Roman"/>
          <w:lang w:val="en-US" w:eastAsia="zh-CN"/>
        </w:rPr>
        <w:t>对其评定的补加税额虽没有超出其根据第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条有法律责任缴付的款额，但在有关情况下仍属过多。</w:t>
      </w:r>
    </w:p>
    <w:p w14:paraId="3363422F" w14:textId="209B37D1" w:rsidR="002B1226" w:rsidRPr="007B2BE1" w:rsidRDefault="002B1226" w:rsidP="008D0FC2">
      <w:pPr>
        <w:pStyle w:val="ac"/>
        <w:widowControl w:val="0"/>
        <w:overflowPunct w:val="0"/>
        <w:autoSpaceDE w:val="0"/>
        <w:autoSpaceDN w:val="0"/>
        <w:adjustRightInd w:val="0"/>
        <w:ind w:left="0"/>
        <w:jc w:val="both"/>
        <w:rPr>
          <w:rFonts w:ascii="Times New Roman" w:eastAsia="標楷體" w:hAnsi="Times New Roman" w:cs="Times New Roman"/>
          <w:lang w:eastAsia="zh-TW"/>
        </w:rPr>
      </w:pPr>
    </w:p>
    <w:p w14:paraId="63202D9B" w14:textId="6BC553F8" w:rsidR="00BF06A3" w:rsidRPr="007B2BE1" w:rsidRDefault="007B2BE1" w:rsidP="008D0FC2">
      <w:pPr>
        <w:pStyle w:val="ac"/>
        <w:widowControl w:val="0"/>
        <w:overflowPunct w:val="0"/>
        <w:autoSpaceDE w:val="0"/>
        <w:autoSpaceDN w:val="0"/>
        <w:adjustRightInd w:val="0"/>
        <w:ind w:left="0"/>
        <w:jc w:val="both"/>
        <w:rPr>
          <w:rFonts w:ascii="Times New Roman" w:eastAsia="標楷體" w:hAnsi="Times New Roman" w:cs="Times New Roman"/>
          <w:b/>
          <w:sz w:val="28"/>
          <w:szCs w:val="28"/>
          <w:lang w:eastAsia="zh-TW"/>
        </w:rPr>
      </w:pPr>
      <w:r w:rsidRPr="007B2BE1">
        <w:rPr>
          <w:rFonts w:ascii="Times New Roman" w:eastAsia="標楷體" w:hAnsi="Times New Roman" w:cs="Times New Roman"/>
          <w:b/>
          <w:sz w:val="28"/>
          <w:szCs w:val="28"/>
          <w:lang w:eastAsia="zh-CN"/>
        </w:rPr>
        <w:t>考虑</w:t>
      </w:r>
    </w:p>
    <w:p w14:paraId="64827709" w14:textId="77777777" w:rsidR="00BF06A3" w:rsidRPr="007B2BE1" w:rsidRDefault="00BF06A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560"/>
        <w:jc w:val="both"/>
        <w:rPr>
          <w:rFonts w:ascii="Times New Roman" w:eastAsia="標楷體" w:hAnsi="Times New Roman" w:cs="Times New Roman"/>
          <w:lang w:eastAsia="zh-TW"/>
        </w:rPr>
      </w:pPr>
    </w:p>
    <w:p w14:paraId="5F245A78" w14:textId="7821F055" w:rsidR="009D7E0C" w:rsidRPr="007B2BE1" w:rsidRDefault="007B2BE1" w:rsidP="008D0FC2">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本委员会认为，在本两个上诉的各自事实背景下，每一上诉人提出的上诉理由及陈述的各个论点，须按照《税务条例》第</w:t>
      </w:r>
      <w:r w:rsidRPr="007B2BE1">
        <w:rPr>
          <w:rFonts w:ascii="Times New Roman" w:eastAsia="標楷體" w:hAnsi="Times New Roman" w:cs="Times New Roman"/>
          <w:lang w:val="en-US" w:eastAsia="zh-CN"/>
        </w:rPr>
        <w:t>82B(2)</w:t>
      </w:r>
      <w:r w:rsidRPr="007B2BE1">
        <w:rPr>
          <w:rFonts w:ascii="Times New Roman" w:eastAsia="標楷體" w:hAnsi="Times New Roman" w:cs="Times New Roman"/>
          <w:lang w:val="en-US" w:eastAsia="zh-CN"/>
        </w:rPr>
        <w:t>条的规定，来归纳至适当的相关的法律上可争辩的论点。本委员会认为，就</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先生提出的上诉理由及陈述的重点是争辩他无须负上缴付补加税的法律责任及对其评定的补加税额虽没有超出其根据第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条有法律责任缴付的款额，但在有关情况下仍属过多；而就</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公司提出的上诉理由及陈述的重点则是争辩它无须负上缴付补加税的法律责任及对其评定的补加税额虽没有超出其根据第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条有法律责任缴付的款额，但在有关情况下仍属过多。</w:t>
      </w:r>
    </w:p>
    <w:p w14:paraId="3786CE24" w14:textId="77777777" w:rsidR="00FB2C4A" w:rsidRPr="007B2BE1" w:rsidRDefault="00FB2C4A" w:rsidP="008D0FC2">
      <w:pPr>
        <w:widowControl w:val="0"/>
        <w:overflowPunct w:val="0"/>
        <w:autoSpaceDE w:val="0"/>
        <w:autoSpaceDN w:val="0"/>
        <w:adjustRightInd w:val="0"/>
        <w:jc w:val="both"/>
        <w:rPr>
          <w:rFonts w:ascii="Times New Roman" w:eastAsia="標楷體" w:hAnsi="Times New Roman" w:cs="Times New Roman"/>
          <w:lang w:eastAsia="zh-CN"/>
        </w:rPr>
      </w:pPr>
    </w:p>
    <w:p w14:paraId="123FA4A6" w14:textId="32628AFD" w:rsidR="00FB2C4A" w:rsidRPr="007B2BE1" w:rsidRDefault="007B2BE1" w:rsidP="008D0FC2">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本委员会在上文第</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段已裁定与</w:t>
      </w:r>
      <w:r w:rsidRPr="007B2BE1">
        <w:rPr>
          <w:rFonts w:ascii="Times New Roman" w:eastAsia="標楷體" w:hAnsi="Times New Roman" w:cs="Times New Roman"/>
          <w:lang w:eastAsia="zh-CN"/>
        </w:rPr>
        <w:t>税务上诉第</w:t>
      </w:r>
      <w:r w:rsidRPr="007B2BE1">
        <w:rPr>
          <w:rFonts w:ascii="Times New Roman" w:eastAsia="標楷體" w:hAnsi="Times New Roman" w:cs="Times New Roman"/>
          <w:lang w:eastAsia="zh-CN"/>
        </w:rPr>
        <w:t>X/XXXX</w:t>
      </w:r>
      <w:r w:rsidRPr="007B2BE1">
        <w:rPr>
          <w:rFonts w:ascii="Times New Roman" w:eastAsia="標楷體" w:hAnsi="Times New Roman" w:cs="Times New Roman"/>
          <w:lang w:eastAsia="zh-CN"/>
        </w:rPr>
        <w:t>号的上诉个案及与税务上诉第</w:t>
      </w:r>
      <w:r w:rsidRPr="007B2BE1">
        <w:rPr>
          <w:rFonts w:ascii="Times New Roman" w:eastAsia="標楷體" w:hAnsi="Times New Roman" w:cs="Times New Roman"/>
          <w:lang w:eastAsia="zh-CN"/>
        </w:rPr>
        <w:t>X/XXXX</w:t>
      </w:r>
      <w:r w:rsidRPr="007B2BE1">
        <w:rPr>
          <w:rFonts w:ascii="Times New Roman" w:eastAsia="標楷體" w:hAnsi="Times New Roman" w:cs="Times New Roman"/>
          <w:lang w:eastAsia="zh-CN"/>
        </w:rPr>
        <w:t>号的上诉个案</w:t>
      </w:r>
      <w:r w:rsidRPr="007B2BE1">
        <w:rPr>
          <w:rFonts w:ascii="Times New Roman" w:eastAsia="標楷體" w:hAnsi="Times New Roman" w:cs="Times New Roman"/>
          <w:lang w:val="en-US" w:eastAsia="zh-CN"/>
        </w:rPr>
        <w:t>有关的基本事实。本委员会考虑了</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先生的作供后，认为他作供诚恳，尽其所知回答本委员会及答辩人的代表提出的问题，本委员会整体上采纳</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先生作供时所作的事实陈述，除了如上文第</w:t>
      </w:r>
      <w:r w:rsidRPr="007B2BE1">
        <w:rPr>
          <w:rFonts w:ascii="Times New Roman" w:eastAsia="標楷體" w:hAnsi="Times New Roman" w:cs="Times New Roman"/>
          <w:lang w:val="en-US" w:eastAsia="zh-CN"/>
        </w:rPr>
        <w:t>6</w:t>
      </w:r>
      <w:r w:rsidRPr="007B2BE1">
        <w:rPr>
          <w:rFonts w:ascii="Times New Roman" w:eastAsia="標楷體" w:hAnsi="Times New Roman" w:cs="Times New Roman"/>
          <w:lang w:val="en-US" w:eastAsia="zh-CN"/>
        </w:rPr>
        <w:t>段所指出，本委员会不接纳</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先生所说上文第</w:t>
      </w:r>
      <w:r w:rsidRPr="007B2BE1">
        <w:rPr>
          <w:rFonts w:ascii="Times New Roman" w:eastAsia="標楷體" w:hAnsi="Times New Roman" w:cs="Times New Roman"/>
          <w:lang w:val="en-US" w:eastAsia="zh-CN"/>
        </w:rPr>
        <w:t>6</w:t>
      </w:r>
      <w:r w:rsidRPr="007B2BE1">
        <w:rPr>
          <w:rFonts w:ascii="Times New Roman" w:eastAsia="標楷體" w:hAnsi="Times New Roman" w:cs="Times New Roman"/>
          <w:lang w:val="en-US" w:eastAsia="zh-CN"/>
        </w:rPr>
        <w:t>段第</w:t>
      </w:r>
      <w:r w:rsidRPr="007B2BE1">
        <w:rPr>
          <w:rFonts w:ascii="Times New Roman" w:eastAsia="標楷體" w:hAnsi="Times New Roman" w:cs="Times New Roman"/>
          <w:lang w:val="en-US" w:eastAsia="zh-CN"/>
        </w:rPr>
        <w:t>(6)</w:t>
      </w:r>
      <w:r w:rsidRPr="007B2BE1">
        <w:rPr>
          <w:rFonts w:ascii="Times New Roman" w:eastAsia="標楷體" w:hAnsi="Times New Roman" w:cs="Times New Roman"/>
          <w:lang w:val="en-US" w:eastAsia="zh-CN"/>
        </w:rPr>
        <w:t>项的指称。</w:t>
      </w:r>
    </w:p>
    <w:p w14:paraId="09CA0401" w14:textId="77777777" w:rsidR="009D7E0C" w:rsidRPr="007B2BE1" w:rsidRDefault="009D7E0C" w:rsidP="008D0FC2">
      <w:pPr>
        <w:widowControl w:val="0"/>
        <w:overflowPunct w:val="0"/>
        <w:autoSpaceDE w:val="0"/>
        <w:autoSpaceDN w:val="0"/>
        <w:adjustRightInd w:val="0"/>
        <w:jc w:val="both"/>
        <w:rPr>
          <w:rFonts w:ascii="Times New Roman" w:eastAsia="標楷體" w:hAnsi="Times New Roman" w:cs="Times New Roman"/>
          <w:lang w:eastAsia="zh-CN"/>
        </w:rPr>
      </w:pPr>
    </w:p>
    <w:p w14:paraId="4CC677E5" w14:textId="2E3D0D31" w:rsidR="00D20CA7" w:rsidRPr="007B2BE1" w:rsidRDefault="007B2BE1" w:rsidP="008D0FC2">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val="en-US" w:eastAsia="zh-CN"/>
        </w:rPr>
        <w:t>本委员会考虑了上诉人的代表区先生和答辩人的代表高级</w:t>
      </w:r>
      <w:r w:rsidRPr="007B2BE1">
        <w:rPr>
          <w:rFonts w:ascii="Times New Roman" w:eastAsia="標楷體" w:hAnsi="Times New Roman" w:cs="Times New Roman"/>
          <w:lang w:eastAsia="zh-CN"/>
        </w:rPr>
        <w:t>评税主任白先生的陈述后，作出以下的分析和裁断：</w:t>
      </w:r>
    </w:p>
    <w:p w14:paraId="74F25E03" w14:textId="77777777" w:rsidR="00491B4E" w:rsidRPr="007B2BE1" w:rsidRDefault="00491B4E" w:rsidP="008D0FC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jc w:val="both"/>
        <w:rPr>
          <w:rFonts w:ascii="Times New Roman" w:eastAsia="標楷體" w:hAnsi="Times New Roman" w:cs="Times New Roman"/>
          <w:lang w:val="en-US" w:eastAsia="zh-TW"/>
        </w:rPr>
      </w:pPr>
    </w:p>
    <w:p w14:paraId="110D806B" w14:textId="6FDDD001" w:rsidR="00491B4E"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公司未能证明它</w:t>
      </w:r>
      <w:r w:rsidRPr="007B2BE1">
        <w:rPr>
          <w:rFonts w:ascii="Times New Roman" w:eastAsia="標楷體" w:hAnsi="Times New Roman" w:cs="Times New Roman"/>
          <w:lang w:val="en-US" w:eastAsia="zh-CN"/>
        </w:rPr>
        <w:t>无须负上缴付补加税的法律责任。</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公司确实有不正确填报报税表，入息方面有少申报，并有申报不可扣减的私人开支</w:t>
      </w:r>
      <w:r w:rsidRPr="007B2BE1">
        <w:rPr>
          <w:rFonts w:ascii="Times New Roman" w:eastAsia="標楷體" w:hAnsi="Times New Roman" w:cs="Times New Roman"/>
          <w:lang w:eastAsia="zh-CN"/>
        </w:rPr>
        <w:t>。虽然</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公司的代表</w:t>
      </w:r>
      <w:r w:rsidRPr="007B2BE1">
        <w:rPr>
          <w:rFonts w:ascii="Times New Roman" w:eastAsia="標楷體" w:hAnsi="Times New Roman" w:cs="Times New Roman"/>
          <w:lang w:val="en-US" w:eastAsia="zh-CN"/>
        </w:rPr>
        <w:t>区先生在</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公司的税务上诉争议</w:t>
      </w:r>
      <w:r w:rsidRPr="007B2BE1">
        <w:rPr>
          <w:rFonts w:ascii="Times New Roman" w:eastAsia="標楷體" w:hAnsi="Times New Roman" w:cs="Times New Roman"/>
          <w:lang w:val="en-US" w:eastAsia="zh-CN"/>
        </w:rPr>
        <w:lastRenderedPageBreak/>
        <w:t>有关的评税所采用的结案基准，指</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公司的董事</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先生是「被动地」签署</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日的了结建议书，也指经过检视</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公司的收支及税务文件后，及如有</w:t>
      </w:r>
      <w:r w:rsidRPr="007B2BE1">
        <w:rPr>
          <w:rFonts w:ascii="Times New Roman" w:eastAsia="標楷體" w:hAnsi="Times New Roman" w:cs="Times New Roman"/>
          <w:lang w:eastAsia="zh-CN"/>
        </w:rPr>
        <w:t>税务资料应该更正或澄清让</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公司的应缴评税利润可以得到重新厘定，可是，不争的事实是</w:t>
      </w:r>
      <w:r w:rsidRPr="007B2BE1">
        <w:rPr>
          <w:rFonts w:ascii="Times New Roman" w:eastAsia="標楷體" w:hAnsi="Times New Roman" w:cs="Times New Roman"/>
          <w:lang w:eastAsia="zh-CN"/>
        </w:rPr>
        <w:t>B</w:t>
      </w:r>
      <w:r w:rsidRPr="007B2BE1">
        <w:rPr>
          <w:rFonts w:ascii="Times New Roman" w:eastAsia="標楷體" w:hAnsi="Times New Roman" w:cs="Times New Roman"/>
          <w:lang w:val="en-US" w:eastAsia="zh-CN"/>
        </w:rPr>
        <w:t>先生确实是在知情及知悉后果的情况下以</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公司的董事的身分签署</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日的了结建议书，该了结建议书一经有关纳税人签署，即具效力。再者，</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公司在税务局在</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27</w:t>
      </w:r>
      <w:r w:rsidRPr="007B2BE1">
        <w:rPr>
          <w:rFonts w:ascii="Times New Roman" w:eastAsia="標楷體" w:hAnsi="Times New Roman" w:cs="Times New Roman"/>
          <w:lang w:val="en-US" w:eastAsia="zh-CN"/>
        </w:rPr>
        <w:t>日根据该了结建议书的基准发出结案评税后亦从没有在反对期限内提出反对或上诉，于是根据《税务条例》第</w:t>
      </w:r>
      <w:r w:rsidRPr="007B2BE1">
        <w:rPr>
          <w:rFonts w:ascii="Times New Roman" w:eastAsia="標楷體" w:hAnsi="Times New Roman" w:cs="Times New Roman"/>
          <w:lang w:val="en-US" w:eastAsia="zh-CN"/>
        </w:rPr>
        <w:t>70</w:t>
      </w:r>
      <w:r w:rsidRPr="007B2BE1">
        <w:rPr>
          <w:rFonts w:ascii="Times New Roman" w:eastAsia="標楷體" w:hAnsi="Times New Roman" w:cs="Times New Roman"/>
          <w:lang w:val="en-US" w:eastAsia="zh-CN"/>
        </w:rPr>
        <w:t>条，有关的评税成为最终及决定性的评税，而根据这最终及决定性的评税计出的少征收税款就是衡量</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公司应缴的补加税的基础。</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w:t>
      </w:r>
      <w:r w:rsidRPr="007B2BE1">
        <w:rPr>
          <w:rFonts w:ascii="Times New Roman" w:eastAsia="標楷體" w:hAnsi="Times New Roman" w:cs="Times New Roman"/>
          <w:lang w:eastAsia="zh-CN"/>
        </w:rPr>
        <w:t>也没有提出「合理辩解」以免除其须缴付补</w:t>
      </w:r>
      <w:r w:rsidRPr="007B2BE1">
        <w:rPr>
          <w:rFonts w:ascii="Times New Roman" w:eastAsia="標楷體" w:hAnsi="Times New Roman" w:cs="Times New Roman"/>
          <w:lang w:val="en-US" w:eastAsia="zh-CN"/>
        </w:rPr>
        <w:t>加</w:t>
      </w:r>
      <w:r w:rsidRPr="007B2BE1">
        <w:rPr>
          <w:rFonts w:ascii="Times New Roman" w:eastAsia="標楷體" w:hAnsi="Times New Roman" w:cs="Times New Roman"/>
          <w:lang w:eastAsia="zh-CN"/>
        </w:rPr>
        <w:t>税的法律责任。税务上诉委员会的案例</w:t>
      </w:r>
      <w:r w:rsidRPr="007B2BE1">
        <w:rPr>
          <w:rFonts w:ascii="Times New Roman" w:eastAsia="標楷體" w:hAnsi="Times New Roman" w:cs="Times New Roman"/>
          <w:lang w:eastAsia="zh-CN"/>
        </w:rPr>
        <w:t>(</w:t>
      </w:r>
      <w:r w:rsidRPr="007B2BE1">
        <w:rPr>
          <w:rFonts w:ascii="Times New Roman" w:eastAsia="標楷體" w:hAnsi="Times New Roman" w:cs="Times New Roman"/>
          <w:lang w:eastAsia="zh-CN"/>
        </w:rPr>
        <w:t>即个案编号</w:t>
      </w:r>
      <w:r w:rsidRPr="007B2BE1">
        <w:rPr>
          <w:rFonts w:ascii="Times New Roman" w:eastAsia="標楷體" w:hAnsi="Times New Roman" w:cs="Times New Roman"/>
          <w:u w:val="single"/>
          <w:lang w:eastAsia="zh-CN"/>
        </w:rPr>
        <w:t>D26/08</w:t>
      </w:r>
      <w:r w:rsidRPr="007B2BE1">
        <w:rPr>
          <w:rFonts w:ascii="Times New Roman" w:eastAsia="標楷體" w:hAnsi="Times New Roman" w:cs="Times New Roman"/>
          <w:lang w:eastAsia="zh-CN"/>
        </w:rPr>
        <w:t>、</w:t>
      </w:r>
      <w:r w:rsidRPr="007B2BE1">
        <w:rPr>
          <w:rFonts w:ascii="Times New Roman" w:eastAsia="標楷體" w:hAnsi="Times New Roman" w:cs="Times New Roman"/>
          <w:u w:val="single"/>
          <w:lang w:eastAsia="zh-CN"/>
        </w:rPr>
        <w:t>D46/01</w:t>
      </w:r>
      <w:r w:rsidRPr="007B2BE1">
        <w:rPr>
          <w:rFonts w:ascii="Times New Roman" w:eastAsia="標楷體" w:hAnsi="Times New Roman" w:cs="Times New Roman"/>
          <w:lang w:eastAsia="zh-CN"/>
        </w:rPr>
        <w:t>及</w:t>
      </w:r>
      <w:r w:rsidRPr="007B2BE1">
        <w:rPr>
          <w:rFonts w:ascii="Times New Roman" w:eastAsia="標楷體" w:hAnsi="Times New Roman" w:cs="Times New Roman"/>
          <w:u w:val="single"/>
          <w:lang w:eastAsia="zh-CN"/>
        </w:rPr>
        <w:t>D52/02)</w:t>
      </w:r>
      <w:r w:rsidRPr="007B2BE1">
        <w:rPr>
          <w:rFonts w:ascii="Times New Roman" w:eastAsia="標楷體" w:hAnsi="Times New Roman" w:cs="Times New Roman"/>
          <w:lang w:eastAsia="zh-CN"/>
        </w:rPr>
        <w:t>说明，</w:t>
      </w:r>
      <w:r w:rsidRPr="007B2BE1">
        <w:rPr>
          <w:rFonts w:ascii="Times New Roman" w:eastAsia="標楷體" w:hAnsi="Times New Roman" w:cs="Times New Roman"/>
          <w:lang w:val="en-US" w:eastAsia="zh-CN"/>
        </w:rPr>
        <w:t>纳税人依时提及详尽及正确税务资料是税制有效运作的基础，纳税人是不得以无知、不懂会计、已委托他人代为履行其法定责任或因为将账目或业务单据交予他人编制会计并代为报税而就其没有履行纳税人须提供正确填报报税表法定责任而要承担法律责任提供合理辩解。</w:t>
      </w:r>
    </w:p>
    <w:p w14:paraId="44C92DB0"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4E044EEE" w14:textId="456BA73A" w:rsidR="00491B4E"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先生亦未能证明他</w:t>
      </w:r>
      <w:r w:rsidRPr="007B2BE1">
        <w:rPr>
          <w:rFonts w:ascii="Times New Roman" w:eastAsia="標楷體" w:hAnsi="Times New Roman" w:cs="Times New Roman"/>
          <w:lang w:val="en-US" w:eastAsia="zh-CN"/>
        </w:rPr>
        <w:t>无须负上缴付补加税的法律责任。</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先生确实有不正确填报报税表，少报应课缴物业税的应评税净值及少报应课缴薪俸税的应评税入息和居所福利。虽然</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先生的代表区先生在</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先生的税务上诉争议有关的评税所采用的结案基准，指</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先生是「被动地」签署</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日的了结建议书，也指经过检视</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先生的收支及税务文件后，及如有</w:t>
      </w:r>
      <w:r w:rsidRPr="007B2BE1">
        <w:rPr>
          <w:rFonts w:ascii="Times New Roman" w:eastAsia="標楷體" w:hAnsi="Times New Roman" w:cs="Times New Roman"/>
          <w:lang w:eastAsia="zh-CN"/>
        </w:rPr>
        <w:t>税务资料应该更正或澄清让</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先生的应缴课税金额可以得到重新厘定，更指税务局有高估</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先生的收入，可是不争的事实是，</w:t>
      </w:r>
      <w:r w:rsidRPr="007B2BE1">
        <w:rPr>
          <w:rFonts w:ascii="Times New Roman" w:eastAsia="標楷體" w:hAnsi="Times New Roman" w:cs="Times New Roman"/>
          <w:lang w:eastAsia="zh-CN"/>
        </w:rPr>
        <w:t>B</w:t>
      </w:r>
      <w:r w:rsidRPr="007B2BE1">
        <w:rPr>
          <w:rFonts w:ascii="Times New Roman" w:eastAsia="標楷體" w:hAnsi="Times New Roman" w:cs="Times New Roman"/>
          <w:lang w:val="en-US" w:eastAsia="zh-CN"/>
        </w:rPr>
        <w:t>先生确实是在知情及知悉后果的情况下签署</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9</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21</w:t>
      </w:r>
      <w:r w:rsidRPr="007B2BE1">
        <w:rPr>
          <w:rFonts w:ascii="Times New Roman" w:eastAsia="標楷體" w:hAnsi="Times New Roman" w:cs="Times New Roman"/>
          <w:lang w:val="en-US" w:eastAsia="zh-CN"/>
        </w:rPr>
        <w:t>日的了结建议书，该了结建议书一经有关纳税人签署，即具效力。再者，</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先生在税务局在</w:t>
      </w:r>
      <w:r w:rsidRPr="007B2BE1">
        <w:rPr>
          <w:rFonts w:ascii="Times New Roman" w:eastAsia="標楷體" w:hAnsi="Times New Roman" w:cs="Times New Roman"/>
          <w:lang w:val="en-US" w:eastAsia="zh-CN"/>
        </w:rPr>
        <w:t>2017</w:t>
      </w:r>
      <w:r w:rsidRPr="007B2BE1">
        <w:rPr>
          <w:rFonts w:ascii="Times New Roman" w:eastAsia="標楷體" w:hAnsi="Times New Roman" w:cs="Times New Roman"/>
          <w:lang w:val="en-US" w:eastAsia="zh-CN"/>
        </w:rPr>
        <w:t>年</w:t>
      </w:r>
      <w:r w:rsidRPr="007B2BE1">
        <w:rPr>
          <w:rFonts w:ascii="Times New Roman" w:eastAsia="標楷體" w:hAnsi="Times New Roman" w:cs="Times New Roman"/>
          <w:lang w:val="en-US" w:eastAsia="zh-CN"/>
        </w:rPr>
        <w:t>11</w:t>
      </w:r>
      <w:r w:rsidRPr="007B2BE1">
        <w:rPr>
          <w:rFonts w:ascii="Times New Roman" w:eastAsia="標楷體" w:hAnsi="Times New Roman" w:cs="Times New Roman"/>
          <w:lang w:val="en-US" w:eastAsia="zh-CN"/>
        </w:rPr>
        <w:t>月</w:t>
      </w:r>
      <w:r w:rsidRPr="007B2BE1">
        <w:rPr>
          <w:rFonts w:ascii="Times New Roman" w:eastAsia="標楷體" w:hAnsi="Times New Roman" w:cs="Times New Roman"/>
          <w:lang w:val="en-US" w:eastAsia="zh-CN"/>
        </w:rPr>
        <w:t>27</w:t>
      </w:r>
      <w:r w:rsidRPr="007B2BE1">
        <w:rPr>
          <w:rFonts w:ascii="Times New Roman" w:eastAsia="標楷體" w:hAnsi="Times New Roman" w:cs="Times New Roman"/>
          <w:lang w:val="en-US" w:eastAsia="zh-CN"/>
        </w:rPr>
        <w:t>日根据该了结建议书的基准发出结案评税后亦从没有在反对期限内提出反对或上诉，于是根据《税务条例》第</w:t>
      </w:r>
      <w:r w:rsidRPr="007B2BE1">
        <w:rPr>
          <w:rFonts w:ascii="Times New Roman" w:eastAsia="標楷體" w:hAnsi="Times New Roman" w:cs="Times New Roman"/>
          <w:lang w:val="en-US" w:eastAsia="zh-CN"/>
        </w:rPr>
        <w:t>70</w:t>
      </w:r>
      <w:r w:rsidRPr="007B2BE1">
        <w:rPr>
          <w:rFonts w:ascii="Times New Roman" w:eastAsia="標楷體" w:hAnsi="Times New Roman" w:cs="Times New Roman"/>
          <w:lang w:val="en-US" w:eastAsia="zh-CN"/>
        </w:rPr>
        <w:t>条，有关的评税成为最终及决定性的评税，而根据这最终及决定性的评税计出的少征收税款就是衡量</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先生应缴的补加税的基础。</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w:t>
      </w:r>
      <w:r w:rsidRPr="007B2BE1">
        <w:rPr>
          <w:rFonts w:ascii="Times New Roman" w:eastAsia="標楷體" w:hAnsi="Times New Roman" w:cs="Times New Roman"/>
          <w:lang w:eastAsia="zh-CN"/>
        </w:rPr>
        <w:t>也没有提出「合理辩解」以免除其须缴付补</w:t>
      </w:r>
      <w:r w:rsidRPr="007B2BE1">
        <w:rPr>
          <w:rFonts w:ascii="Times New Roman" w:eastAsia="標楷體" w:hAnsi="Times New Roman" w:cs="Times New Roman"/>
          <w:lang w:val="en-US" w:eastAsia="zh-CN"/>
        </w:rPr>
        <w:t>加</w:t>
      </w:r>
      <w:r w:rsidRPr="007B2BE1">
        <w:rPr>
          <w:rFonts w:ascii="Times New Roman" w:eastAsia="標楷體" w:hAnsi="Times New Roman" w:cs="Times New Roman"/>
          <w:lang w:eastAsia="zh-CN"/>
        </w:rPr>
        <w:t>税的法律责任。税务上诉委员会的案例</w:t>
      </w:r>
      <w:r w:rsidRPr="007B2BE1">
        <w:rPr>
          <w:rFonts w:ascii="Times New Roman" w:eastAsia="標楷體" w:hAnsi="Times New Roman" w:cs="Times New Roman"/>
          <w:lang w:eastAsia="zh-CN"/>
        </w:rPr>
        <w:t>(</w:t>
      </w:r>
      <w:r w:rsidRPr="007B2BE1">
        <w:rPr>
          <w:rFonts w:ascii="Times New Roman" w:eastAsia="標楷體" w:hAnsi="Times New Roman" w:cs="Times New Roman"/>
          <w:lang w:eastAsia="zh-CN"/>
        </w:rPr>
        <w:t>即个案编号</w:t>
      </w:r>
      <w:r w:rsidRPr="007B2BE1">
        <w:rPr>
          <w:rFonts w:ascii="Times New Roman" w:eastAsia="標楷體" w:hAnsi="Times New Roman" w:cs="Times New Roman"/>
          <w:u w:val="single"/>
          <w:lang w:eastAsia="zh-CN"/>
        </w:rPr>
        <w:t>D26/08</w:t>
      </w:r>
      <w:r w:rsidRPr="007B2BE1">
        <w:rPr>
          <w:rFonts w:ascii="Times New Roman" w:eastAsia="標楷體" w:hAnsi="Times New Roman" w:cs="Times New Roman"/>
          <w:lang w:eastAsia="zh-CN"/>
        </w:rPr>
        <w:t>、</w:t>
      </w:r>
      <w:r w:rsidRPr="007B2BE1">
        <w:rPr>
          <w:rFonts w:ascii="Times New Roman" w:eastAsia="標楷體" w:hAnsi="Times New Roman" w:cs="Times New Roman"/>
          <w:u w:val="single"/>
          <w:lang w:eastAsia="zh-CN"/>
        </w:rPr>
        <w:t>D46/01</w:t>
      </w:r>
      <w:r w:rsidRPr="007B2BE1">
        <w:rPr>
          <w:rFonts w:ascii="Times New Roman" w:eastAsia="標楷體" w:hAnsi="Times New Roman" w:cs="Times New Roman"/>
          <w:lang w:eastAsia="zh-CN"/>
        </w:rPr>
        <w:t>及</w:t>
      </w:r>
      <w:r w:rsidRPr="007B2BE1">
        <w:rPr>
          <w:rFonts w:ascii="Times New Roman" w:eastAsia="標楷體" w:hAnsi="Times New Roman" w:cs="Times New Roman"/>
          <w:u w:val="single"/>
          <w:lang w:eastAsia="zh-CN"/>
        </w:rPr>
        <w:t>D52/02)</w:t>
      </w:r>
      <w:r w:rsidRPr="007B2BE1">
        <w:rPr>
          <w:rFonts w:ascii="Times New Roman" w:eastAsia="標楷體" w:hAnsi="Times New Roman" w:cs="Times New Roman"/>
          <w:lang w:eastAsia="zh-CN"/>
        </w:rPr>
        <w:t>说明，</w:t>
      </w:r>
      <w:r w:rsidRPr="007B2BE1">
        <w:rPr>
          <w:rFonts w:ascii="Times New Roman" w:eastAsia="標楷體" w:hAnsi="Times New Roman" w:cs="Times New Roman"/>
          <w:lang w:val="en-US" w:eastAsia="zh-CN"/>
        </w:rPr>
        <w:t>纳税人依时提及详尽及正确税务资料是税制有效运作的基础，纳税人是不得以无知、不懂会计、已委托他人代为履行其法定责任或因为将账目或业务单据交予他人编制会计并代为报税而就其没有履行纳税人须提供正确填报报税表法定责任而要承担法律责任提供合理辩解。</w:t>
      </w:r>
    </w:p>
    <w:p w14:paraId="00B8C99C"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1654D3EF" w14:textId="334E8E23" w:rsidR="00971A72"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lastRenderedPageBreak/>
        <w:t>本委员会同时</w:t>
      </w:r>
      <w:r w:rsidRPr="007B2BE1">
        <w:rPr>
          <w:rFonts w:ascii="Times New Roman" w:eastAsia="標楷體" w:hAnsi="Times New Roman" w:cs="Times New Roman"/>
          <w:lang w:val="en-US" w:eastAsia="zh-CN"/>
        </w:rPr>
        <w:t>要表明不接受区先生代表</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先生指</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先生一直依赖和相信第一税务代表的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先生帮助它们办理税务事宜，但却所托非人；</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先生既没有</w:t>
      </w:r>
      <w:r w:rsidRPr="007B2BE1">
        <w:rPr>
          <w:rFonts w:ascii="Times New Roman" w:eastAsia="標楷體" w:hAnsi="Times New Roman" w:cs="Times New Roman"/>
          <w:lang w:eastAsia="zh-CN"/>
        </w:rPr>
        <w:t>克尽他作为税务代表的责任也没有</w:t>
      </w:r>
      <w:r w:rsidRPr="007B2BE1">
        <w:rPr>
          <w:rFonts w:ascii="Times New Roman" w:eastAsia="標楷體" w:hAnsi="Times New Roman" w:cs="Times New Roman"/>
          <w:lang w:val="en-US" w:eastAsia="zh-CN"/>
        </w:rPr>
        <w:t>提供实质帮助，反而可能延误处理并因而加重了它们的税务负担，最后连第一税务代表说和</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先生没有什么关系，故</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先生不应全</w:t>
      </w:r>
      <w:r w:rsidRPr="007B2BE1">
        <w:rPr>
          <w:rFonts w:ascii="Times New Roman" w:eastAsia="標楷體" w:hAnsi="Times New Roman" w:cs="Times New Roman"/>
          <w:lang w:eastAsia="zh-CN"/>
        </w:rPr>
        <w:t>盘地负责</w:t>
      </w:r>
      <w:r w:rsidRPr="007B2BE1">
        <w:rPr>
          <w:rFonts w:ascii="Times New Roman" w:eastAsia="標楷體" w:hAnsi="Times New Roman" w:cs="Times New Roman"/>
          <w:lang w:val="en-US" w:eastAsia="zh-CN"/>
        </w:rPr>
        <w:t>这一个陈述</w:t>
      </w:r>
      <w:r w:rsidRPr="007B2BE1">
        <w:rPr>
          <w:rFonts w:ascii="Times New Roman" w:eastAsia="標楷體" w:hAnsi="Times New Roman" w:cs="Times New Roman"/>
          <w:lang w:eastAsia="zh-CN"/>
        </w:rPr>
        <w:t>。纳税人的</w:t>
      </w:r>
      <w:r w:rsidRPr="007B2BE1">
        <w:rPr>
          <w:rFonts w:ascii="Times New Roman" w:eastAsia="標楷體" w:hAnsi="Times New Roman" w:cs="Times New Roman"/>
          <w:lang w:val="en-US" w:eastAsia="zh-CN"/>
        </w:rPr>
        <w:t>提供正确填报报税表的</w:t>
      </w:r>
      <w:r w:rsidRPr="007B2BE1">
        <w:rPr>
          <w:rFonts w:ascii="Times New Roman" w:eastAsia="標楷體" w:hAnsi="Times New Roman" w:cs="Times New Roman"/>
          <w:lang w:eastAsia="zh-CN"/>
        </w:rPr>
        <w:t>法定责任和其因没有</w:t>
      </w:r>
      <w:r w:rsidRPr="007B2BE1">
        <w:rPr>
          <w:rFonts w:ascii="Times New Roman" w:eastAsia="標楷體" w:hAnsi="Times New Roman" w:cs="Times New Roman"/>
          <w:lang w:val="en-US" w:eastAsia="zh-CN"/>
        </w:rPr>
        <w:t>提供正确填报报税表而招致的</w:t>
      </w:r>
      <w:r w:rsidRPr="007B2BE1">
        <w:rPr>
          <w:rFonts w:ascii="Times New Roman" w:eastAsia="標楷體" w:hAnsi="Times New Roman" w:cs="Times New Roman"/>
          <w:lang w:eastAsia="zh-CN"/>
        </w:rPr>
        <w:t>法律责任都不是一个因为曾委托他人帮助其</w:t>
      </w:r>
      <w:r w:rsidRPr="007B2BE1">
        <w:rPr>
          <w:rFonts w:ascii="Times New Roman" w:eastAsia="標楷體" w:hAnsi="Times New Roman" w:cs="Times New Roman"/>
          <w:lang w:val="en-US" w:eastAsia="zh-CN"/>
        </w:rPr>
        <w:t>履行责任而可得到减免的责任</w:t>
      </w:r>
      <w:r w:rsidRPr="007B2BE1">
        <w:rPr>
          <w:rFonts w:ascii="Times New Roman" w:eastAsia="標楷體" w:hAnsi="Times New Roman" w:cs="Times New Roman"/>
          <w:lang w:eastAsia="zh-CN"/>
        </w:rPr>
        <w:t>。本委员会有必要指出，</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先生在作供时同意他</w:t>
      </w:r>
      <w:r w:rsidRPr="007B2BE1">
        <w:rPr>
          <w:rFonts w:ascii="Times New Roman" w:eastAsia="標楷體" w:hAnsi="Times New Roman" w:cs="Times New Roman"/>
          <w:lang w:val="en-US" w:eastAsia="zh-CN"/>
        </w:rPr>
        <w:t>收到税务局寄来的税单及缴款通知书，看到上面的款项数字后，除了询问第一税务代表的</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先生，也曾致电税务局人员通话并知道税务局的不同立场。那时候，</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先生仍然可以找到</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先生。可是，</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先生看来并没有认真理解及关注事情和充分了解其重要性，进而要求</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先生提供详尽解释或者寻求另一会计或税务专业人员意见。</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先生并不是不知道自己可寻求另一人的意见，只是他寻求第二税务代表时实属为时已晚。</w:t>
      </w:r>
    </w:p>
    <w:p w14:paraId="5A5B1F3A"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4F5338A3" w14:textId="024DAB72" w:rsidR="00491B4E"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t>本委员会同时</w:t>
      </w:r>
      <w:r w:rsidRPr="007B2BE1">
        <w:rPr>
          <w:rFonts w:ascii="Times New Roman" w:eastAsia="標楷體" w:hAnsi="Times New Roman" w:cs="Times New Roman"/>
          <w:lang w:val="en-US" w:eastAsia="zh-CN"/>
        </w:rPr>
        <w:t>要表明不接受区先生代表</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公司指税务局的结案评税被高估的说法。</w:t>
      </w:r>
      <w:r w:rsidRPr="007B2BE1">
        <w:rPr>
          <w:rFonts w:ascii="Times New Roman" w:eastAsia="標楷體" w:hAnsi="Times New Roman" w:cs="Times New Roman"/>
          <w:lang w:eastAsia="zh-CN"/>
        </w:rPr>
        <w:t>本委员会认为，正如另一税务上诉委员会之前在个案编号</w:t>
      </w:r>
      <w:r w:rsidRPr="007B2BE1">
        <w:rPr>
          <w:rFonts w:ascii="Times New Roman" w:eastAsia="標楷體" w:hAnsi="Times New Roman" w:cs="Times New Roman"/>
          <w:u w:val="single"/>
          <w:lang w:eastAsia="zh-CN"/>
        </w:rPr>
        <w:t>D52/02</w:t>
      </w:r>
      <w:r w:rsidRPr="007B2BE1">
        <w:rPr>
          <w:rFonts w:ascii="Times New Roman" w:eastAsia="標楷體" w:hAnsi="Times New Roman" w:cs="Times New Roman"/>
          <w:lang w:eastAsia="zh-CN"/>
        </w:rPr>
        <w:t>所述，当上诉人经过为时以年计算和税务局的商讨后而签署了结建议书来终结其对评税的反对的时候，他是难以在对补加税的税务上诉的阶段以他认为评税是被高估来指称他对缴交补加税的法律责任有合理辩解。</w:t>
      </w:r>
    </w:p>
    <w:p w14:paraId="64FE03C6"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60F4A29E" w14:textId="00EFCBE8" w:rsidR="00532EE6"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eastAsia="zh-CN"/>
        </w:rPr>
        <w:t>本委员会确认，税务局评定</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公司应缴交的补加税的款额是没有</w:t>
      </w:r>
      <w:r w:rsidRPr="007B2BE1">
        <w:rPr>
          <w:rFonts w:ascii="Times New Roman" w:eastAsia="標楷體" w:hAnsi="Times New Roman" w:cs="Times New Roman"/>
          <w:lang w:val="en-US" w:eastAsia="zh-CN"/>
        </w:rPr>
        <w:t>超出</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公司根据《税务条例》第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条有法律责任缴付的款额，即少征收税款的三倍。</w:t>
      </w:r>
      <w:r w:rsidRPr="007B2BE1">
        <w:rPr>
          <w:rFonts w:ascii="Times New Roman" w:eastAsia="標楷體" w:hAnsi="Times New Roman" w:cs="Times New Roman"/>
          <w:lang w:eastAsia="zh-CN"/>
        </w:rPr>
        <w:t>本委员会也确认，税务局评定</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先生应缴交的补加税的款额是没有</w:t>
      </w:r>
      <w:r w:rsidRPr="007B2BE1">
        <w:rPr>
          <w:rFonts w:ascii="Times New Roman" w:eastAsia="標楷體" w:hAnsi="Times New Roman" w:cs="Times New Roman"/>
          <w:lang w:val="en-US" w:eastAsia="zh-CN"/>
        </w:rPr>
        <w:t>超出</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eastAsia="zh-CN"/>
        </w:rPr>
        <w:t>先生</w:t>
      </w:r>
      <w:r w:rsidRPr="007B2BE1">
        <w:rPr>
          <w:rFonts w:ascii="Times New Roman" w:eastAsia="標楷體" w:hAnsi="Times New Roman" w:cs="Times New Roman"/>
          <w:lang w:val="en-US" w:eastAsia="zh-CN"/>
        </w:rPr>
        <w:t>根据第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条有法律责任缴付的款额，即少征收税款的三倍。</w:t>
      </w:r>
    </w:p>
    <w:p w14:paraId="79E6029D"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4D663C2F" w14:textId="01A48B0E" w:rsidR="00CA691E"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上诉人</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先生皆反对税局将他们的个案列为罚款政策的</w:t>
      </w:r>
      <w:r w:rsidRPr="007B2BE1">
        <w:rPr>
          <w:rFonts w:ascii="Times New Roman" w:eastAsia="標楷體" w:hAnsi="Times New Roman" w:cs="Times New Roman"/>
          <w:lang w:eastAsia="zh-CN"/>
        </w:rPr>
        <w:t>组别</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eastAsia="zh-CN"/>
        </w:rPr>
        <w:t>区先生提出，两个个案都应属组别</w:t>
      </w:r>
      <w:r w:rsidRPr="007B2BE1">
        <w:rPr>
          <w:rFonts w:ascii="Times New Roman" w:eastAsia="標楷體" w:hAnsi="Times New Roman" w:cs="Times New Roman"/>
          <w:lang w:val="en-US" w:eastAsia="zh-CN"/>
        </w:rPr>
        <w:t>(c)</w:t>
      </w:r>
      <w:r w:rsidRPr="007B2BE1">
        <w:rPr>
          <w:rFonts w:ascii="Times New Roman" w:eastAsia="標楷體" w:hAnsi="Times New Roman" w:cs="Times New Roman"/>
          <w:lang w:val="en-US" w:eastAsia="zh-CN"/>
        </w:rPr>
        <w:t>。</w:t>
      </w:r>
    </w:p>
    <w:p w14:paraId="156D11E4"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0B966868" w14:textId="7608E77A" w:rsidR="00284F5F"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如上所述，罚款政策</w:t>
      </w:r>
      <w:r w:rsidRPr="007B2BE1">
        <w:rPr>
          <w:rFonts w:ascii="Times New Roman" w:eastAsia="標楷體" w:hAnsi="Times New Roman" w:cs="Times New Roman"/>
          <w:lang w:eastAsia="zh-CN"/>
        </w:rPr>
        <w:t>组别</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的界定因素为：</w:t>
      </w:r>
      <w:r w:rsidRPr="007B2BE1">
        <w:rPr>
          <w:rFonts w:ascii="Times New Roman" w:eastAsia="標楷體" w:hAnsi="Times New Roman" w:cs="Times New Roman"/>
          <w:lang w:val="en-US" w:eastAsia="zh-CN"/>
        </w:rPr>
        <w:t>(i)</w:t>
      </w:r>
      <w:r w:rsidRPr="007B2BE1">
        <w:rPr>
          <w:rFonts w:ascii="Times New Roman" w:eastAsia="標楷體" w:hAnsi="Times New Roman" w:cs="Times New Roman"/>
          <w:lang w:val="en-US" w:eastAsia="zh-CN"/>
        </w:rPr>
        <w:t>纳税人完全未有履行《税务条例》规定的责任，但个案没有涉及任何刑事意图；及</w:t>
      </w:r>
      <w:r w:rsidRPr="007B2BE1">
        <w:rPr>
          <w:rFonts w:ascii="Times New Roman" w:eastAsia="標楷體" w:hAnsi="Times New Roman" w:cs="Times New Roman"/>
          <w:lang w:val="en-US" w:eastAsia="zh-CN"/>
        </w:rPr>
        <w:t>(ii)</w:t>
      </w:r>
      <w:r w:rsidRPr="007B2BE1">
        <w:rPr>
          <w:rFonts w:ascii="Times New Roman" w:eastAsia="標楷體" w:hAnsi="Times New Roman" w:cs="Times New Roman"/>
          <w:lang w:val="en-US" w:eastAsia="zh-CN"/>
        </w:rPr>
        <w:t>局长须要进行调查或编制资产递增表，否则难以作出评税；及</w:t>
      </w:r>
      <w:r w:rsidRPr="007B2BE1">
        <w:rPr>
          <w:rFonts w:ascii="Times New Roman" w:eastAsia="標楷體" w:hAnsi="Times New Roman" w:cs="Times New Roman"/>
          <w:lang w:val="en-US" w:eastAsia="zh-CN"/>
        </w:rPr>
        <w:t>(iii)</w:t>
      </w:r>
      <w:r w:rsidRPr="007B2BE1">
        <w:rPr>
          <w:rFonts w:ascii="Times New Roman" w:eastAsia="標楷體" w:hAnsi="Times New Roman" w:cs="Times New Roman"/>
          <w:lang w:val="en-US" w:eastAsia="zh-CN"/>
        </w:rPr>
        <w:t>个案中的纳税人已持续多年未有履行《税务条例》所规定的责任。这三个因素实在来自税务上诉委员会</w:t>
      </w:r>
      <w:r w:rsidRPr="007B2BE1">
        <w:rPr>
          <w:rFonts w:ascii="Times New Roman" w:eastAsia="標楷體" w:hAnsi="Times New Roman" w:cs="Times New Roman"/>
          <w:lang w:val="en-US" w:eastAsia="zh-CN"/>
        </w:rPr>
        <w:t>1988</w:t>
      </w:r>
      <w:r w:rsidRPr="007B2BE1">
        <w:rPr>
          <w:rFonts w:ascii="Times New Roman" w:eastAsia="標楷體" w:hAnsi="Times New Roman" w:cs="Times New Roman"/>
          <w:lang w:val="en-US" w:eastAsia="zh-CN"/>
        </w:rPr>
        <w:t>年的编号</w:t>
      </w:r>
      <w:r w:rsidRPr="007B2BE1">
        <w:rPr>
          <w:rFonts w:ascii="Times New Roman" w:eastAsia="標楷體" w:hAnsi="Times New Roman" w:cs="Times New Roman"/>
          <w:u w:val="single"/>
          <w:lang w:val="en-US" w:eastAsia="zh-CN"/>
        </w:rPr>
        <w:t>D53/88</w:t>
      </w:r>
      <w:r w:rsidRPr="007B2BE1">
        <w:rPr>
          <w:rFonts w:ascii="Times New Roman" w:eastAsia="標楷體" w:hAnsi="Times New Roman" w:cs="Times New Roman"/>
          <w:lang w:val="en-US" w:eastAsia="zh-CN"/>
        </w:rPr>
        <w:t>的决定，税务上诉委员会在该决定指明如个案具有该三个因素，补加税的罚则的起点为少征收税款的</w:t>
      </w:r>
      <w:r w:rsidRPr="007B2BE1">
        <w:rPr>
          <w:rFonts w:ascii="Times New Roman" w:eastAsia="標楷體" w:hAnsi="Times New Roman" w:cs="Times New Roman"/>
          <w:lang w:val="en-US" w:eastAsia="zh-CN"/>
        </w:rPr>
        <w:t>100%</w:t>
      </w:r>
      <w:r w:rsidRPr="007B2BE1">
        <w:rPr>
          <w:rFonts w:ascii="Times New Roman" w:eastAsia="標楷體" w:hAnsi="Times New Roman" w:cs="Times New Roman"/>
          <w:lang w:val="en-US" w:eastAsia="zh-CN"/>
        </w:rPr>
        <w:t>。其后的税务上诉委员会一直应用</w:t>
      </w:r>
      <w:r w:rsidRPr="007B2BE1">
        <w:rPr>
          <w:rFonts w:ascii="Times New Roman" w:eastAsia="標楷體" w:hAnsi="Times New Roman" w:cs="Times New Roman"/>
          <w:u w:val="single"/>
          <w:lang w:val="en-US" w:eastAsia="zh-CN"/>
        </w:rPr>
        <w:t>D53/88</w:t>
      </w:r>
      <w:r w:rsidRPr="007B2BE1">
        <w:rPr>
          <w:rFonts w:ascii="Times New Roman" w:eastAsia="標楷體" w:hAnsi="Times New Roman" w:cs="Times New Roman"/>
          <w:lang w:val="en-US" w:eastAsia="zh-CN"/>
        </w:rPr>
        <w:t>的决定就适用少征收税款的</w:t>
      </w:r>
      <w:r w:rsidRPr="007B2BE1">
        <w:rPr>
          <w:rFonts w:ascii="Times New Roman" w:eastAsia="標楷體" w:hAnsi="Times New Roman" w:cs="Times New Roman"/>
          <w:lang w:val="en-US" w:eastAsia="zh-CN"/>
        </w:rPr>
        <w:t>100%</w:t>
      </w:r>
      <w:r w:rsidRPr="007B2BE1">
        <w:rPr>
          <w:rFonts w:ascii="Times New Roman" w:eastAsia="標楷體" w:hAnsi="Times New Roman" w:cs="Times New Roman"/>
          <w:lang w:val="en-US" w:eastAsia="zh-CN"/>
        </w:rPr>
        <w:t>的补加税的罚则起点的有关因素，见编号</w:t>
      </w:r>
      <w:r w:rsidRPr="007B2BE1">
        <w:rPr>
          <w:rFonts w:ascii="Times New Roman" w:eastAsia="標楷體" w:hAnsi="Times New Roman" w:cs="Times New Roman"/>
          <w:u w:val="single"/>
          <w:lang w:val="en-US" w:eastAsia="zh-CN"/>
        </w:rPr>
        <w:t>D9/05</w:t>
      </w:r>
      <w:r w:rsidRPr="007B2BE1">
        <w:rPr>
          <w:rFonts w:ascii="Times New Roman" w:eastAsia="標楷體" w:hAnsi="Times New Roman" w:cs="Times New Roman"/>
          <w:lang w:val="en-US" w:eastAsia="zh-CN"/>
        </w:rPr>
        <w:t>的决定。</w:t>
      </w:r>
    </w:p>
    <w:p w14:paraId="28AD248B"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09529579" w14:textId="51FB1C8F" w:rsidR="003C325E"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eastAsia="zh-CN"/>
        </w:rPr>
        <w:t>就</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公司的个案，本委员会接受答辩人的陈述，认为在该案</w:t>
      </w:r>
      <w:r w:rsidRPr="007B2BE1">
        <w:rPr>
          <w:rFonts w:ascii="Times New Roman" w:eastAsia="標楷體" w:hAnsi="Times New Roman" w:cs="Times New Roman"/>
          <w:lang w:val="en-US" w:eastAsia="zh-CN"/>
        </w:rPr>
        <w:t>适用少征收税款的</w:t>
      </w:r>
      <w:r w:rsidRPr="007B2BE1">
        <w:rPr>
          <w:rFonts w:ascii="Times New Roman" w:eastAsia="標楷體" w:hAnsi="Times New Roman" w:cs="Times New Roman"/>
          <w:lang w:val="en-US" w:eastAsia="zh-CN"/>
        </w:rPr>
        <w:t>100%</w:t>
      </w:r>
      <w:r w:rsidRPr="007B2BE1">
        <w:rPr>
          <w:rFonts w:ascii="Times New Roman" w:eastAsia="標楷體" w:hAnsi="Times New Roman" w:cs="Times New Roman"/>
          <w:lang w:val="en-US" w:eastAsia="zh-CN"/>
        </w:rPr>
        <w:t>的补加税的罚则起点。虽然</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公司没有犯罪意图，但事实上，</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公司于</w:t>
      </w:r>
      <w:r w:rsidRPr="007B2BE1">
        <w:rPr>
          <w:rFonts w:ascii="Times New Roman" w:eastAsia="標楷體" w:hAnsi="Times New Roman" w:cs="Times New Roman"/>
          <w:lang w:val="en-US" w:eastAsia="zh-CN"/>
        </w:rPr>
        <w:t>2011/12</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课税年度填报不正确的利得税报税表，即这情况已持续</w:t>
      </w:r>
      <w:r w:rsidRPr="007B2BE1">
        <w:rPr>
          <w:rFonts w:ascii="Times New Roman" w:eastAsia="標楷體" w:hAnsi="Times New Roman" w:cs="Times New Roman"/>
          <w:lang w:val="en-US" w:eastAsia="zh-CN"/>
        </w:rPr>
        <w:t>5</w:t>
      </w:r>
      <w:r w:rsidRPr="007B2BE1">
        <w:rPr>
          <w:rFonts w:ascii="Times New Roman" w:eastAsia="標楷體" w:hAnsi="Times New Roman" w:cs="Times New Roman"/>
          <w:lang w:val="en-US" w:eastAsia="zh-CN"/>
        </w:rPr>
        <w:t>年，在这段时间</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公司没有履行《税务条例》所规定的责任。税务局最后须要在税务审查时复核支出单据及银行月结单等纪录才得以确定应评税利润。</w:t>
      </w:r>
    </w:p>
    <w:p w14:paraId="3BE444CA"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74BC6E22" w14:textId="5C39EB93" w:rsidR="00830490"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eastAsia="zh-CN"/>
        </w:rPr>
        <w:t>就</w:t>
      </w:r>
      <w:r w:rsidRPr="007B2BE1">
        <w:rPr>
          <w:rFonts w:ascii="Times New Roman" w:eastAsia="標楷體" w:hAnsi="Times New Roman" w:cs="Times New Roman"/>
          <w:lang w:eastAsia="zh-CN"/>
        </w:rPr>
        <w:t>B</w:t>
      </w:r>
      <w:r w:rsidRPr="007B2BE1">
        <w:rPr>
          <w:rFonts w:ascii="Times New Roman" w:eastAsia="標楷體" w:hAnsi="Times New Roman" w:cs="Times New Roman"/>
          <w:lang w:val="en-US" w:eastAsia="zh-CN"/>
        </w:rPr>
        <w:t>先生</w:t>
      </w:r>
      <w:r w:rsidRPr="007B2BE1">
        <w:rPr>
          <w:rFonts w:ascii="Times New Roman" w:eastAsia="標楷體" w:hAnsi="Times New Roman" w:cs="Times New Roman"/>
          <w:lang w:eastAsia="zh-CN"/>
        </w:rPr>
        <w:t>的个案，本委员会接受答辩人的陈述，认为在该案</w:t>
      </w:r>
      <w:r w:rsidRPr="007B2BE1">
        <w:rPr>
          <w:rFonts w:ascii="Times New Roman" w:eastAsia="標楷體" w:hAnsi="Times New Roman" w:cs="Times New Roman"/>
          <w:lang w:val="en-US" w:eastAsia="zh-CN"/>
        </w:rPr>
        <w:t>适用少征收税款的</w:t>
      </w:r>
      <w:r w:rsidRPr="007B2BE1">
        <w:rPr>
          <w:rFonts w:ascii="Times New Roman" w:eastAsia="標楷體" w:hAnsi="Times New Roman" w:cs="Times New Roman"/>
          <w:lang w:val="en-US" w:eastAsia="zh-CN"/>
        </w:rPr>
        <w:t>100%</w:t>
      </w:r>
      <w:r w:rsidRPr="007B2BE1">
        <w:rPr>
          <w:rFonts w:ascii="Times New Roman" w:eastAsia="標楷體" w:hAnsi="Times New Roman" w:cs="Times New Roman"/>
          <w:lang w:val="en-US" w:eastAsia="zh-CN"/>
        </w:rPr>
        <w:t>的补加税的罚则起点。虽然</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先生没有犯罪意图，但事实上，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先生于</w:t>
      </w:r>
      <w:r w:rsidRPr="007B2BE1">
        <w:rPr>
          <w:rFonts w:ascii="Times New Roman" w:eastAsia="標楷體" w:hAnsi="Times New Roman" w:cs="Times New Roman"/>
          <w:lang w:val="en-US" w:eastAsia="zh-CN"/>
        </w:rPr>
        <w:t>2008/09</w:t>
      </w:r>
      <w:r w:rsidRPr="007B2BE1">
        <w:rPr>
          <w:rFonts w:ascii="Times New Roman" w:eastAsia="標楷體" w:hAnsi="Times New Roman" w:cs="Times New Roman"/>
          <w:lang w:val="en-US" w:eastAsia="zh-CN"/>
        </w:rPr>
        <w:t>至</w:t>
      </w:r>
      <w:r w:rsidRPr="007B2BE1">
        <w:rPr>
          <w:rFonts w:ascii="Times New Roman" w:eastAsia="標楷體" w:hAnsi="Times New Roman" w:cs="Times New Roman"/>
          <w:lang w:val="en-US" w:eastAsia="zh-CN"/>
        </w:rPr>
        <w:t>2010/11</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2014/15</w:t>
      </w:r>
      <w:r w:rsidRPr="007B2BE1">
        <w:rPr>
          <w:rFonts w:ascii="Times New Roman" w:eastAsia="標楷體" w:hAnsi="Times New Roman" w:cs="Times New Roman"/>
          <w:lang w:val="en-US" w:eastAsia="zh-CN"/>
        </w:rPr>
        <w:t>及</w:t>
      </w:r>
      <w:r w:rsidRPr="007B2BE1">
        <w:rPr>
          <w:rFonts w:ascii="Times New Roman" w:eastAsia="標楷體" w:hAnsi="Times New Roman" w:cs="Times New Roman"/>
          <w:lang w:val="en-US" w:eastAsia="zh-CN"/>
        </w:rPr>
        <w:t>2015/16</w:t>
      </w:r>
      <w:r w:rsidRPr="007B2BE1">
        <w:rPr>
          <w:rFonts w:ascii="Times New Roman" w:eastAsia="標楷體" w:hAnsi="Times New Roman" w:cs="Times New Roman"/>
          <w:lang w:val="en-US" w:eastAsia="zh-CN"/>
        </w:rPr>
        <w:t>课税年度均填报不正确的个别人士报税表，以及在</w:t>
      </w:r>
      <w:r w:rsidRPr="007B2BE1">
        <w:rPr>
          <w:rFonts w:ascii="Times New Roman" w:eastAsia="標楷體" w:hAnsi="Times New Roman" w:cs="Times New Roman"/>
          <w:lang w:val="en-US" w:eastAsia="zh-CN"/>
        </w:rPr>
        <w:t>2012/13</w:t>
      </w:r>
      <w:r w:rsidRPr="007B2BE1">
        <w:rPr>
          <w:rFonts w:ascii="Times New Roman" w:eastAsia="標楷體" w:hAnsi="Times New Roman" w:cs="Times New Roman"/>
          <w:lang w:val="en-US" w:eastAsia="zh-CN"/>
        </w:rPr>
        <w:t>课税年度未有在该年度的评税基期结束后</w:t>
      </w:r>
      <w:r w:rsidRPr="007B2BE1">
        <w:rPr>
          <w:rFonts w:ascii="Times New Roman" w:eastAsia="標楷體" w:hAnsi="Times New Roman" w:cs="Times New Roman"/>
          <w:lang w:val="en-US" w:eastAsia="zh-CN"/>
        </w:rPr>
        <w:t>4</w:t>
      </w:r>
      <w:r w:rsidRPr="007B2BE1">
        <w:rPr>
          <w:rFonts w:ascii="Times New Roman" w:eastAsia="標楷體" w:hAnsi="Times New Roman" w:cs="Times New Roman"/>
          <w:lang w:val="en-US" w:eastAsia="zh-CN"/>
        </w:rPr>
        <w:t>个月内书面通知税务局他须就该课税年度课税，即是持续有</w:t>
      </w:r>
      <w:r w:rsidRPr="007B2BE1">
        <w:rPr>
          <w:rFonts w:ascii="Times New Roman" w:eastAsia="標楷體" w:hAnsi="Times New Roman" w:cs="Times New Roman"/>
          <w:lang w:val="en-US" w:eastAsia="zh-CN"/>
        </w:rPr>
        <w:t>7</w:t>
      </w:r>
      <w:r w:rsidRPr="007B2BE1">
        <w:rPr>
          <w:rFonts w:ascii="Times New Roman" w:eastAsia="標楷體" w:hAnsi="Times New Roman" w:cs="Times New Roman"/>
          <w:lang w:val="en-US" w:eastAsia="zh-CN"/>
        </w:rPr>
        <w:t>年时间</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先生没有履行《税务条例》所规定的责任。税务局最后须要税务审查时复核会计纪录、租务纪录及银行月结单等纪录才确定</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先生的薪金及租金收入。</w:t>
      </w:r>
    </w:p>
    <w:p w14:paraId="7130712A"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591D27A8" w14:textId="688AAAAE" w:rsidR="00DE4255"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最后，</w:t>
      </w:r>
      <w:r w:rsidRPr="007B2BE1">
        <w:rPr>
          <w:rFonts w:ascii="Times New Roman" w:eastAsia="標楷體" w:hAnsi="Times New Roman" w:cs="Times New Roman"/>
          <w:lang w:val="en-US" w:eastAsia="zh-CN"/>
        </w:rPr>
        <w:t>本委员会要考虑就</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公司的个案与及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先生的个案而言，要缴付的补加税的金额是否在有关情况下仍属过多这问题。</w:t>
      </w:r>
    </w:p>
    <w:p w14:paraId="692D438A"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4FCBF0B4" w14:textId="7E14308A" w:rsidR="0090261C"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val="en-US" w:eastAsia="zh-CN"/>
        </w:rPr>
        <w:t>答辩方在陈述时强调</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公司及</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先生的个案都有加重处罚的因素，包括少报的利润或收入的款额及少收的税款的幅度都属重大误差，有关人员</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特别是</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先生本人</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应有能力知悉或取得相关的资料及正确填报，税务局要动员资源作原可避免的调查，没有迅速披露全部事实</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特别是首次会晤后近</w:t>
      </w:r>
      <w:r w:rsidRPr="007B2BE1">
        <w:rPr>
          <w:rFonts w:ascii="Times New Roman" w:eastAsia="標楷體" w:hAnsi="Times New Roman" w:cs="Times New Roman"/>
          <w:lang w:val="en-US" w:eastAsia="zh-CN"/>
        </w:rPr>
        <w:t>30</w:t>
      </w:r>
      <w:r w:rsidRPr="007B2BE1">
        <w:rPr>
          <w:rFonts w:ascii="Times New Roman" w:eastAsia="標楷體" w:hAnsi="Times New Roman" w:cs="Times New Roman"/>
          <w:lang w:val="en-US" w:eastAsia="zh-CN"/>
        </w:rPr>
        <w:t>个月才提交有关资讯给税务局</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，征收应缴税款的过程延迟，税务局</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和公帑</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有实际财务损失。答辩方也列举税务上诉委员会的个案，以说明其分别对</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公司采取的少征收税款</w:t>
      </w:r>
      <w:r w:rsidRPr="007B2BE1">
        <w:rPr>
          <w:rFonts w:ascii="Times New Roman" w:eastAsia="標楷體" w:hAnsi="Times New Roman" w:cs="Times New Roman"/>
          <w:lang w:val="en-US" w:eastAsia="zh-CN"/>
        </w:rPr>
        <w:t>105%</w:t>
      </w:r>
      <w:r w:rsidRPr="007B2BE1">
        <w:rPr>
          <w:rFonts w:ascii="Times New Roman" w:eastAsia="標楷體" w:hAnsi="Times New Roman" w:cs="Times New Roman"/>
          <w:lang w:val="en-US" w:eastAsia="zh-CN"/>
        </w:rPr>
        <w:t>的处罚及对</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先生采取的少征收税款</w:t>
      </w:r>
      <w:r w:rsidRPr="007B2BE1">
        <w:rPr>
          <w:rFonts w:ascii="Times New Roman" w:eastAsia="標楷體" w:hAnsi="Times New Roman" w:cs="Times New Roman"/>
          <w:lang w:val="en-US" w:eastAsia="zh-CN"/>
        </w:rPr>
        <w:t>110%</w:t>
      </w:r>
      <w:r w:rsidRPr="007B2BE1">
        <w:rPr>
          <w:rFonts w:ascii="Times New Roman" w:eastAsia="標楷體" w:hAnsi="Times New Roman" w:cs="Times New Roman"/>
          <w:lang w:val="en-US" w:eastAsia="zh-CN"/>
        </w:rPr>
        <w:t>的处罚都并不过多。</w:t>
      </w:r>
    </w:p>
    <w:p w14:paraId="62238E3A"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74280032" w14:textId="29D165CB" w:rsidR="00491B4E"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CN"/>
        </w:rPr>
      </w:pPr>
      <w:r w:rsidRPr="007B2BE1">
        <w:rPr>
          <w:rFonts w:ascii="Times New Roman" w:eastAsia="標楷體" w:hAnsi="Times New Roman" w:cs="Times New Roman"/>
          <w:lang w:eastAsia="zh-CN"/>
        </w:rPr>
        <w:t>代表</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公司及</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先生的区先生在陈述时</w:t>
      </w:r>
      <w:r w:rsidRPr="007B2BE1">
        <w:rPr>
          <w:rFonts w:ascii="Times New Roman" w:eastAsia="標楷體" w:hAnsi="Times New Roman" w:cs="Times New Roman"/>
          <w:lang w:val="en-US" w:eastAsia="zh-CN"/>
        </w:rPr>
        <w:t>强调</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w:t>
      </w:r>
      <w:r w:rsidRPr="007B2BE1">
        <w:rPr>
          <w:rFonts w:ascii="Times New Roman" w:eastAsia="標楷體" w:hAnsi="Times New Roman" w:cs="Times New Roman"/>
          <w:lang w:eastAsia="zh-CN"/>
        </w:rPr>
        <w:t>是一个发型师，他没有有关知识去理解报税表的内容。虽然</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先生认同每一个纳税人都不应有任何意图去少报或漏报个人入息或利润，可是他并非专业人士，有些事情真的并非</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先生能力范围内可回应得到</w:t>
      </w:r>
      <w:r w:rsidRPr="007B2BE1">
        <w:rPr>
          <w:rFonts w:ascii="Times New Roman" w:eastAsia="標楷體" w:hAnsi="Times New Roman" w:cs="Times New Roman"/>
          <w:lang w:val="en-US" w:eastAsia="zh-CN"/>
        </w:rPr>
        <w:t>。</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先生希望本委员会相信他并不是存心及故意遗</w:t>
      </w:r>
      <w:r w:rsidRPr="007B2BE1">
        <w:rPr>
          <w:rFonts w:ascii="Times New Roman" w:eastAsia="標楷體" w:hAnsi="Times New Roman" w:cs="Times New Roman"/>
          <w:lang w:eastAsia="zh-CN"/>
        </w:rPr>
        <w:t>漏或少报，他只是没有谨慎地选择会计公司及好好地和税务代表协调和沟通，导致有税务问题产生。</w:t>
      </w:r>
      <w:r w:rsidRPr="007B2BE1">
        <w:rPr>
          <w:rFonts w:ascii="Times New Roman" w:eastAsia="標楷體" w:hAnsi="Times New Roman" w:cs="Times New Roman"/>
          <w:lang w:eastAsia="zh-CN"/>
        </w:rPr>
        <w:t>B</w:t>
      </w:r>
      <w:r w:rsidRPr="007B2BE1">
        <w:rPr>
          <w:rFonts w:ascii="Times New Roman" w:eastAsia="標楷體" w:hAnsi="Times New Roman" w:cs="Times New Roman"/>
          <w:lang w:val="en-US" w:eastAsia="zh-CN"/>
        </w:rPr>
        <w:t>先生强调自己是个负责任的人，他配合</w:t>
      </w:r>
      <w:r w:rsidRPr="007B2BE1">
        <w:rPr>
          <w:rFonts w:ascii="Times New Roman" w:eastAsia="標楷體" w:hAnsi="Times New Roman" w:cs="Times New Roman"/>
          <w:lang w:val="en-US" w:eastAsia="zh-CN"/>
        </w:rPr>
        <w:t>J</w:t>
      </w:r>
      <w:r w:rsidRPr="007B2BE1">
        <w:rPr>
          <w:rFonts w:ascii="Times New Roman" w:eastAsia="標楷體" w:hAnsi="Times New Roman" w:cs="Times New Roman"/>
          <w:lang w:val="en-US" w:eastAsia="zh-CN"/>
        </w:rPr>
        <w:t>先生在税务方面向他作出的要求，包括税局对他和</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公司的税务调查提出有关的要求。对于税局指公司的文件保留方面他做得并不够好；</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先生坦承有不足的地方，也接</w:t>
      </w:r>
      <w:r w:rsidRPr="007B2BE1">
        <w:rPr>
          <w:rFonts w:ascii="Times New Roman" w:eastAsia="標楷體" w:hAnsi="Times New Roman" w:cs="Times New Roman"/>
          <w:lang w:val="en-US" w:eastAsia="zh-CN"/>
        </w:rPr>
        <w:lastRenderedPageBreak/>
        <w:t>受了税务局的判罚；税务局的评税和补加税，他亦都已经缴清</w:t>
      </w:r>
      <w:r w:rsidRPr="007B2BE1">
        <w:rPr>
          <w:rFonts w:ascii="Times New Roman" w:eastAsia="標楷體" w:hAnsi="Times New Roman" w:cs="Times New Roman"/>
          <w:lang w:eastAsia="zh-CN"/>
        </w:rPr>
        <w:t>。</w:t>
      </w:r>
    </w:p>
    <w:p w14:paraId="52A7D90E"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CN"/>
        </w:rPr>
      </w:pPr>
    </w:p>
    <w:p w14:paraId="3D9C633E" w14:textId="7B3653B5" w:rsidR="00335756"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CN"/>
        </w:rPr>
      </w:pPr>
      <w:r w:rsidRPr="007B2BE1">
        <w:rPr>
          <w:rFonts w:ascii="Times New Roman" w:eastAsia="標楷體" w:hAnsi="Times New Roman" w:cs="Times New Roman"/>
          <w:lang w:val="en-US" w:eastAsia="zh-CN"/>
        </w:rPr>
        <w:t>考虑了以上双方的陈述，本委员会接纳本案中确实有足够理由将处罚从少征收税款的</w:t>
      </w:r>
      <w:r w:rsidRPr="007B2BE1">
        <w:rPr>
          <w:rFonts w:ascii="Times New Roman" w:eastAsia="標楷體" w:hAnsi="Times New Roman" w:cs="Times New Roman"/>
          <w:lang w:val="en-US" w:eastAsia="zh-CN"/>
        </w:rPr>
        <w:t>100%</w:t>
      </w:r>
      <w:r w:rsidRPr="007B2BE1">
        <w:rPr>
          <w:rFonts w:ascii="Times New Roman" w:eastAsia="標楷體" w:hAnsi="Times New Roman" w:cs="Times New Roman"/>
          <w:lang w:val="en-US" w:eastAsia="zh-CN"/>
        </w:rPr>
        <w:t>的起点上调，而按照</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先生的情况而言，就他自己的个案的上调幅度应高于就</w:t>
      </w:r>
      <w:r w:rsidRPr="007B2BE1">
        <w:rPr>
          <w:rFonts w:ascii="Times New Roman" w:eastAsia="標楷體" w:hAnsi="Times New Roman" w:cs="Times New Roman"/>
          <w:lang w:val="en-US" w:eastAsia="zh-CN"/>
        </w:rPr>
        <w:t>A</w:t>
      </w:r>
      <w:r w:rsidRPr="007B2BE1">
        <w:rPr>
          <w:rFonts w:ascii="Times New Roman" w:eastAsia="標楷體" w:hAnsi="Times New Roman" w:cs="Times New Roman"/>
          <w:lang w:val="en-US" w:eastAsia="zh-CN"/>
        </w:rPr>
        <w:t>公司个案的上调幅度。然而，本委员会认为在全面理解</w:t>
      </w:r>
      <w:r w:rsidRPr="007B2BE1">
        <w:rPr>
          <w:rFonts w:ascii="Times New Roman" w:eastAsia="標楷體" w:hAnsi="Times New Roman" w:cs="Times New Roman"/>
          <w:lang w:val="en-US" w:eastAsia="zh-CN"/>
        </w:rPr>
        <w:t>B</w:t>
      </w:r>
      <w:r w:rsidRPr="007B2BE1">
        <w:rPr>
          <w:rFonts w:ascii="Times New Roman" w:eastAsia="標楷體" w:hAnsi="Times New Roman" w:cs="Times New Roman"/>
          <w:lang w:val="en-US" w:eastAsia="zh-CN"/>
        </w:rPr>
        <w:t>先生的案情及景况后，可以在实质应缴金额上有所调整，而这亦是合理公平的做法。</w:t>
      </w:r>
    </w:p>
    <w:p w14:paraId="2744437C" w14:textId="77777777" w:rsidR="008D0FC2" w:rsidRPr="007B2BE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CN"/>
        </w:rPr>
      </w:pPr>
    </w:p>
    <w:p w14:paraId="3C9D38A4" w14:textId="6B7B0D4E" w:rsidR="005F447C" w:rsidRPr="007B2BE1" w:rsidRDefault="007B2BE1"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综上所述，本委员会裁断</w:t>
      </w:r>
      <w:r w:rsidRPr="007B2BE1">
        <w:rPr>
          <w:rFonts w:ascii="Times New Roman" w:eastAsia="標楷體" w:hAnsi="Times New Roman" w:cs="Times New Roman"/>
          <w:lang w:eastAsia="zh-CN"/>
        </w:rPr>
        <w:t>，税务上诉第</w:t>
      </w:r>
      <w:r w:rsidRPr="007B2BE1">
        <w:rPr>
          <w:rFonts w:ascii="Times New Roman" w:eastAsia="標楷體" w:hAnsi="Times New Roman" w:cs="Times New Roman"/>
          <w:lang w:eastAsia="zh-CN"/>
        </w:rPr>
        <w:t>X/XXXX</w:t>
      </w:r>
      <w:r w:rsidRPr="007B2BE1">
        <w:rPr>
          <w:rFonts w:ascii="Times New Roman" w:eastAsia="標楷體" w:hAnsi="Times New Roman" w:cs="Times New Roman"/>
          <w:lang w:eastAsia="zh-CN"/>
        </w:rPr>
        <w:t>号的上诉个案及与税务上诉第</w:t>
      </w:r>
      <w:r w:rsidRPr="007B2BE1">
        <w:rPr>
          <w:rFonts w:ascii="Times New Roman" w:eastAsia="標楷體" w:hAnsi="Times New Roman" w:cs="Times New Roman"/>
          <w:lang w:eastAsia="zh-CN"/>
        </w:rPr>
        <w:t>X/XXXX</w:t>
      </w:r>
      <w:r w:rsidRPr="007B2BE1">
        <w:rPr>
          <w:rFonts w:ascii="Times New Roman" w:eastAsia="標楷體" w:hAnsi="Times New Roman" w:cs="Times New Roman"/>
          <w:lang w:eastAsia="zh-CN"/>
        </w:rPr>
        <w:t>号的上诉个案</w:t>
      </w:r>
      <w:r w:rsidRPr="007B2BE1">
        <w:rPr>
          <w:rFonts w:ascii="Times New Roman" w:eastAsia="標楷體" w:hAnsi="Times New Roman" w:cs="Times New Roman"/>
          <w:lang w:val="en-US" w:eastAsia="zh-CN"/>
        </w:rPr>
        <w:t>都在实质应缴金额上按照下文第</w:t>
      </w:r>
      <w:r w:rsidRPr="007B2BE1">
        <w:rPr>
          <w:rFonts w:ascii="Times New Roman" w:eastAsia="標楷體" w:hAnsi="Times New Roman" w:cs="Times New Roman"/>
          <w:lang w:val="en-US" w:eastAsia="zh-CN"/>
        </w:rPr>
        <w:t>15</w:t>
      </w:r>
      <w:r w:rsidRPr="007B2BE1">
        <w:rPr>
          <w:rFonts w:ascii="Times New Roman" w:eastAsia="標楷體" w:hAnsi="Times New Roman" w:cs="Times New Roman"/>
          <w:lang w:val="en-US" w:eastAsia="zh-CN"/>
        </w:rPr>
        <w:t>段的修订的计算调整</w:t>
      </w:r>
      <w:r w:rsidRPr="007B2BE1">
        <w:rPr>
          <w:rFonts w:ascii="Times New Roman" w:eastAsia="標楷體" w:hAnsi="Times New Roman" w:cs="Times New Roman"/>
          <w:lang w:eastAsia="zh-CN"/>
        </w:rPr>
        <w:t>。</w:t>
      </w:r>
    </w:p>
    <w:p w14:paraId="1E79D3C6" w14:textId="7DB909C4" w:rsidR="00807A5E" w:rsidRPr="007B2BE1" w:rsidRDefault="00807A5E" w:rsidP="008D0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42BE18FD" w14:textId="07EC2469" w:rsidR="00807A5E" w:rsidRPr="007B2BE1" w:rsidRDefault="007B2BE1" w:rsidP="00E96580">
      <w:pPr>
        <w:widowControl w:val="0"/>
        <w:overflowPunct w:val="0"/>
        <w:autoSpaceDE w:val="0"/>
        <w:autoSpaceDN w:val="0"/>
        <w:adjustRightInd w:val="0"/>
        <w:jc w:val="both"/>
        <w:rPr>
          <w:rFonts w:ascii="Times New Roman" w:eastAsia="標楷體" w:hAnsi="Times New Roman" w:cs="Times New Roman"/>
          <w:b/>
          <w:sz w:val="28"/>
          <w:szCs w:val="28"/>
        </w:rPr>
      </w:pPr>
      <w:r w:rsidRPr="007B2BE1">
        <w:rPr>
          <w:rFonts w:ascii="Times New Roman" w:eastAsia="標楷體" w:hAnsi="Times New Roman" w:cs="Times New Roman"/>
          <w:b/>
          <w:sz w:val="28"/>
          <w:szCs w:val="28"/>
          <w:lang w:eastAsia="zh-CN"/>
        </w:rPr>
        <w:t>总结</w:t>
      </w:r>
    </w:p>
    <w:p w14:paraId="11D17562" w14:textId="77777777" w:rsidR="00807A5E" w:rsidRPr="007B2BE1" w:rsidRDefault="00807A5E" w:rsidP="008D0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rPr>
      </w:pPr>
    </w:p>
    <w:p w14:paraId="2B90F16B" w14:textId="5B1298D5" w:rsidR="00FA7BD5" w:rsidRPr="007B2BE1" w:rsidRDefault="007B2BE1" w:rsidP="00E96580">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本委员会经聆讯两名上诉人的税务上诉和考虑所有文件和各方陈词后，基于上述的分析和裁断，裁定如下：</w:t>
      </w:r>
    </w:p>
    <w:p w14:paraId="728A4DEA" w14:textId="290C199B" w:rsidR="00FA7BD5" w:rsidRPr="007B2BE1" w:rsidRDefault="00FA7BD5" w:rsidP="008D0FC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jc w:val="both"/>
        <w:rPr>
          <w:rFonts w:ascii="Times New Roman" w:eastAsia="標楷體" w:hAnsi="Times New Roman" w:cs="Times New Roman"/>
          <w:lang w:eastAsia="zh-TW"/>
        </w:rPr>
      </w:pPr>
    </w:p>
    <w:p w14:paraId="503F28D9" w14:textId="4E24849C" w:rsidR="0036759A" w:rsidRPr="007B2BE1" w:rsidRDefault="007B2BE1" w:rsidP="00E96580">
      <w:pPr>
        <w:pStyle w:val="ac"/>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7B2BE1">
        <w:rPr>
          <w:rFonts w:ascii="Times New Roman" w:eastAsia="標楷體" w:hAnsi="Times New Roman" w:cs="Times New Roman"/>
          <w:lang w:eastAsia="zh-CN"/>
        </w:rPr>
        <w:t>就上诉人</w:t>
      </w:r>
      <w:r w:rsidRPr="007B2BE1">
        <w:rPr>
          <w:rFonts w:ascii="Times New Roman" w:eastAsia="標楷體" w:hAnsi="Times New Roman" w:cs="Times New Roman"/>
          <w:lang w:eastAsia="zh-CN"/>
        </w:rPr>
        <w:t>A</w:t>
      </w:r>
      <w:r w:rsidRPr="007B2BE1">
        <w:rPr>
          <w:rFonts w:ascii="Times New Roman" w:eastAsia="標楷體" w:hAnsi="Times New Roman" w:cs="Times New Roman"/>
          <w:lang w:eastAsia="zh-CN"/>
        </w:rPr>
        <w:t>公司的税务上诉</w:t>
      </w:r>
      <w:r w:rsidRPr="007B2BE1">
        <w:rPr>
          <w:rFonts w:ascii="Times New Roman" w:eastAsia="標楷體" w:hAnsi="Times New Roman" w:cs="Times New Roman"/>
          <w:lang w:eastAsia="zh-CN"/>
        </w:rPr>
        <w:t>(B/R X/XX) –</w:t>
      </w:r>
      <w:r w:rsidR="0036759A" w:rsidRPr="007B2BE1">
        <w:rPr>
          <w:rFonts w:ascii="Times New Roman" w:eastAsia="標楷體" w:hAnsi="Times New Roman" w:cs="Times New Roman"/>
          <w:lang w:eastAsia="zh-TW"/>
        </w:rPr>
        <w:t xml:space="preserve"> </w:t>
      </w:r>
    </w:p>
    <w:p w14:paraId="07CDA18D" w14:textId="77777777" w:rsidR="00E96580" w:rsidRPr="007B2BE1" w:rsidRDefault="00E96580" w:rsidP="00E96580">
      <w:pPr>
        <w:pStyle w:val="ac"/>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p>
    <w:p w14:paraId="3EDC051E" w14:textId="4D67C169" w:rsidR="00725482" w:rsidRPr="007B2BE1" w:rsidRDefault="007B2BE1" w:rsidP="00E96580">
      <w:pPr>
        <w:pStyle w:val="ac"/>
        <w:numPr>
          <w:ilvl w:val="0"/>
          <w:numId w:val="5"/>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eastAsia="zh-CN"/>
        </w:rPr>
        <w:t>上诉人上诉得直</w:t>
      </w:r>
      <w:r w:rsidRPr="007B2BE1">
        <w:rPr>
          <w:rFonts w:ascii="Times New Roman" w:eastAsia="標楷體" w:hAnsi="Times New Roman" w:cs="Times New Roman"/>
          <w:lang w:val="en-US" w:eastAsia="zh-CN"/>
        </w:rPr>
        <w:t>。</w:t>
      </w:r>
    </w:p>
    <w:p w14:paraId="5091E99D" w14:textId="77777777" w:rsidR="00E96580" w:rsidRPr="007B2BE1" w:rsidRDefault="00E96580" w:rsidP="00E96580">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19BD1429" w14:textId="14725E88" w:rsidR="00725482" w:rsidRPr="007B2BE1" w:rsidRDefault="007B2BE1" w:rsidP="00E96580">
      <w:pPr>
        <w:pStyle w:val="ac"/>
        <w:numPr>
          <w:ilvl w:val="0"/>
          <w:numId w:val="5"/>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t>在有关课税年度根据《税务条例》第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条评定的补加税修订如下：</w:t>
      </w:r>
    </w:p>
    <w:p w14:paraId="66ED6735" w14:textId="31B587B3" w:rsidR="005F447C" w:rsidRPr="007B2BE1" w:rsidRDefault="005F447C" w:rsidP="001E406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tbl>
      <w:tblPr>
        <w:tblStyle w:val="a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1701"/>
      </w:tblGrid>
      <w:tr w:rsidR="00E96580" w:rsidRPr="007B2BE1" w14:paraId="6C0EC03F" w14:textId="77777777" w:rsidTr="00A747DE">
        <w:tc>
          <w:tcPr>
            <w:tcW w:w="1418" w:type="dxa"/>
          </w:tcPr>
          <w:p w14:paraId="14DF2E5A" w14:textId="7D45EE51"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u w:val="single"/>
                <w:lang w:eastAsia="zh-CN"/>
              </w:rPr>
              <w:t>课税年度</w:t>
            </w:r>
          </w:p>
        </w:tc>
        <w:tc>
          <w:tcPr>
            <w:tcW w:w="1417" w:type="dxa"/>
          </w:tcPr>
          <w:p w14:paraId="5101E858" w14:textId="39AFA56D"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u w:val="single"/>
                <w:lang w:eastAsia="zh-CN"/>
              </w:rPr>
              <w:t>少征收税款</w:t>
            </w:r>
          </w:p>
        </w:tc>
        <w:tc>
          <w:tcPr>
            <w:tcW w:w="1701" w:type="dxa"/>
          </w:tcPr>
          <w:p w14:paraId="513B53E8" w14:textId="59745C80"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u w:val="single"/>
                <w:lang w:eastAsia="zh-CN"/>
              </w:rPr>
              <w:t>修订的补加税</w:t>
            </w:r>
          </w:p>
        </w:tc>
      </w:tr>
      <w:tr w:rsidR="00E96580" w:rsidRPr="007B2BE1" w14:paraId="248270EA" w14:textId="77777777" w:rsidTr="00A747DE">
        <w:tc>
          <w:tcPr>
            <w:tcW w:w="1418" w:type="dxa"/>
          </w:tcPr>
          <w:p w14:paraId="0CF23058" w14:textId="4052F584" w:rsidR="00E96580" w:rsidRPr="007B2BE1"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p>
        </w:tc>
        <w:tc>
          <w:tcPr>
            <w:tcW w:w="1417" w:type="dxa"/>
          </w:tcPr>
          <w:p w14:paraId="42355265" w14:textId="0134A843"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元</w:t>
            </w:r>
          </w:p>
        </w:tc>
        <w:tc>
          <w:tcPr>
            <w:tcW w:w="1701" w:type="dxa"/>
          </w:tcPr>
          <w:p w14:paraId="12A6CFE6" w14:textId="7C193D64"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元</w:t>
            </w:r>
          </w:p>
        </w:tc>
      </w:tr>
      <w:tr w:rsidR="00E96580" w:rsidRPr="007B2BE1" w14:paraId="6DEC4C37" w14:textId="77777777" w:rsidTr="00A747DE">
        <w:tc>
          <w:tcPr>
            <w:tcW w:w="1418" w:type="dxa"/>
          </w:tcPr>
          <w:p w14:paraId="3B3289FD" w14:textId="2E34DF42"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2011/12</w:t>
            </w:r>
          </w:p>
        </w:tc>
        <w:tc>
          <w:tcPr>
            <w:tcW w:w="1417" w:type="dxa"/>
          </w:tcPr>
          <w:p w14:paraId="1CE4859B" w14:textId="02837089"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lang w:eastAsia="zh-CN"/>
              </w:rPr>
              <w:t>200,898</w:t>
            </w:r>
          </w:p>
        </w:tc>
        <w:tc>
          <w:tcPr>
            <w:tcW w:w="1701" w:type="dxa"/>
          </w:tcPr>
          <w:p w14:paraId="05E644DB" w14:textId="7640F368"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lang w:eastAsia="zh-CN"/>
              </w:rPr>
              <w:t>207,000</w:t>
            </w:r>
          </w:p>
        </w:tc>
      </w:tr>
      <w:tr w:rsidR="00E96580" w:rsidRPr="007B2BE1" w14:paraId="6425B04A" w14:textId="77777777" w:rsidTr="00A747DE">
        <w:tc>
          <w:tcPr>
            <w:tcW w:w="1418" w:type="dxa"/>
          </w:tcPr>
          <w:p w14:paraId="1D34BED6" w14:textId="48B6EC49"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2012/13</w:t>
            </w:r>
          </w:p>
        </w:tc>
        <w:tc>
          <w:tcPr>
            <w:tcW w:w="1417" w:type="dxa"/>
          </w:tcPr>
          <w:p w14:paraId="0B89DE1A" w14:textId="3077018A"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lang w:eastAsia="zh-CN"/>
              </w:rPr>
              <w:t>38,536</w:t>
            </w:r>
          </w:p>
        </w:tc>
        <w:tc>
          <w:tcPr>
            <w:tcW w:w="1701" w:type="dxa"/>
          </w:tcPr>
          <w:p w14:paraId="431A546D" w14:textId="14838514"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lang w:eastAsia="zh-CN"/>
              </w:rPr>
              <w:t>39,000</w:t>
            </w:r>
          </w:p>
        </w:tc>
      </w:tr>
      <w:tr w:rsidR="00E96580" w:rsidRPr="007B2BE1" w14:paraId="1DEA87A4" w14:textId="77777777" w:rsidTr="00A747DE">
        <w:tc>
          <w:tcPr>
            <w:tcW w:w="1418" w:type="dxa"/>
          </w:tcPr>
          <w:p w14:paraId="14E8E6CB" w14:textId="33A382DC"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2013/14</w:t>
            </w:r>
          </w:p>
        </w:tc>
        <w:tc>
          <w:tcPr>
            <w:tcW w:w="1417" w:type="dxa"/>
          </w:tcPr>
          <w:p w14:paraId="45EAC067" w14:textId="07EDEC7D"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lang w:eastAsia="zh-CN"/>
              </w:rPr>
              <w:t>41,530</w:t>
            </w:r>
          </w:p>
        </w:tc>
        <w:tc>
          <w:tcPr>
            <w:tcW w:w="1701" w:type="dxa"/>
          </w:tcPr>
          <w:p w14:paraId="59E41445" w14:textId="179B99BF"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lang w:eastAsia="zh-CN"/>
              </w:rPr>
              <w:t>42,000</w:t>
            </w:r>
          </w:p>
        </w:tc>
      </w:tr>
      <w:tr w:rsidR="00E96580" w:rsidRPr="007B2BE1" w14:paraId="2BD96A5B" w14:textId="77777777" w:rsidTr="00A747DE">
        <w:tc>
          <w:tcPr>
            <w:tcW w:w="1418" w:type="dxa"/>
          </w:tcPr>
          <w:p w14:paraId="4962599F" w14:textId="2FC409AF"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2014/15</w:t>
            </w:r>
          </w:p>
        </w:tc>
        <w:tc>
          <w:tcPr>
            <w:tcW w:w="1417" w:type="dxa"/>
          </w:tcPr>
          <w:p w14:paraId="5D1507B2" w14:textId="3809C82C"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lang w:eastAsia="zh-CN"/>
              </w:rPr>
              <w:t>65,466</w:t>
            </w:r>
          </w:p>
        </w:tc>
        <w:tc>
          <w:tcPr>
            <w:tcW w:w="1701" w:type="dxa"/>
          </w:tcPr>
          <w:p w14:paraId="0AD516D4" w14:textId="42617BF5"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lang w:eastAsia="zh-CN"/>
              </w:rPr>
              <w:t>66,000</w:t>
            </w:r>
          </w:p>
        </w:tc>
      </w:tr>
      <w:tr w:rsidR="00E96580" w:rsidRPr="007B2BE1" w14:paraId="188273CA" w14:textId="77777777" w:rsidTr="00A747DE">
        <w:tc>
          <w:tcPr>
            <w:tcW w:w="1418" w:type="dxa"/>
          </w:tcPr>
          <w:p w14:paraId="4ED1E665" w14:textId="31ADC13D" w:rsidR="00E96580" w:rsidRPr="007B2BE1" w:rsidRDefault="007B2BE1"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2015/16</w:t>
            </w:r>
          </w:p>
        </w:tc>
        <w:tc>
          <w:tcPr>
            <w:tcW w:w="1417" w:type="dxa"/>
          </w:tcPr>
          <w:p w14:paraId="65809984" w14:textId="7BEA14B7"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u w:val="single"/>
                <w:lang w:eastAsia="zh-CN"/>
              </w:rPr>
              <w:t xml:space="preserve">  45,231</w:t>
            </w:r>
          </w:p>
        </w:tc>
        <w:tc>
          <w:tcPr>
            <w:tcW w:w="1701" w:type="dxa"/>
          </w:tcPr>
          <w:p w14:paraId="118E3B37" w14:textId="7E5B131D"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u w:val="single"/>
                <w:lang w:eastAsia="zh-CN"/>
              </w:rPr>
              <w:t xml:space="preserve">  46,000</w:t>
            </w:r>
          </w:p>
        </w:tc>
      </w:tr>
      <w:tr w:rsidR="00E96580" w:rsidRPr="007B2BE1" w14:paraId="06CD2E6C" w14:textId="77777777" w:rsidTr="00A747DE">
        <w:tc>
          <w:tcPr>
            <w:tcW w:w="1418" w:type="dxa"/>
          </w:tcPr>
          <w:p w14:paraId="5FA0D8CF" w14:textId="22B02BC0" w:rsidR="00E96580" w:rsidRPr="007B2BE1" w:rsidRDefault="007B2BE1" w:rsidP="00F152B4">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130" w:left="312"/>
              <w:jc w:val="center"/>
              <w:rPr>
                <w:rFonts w:ascii="Times New Roman" w:eastAsia="標楷體" w:hAnsi="Times New Roman" w:cs="Times New Roman"/>
              </w:rPr>
            </w:pPr>
            <w:r w:rsidRPr="007B2BE1">
              <w:rPr>
                <w:rFonts w:ascii="Times New Roman" w:eastAsia="標楷體" w:hAnsi="Times New Roman" w:cs="Times New Roman"/>
                <w:lang w:eastAsia="zh-CN"/>
              </w:rPr>
              <w:t>总数</w:t>
            </w:r>
          </w:p>
        </w:tc>
        <w:tc>
          <w:tcPr>
            <w:tcW w:w="1417" w:type="dxa"/>
          </w:tcPr>
          <w:p w14:paraId="38AA6187" w14:textId="07549F63"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u w:val="double"/>
                <w:lang w:eastAsia="zh-CN"/>
              </w:rPr>
              <w:t>391,661</w:t>
            </w:r>
          </w:p>
        </w:tc>
        <w:tc>
          <w:tcPr>
            <w:tcW w:w="1701" w:type="dxa"/>
          </w:tcPr>
          <w:p w14:paraId="7B6C5A32" w14:textId="6473D1CD" w:rsidR="00E96580" w:rsidRPr="007B2BE1" w:rsidRDefault="007B2BE1"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u w:val="double"/>
                <w:lang w:eastAsia="zh-CN"/>
              </w:rPr>
              <w:t>400,000</w:t>
            </w:r>
          </w:p>
        </w:tc>
      </w:tr>
    </w:tbl>
    <w:p w14:paraId="74709453" w14:textId="43B58139" w:rsidR="004333A0" w:rsidRPr="007B2BE1" w:rsidRDefault="004333A0"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59AAFBD8" w14:textId="6B9EA365" w:rsidR="004333A0" w:rsidRPr="007B2BE1" w:rsidRDefault="007B2BE1" w:rsidP="00E96580">
      <w:pPr>
        <w:pStyle w:val="ac"/>
        <w:tabs>
          <w:tab w:val="left" w:pos="2107"/>
        </w:tabs>
        <w:overflowPunct w:val="0"/>
        <w:autoSpaceDE w:val="0"/>
        <w:autoSpaceDN w:val="0"/>
        <w:adjustRightInd w:val="0"/>
        <w:ind w:leftChars="638" w:left="2107" w:hangingChars="240" w:hanging="576"/>
        <w:rPr>
          <w:rFonts w:ascii="Times New Roman" w:eastAsia="標楷體" w:hAnsi="Times New Roman" w:cs="Times New Roman"/>
          <w:lang w:eastAsia="zh-TW"/>
        </w:rPr>
      </w:pPr>
      <w:r w:rsidRPr="007B2BE1">
        <w:rPr>
          <w:rFonts w:ascii="Times New Roman" w:eastAsia="標楷體" w:hAnsi="Times New Roman" w:cs="Times New Roman"/>
          <w:lang w:eastAsia="zh-CN"/>
        </w:rPr>
        <w:t>就上诉人</w:t>
      </w:r>
      <w:r w:rsidRPr="007B2BE1">
        <w:rPr>
          <w:rFonts w:ascii="Times New Roman" w:eastAsia="標楷體" w:hAnsi="Times New Roman" w:cs="Times New Roman"/>
          <w:lang w:eastAsia="zh-CN"/>
        </w:rPr>
        <w:t>B</w:t>
      </w:r>
      <w:r w:rsidRPr="007B2BE1">
        <w:rPr>
          <w:rFonts w:ascii="Times New Roman" w:eastAsia="標楷體" w:hAnsi="Times New Roman" w:cs="Times New Roman"/>
          <w:lang w:eastAsia="zh-CN"/>
        </w:rPr>
        <w:t>先生的税务上诉</w:t>
      </w:r>
      <w:r w:rsidRPr="007B2BE1">
        <w:rPr>
          <w:rFonts w:ascii="Times New Roman" w:eastAsia="標楷體" w:hAnsi="Times New Roman" w:cs="Times New Roman"/>
          <w:lang w:eastAsia="zh-CN"/>
        </w:rPr>
        <w:t>(B/R X/XX) –</w:t>
      </w:r>
      <w:r w:rsidR="004333A0" w:rsidRPr="007B2BE1">
        <w:rPr>
          <w:rFonts w:ascii="Times New Roman" w:eastAsia="標楷體" w:hAnsi="Times New Roman" w:cs="Times New Roman"/>
          <w:lang w:eastAsia="zh-TW"/>
        </w:rPr>
        <w:t xml:space="preserve"> </w:t>
      </w:r>
    </w:p>
    <w:p w14:paraId="28AFAD18" w14:textId="77777777" w:rsidR="00E96580" w:rsidRPr="007B2BE1" w:rsidRDefault="00E96580" w:rsidP="00E96580">
      <w:pPr>
        <w:pStyle w:val="ac"/>
        <w:tabs>
          <w:tab w:val="left" w:pos="2107"/>
        </w:tabs>
        <w:overflowPunct w:val="0"/>
        <w:autoSpaceDE w:val="0"/>
        <w:autoSpaceDN w:val="0"/>
        <w:adjustRightInd w:val="0"/>
        <w:ind w:leftChars="638" w:left="2107" w:hangingChars="240" w:hanging="576"/>
        <w:rPr>
          <w:rFonts w:ascii="Times New Roman" w:eastAsia="標楷體" w:hAnsi="Times New Roman" w:cs="Times New Roman"/>
          <w:lang w:eastAsia="zh-TW"/>
        </w:rPr>
      </w:pPr>
    </w:p>
    <w:p w14:paraId="12163099" w14:textId="103782CD" w:rsidR="004333A0" w:rsidRPr="007B2BE1" w:rsidRDefault="007B2BE1" w:rsidP="00E96580">
      <w:pPr>
        <w:pStyle w:val="ac"/>
        <w:numPr>
          <w:ilvl w:val="0"/>
          <w:numId w:val="25"/>
        </w:numPr>
        <w:tabs>
          <w:tab w:val="left" w:pos="2107"/>
        </w:tabs>
        <w:overflowPunct w:val="0"/>
        <w:autoSpaceDE w:val="0"/>
        <w:autoSpaceDN w:val="0"/>
        <w:adjustRightInd w:val="0"/>
        <w:ind w:leftChars="638" w:left="2107"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eastAsia="zh-CN"/>
        </w:rPr>
        <w:t>上诉人上诉得直</w:t>
      </w:r>
      <w:r w:rsidRPr="007B2BE1">
        <w:rPr>
          <w:rFonts w:ascii="Times New Roman" w:eastAsia="標楷體" w:hAnsi="Times New Roman" w:cs="Times New Roman"/>
          <w:lang w:val="en-US" w:eastAsia="zh-CN"/>
        </w:rPr>
        <w:t>。</w:t>
      </w:r>
    </w:p>
    <w:p w14:paraId="213CB9ED" w14:textId="21F8E71A" w:rsidR="00E96580" w:rsidRPr="007B2BE1" w:rsidRDefault="00E96580" w:rsidP="00E96580">
      <w:pPr>
        <w:pStyle w:val="ac"/>
        <w:tabs>
          <w:tab w:val="left" w:pos="2107"/>
        </w:tabs>
        <w:overflowPunct w:val="0"/>
        <w:autoSpaceDE w:val="0"/>
        <w:autoSpaceDN w:val="0"/>
        <w:adjustRightInd w:val="0"/>
        <w:ind w:left="2107"/>
        <w:rPr>
          <w:rFonts w:ascii="Times New Roman" w:eastAsia="標楷體" w:hAnsi="Times New Roman" w:cs="Times New Roman"/>
          <w:lang w:val="en-US" w:eastAsia="zh-TW"/>
        </w:rPr>
      </w:pPr>
    </w:p>
    <w:p w14:paraId="64C6A6C3" w14:textId="1654B8A6" w:rsidR="00831ACD" w:rsidRPr="007B2BE1" w:rsidRDefault="00831ACD" w:rsidP="00E96580">
      <w:pPr>
        <w:pStyle w:val="ac"/>
        <w:tabs>
          <w:tab w:val="left" w:pos="2107"/>
        </w:tabs>
        <w:overflowPunct w:val="0"/>
        <w:autoSpaceDE w:val="0"/>
        <w:autoSpaceDN w:val="0"/>
        <w:adjustRightInd w:val="0"/>
        <w:ind w:left="2107"/>
        <w:rPr>
          <w:rFonts w:ascii="Times New Roman" w:eastAsia="標楷體" w:hAnsi="Times New Roman" w:cs="Times New Roman"/>
          <w:lang w:val="en-US" w:eastAsia="zh-TW"/>
        </w:rPr>
      </w:pPr>
    </w:p>
    <w:p w14:paraId="72871F3F" w14:textId="77E2CFF5" w:rsidR="00831ACD" w:rsidRPr="007B2BE1" w:rsidRDefault="00831ACD" w:rsidP="00E96580">
      <w:pPr>
        <w:pStyle w:val="ac"/>
        <w:tabs>
          <w:tab w:val="left" w:pos="2107"/>
        </w:tabs>
        <w:overflowPunct w:val="0"/>
        <w:autoSpaceDE w:val="0"/>
        <w:autoSpaceDN w:val="0"/>
        <w:adjustRightInd w:val="0"/>
        <w:ind w:left="2107"/>
        <w:rPr>
          <w:rFonts w:ascii="Times New Roman" w:eastAsia="標楷體" w:hAnsi="Times New Roman" w:cs="Times New Roman"/>
          <w:lang w:val="en-US" w:eastAsia="zh-TW"/>
        </w:rPr>
      </w:pPr>
    </w:p>
    <w:p w14:paraId="5350EE7A" w14:textId="77777777" w:rsidR="00831ACD" w:rsidRPr="007B2BE1" w:rsidRDefault="00831ACD" w:rsidP="00E96580">
      <w:pPr>
        <w:pStyle w:val="ac"/>
        <w:tabs>
          <w:tab w:val="left" w:pos="2107"/>
        </w:tabs>
        <w:overflowPunct w:val="0"/>
        <w:autoSpaceDE w:val="0"/>
        <w:autoSpaceDN w:val="0"/>
        <w:adjustRightInd w:val="0"/>
        <w:ind w:left="2107"/>
        <w:rPr>
          <w:rFonts w:ascii="Times New Roman" w:eastAsia="標楷體" w:hAnsi="Times New Roman" w:cs="Times New Roman"/>
          <w:lang w:val="en-US" w:eastAsia="zh-TW"/>
        </w:rPr>
      </w:pPr>
    </w:p>
    <w:p w14:paraId="26E27B90" w14:textId="42392D7D" w:rsidR="004333A0" w:rsidRPr="007B2BE1" w:rsidRDefault="007B2BE1" w:rsidP="00E96580">
      <w:pPr>
        <w:pStyle w:val="ac"/>
        <w:numPr>
          <w:ilvl w:val="0"/>
          <w:numId w:val="25"/>
        </w:numPr>
        <w:tabs>
          <w:tab w:val="left" w:pos="2107"/>
        </w:tabs>
        <w:overflowPunct w:val="0"/>
        <w:autoSpaceDE w:val="0"/>
        <w:autoSpaceDN w:val="0"/>
        <w:adjustRightInd w:val="0"/>
        <w:ind w:leftChars="638" w:left="2107" w:hangingChars="240" w:hanging="576"/>
        <w:rPr>
          <w:rFonts w:ascii="Times New Roman" w:eastAsia="標楷體" w:hAnsi="Times New Roman" w:cs="Times New Roman"/>
          <w:lang w:val="en-US" w:eastAsia="zh-TW"/>
        </w:rPr>
      </w:pPr>
      <w:r w:rsidRPr="007B2BE1">
        <w:rPr>
          <w:rFonts w:ascii="Times New Roman" w:eastAsia="標楷體" w:hAnsi="Times New Roman" w:cs="Times New Roman"/>
          <w:lang w:val="en-US" w:eastAsia="zh-CN"/>
        </w:rPr>
        <w:lastRenderedPageBreak/>
        <w:t>在有关课税年度根据《税务条例》第</w:t>
      </w:r>
      <w:r w:rsidRPr="007B2BE1">
        <w:rPr>
          <w:rFonts w:ascii="Times New Roman" w:eastAsia="標楷體" w:hAnsi="Times New Roman" w:cs="Times New Roman"/>
          <w:lang w:val="en-US" w:eastAsia="zh-CN"/>
        </w:rPr>
        <w:t>82A</w:t>
      </w:r>
      <w:r w:rsidRPr="007B2BE1">
        <w:rPr>
          <w:rFonts w:ascii="Times New Roman" w:eastAsia="標楷體" w:hAnsi="Times New Roman" w:cs="Times New Roman"/>
          <w:lang w:val="en-US" w:eastAsia="zh-CN"/>
        </w:rPr>
        <w:t>条评定的补加税修订如下：</w:t>
      </w:r>
    </w:p>
    <w:p w14:paraId="05BB2E95" w14:textId="26BE321C" w:rsidR="00807A5E" w:rsidRPr="007B2BE1" w:rsidRDefault="00807A5E"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tbl>
      <w:tblPr>
        <w:tblStyle w:val="a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1701"/>
      </w:tblGrid>
      <w:tr w:rsidR="00A747DE" w:rsidRPr="007B2BE1" w14:paraId="241BB282" w14:textId="77777777" w:rsidTr="00747705">
        <w:trPr>
          <w:tblHeader/>
        </w:trPr>
        <w:tc>
          <w:tcPr>
            <w:tcW w:w="1418" w:type="dxa"/>
          </w:tcPr>
          <w:p w14:paraId="2A4AD82E" w14:textId="6D8E81A3"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u w:val="single"/>
                <w:lang w:eastAsia="zh-CN"/>
              </w:rPr>
              <w:t>课税年度</w:t>
            </w:r>
          </w:p>
        </w:tc>
        <w:tc>
          <w:tcPr>
            <w:tcW w:w="1417" w:type="dxa"/>
          </w:tcPr>
          <w:p w14:paraId="145420AD" w14:textId="7AAB4E97"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u w:val="single"/>
                <w:lang w:eastAsia="zh-CN"/>
              </w:rPr>
              <w:t>少征收税款</w:t>
            </w:r>
          </w:p>
        </w:tc>
        <w:tc>
          <w:tcPr>
            <w:tcW w:w="1701" w:type="dxa"/>
          </w:tcPr>
          <w:p w14:paraId="7A7636A8" w14:textId="3976095F"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u w:val="single"/>
                <w:lang w:eastAsia="zh-CN"/>
              </w:rPr>
              <w:t>修订的补加税</w:t>
            </w:r>
          </w:p>
        </w:tc>
      </w:tr>
      <w:tr w:rsidR="00A747DE" w:rsidRPr="007B2BE1" w14:paraId="55D4CDA9" w14:textId="77777777" w:rsidTr="00747705">
        <w:trPr>
          <w:tblHeader/>
        </w:trPr>
        <w:tc>
          <w:tcPr>
            <w:tcW w:w="1418" w:type="dxa"/>
          </w:tcPr>
          <w:p w14:paraId="259796FA" w14:textId="77777777" w:rsidR="00A747DE" w:rsidRPr="007B2BE1"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p>
        </w:tc>
        <w:tc>
          <w:tcPr>
            <w:tcW w:w="1417" w:type="dxa"/>
          </w:tcPr>
          <w:p w14:paraId="4387B69C" w14:textId="6FC71D0D"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元</w:t>
            </w:r>
          </w:p>
        </w:tc>
        <w:tc>
          <w:tcPr>
            <w:tcW w:w="1701" w:type="dxa"/>
          </w:tcPr>
          <w:p w14:paraId="48754494" w14:textId="0A4CA112"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元</w:t>
            </w:r>
          </w:p>
        </w:tc>
      </w:tr>
      <w:tr w:rsidR="00A747DE" w:rsidRPr="007B2BE1" w14:paraId="67410F1D" w14:textId="77777777" w:rsidTr="00A747DE">
        <w:tc>
          <w:tcPr>
            <w:tcW w:w="1418" w:type="dxa"/>
          </w:tcPr>
          <w:p w14:paraId="559BF938" w14:textId="00CE0242"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2008/09</w:t>
            </w:r>
          </w:p>
        </w:tc>
        <w:tc>
          <w:tcPr>
            <w:tcW w:w="1417" w:type="dxa"/>
          </w:tcPr>
          <w:p w14:paraId="5BB4CAEF" w14:textId="04837A7B"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lang w:eastAsia="zh-CN"/>
              </w:rPr>
              <w:t>12,215</w:t>
            </w:r>
          </w:p>
        </w:tc>
        <w:tc>
          <w:tcPr>
            <w:tcW w:w="1701" w:type="dxa"/>
          </w:tcPr>
          <w:p w14:paraId="41DA1AC0" w14:textId="36E358C2"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lang w:eastAsia="zh-CN"/>
              </w:rPr>
              <w:t>6,700</w:t>
            </w:r>
          </w:p>
        </w:tc>
      </w:tr>
      <w:tr w:rsidR="00A747DE" w:rsidRPr="007B2BE1" w14:paraId="662BA8CC" w14:textId="77777777" w:rsidTr="00A747DE">
        <w:tc>
          <w:tcPr>
            <w:tcW w:w="1418" w:type="dxa"/>
          </w:tcPr>
          <w:p w14:paraId="45EDC3CC" w14:textId="47DCEB3D"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2009/10</w:t>
            </w:r>
          </w:p>
        </w:tc>
        <w:tc>
          <w:tcPr>
            <w:tcW w:w="1417" w:type="dxa"/>
          </w:tcPr>
          <w:p w14:paraId="4D7D310A" w14:textId="12B143A8"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lang w:eastAsia="zh-CN"/>
              </w:rPr>
              <w:t>181,519</w:t>
            </w:r>
          </w:p>
        </w:tc>
        <w:tc>
          <w:tcPr>
            <w:tcW w:w="1701" w:type="dxa"/>
          </w:tcPr>
          <w:p w14:paraId="56CF34DB" w14:textId="1F03DC32"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lang w:eastAsia="zh-CN"/>
              </w:rPr>
              <w:t>200,000</w:t>
            </w:r>
          </w:p>
        </w:tc>
      </w:tr>
      <w:tr w:rsidR="00A747DE" w:rsidRPr="007B2BE1" w14:paraId="07539D11" w14:textId="77777777" w:rsidTr="00A747DE">
        <w:tc>
          <w:tcPr>
            <w:tcW w:w="1418" w:type="dxa"/>
          </w:tcPr>
          <w:p w14:paraId="33F781E3" w14:textId="303750C2"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2010/11</w:t>
            </w:r>
          </w:p>
        </w:tc>
        <w:tc>
          <w:tcPr>
            <w:tcW w:w="1417" w:type="dxa"/>
          </w:tcPr>
          <w:p w14:paraId="393EAAE5" w14:textId="137D853D"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lang w:eastAsia="zh-CN"/>
              </w:rPr>
              <w:t>126,356</w:t>
            </w:r>
          </w:p>
        </w:tc>
        <w:tc>
          <w:tcPr>
            <w:tcW w:w="1701" w:type="dxa"/>
          </w:tcPr>
          <w:p w14:paraId="342EED55" w14:textId="662F6AB1"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lang w:eastAsia="zh-CN"/>
              </w:rPr>
              <w:t>135,000</w:t>
            </w:r>
          </w:p>
        </w:tc>
      </w:tr>
      <w:tr w:rsidR="00A747DE" w:rsidRPr="007B2BE1" w14:paraId="67E85109" w14:textId="77777777" w:rsidTr="00A747DE">
        <w:tc>
          <w:tcPr>
            <w:tcW w:w="1418" w:type="dxa"/>
          </w:tcPr>
          <w:p w14:paraId="2DBD37B8" w14:textId="2663AAFD"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2012/13</w:t>
            </w:r>
          </w:p>
        </w:tc>
        <w:tc>
          <w:tcPr>
            <w:tcW w:w="1417" w:type="dxa"/>
          </w:tcPr>
          <w:p w14:paraId="4F0F5D91" w14:textId="12214184"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lang w:eastAsia="zh-CN"/>
              </w:rPr>
              <w:t>742</w:t>
            </w:r>
          </w:p>
        </w:tc>
        <w:tc>
          <w:tcPr>
            <w:tcW w:w="1701" w:type="dxa"/>
          </w:tcPr>
          <w:p w14:paraId="1B8567B5" w14:textId="0F481104"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lang w:eastAsia="zh-CN"/>
              </w:rPr>
              <w:t>800</w:t>
            </w:r>
          </w:p>
        </w:tc>
      </w:tr>
      <w:tr w:rsidR="00A747DE" w:rsidRPr="007B2BE1" w14:paraId="528C037C" w14:textId="77777777" w:rsidTr="00A747DE">
        <w:tc>
          <w:tcPr>
            <w:tcW w:w="1418" w:type="dxa"/>
          </w:tcPr>
          <w:p w14:paraId="5679AEA5" w14:textId="4DF913E8"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2014/15</w:t>
            </w:r>
          </w:p>
        </w:tc>
        <w:tc>
          <w:tcPr>
            <w:tcW w:w="1417" w:type="dxa"/>
          </w:tcPr>
          <w:p w14:paraId="152DCAC2" w14:textId="53BF5B13"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lang w:eastAsia="zh-CN"/>
              </w:rPr>
              <w:t>1,325</w:t>
            </w:r>
          </w:p>
        </w:tc>
        <w:tc>
          <w:tcPr>
            <w:tcW w:w="1701" w:type="dxa"/>
          </w:tcPr>
          <w:p w14:paraId="18C82DA6" w14:textId="300FAF33"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lang w:eastAsia="zh-CN"/>
              </w:rPr>
              <w:t>1,500</w:t>
            </w:r>
          </w:p>
        </w:tc>
      </w:tr>
      <w:tr w:rsidR="00A747DE" w:rsidRPr="007B2BE1" w14:paraId="6633FEC8" w14:textId="77777777" w:rsidTr="00A747DE">
        <w:tc>
          <w:tcPr>
            <w:tcW w:w="1418" w:type="dxa"/>
          </w:tcPr>
          <w:p w14:paraId="606E7F24" w14:textId="5946488D" w:rsidR="00A747DE" w:rsidRPr="007B2BE1" w:rsidRDefault="007B2BE1"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7B2BE1">
              <w:rPr>
                <w:rFonts w:ascii="Times New Roman" w:eastAsia="標楷體" w:hAnsi="Times New Roman" w:cs="Times New Roman"/>
                <w:lang w:eastAsia="zh-CN"/>
              </w:rPr>
              <w:t>2015/16</w:t>
            </w:r>
          </w:p>
        </w:tc>
        <w:tc>
          <w:tcPr>
            <w:tcW w:w="1417" w:type="dxa"/>
          </w:tcPr>
          <w:p w14:paraId="0A1072C8" w14:textId="34C0B155"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u w:val="single"/>
                <w:lang w:eastAsia="zh-CN"/>
              </w:rPr>
              <w:t xml:space="preserve">    2,975</w:t>
            </w:r>
          </w:p>
        </w:tc>
        <w:tc>
          <w:tcPr>
            <w:tcW w:w="1701" w:type="dxa"/>
          </w:tcPr>
          <w:p w14:paraId="341008F2" w14:textId="78F58673"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u w:val="single"/>
                <w:lang w:eastAsia="zh-CN"/>
              </w:rPr>
              <w:t xml:space="preserve">    3,300</w:t>
            </w:r>
          </w:p>
        </w:tc>
      </w:tr>
      <w:tr w:rsidR="00A747DE" w:rsidRPr="007B2BE1" w14:paraId="474F6B06" w14:textId="77777777" w:rsidTr="00A747DE">
        <w:tc>
          <w:tcPr>
            <w:tcW w:w="1418" w:type="dxa"/>
          </w:tcPr>
          <w:p w14:paraId="73C23ACF" w14:textId="26A46AF4" w:rsidR="00A747DE" w:rsidRPr="007B2BE1" w:rsidRDefault="007B2BE1" w:rsidP="00F152B4">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130" w:left="312"/>
              <w:jc w:val="center"/>
              <w:rPr>
                <w:rFonts w:ascii="Times New Roman" w:eastAsia="標楷體" w:hAnsi="Times New Roman" w:cs="Times New Roman"/>
              </w:rPr>
            </w:pPr>
            <w:r w:rsidRPr="007B2BE1">
              <w:rPr>
                <w:rFonts w:ascii="Times New Roman" w:eastAsia="標楷體" w:hAnsi="Times New Roman" w:cs="Times New Roman"/>
                <w:lang w:eastAsia="zh-CN"/>
              </w:rPr>
              <w:t>总数</w:t>
            </w:r>
          </w:p>
        </w:tc>
        <w:tc>
          <w:tcPr>
            <w:tcW w:w="1417" w:type="dxa"/>
          </w:tcPr>
          <w:p w14:paraId="7D571693" w14:textId="1D176B2D"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7B2BE1">
              <w:rPr>
                <w:rFonts w:ascii="Times New Roman" w:eastAsia="標楷體" w:hAnsi="Times New Roman" w:cs="Times New Roman"/>
                <w:u w:val="double"/>
                <w:lang w:eastAsia="zh-CN"/>
              </w:rPr>
              <w:t>325,132</w:t>
            </w:r>
          </w:p>
        </w:tc>
        <w:tc>
          <w:tcPr>
            <w:tcW w:w="1701" w:type="dxa"/>
          </w:tcPr>
          <w:p w14:paraId="1109FD84" w14:textId="49AC889A" w:rsidR="00A747DE" w:rsidRPr="007B2BE1" w:rsidRDefault="007B2BE1"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7B2BE1">
              <w:rPr>
                <w:rFonts w:ascii="Times New Roman" w:eastAsia="標楷體" w:hAnsi="Times New Roman" w:cs="Times New Roman"/>
                <w:u w:val="double"/>
                <w:lang w:eastAsia="zh-CN"/>
              </w:rPr>
              <w:t>347,300</w:t>
            </w:r>
          </w:p>
        </w:tc>
      </w:tr>
    </w:tbl>
    <w:p w14:paraId="350E7F38" w14:textId="6A65E402" w:rsidR="00BD2DE8" w:rsidRPr="007B2BE1" w:rsidRDefault="00BD2DE8" w:rsidP="008D0F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sectPr w:rsidR="00BD2DE8" w:rsidRPr="007B2BE1" w:rsidSect="00D63287">
      <w:headerReference w:type="default" r:id="rId8"/>
      <w:footerReference w:type="even" r:id="rId9"/>
      <w:footerReference w:type="default" r:id="rId10"/>
      <w:pgSz w:w="11906" w:h="16838" w:code="9"/>
      <w:pgMar w:top="1985" w:right="1588" w:bottom="1701" w:left="1588" w:header="1361" w:footer="1134" w:gutter="0"/>
      <w:pgNumType w:start="74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BE43B" w14:textId="77777777" w:rsidR="002008F8" w:rsidRDefault="002008F8">
      <w:r>
        <w:separator/>
      </w:r>
    </w:p>
  </w:endnote>
  <w:endnote w:type="continuationSeparator" w:id="0">
    <w:p w14:paraId="72F0D3E3" w14:textId="77777777" w:rsidR="002008F8" w:rsidRDefault="0020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FBEE" w14:textId="77777777" w:rsidR="00F765C3" w:rsidRDefault="00F765C3" w:rsidP="004812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A4A883" w14:textId="77777777" w:rsidR="00F765C3" w:rsidRDefault="00F765C3">
    <w:pPr>
      <w:pStyle w:val="a5"/>
    </w:pPr>
  </w:p>
  <w:p w14:paraId="5179B320" w14:textId="77777777" w:rsidR="00F765C3" w:rsidRDefault="00F765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462779"/>
      <w:docPartObj>
        <w:docPartGallery w:val="Page Numbers (Bottom of Page)"/>
        <w:docPartUnique/>
      </w:docPartObj>
    </w:sdtPr>
    <w:sdtEndPr>
      <w:rPr>
        <w:rFonts w:ascii="Times New Roman" w:hAnsi="Times New Roman" w:cs="Times New Roman"/>
        <w:sz w:val="20"/>
        <w:szCs w:val="20"/>
      </w:rPr>
    </w:sdtEndPr>
    <w:sdtContent>
      <w:p w14:paraId="7C638BA0" w14:textId="6CDBF677" w:rsidR="00F765C3" w:rsidRPr="00D63287" w:rsidRDefault="00F765C3">
        <w:pPr>
          <w:pStyle w:val="a5"/>
          <w:jc w:val="center"/>
          <w:rPr>
            <w:rFonts w:ascii="Times New Roman" w:hAnsi="Times New Roman" w:cs="Times New Roman"/>
            <w:sz w:val="20"/>
            <w:szCs w:val="20"/>
          </w:rPr>
        </w:pPr>
        <w:r w:rsidRPr="00D63287">
          <w:rPr>
            <w:rFonts w:ascii="Times New Roman" w:hAnsi="Times New Roman" w:cs="Times New Roman"/>
            <w:sz w:val="20"/>
            <w:szCs w:val="20"/>
          </w:rPr>
          <w:fldChar w:fldCharType="begin"/>
        </w:r>
        <w:r w:rsidRPr="00D63287">
          <w:rPr>
            <w:rFonts w:ascii="Times New Roman" w:hAnsi="Times New Roman" w:cs="Times New Roman"/>
            <w:sz w:val="20"/>
            <w:szCs w:val="20"/>
          </w:rPr>
          <w:instrText>PAGE   \* MERGEFORMAT</w:instrText>
        </w:r>
        <w:r w:rsidRPr="00D63287">
          <w:rPr>
            <w:rFonts w:ascii="Times New Roman" w:hAnsi="Times New Roman" w:cs="Times New Roman"/>
            <w:sz w:val="20"/>
            <w:szCs w:val="20"/>
          </w:rPr>
          <w:fldChar w:fldCharType="separate"/>
        </w:r>
        <w:r w:rsidR="007B2BE1" w:rsidRPr="007B2BE1">
          <w:rPr>
            <w:rFonts w:ascii="Times New Roman" w:hAnsi="Times New Roman" w:cs="Times New Roman"/>
            <w:noProof/>
            <w:sz w:val="20"/>
            <w:szCs w:val="20"/>
            <w:lang w:val="zh-TW" w:eastAsia="zh-TW"/>
          </w:rPr>
          <w:t>773</w:t>
        </w:r>
        <w:r w:rsidRPr="00D63287">
          <w:rPr>
            <w:rFonts w:ascii="Times New Roman" w:hAnsi="Times New Roman" w:cs="Times New Roman"/>
            <w:sz w:val="20"/>
            <w:szCs w:val="20"/>
          </w:rPr>
          <w:fldChar w:fldCharType="end"/>
        </w:r>
      </w:p>
    </w:sdtContent>
  </w:sdt>
  <w:p w14:paraId="129F9C22" w14:textId="77777777" w:rsidR="00F765C3" w:rsidRDefault="00F765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C9A" w14:textId="77777777" w:rsidR="002008F8" w:rsidRDefault="002008F8">
      <w:r>
        <w:separator/>
      </w:r>
    </w:p>
  </w:footnote>
  <w:footnote w:type="continuationSeparator" w:id="0">
    <w:p w14:paraId="4C295A59" w14:textId="77777777" w:rsidR="002008F8" w:rsidRDefault="0020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E1EC" w14:textId="77777777" w:rsidR="00F765C3" w:rsidRPr="00C65EED" w:rsidRDefault="00F765C3" w:rsidP="003868B3">
    <w:pPr>
      <w:tabs>
        <w:tab w:val="center" w:pos="4153"/>
        <w:tab w:val="right" w:pos="8306"/>
      </w:tabs>
      <w:overflowPunct w:val="0"/>
      <w:autoSpaceDN w:val="0"/>
      <w:adjustRightInd w:val="0"/>
      <w:jc w:val="center"/>
      <w:textAlignment w:val="baseline"/>
      <w:rPr>
        <w:rFonts w:ascii="Times New Roman" w:eastAsia="細明體" w:hAnsi="Times New Roman" w:cs="Times New Roman"/>
        <w:lang w:eastAsia="zh-HK"/>
      </w:rPr>
    </w:pPr>
    <w:r w:rsidRPr="00C65EED">
      <w:rPr>
        <w:rFonts w:ascii="Times New Roman" w:eastAsia="細明體" w:hAnsi="Times New Roman" w:cs="Times New Roman"/>
      </w:rPr>
      <w:t>(20</w:t>
    </w:r>
    <w:r w:rsidRPr="00C65EED">
      <w:rPr>
        <w:rFonts w:ascii="Times New Roman" w:eastAsia="細明體" w:hAnsi="Times New Roman" w:cs="Times New Roman"/>
        <w:lang w:eastAsia="zh-HK"/>
      </w:rPr>
      <w:t>20-21</w:t>
    </w:r>
    <w:r w:rsidRPr="00C65EED">
      <w:rPr>
        <w:rFonts w:ascii="Times New Roman" w:eastAsia="細明體" w:hAnsi="Times New Roman" w:cs="Times New Roman"/>
      </w:rPr>
      <w:t xml:space="preserve">) VOLUME </w:t>
    </w:r>
    <w:r w:rsidRPr="00C65EED">
      <w:rPr>
        <w:rFonts w:ascii="Times New Roman" w:eastAsia="細明體" w:hAnsi="Times New Roman" w:cs="Times New Roman"/>
        <w:lang w:eastAsia="zh-HK"/>
      </w:rPr>
      <w:t>35</w:t>
    </w:r>
    <w:r w:rsidRPr="00C65EED">
      <w:rPr>
        <w:rFonts w:ascii="Times New Roman" w:eastAsia="細明體" w:hAnsi="Times New Roman" w:cs="Times New Roman"/>
      </w:rPr>
      <w:t xml:space="preserve"> INLAND REVENUE BOARD OF REVIEW DECISIONS</w:t>
    </w:r>
  </w:p>
  <w:p w14:paraId="0CE2F148" w14:textId="77777777" w:rsidR="00F765C3" w:rsidRPr="003868B3" w:rsidRDefault="00F765C3" w:rsidP="003868B3">
    <w:pPr>
      <w:pStyle w:val="af0"/>
      <w:rPr>
        <w:rFonts w:ascii="Times New Roman" w:hAnsi="Times New Roman" w:cs="Times New Roman"/>
      </w:rPr>
    </w:pPr>
  </w:p>
  <w:p w14:paraId="42B5B0CA" w14:textId="0FF3145C" w:rsidR="00F765C3" w:rsidRPr="003868B3" w:rsidRDefault="00F765C3">
    <w:pPr>
      <w:pStyle w:val="af0"/>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11CFB78"/>
    <w:lvl w:ilvl="0" w:tplc="D39E0C7E">
      <w:numFmt w:val="none"/>
      <w:lvlText w:val=""/>
      <w:lvlJc w:val="left"/>
      <w:pPr>
        <w:tabs>
          <w:tab w:val="num" w:pos="360"/>
        </w:tabs>
      </w:pPr>
    </w:lvl>
    <w:lvl w:ilvl="1" w:tplc="811A6A06">
      <w:numFmt w:val="decimal"/>
      <w:lvlText w:val=""/>
      <w:lvlJc w:val="left"/>
    </w:lvl>
    <w:lvl w:ilvl="2" w:tplc="CA64F746">
      <w:numFmt w:val="decimal"/>
      <w:lvlText w:val=""/>
      <w:lvlJc w:val="left"/>
    </w:lvl>
    <w:lvl w:ilvl="3" w:tplc="F8349D2C">
      <w:numFmt w:val="decimal"/>
      <w:lvlText w:val=""/>
      <w:lvlJc w:val="left"/>
    </w:lvl>
    <w:lvl w:ilvl="4" w:tplc="38F09C14">
      <w:numFmt w:val="decimal"/>
      <w:lvlText w:val=""/>
      <w:lvlJc w:val="left"/>
    </w:lvl>
    <w:lvl w:ilvl="5" w:tplc="551EB51E">
      <w:numFmt w:val="decimal"/>
      <w:lvlText w:val=""/>
      <w:lvlJc w:val="left"/>
    </w:lvl>
    <w:lvl w:ilvl="6" w:tplc="B49C693E">
      <w:numFmt w:val="decimal"/>
      <w:lvlText w:val=""/>
      <w:lvlJc w:val="left"/>
    </w:lvl>
    <w:lvl w:ilvl="7" w:tplc="F26E309A">
      <w:numFmt w:val="decimal"/>
      <w:lvlText w:val=""/>
      <w:lvlJc w:val="left"/>
    </w:lvl>
    <w:lvl w:ilvl="8" w:tplc="F474A1E2">
      <w:numFmt w:val="decimal"/>
      <w:lvlText w:val=""/>
      <w:lvlJc w:val="left"/>
    </w:lvl>
  </w:abstractNum>
  <w:abstractNum w:abstractNumId="1" w15:restartNumberingAfterBreak="0">
    <w:nsid w:val="00450782"/>
    <w:multiLevelType w:val="hybridMultilevel"/>
    <w:tmpl w:val="892CCD52"/>
    <w:lvl w:ilvl="0" w:tplc="BDC00EE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73C86"/>
    <w:multiLevelType w:val="hybridMultilevel"/>
    <w:tmpl w:val="9DFC433A"/>
    <w:lvl w:ilvl="0" w:tplc="9E468938">
      <w:start w:val="1"/>
      <w:numFmt w:val="lowerLetter"/>
      <w:lvlText w:val="(%1)"/>
      <w:lvlJc w:val="left"/>
      <w:pPr>
        <w:ind w:left="2040" w:hanging="360"/>
      </w:pPr>
      <w:rPr>
        <w:rFonts w:hint="eastAsia"/>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15:restartNumberingAfterBreak="0">
    <w:nsid w:val="04E20048"/>
    <w:multiLevelType w:val="hybridMultilevel"/>
    <w:tmpl w:val="BE58BB08"/>
    <w:lvl w:ilvl="0" w:tplc="35F0BB44">
      <w:start w:val="1"/>
      <w:numFmt w:val="lowerLetter"/>
      <w:lvlText w:val="(%1)"/>
      <w:lvlJc w:val="left"/>
      <w:pPr>
        <w:ind w:left="2005" w:hanging="380"/>
      </w:pPr>
      <w:rPr>
        <w:rFonts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4" w15:restartNumberingAfterBreak="0">
    <w:nsid w:val="08652C8C"/>
    <w:multiLevelType w:val="hybridMultilevel"/>
    <w:tmpl w:val="8126F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6E0243"/>
    <w:multiLevelType w:val="hybridMultilevel"/>
    <w:tmpl w:val="8EB08E60"/>
    <w:lvl w:ilvl="0" w:tplc="6B90DB08">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6" w15:restartNumberingAfterBreak="0">
    <w:nsid w:val="0A59260A"/>
    <w:multiLevelType w:val="hybridMultilevel"/>
    <w:tmpl w:val="D23E2C8E"/>
    <w:lvl w:ilvl="0" w:tplc="622CC5FC">
      <w:start w:val="9"/>
      <w:numFmt w:val="decimal"/>
      <w:lvlText w:val="%1."/>
      <w:lvlJc w:val="left"/>
      <w:pPr>
        <w:ind w:left="720" w:hanging="360"/>
      </w:pPr>
      <w:rPr>
        <w:rFonts w:hint="eastAsia"/>
      </w:rPr>
    </w:lvl>
    <w:lvl w:ilvl="1" w:tplc="B26A049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06BF4"/>
    <w:multiLevelType w:val="hybridMultilevel"/>
    <w:tmpl w:val="B0729556"/>
    <w:lvl w:ilvl="0" w:tplc="17903814">
      <w:start w:val="1"/>
      <w:numFmt w:val="lowerLetter"/>
      <w:lvlText w:val="（%1）"/>
      <w:lvlJc w:val="left"/>
      <w:pPr>
        <w:ind w:left="2400" w:hanging="72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0ADA78CB"/>
    <w:multiLevelType w:val="hybridMultilevel"/>
    <w:tmpl w:val="8BD60FE8"/>
    <w:lvl w:ilvl="0" w:tplc="EC28425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C5C4D6A"/>
    <w:multiLevelType w:val="hybridMultilevel"/>
    <w:tmpl w:val="45064244"/>
    <w:lvl w:ilvl="0" w:tplc="27009CFE">
      <w:start w:val="1"/>
      <w:numFmt w:val="lowerLetter"/>
      <w:lvlText w:val="(%1)"/>
      <w:lvlJc w:val="left"/>
      <w:pPr>
        <w:ind w:left="2345" w:hanging="720"/>
      </w:pPr>
      <w:rPr>
        <w:rFonts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10" w15:restartNumberingAfterBreak="0">
    <w:nsid w:val="0FC36F60"/>
    <w:multiLevelType w:val="hybridMultilevel"/>
    <w:tmpl w:val="CD364B92"/>
    <w:lvl w:ilvl="0" w:tplc="1BC4B742">
      <w:start w:val="1"/>
      <w:numFmt w:val="lowerLetter"/>
      <w:lvlText w:val="(%1)"/>
      <w:lvlJc w:val="left"/>
      <w:pPr>
        <w:ind w:left="2345" w:hanging="720"/>
      </w:pPr>
      <w:rPr>
        <w:rFonts w:ascii="Times New Roman" w:hAnsi="Times New Roman" w:cs="Times New Roman"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11" w15:restartNumberingAfterBreak="0">
    <w:nsid w:val="10483A51"/>
    <w:multiLevelType w:val="hybridMultilevel"/>
    <w:tmpl w:val="CD385150"/>
    <w:lvl w:ilvl="0" w:tplc="87646BEC">
      <w:start w:val="1"/>
      <w:numFmt w:val="lowerLetter"/>
      <w:lvlText w:val="(%1)"/>
      <w:lvlJc w:val="left"/>
      <w:pPr>
        <w:ind w:left="2005" w:hanging="380"/>
      </w:pPr>
      <w:rPr>
        <w:rFonts w:hint="eastAsia"/>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12" w15:restartNumberingAfterBreak="0">
    <w:nsid w:val="13490E4D"/>
    <w:multiLevelType w:val="hybridMultilevel"/>
    <w:tmpl w:val="CD60654E"/>
    <w:lvl w:ilvl="0" w:tplc="CE02A8EE">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3" w15:restartNumberingAfterBreak="0">
    <w:nsid w:val="136A7C55"/>
    <w:multiLevelType w:val="hybridMultilevel"/>
    <w:tmpl w:val="484C10FE"/>
    <w:lvl w:ilvl="0" w:tplc="5B0C6B06">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4" w15:restartNumberingAfterBreak="0">
    <w:nsid w:val="17A82ADD"/>
    <w:multiLevelType w:val="hybridMultilevel"/>
    <w:tmpl w:val="E158AFA8"/>
    <w:lvl w:ilvl="0" w:tplc="1B18BDD4">
      <w:start w:val="1"/>
      <w:numFmt w:val="lowerRoman"/>
      <w:lvlText w:val="(%1)"/>
      <w:lvlJc w:val="left"/>
      <w:pPr>
        <w:ind w:left="4986" w:hanging="3285"/>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 w15:restartNumberingAfterBreak="0">
    <w:nsid w:val="19405FDF"/>
    <w:multiLevelType w:val="hybridMultilevel"/>
    <w:tmpl w:val="1ED09CC2"/>
    <w:lvl w:ilvl="0" w:tplc="DBEEFA4E">
      <w:start w:val="1"/>
      <w:numFmt w:val="decimal"/>
      <w:lvlText w:val="%1."/>
      <w:lvlJc w:val="left"/>
      <w:pPr>
        <w:ind w:left="1128" w:hanging="560"/>
      </w:pPr>
      <w:rPr>
        <w:rFonts w:cs="Times" w:hint="eastAsia"/>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226F46E0"/>
    <w:multiLevelType w:val="hybridMultilevel"/>
    <w:tmpl w:val="186C28CE"/>
    <w:lvl w:ilvl="0" w:tplc="02A827DA">
      <w:start w:val="1"/>
      <w:numFmt w:val="lowerLetter"/>
      <w:lvlText w:val="(%1)"/>
      <w:lvlJc w:val="left"/>
      <w:pPr>
        <w:ind w:left="2040" w:hanging="360"/>
      </w:pPr>
      <w:rPr>
        <w:rFonts w:hint="eastAsia"/>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7" w15:restartNumberingAfterBreak="0">
    <w:nsid w:val="291677A6"/>
    <w:multiLevelType w:val="hybridMultilevel"/>
    <w:tmpl w:val="613A5A96"/>
    <w:lvl w:ilvl="0" w:tplc="9BFCC044">
      <w:start w:val="1"/>
      <w:numFmt w:val="decimal"/>
      <w:lvlText w:val="(%1)"/>
      <w:lvlJc w:val="left"/>
      <w:pPr>
        <w:ind w:left="1840" w:hanging="72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8" w15:restartNumberingAfterBreak="0">
    <w:nsid w:val="2E581064"/>
    <w:multiLevelType w:val="hybridMultilevel"/>
    <w:tmpl w:val="B992C0A2"/>
    <w:lvl w:ilvl="0" w:tplc="45AC57C4">
      <w:start w:val="1"/>
      <w:numFmt w:val="lowerLetter"/>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15:restartNumberingAfterBreak="0">
    <w:nsid w:val="34473A66"/>
    <w:multiLevelType w:val="hybridMultilevel"/>
    <w:tmpl w:val="0E9E476E"/>
    <w:lvl w:ilvl="0" w:tplc="C6263560">
      <w:start w:val="1"/>
      <w:numFmt w:val="decimal"/>
      <w:lvlText w:val="(%1)"/>
      <w:lvlJc w:val="left"/>
      <w:pPr>
        <w:ind w:left="1625" w:hanging="705"/>
      </w:pPr>
      <w:rPr>
        <w:rFonts w:asciiTheme="minorHAnsi" w:hAnsiTheme="minorHAnsi"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0" w15:restartNumberingAfterBreak="0">
    <w:nsid w:val="3733712B"/>
    <w:multiLevelType w:val="hybridMultilevel"/>
    <w:tmpl w:val="F63ABD06"/>
    <w:lvl w:ilvl="0" w:tplc="F45024C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B130267"/>
    <w:multiLevelType w:val="hybridMultilevel"/>
    <w:tmpl w:val="9516F70A"/>
    <w:lvl w:ilvl="0" w:tplc="4A061EC4">
      <w:start w:val="1"/>
      <w:numFmt w:val="decimal"/>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2" w15:restartNumberingAfterBreak="0">
    <w:nsid w:val="454B0900"/>
    <w:multiLevelType w:val="hybridMultilevel"/>
    <w:tmpl w:val="66403396"/>
    <w:lvl w:ilvl="0" w:tplc="4F5251A4">
      <w:start w:val="1"/>
      <w:numFmt w:val="upperLetter"/>
      <w:lvlText w:val="(%1)"/>
      <w:lvlJc w:val="left"/>
      <w:pPr>
        <w:ind w:left="1680" w:hanging="760"/>
      </w:pPr>
      <w:rPr>
        <w:rFonts w:hint="eastAsia"/>
        <w:i/>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3" w15:restartNumberingAfterBreak="0">
    <w:nsid w:val="53BE7A2E"/>
    <w:multiLevelType w:val="hybridMultilevel"/>
    <w:tmpl w:val="ABE04BFC"/>
    <w:lvl w:ilvl="0" w:tplc="68981608">
      <w:start w:val="1"/>
      <w:numFmt w:val="decimal"/>
      <w:lvlText w:val="(%1)"/>
      <w:lvlJc w:val="left"/>
      <w:pPr>
        <w:ind w:left="1625" w:hanging="705"/>
      </w:pPr>
      <w:rPr>
        <w:rFonts w:ascii="Times New Roman" w:hAnsi="Times New Roman" w:cs="Times New Roman" w:hint="default"/>
        <w:lang w:val="en-HK"/>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4" w15:restartNumberingAfterBreak="0">
    <w:nsid w:val="5B476F52"/>
    <w:multiLevelType w:val="hybridMultilevel"/>
    <w:tmpl w:val="AF700314"/>
    <w:lvl w:ilvl="0" w:tplc="ACE2DFFE">
      <w:start w:val="1"/>
      <w:numFmt w:val="lowerLetter"/>
      <w:lvlText w:val="(%1)"/>
      <w:lvlJc w:val="left"/>
      <w:pPr>
        <w:ind w:left="1985" w:hanging="360"/>
      </w:pPr>
      <w:rPr>
        <w:rFonts w:hint="default"/>
      </w:rPr>
    </w:lvl>
    <w:lvl w:ilvl="1" w:tplc="04090019" w:tentative="1">
      <w:start w:val="1"/>
      <w:numFmt w:val="ideographTraditional"/>
      <w:lvlText w:val="%2、"/>
      <w:lvlJc w:val="left"/>
      <w:pPr>
        <w:ind w:left="2585" w:hanging="480"/>
      </w:pPr>
    </w:lvl>
    <w:lvl w:ilvl="2" w:tplc="0409001B" w:tentative="1">
      <w:start w:val="1"/>
      <w:numFmt w:val="lowerRoman"/>
      <w:lvlText w:val="%3."/>
      <w:lvlJc w:val="right"/>
      <w:pPr>
        <w:ind w:left="3065" w:hanging="480"/>
      </w:pPr>
    </w:lvl>
    <w:lvl w:ilvl="3" w:tplc="0409000F" w:tentative="1">
      <w:start w:val="1"/>
      <w:numFmt w:val="decimal"/>
      <w:lvlText w:val="%4."/>
      <w:lvlJc w:val="left"/>
      <w:pPr>
        <w:ind w:left="3545" w:hanging="480"/>
      </w:pPr>
    </w:lvl>
    <w:lvl w:ilvl="4" w:tplc="04090019" w:tentative="1">
      <w:start w:val="1"/>
      <w:numFmt w:val="ideographTraditional"/>
      <w:lvlText w:val="%5、"/>
      <w:lvlJc w:val="left"/>
      <w:pPr>
        <w:ind w:left="4025" w:hanging="480"/>
      </w:pPr>
    </w:lvl>
    <w:lvl w:ilvl="5" w:tplc="0409001B" w:tentative="1">
      <w:start w:val="1"/>
      <w:numFmt w:val="lowerRoman"/>
      <w:lvlText w:val="%6."/>
      <w:lvlJc w:val="right"/>
      <w:pPr>
        <w:ind w:left="4505" w:hanging="480"/>
      </w:pPr>
    </w:lvl>
    <w:lvl w:ilvl="6" w:tplc="0409000F" w:tentative="1">
      <w:start w:val="1"/>
      <w:numFmt w:val="decimal"/>
      <w:lvlText w:val="%7."/>
      <w:lvlJc w:val="left"/>
      <w:pPr>
        <w:ind w:left="4985" w:hanging="480"/>
      </w:pPr>
    </w:lvl>
    <w:lvl w:ilvl="7" w:tplc="04090019" w:tentative="1">
      <w:start w:val="1"/>
      <w:numFmt w:val="ideographTraditional"/>
      <w:lvlText w:val="%8、"/>
      <w:lvlJc w:val="left"/>
      <w:pPr>
        <w:ind w:left="5465" w:hanging="480"/>
      </w:pPr>
    </w:lvl>
    <w:lvl w:ilvl="8" w:tplc="0409001B" w:tentative="1">
      <w:start w:val="1"/>
      <w:numFmt w:val="lowerRoman"/>
      <w:lvlText w:val="%9."/>
      <w:lvlJc w:val="right"/>
      <w:pPr>
        <w:ind w:left="5945" w:hanging="480"/>
      </w:pPr>
    </w:lvl>
  </w:abstractNum>
  <w:abstractNum w:abstractNumId="25" w15:restartNumberingAfterBreak="0">
    <w:nsid w:val="6AC56733"/>
    <w:multiLevelType w:val="hybridMultilevel"/>
    <w:tmpl w:val="EA4283A0"/>
    <w:lvl w:ilvl="0" w:tplc="F232E984">
      <w:start w:val="1"/>
      <w:numFmt w:val="lowerLetter"/>
      <w:lvlText w:val="(%1)"/>
      <w:lvlJc w:val="left"/>
      <w:pPr>
        <w:ind w:left="2040" w:hanging="360"/>
      </w:pPr>
      <w:rPr>
        <w:rFonts w:hint="eastAsia"/>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6" w15:restartNumberingAfterBreak="0">
    <w:nsid w:val="6EF865F5"/>
    <w:multiLevelType w:val="hybridMultilevel"/>
    <w:tmpl w:val="829AB41E"/>
    <w:lvl w:ilvl="0" w:tplc="08224CAA">
      <w:start w:val="1"/>
      <w:numFmt w:val="lowerLetter"/>
      <w:lvlText w:val="(%1)"/>
      <w:lvlJc w:val="left"/>
      <w:pPr>
        <w:ind w:left="2345" w:hanging="720"/>
      </w:pPr>
      <w:rPr>
        <w:rFonts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27" w15:restartNumberingAfterBreak="0">
    <w:nsid w:val="71E6444A"/>
    <w:multiLevelType w:val="hybridMultilevel"/>
    <w:tmpl w:val="4E265CFA"/>
    <w:lvl w:ilvl="0" w:tplc="6E809FF8">
      <w:start w:val="1"/>
      <w:numFmt w:val="decimal"/>
      <w:lvlText w:val="(%1)"/>
      <w:lvlJc w:val="left"/>
      <w:pPr>
        <w:ind w:left="1625" w:hanging="705"/>
      </w:pPr>
      <w:rPr>
        <w:rFonts w:ascii="Times New Roman" w:eastAsia="標楷體"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8" w15:restartNumberingAfterBreak="0">
    <w:nsid w:val="727B21BA"/>
    <w:multiLevelType w:val="hybridMultilevel"/>
    <w:tmpl w:val="651C5C38"/>
    <w:lvl w:ilvl="0" w:tplc="3DB81A90">
      <w:start w:val="1"/>
      <w:numFmt w:val="lowerLetter"/>
      <w:lvlText w:val="(%1)"/>
      <w:lvlJc w:val="left"/>
      <w:pPr>
        <w:ind w:left="1985" w:hanging="360"/>
      </w:pPr>
      <w:rPr>
        <w:rFonts w:ascii="Times New Roman" w:eastAsia="Times New Roman" w:hint="eastAsia"/>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num w:numId="1">
    <w:abstractNumId w:val="15"/>
  </w:num>
  <w:num w:numId="2">
    <w:abstractNumId w:val="22"/>
  </w:num>
  <w:num w:numId="3">
    <w:abstractNumId w:val="19"/>
  </w:num>
  <w:num w:numId="4">
    <w:abstractNumId w:val="0"/>
  </w:num>
  <w:num w:numId="5">
    <w:abstractNumId w:val="5"/>
  </w:num>
  <w:num w:numId="6">
    <w:abstractNumId w:val="20"/>
  </w:num>
  <w:num w:numId="7">
    <w:abstractNumId w:val="27"/>
  </w:num>
  <w:num w:numId="8">
    <w:abstractNumId w:val="6"/>
  </w:num>
  <w:num w:numId="9">
    <w:abstractNumId w:val="12"/>
  </w:num>
  <w:num w:numId="10">
    <w:abstractNumId w:val="18"/>
  </w:num>
  <w:num w:numId="11">
    <w:abstractNumId w:val="1"/>
  </w:num>
  <w:num w:numId="12">
    <w:abstractNumId w:val="14"/>
  </w:num>
  <w:num w:numId="13">
    <w:abstractNumId w:val="23"/>
  </w:num>
  <w:num w:numId="14">
    <w:abstractNumId w:val="7"/>
  </w:num>
  <w:num w:numId="15">
    <w:abstractNumId w:val="10"/>
  </w:num>
  <w:num w:numId="16">
    <w:abstractNumId w:val="9"/>
  </w:num>
  <w:num w:numId="17">
    <w:abstractNumId w:val="26"/>
  </w:num>
  <w:num w:numId="18">
    <w:abstractNumId w:val="17"/>
  </w:num>
  <w:num w:numId="19">
    <w:abstractNumId w:val="28"/>
  </w:num>
  <w:num w:numId="20">
    <w:abstractNumId w:val="3"/>
  </w:num>
  <w:num w:numId="21">
    <w:abstractNumId w:val="2"/>
  </w:num>
  <w:num w:numId="22">
    <w:abstractNumId w:val="25"/>
  </w:num>
  <w:num w:numId="23">
    <w:abstractNumId w:val="11"/>
  </w:num>
  <w:num w:numId="24">
    <w:abstractNumId w:val="16"/>
  </w:num>
  <w:num w:numId="25">
    <w:abstractNumId w:val="13"/>
  </w:num>
  <w:num w:numId="26">
    <w:abstractNumId w:val="24"/>
  </w:num>
  <w:num w:numId="27">
    <w:abstractNumId w:val="21"/>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grammar="clean"/>
  <w:defaultTabStop w:val="1531"/>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E8"/>
    <w:rsid w:val="00001755"/>
    <w:rsid w:val="00007087"/>
    <w:rsid w:val="00010925"/>
    <w:rsid w:val="00011BBF"/>
    <w:rsid w:val="00011DF2"/>
    <w:rsid w:val="000130F9"/>
    <w:rsid w:val="000230BE"/>
    <w:rsid w:val="0002373F"/>
    <w:rsid w:val="000425FC"/>
    <w:rsid w:val="00046914"/>
    <w:rsid w:val="0005656C"/>
    <w:rsid w:val="00061BCA"/>
    <w:rsid w:val="00071452"/>
    <w:rsid w:val="000746E2"/>
    <w:rsid w:val="00096404"/>
    <w:rsid w:val="000A2382"/>
    <w:rsid w:val="000A37E6"/>
    <w:rsid w:val="000A4B46"/>
    <w:rsid w:val="000B0889"/>
    <w:rsid w:val="000B14DE"/>
    <w:rsid w:val="000B54C9"/>
    <w:rsid w:val="000C705B"/>
    <w:rsid w:val="000D510E"/>
    <w:rsid w:val="000D6B6B"/>
    <w:rsid w:val="000E51DF"/>
    <w:rsid w:val="00111D18"/>
    <w:rsid w:val="00121296"/>
    <w:rsid w:val="00122B3A"/>
    <w:rsid w:val="001302A3"/>
    <w:rsid w:val="001313AE"/>
    <w:rsid w:val="00135F6C"/>
    <w:rsid w:val="00136DBF"/>
    <w:rsid w:val="0014103E"/>
    <w:rsid w:val="001422F2"/>
    <w:rsid w:val="001433EB"/>
    <w:rsid w:val="0014376D"/>
    <w:rsid w:val="001474BC"/>
    <w:rsid w:val="00153C3B"/>
    <w:rsid w:val="00167DB9"/>
    <w:rsid w:val="001703EB"/>
    <w:rsid w:val="001759CB"/>
    <w:rsid w:val="00176A49"/>
    <w:rsid w:val="00182B99"/>
    <w:rsid w:val="001852F1"/>
    <w:rsid w:val="00187131"/>
    <w:rsid w:val="001A291B"/>
    <w:rsid w:val="001A6364"/>
    <w:rsid w:val="001C60ED"/>
    <w:rsid w:val="001D0E37"/>
    <w:rsid w:val="001D1C66"/>
    <w:rsid w:val="001E406E"/>
    <w:rsid w:val="001F0676"/>
    <w:rsid w:val="002008F8"/>
    <w:rsid w:val="00201B8B"/>
    <w:rsid w:val="00201E8B"/>
    <w:rsid w:val="00206B29"/>
    <w:rsid w:val="002120CF"/>
    <w:rsid w:val="00215421"/>
    <w:rsid w:val="0022272B"/>
    <w:rsid w:val="002318D8"/>
    <w:rsid w:val="002348AA"/>
    <w:rsid w:val="002357A7"/>
    <w:rsid w:val="00241519"/>
    <w:rsid w:val="00245859"/>
    <w:rsid w:val="00245904"/>
    <w:rsid w:val="00245EB3"/>
    <w:rsid w:val="00247144"/>
    <w:rsid w:val="0024724D"/>
    <w:rsid w:val="0025014E"/>
    <w:rsid w:val="00252D1B"/>
    <w:rsid w:val="0025345D"/>
    <w:rsid w:val="002540A7"/>
    <w:rsid w:val="00256BB5"/>
    <w:rsid w:val="00264944"/>
    <w:rsid w:val="0028130A"/>
    <w:rsid w:val="00283B89"/>
    <w:rsid w:val="00284788"/>
    <w:rsid w:val="00284F5F"/>
    <w:rsid w:val="002901CE"/>
    <w:rsid w:val="00293A53"/>
    <w:rsid w:val="00294590"/>
    <w:rsid w:val="00295A49"/>
    <w:rsid w:val="00296AE3"/>
    <w:rsid w:val="002A282D"/>
    <w:rsid w:val="002B1226"/>
    <w:rsid w:val="002B66A4"/>
    <w:rsid w:val="002D084A"/>
    <w:rsid w:val="002D38B6"/>
    <w:rsid w:val="002D38CA"/>
    <w:rsid w:val="002D5BE5"/>
    <w:rsid w:val="002D5EE4"/>
    <w:rsid w:val="002D7888"/>
    <w:rsid w:val="002E03BB"/>
    <w:rsid w:val="00302FF1"/>
    <w:rsid w:val="00307F90"/>
    <w:rsid w:val="00312214"/>
    <w:rsid w:val="00314EA9"/>
    <w:rsid w:val="00335756"/>
    <w:rsid w:val="0033630A"/>
    <w:rsid w:val="00336698"/>
    <w:rsid w:val="003377E6"/>
    <w:rsid w:val="00341757"/>
    <w:rsid w:val="00344307"/>
    <w:rsid w:val="003502BC"/>
    <w:rsid w:val="00366254"/>
    <w:rsid w:val="0036759A"/>
    <w:rsid w:val="00367A4A"/>
    <w:rsid w:val="003838DE"/>
    <w:rsid w:val="003868B3"/>
    <w:rsid w:val="003914E8"/>
    <w:rsid w:val="003926D7"/>
    <w:rsid w:val="0039325E"/>
    <w:rsid w:val="003A2CA6"/>
    <w:rsid w:val="003A3C64"/>
    <w:rsid w:val="003B042A"/>
    <w:rsid w:val="003C325E"/>
    <w:rsid w:val="003C613B"/>
    <w:rsid w:val="003E2227"/>
    <w:rsid w:val="003E4582"/>
    <w:rsid w:val="003E515C"/>
    <w:rsid w:val="003F26C5"/>
    <w:rsid w:val="003F4617"/>
    <w:rsid w:val="003F6978"/>
    <w:rsid w:val="004078B2"/>
    <w:rsid w:val="00413113"/>
    <w:rsid w:val="004216C5"/>
    <w:rsid w:val="00430CD3"/>
    <w:rsid w:val="0043266F"/>
    <w:rsid w:val="004333A0"/>
    <w:rsid w:val="004337B2"/>
    <w:rsid w:val="00434F57"/>
    <w:rsid w:val="00450232"/>
    <w:rsid w:val="00451356"/>
    <w:rsid w:val="004515C7"/>
    <w:rsid w:val="00451A96"/>
    <w:rsid w:val="004557AF"/>
    <w:rsid w:val="00456409"/>
    <w:rsid w:val="00465992"/>
    <w:rsid w:val="004670F2"/>
    <w:rsid w:val="00470751"/>
    <w:rsid w:val="00480FEF"/>
    <w:rsid w:val="004812F4"/>
    <w:rsid w:val="00482B65"/>
    <w:rsid w:val="00485B7A"/>
    <w:rsid w:val="00490447"/>
    <w:rsid w:val="00491B4E"/>
    <w:rsid w:val="004A2C01"/>
    <w:rsid w:val="004B1706"/>
    <w:rsid w:val="004B38B2"/>
    <w:rsid w:val="004B3EE9"/>
    <w:rsid w:val="004B43B5"/>
    <w:rsid w:val="004B7186"/>
    <w:rsid w:val="004C37C9"/>
    <w:rsid w:val="004C500F"/>
    <w:rsid w:val="004C6899"/>
    <w:rsid w:val="004D4B5F"/>
    <w:rsid w:val="004E058E"/>
    <w:rsid w:val="004E2A9B"/>
    <w:rsid w:val="004E5FAF"/>
    <w:rsid w:val="004E63BA"/>
    <w:rsid w:val="004F0160"/>
    <w:rsid w:val="004F29D0"/>
    <w:rsid w:val="005019B5"/>
    <w:rsid w:val="00502300"/>
    <w:rsid w:val="005119F0"/>
    <w:rsid w:val="00511C81"/>
    <w:rsid w:val="00515897"/>
    <w:rsid w:val="005213DD"/>
    <w:rsid w:val="00525336"/>
    <w:rsid w:val="0052647F"/>
    <w:rsid w:val="00530B94"/>
    <w:rsid w:val="00532EE6"/>
    <w:rsid w:val="0054045E"/>
    <w:rsid w:val="00553493"/>
    <w:rsid w:val="0055369C"/>
    <w:rsid w:val="00554FAD"/>
    <w:rsid w:val="0055668D"/>
    <w:rsid w:val="00556FF1"/>
    <w:rsid w:val="0056148C"/>
    <w:rsid w:val="00561D9C"/>
    <w:rsid w:val="00563E77"/>
    <w:rsid w:val="00566834"/>
    <w:rsid w:val="00572583"/>
    <w:rsid w:val="005764F1"/>
    <w:rsid w:val="00576B40"/>
    <w:rsid w:val="00577033"/>
    <w:rsid w:val="00577A5B"/>
    <w:rsid w:val="00591998"/>
    <w:rsid w:val="005A3D14"/>
    <w:rsid w:val="005A4D4C"/>
    <w:rsid w:val="005B0F08"/>
    <w:rsid w:val="005C0706"/>
    <w:rsid w:val="005C0DE3"/>
    <w:rsid w:val="005C62D7"/>
    <w:rsid w:val="005C7C33"/>
    <w:rsid w:val="005D4F29"/>
    <w:rsid w:val="005E09EB"/>
    <w:rsid w:val="005E3F18"/>
    <w:rsid w:val="005E4671"/>
    <w:rsid w:val="005E4AB9"/>
    <w:rsid w:val="005E4E1E"/>
    <w:rsid w:val="005E5580"/>
    <w:rsid w:val="005E7C4D"/>
    <w:rsid w:val="005F18CB"/>
    <w:rsid w:val="005F389B"/>
    <w:rsid w:val="005F447C"/>
    <w:rsid w:val="00601D0D"/>
    <w:rsid w:val="00604ADE"/>
    <w:rsid w:val="006063A0"/>
    <w:rsid w:val="006209D7"/>
    <w:rsid w:val="00621230"/>
    <w:rsid w:val="0063003C"/>
    <w:rsid w:val="00636288"/>
    <w:rsid w:val="00642309"/>
    <w:rsid w:val="00644517"/>
    <w:rsid w:val="00645652"/>
    <w:rsid w:val="00651D89"/>
    <w:rsid w:val="00657944"/>
    <w:rsid w:val="00663738"/>
    <w:rsid w:val="00666FE8"/>
    <w:rsid w:val="006722ED"/>
    <w:rsid w:val="00673710"/>
    <w:rsid w:val="00673E65"/>
    <w:rsid w:val="006910C5"/>
    <w:rsid w:val="00693521"/>
    <w:rsid w:val="006A09BE"/>
    <w:rsid w:val="006A18EC"/>
    <w:rsid w:val="006B05FC"/>
    <w:rsid w:val="006D1948"/>
    <w:rsid w:val="006D6AFF"/>
    <w:rsid w:val="006D7166"/>
    <w:rsid w:val="006E5CBA"/>
    <w:rsid w:val="006E62EC"/>
    <w:rsid w:val="006E7FD5"/>
    <w:rsid w:val="00700736"/>
    <w:rsid w:val="00700845"/>
    <w:rsid w:val="00701DCE"/>
    <w:rsid w:val="00702F7A"/>
    <w:rsid w:val="00703E06"/>
    <w:rsid w:val="0071070F"/>
    <w:rsid w:val="00713948"/>
    <w:rsid w:val="00715791"/>
    <w:rsid w:val="0072451A"/>
    <w:rsid w:val="00725482"/>
    <w:rsid w:val="00733FB9"/>
    <w:rsid w:val="007353E0"/>
    <w:rsid w:val="00735B06"/>
    <w:rsid w:val="007458D6"/>
    <w:rsid w:val="00746BC4"/>
    <w:rsid w:val="00747705"/>
    <w:rsid w:val="007477D1"/>
    <w:rsid w:val="00750288"/>
    <w:rsid w:val="00751556"/>
    <w:rsid w:val="007538B1"/>
    <w:rsid w:val="007545B3"/>
    <w:rsid w:val="00765715"/>
    <w:rsid w:val="00776A2D"/>
    <w:rsid w:val="0078011D"/>
    <w:rsid w:val="00784B50"/>
    <w:rsid w:val="007857D5"/>
    <w:rsid w:val="0079549C"/>
    <w:rsid w:val="007A3B03"/>
    <w:rsid w:val="007B24FF"/>
    <w:rsid w:val="007B2BE1"/>
    <w:rsid w:val="007B5C9F"/>
    <w:rsid w:val="007C0E39"/>
    <w:rsid w:val="007D1512"/>
    <w:rsid w:val="007D2A87"/>
    <w:rsid w:val="007D4238"/>
    <w:rsid w:val="007D6F0F"/>
    <w:rsid w:val="007E2490"/>
    <w:rsid w:val="007E3983"/>
    <w:rsid w:val="007E7B1B"/>
    <w:rsid w:val="007F02CF"/>
    <w:rsid w:val="007F25DD"/>
    <w:rsid w:val="007F414B"/>
    <w:rsid w:val="007F5082"/>
    <w:rsid w:val="007F6A5B"/>
    <w:rsid w:val="00801F55"/>
    <w:rsid w:val="00802E4C"/>
    <w:rsid w:val="00804773"/>
    <w:rsid w:val="00807A5E"/>
    <w:rsid w:val="00811060"/>
    <w:rsid w:val="00820E0B"/>
    <w:rsid w:val="008231AE"/>
    <w:rsid w:val="00823FE8"/>
    <w:rsid w:val="00826A5F"/>
    <w:rsid w:val="008274C1"/>
    <w:rsid w:val="00830490"/>
    <w:rsid w:val="00831ACD"/>
    <w:rsid w:val="00833F9A"/>
    <w:rsid w:val="00840450"/>
    <w:rsid w:val="00841FD9"/>
    <w:rsid w:val="0084396A"/>
    <w:rsid w:val="00856B0D"/>
    <w:rsid w:val="00861EEC"/>
    <w:rsid w:val="00867C5A"/>
    <w:rsid w:val="00870FAF"/>
    <w:rsid w:val="00873CE2"/>
    <w:rsid w:val="00874166"/>
    <w:rsid w:val="008769FD"/>
    <w:rsid w:val="00876C29"/>
    <w:rsid w:val="008835E2"/>
    <w:rsid w:val="008A0B2B"/>
    <w:rsid w:val="008A2858"/>
    <w:rsid w:val="008B1A47"/>
    <w:rsid w:val="008D0C91"/>
    <w:rsid w:val="008D0FC2"/>
    <w:rsid w:val="008D6EA2"/>
    <w:rsid w:val="008E6EDA"/>
    <w:rsid w:val="008F643A"/>
    <w:rsid w:val="00901129"/>
    <w:rsid w:val="0090261C"/>
    <w:rsid w:val="00907BDA"/>
    <w:rsid w:val="00911E47"/>
    <w:rsid w:val="00916F05"/>
    <w:rsid w:val="009179DC"/>
    <w:rsid w:val="00921C47"/>
    <w:rsid w:val="00927E24"/>
    <w:rsid w:val="00930A6F"/>
    <w:rsid w:val="009373FE"/>
    <w:rsid w:val="00964823"/>
    <w:rsid w:val="00965E47"/>
    <w:rsid w:val="00971865"/>
    <w:rsid w:val="00971A72"/>
    <w:rsid w:val="00974A95"/>
    <w:rsid w:val="009819BF"/>
    <w:rsid w:val="00984D04"/>
    <w:rsid w:val="00986767"/>
    <w:rsid w:val="00987666"/>
    <w:rsid w:val="009911CD"/>
    <w:rsid w:val="00993262"/>
    <w:rsid w:val="0099428D"/>
    <w:rsid w:val="009A1F4B"/>
    <w:rsid w:val="009A389B"/>
    <w:rsid w:val="009A4864"/>
    <w:rsid w:val="009A4CD5"/>
    <w:rsid w:val="009A558F"/>
    <w:rsid w:val="009B4674"/>
    <w:rsid w:val="009B5B03"/>
    <w:rsid w:val="009B6F47"/>
    <w:rsid w:val="009C09B3"/>
    <w:rsid w:val="009C25AE"/>
    <w:rsid w:val="009C556F"/>
    <w:rsid w:val="009D0DB2"/>
    <w:rsid w:val="009D5927"/>
    <w:rsid w:val="009D7E0C"/>
    <w:rsid w:val="009E06AA"/>
    <w:rsid w:val="009E1E00"/>
    <w:rsid w:val="009E3347"/>
    <w:rsid w:val="009E630F"/>
    <w:rsid w:val="009F3598"/>
    <w:rsid w:val="009F3C18"/>
    <w:rsid w:val="009F4C99"/>
    <w:rsid w:val="009F60B3"/>
    <w:rsid w:val="00A02149"/>
    <w:rsid w:val="00A03BC6"/>
    <w:rsid w:val="00A0545C"/>
    <w:rsid w:val="00A07C4D"/>
    <w:rsid w:val="00A113D1"/>
    <w:rsid w:val="00A113D6"/>
    <w:rsid w:val="00A123C2"/>
    <w:rsid w:val="00A175AF"/>
    <w:rsid w:val="00A222C0"/>
    <w:rsid w:val="00A23655"/>
    <w:rsid w:val="00A23C75"/>
    <w:rsid w:val="00A32D68"/>
    <w:rsid w:val="00A34CFD"/>
    <w:rsid w:val="00A36958"/>
    <w:rsid w:val="00A36E21"/>
    <w:rsid w:val="00A4156A"/>
    <w:rsid w:val="00A4265E"/>
    <w:rsid w:val="00A45ACA"/>
    <w:rsid w:val="00A46422"/>
    <w:rsid w:val="00A50509"/>
    <w:rsid w:val="00A62230"/>
    <w:rsid w:val="00A72055"/>
    <w:rsid w:val="00A72ACE"/>
    <w:rsid w:val="00A747DE"/>
    <w:rsid w:val="00A76976"/>
    <w:rsid w:val="00A82A9A"/>
    <w:rsid w:val="00A871D4"/>
    <w:rsid w:val="00A90356"/>
    <w:rsid w:val="00A92AAD"/>
    <w:rsid w:val="00A93403"/>
    <w:rsid w:val="00A95B7D"/>
    <w:rsid w:val="00A9668B"/>
    <w:rsid w:val="00AA0F4F"/>
    <w:rsid w:val="00AA1C83"/>
    <w:rsid w:val="00AA411A"/>
    <w:rsid w:val="00AB13B5"/>
    <w:rsid w:val="00AB397C"/>
    <w:rsid w:val="00AB513E"/>
    <w:rsid w:val="00AD1B9A"/>
    <w:rsid w:val="00AD270E"/>
    <w:rsid w:val="00AF4309"/>
    <w:rsid w:val="00AF5B7D"/>
    <w:rsid w:val="00B04ED7"/>
    <w:rsid w:val="00B05D0D"/>
    <w:rsid w:val="00B16C1A"/>
    <w:rsid w:val="00B2017E"/>
    <w:rsid w:val="00B208C0"/>
    <w:rsid w:val="00B2412A"/>
    <w:rsid w:val="00B328A9"/>
    <w:rsid w:val="00B45B1D"/>
    <w:rsid w:val="00B46827"/>
    <w:rsid w:val="00B50607"/>
    <w:rsid w:val="00B5235E"/>
    <w:rsid w:val="00B61507"/>
    <w:rsid w:val="00B63AE8"/>
    <w:rsid w:val="00B678AB"/>
    <w:rsid w:val="00B82E16"/>
    <w:rsid w:val="00B82F85"/>
    <w:rsid w:val="00B83091"/>
    <w:rsid w:val="00B92190"/>
    <w:rsid w:val="00B93C9F"/>
    <w:rsid w:val="00BA1BE3"/>
    <w:rsid w:val="00BA7CB4"/>
    <w:rsid w:val="00BB3F60"/>
    <w:rsid w:val="00BB7B19"/>
    <w:rsid w:val="00BD14E6"/>
    <w:rsid w:val="00BD1DC4"/>
    <w:rsid w:val="00BD2DE8"/>
    <w:rsid w:val="00BE49F6"/>
    <w:rsid w:val="00BE4FF6"/>
    <w:rsid w:val="00BF06A3"/>
    <w:rsid w:val="00C01FAF"/>
    <w:rsid w:val="00C07DD8"/>
    <w:rsid w:val="00C1020C"/>
    <w:rsid w:val="00C2142E"/>
    <w:rsid w:val="00C233D9"/>
    <w:rsid w:val="00C24305"/>
    <w:rsid w:val="00C406F3"/>
    <w:rsid w:val="00C4307C"/>
    <w:rsid w:val="00C4699C"/>
    <w:rsid w:val="00C53C7B"/>
    <w:rsid w:val="00C60A36"/>
    <w:rsid w:val="00C639AA"/>
    <w:rsid w:val="00C6710C"/>
    <w:rsid w:val="00C8002A"/>
    <w:rsid w:val="00C84839"/>
    <w:rsid w:val="00C94400"/>
    <w:rsid w:val="00C94F91"/>
    <w:rsid w:val="00C96ECD"/>
    <w:rsid w:val="00CA44AA"/>
    <w:rsid w:val="00CA691E"/>
    <w:rsid w:val="00CA7C48"/>
    <w:rsid w:val="00CB243A"/>
    <w:rsid w:val="00CB56FE"/>
    <w:rsid w:val="00CB61FC"/>
    <w:rsid w:val="00CB64D9"/>
    <w:rsid w:val="00CC310E"/>
    <w:rsid w:val="00CD3387"/>
    <w:rsid w:val="00CD6FA5"/>
    <w:rsid w:val="00CE35D6"/>
    <w:rsid w:val="00CE3C2E"/>
    <w:rsid w:val="00CE6C46"/>
    <w:rsid w:val="00CF084B"/>
    <w:rsid w:val="00CF1A9D"/>
    <w:rsid w:val="00D016C6"/>
    <w:rsid w:val="00D06500"/>
    <w:rsid w:val="00D104F5"/>
    <w:rsid w:val="00D10B97"/>
    <w:rsid w:val="00D13DEB"/>
    <w:rsid w:val="00D15279"/>
    <w:rsid w:val="00D208B7"/>
    <w:rsid w:val="00D20CA7"/>
    <w:rsid w:val="00D2607A"/>
    <w:rsid w:val="00D261F9"/>
    <w:rsid w:val="00D27F47"/>
    <w:rsid w:val="00D3183D"/>
    <w:rsid w:val="00D419DA"/>
    <w:rsid w:val="00D458BE"/>
    <w:rsid w:val="00D53768"/>
    <w:rsid w:val="00D631B8"/>
    <w:rsid w:val="00D63287"/>
    <w:rsid w:val="00D65989"/>
    <w:rsid w:val="00D65DFB"/>
    <w:rsid w:val="00D660A1"/>
    <w:rsid w:val="00D66D0A"/>
    <w:rsid w:val="00D80CA6"/>
    <w:rsid w:val="00D93169"/>
    <w:rsid w:val="00DA50D7"/>
    <w:rsid w:val="00DA5A35"/>
    <w:rsid w:val="00DA6B51"/>
    <w:rsid w:val="00DA6E9A"/>
    <w:rsid w:val="00DB2561"/>
    <w:rsid w:val="00DB7A35"/>
    <w:rsid w:val="00DD111A"/>
    <w:rsid w:val="00DD2DA5"/>
    <w:rsid w:val="00DD6F64"/>
    <w:rsid w:val="00DD790A"/>
    <w:rsid w:val="00DE4255"/>
    <w:rsid w:val="00DF0799"/>
    <w:rsid w:val="00DF4288"/>
    <w:rsid w:val="00E13D0E"/>
    <w:rsid w:val="00E14409"/>
    <w:rsid w:val="00E16003"/>
    <w:rsid w:val="00E175FD"/>
    <w:rsid w:val="00E22D5E"/>
    <w:rsid w:val="00E2510E"/>
    <w:rsid w:val="00E31B50"/>
    <w:rsid w:val="00E31BA4"/>
    <w:rsid w:val="00E3359A"/>
    <w:rsid w:val="00E37D08"/>
    <w:rsid w:val="00E415C5"/>
    <w:rsid w:val="00E44B0A"/>
    <w:rsid w:val="00E44DFB"/>
    <w:rsid w:val="00E4595E"/>
    <w:rsid w:val="00E50336"/>
    <w:rsid w:val="00E52CD9"/>
    <w:rsid w:val="00E53353"/>
    <w:rsid w:val="00E544EB"/>
    <w:rsid w:val="00E760A5"/>
    <w:rsid w:val="00E765C5"/>
    <w:rsid w:val="00E76D2B"/>
    <w:rsid w:val="00E776C1"/>
    <w:rsid w:val="00E77A41"/>
    <w:rsid w:val="00E77E42"/>
    <w:rsid w:val="00E80481"/>
    <w:rsid w:val="00E853F4"/>
    <w:rsid w:val="00E876C9"/>
    <w:rsid w:val="00E929A5"/>
    <w:rsid w:val="00E93EB8"/>
    <w:rsid w:val="00E94F06"/>
    <w:rsid w:val="00E95C6A"/>
    <w:rsid w:val="00E96580"/>
    <w:rsid w:val="00E97AD9"/>
    <w:rsid w:val="00EA4E76"/>
    <w:rsid w:val="00EB106F"/>
    <w:rsid w:val="00EB5154"/>
    <w:rsid w:val="00EC44B6"/>
    <w:rsid w:val="00ED10EB"/>
    <w:rsid w:val="00ED60AC"/>
    <w:rsid w:val="00ED6479"/>
    <w:rsid w:val="00EE0FDD"/>
    <w:rsid w:val="00EF1968"/>
    <w:rsid w:val="00EF30ED"/>
    <w:rsid w:val="00EF34F4"/>
    <w:rsid w:val="00EF3920"/>
    <w:rsid w:val="00EF7107"/>
    <w:rsid w:val="00EF7D88"/>
    <w:rsid w:val="00EF7FDD"/>
    <w:rsid w:val="00F009F4"/>
    <w:rsid w:val="00F0187F"/>
    <w:rsid w:val="00F03C23"/>
    <w:rsid w:val="00F11EA6"/>
    <w:rsid w:val="00F152B4"/>
    <w:rsid w:val="00F159D6"/>
    <w:rsid w:val="00F239BD"/>
    <w:rsid w:val="00F25987"/>
    <w:rsid w:val="00F330B5"/>
    <w:rsid w:val="00F34406"/>
    <w:rsid w:val="00F34EA6"/>
    <w:rsid w:val="00F36645"/>
    <w:rsid w:val="00F4091A"/>
    <w:rsid w:val="00F41B80"/>
    <w:rsid w:val="00F4441A"/>
    <w:rsid w:val="00F5089C"/>
    <w:rsid w:val="00F5143F"/>
    <w:rsid w:val="00F5634D"/>
    <w:rsid w:val="00F57546"/>
    <w:rsid w:val="00F57652"/>
    <w:rsid w:val="00F7134D"/>
    <w:rsid w:val="00F7321B"/>
    <w:rsid w:val="00F74386"/>
    <w:rsid w:val="00F765C3"/>
    <w:rsid w:val="00F766AD"/>
    <w:rsid w:val="00F779CC"/>
    <w:rsid w:val="00F83689"/>
    <w:rsid w:val="00F8524D"/>
    <w:rsid w:val="00F86387"/>
    <w:rsid w:val="00F9029E"/>
    <w:rsid w:val="00F94938"/>
    <w:rsid w:val="00F977CD"/>
    <w:rsid w:val="00FA7BD5"/>
    <w:rsid w:val="00FB2C4A"/>
    <w:rsid w:val="00FB6494"/>
    <w:rsid w:val="00FB69C9"/>
    <w:rsid w:val="00FC3AAA"/>
    <w:rsid w:val="00FD6711"/>
    <w:rsid w:val="00FE034C"/>
    <w:rsid w:val="00FE1481"/>
    <w:rsid w:val="00FE664B"/>
    <w:rsid w:val="00FF1D26"/>
    <w:rsid w:val="00FF296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76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HK" w:eastAsia="ja-JP"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ADF"/>
    <w:rPr>
      <w:rFonts w:ascii="Lucida Grande" w:hAnsi="Lucida Grande"/>
      <w:sz w:val="18"/>
      <w:szCs w:val="18"/>
    </w:rPr>
  </w:style>
  <w:style w:type="character" w:customStyle="1" w:styleId="a4">
    <w:name w:val="註解方塊文字 字元"/>
    <w:basedOn w:val="a0"/>
    <w:link w:val="a3"/>
    <w:uiPriority w:val="99"/>
    <w:semiHidden/>
    <w:rsid w:val="00702ADF"/>
    <w:rPr>
      <w:rFonts w:ascii="Lucida Grande" w:hAnsi="Lucida Grande"/>
      <w:sz w:val="18"/>
      <w:szCs w:val="18"/>
    </w:rPr>
  </w:style>
  <w:style w:type="paragraph" w:styleId="a5">
    <w:name w:val="footer"/>
    <w:basedOn w:val="a"/>
    <w:link w:val="a6"/>
    <w:uiPriority w:val="99"/>
    <w:rsid w:val="004812F4"/>
    <w:pPr>
      <w:tabs>
        <w:tab w:val="center" w:pos="4320"/>
        <w:tab w:val="right" w:pos="8640"/>
      </w:tabs>
    </w:pPr>
  </w:style>
  <w:style w:type="character" w:customStyle="1" w:styleId="a6">
    <w:name w:val="頁尾 字元"/>
    <w:basedOn w:val="a0"/>
    <w:link w:val="a5"/>
    <w:uiPriority w:val="99"/>
    <w:rsid w:val="004812F4"/>
  </w:style>
  <w:style w:type="character" w:styleId="a7">
    <w:name w:val="page number"/>
    <w:basedOn w:val="a0"/>
    <w:rsid w:val="004812F4"/>
  </w:style>
  <w:style w:type="paragraph" w:styleId="a8">
    <w:name w:val="Note Heading"/>
    <w:basedOn w:val="a"/>
    <w:next w:val="a"/>
    <w:link w:val="a9"/>
    <w:rsid w:val="00750288"/>
    <w:rPr>
      <w:rFonts w:ascii="Times" w:hAnsi="Times" w:cs="Times"/>
      <w:sz w:val="28"/>
      <w:szCs w:val="36"/>
      <w:u w:val="single"/>
      <w:lang w:eastAsia="zh-TW"/>
    </w:rPr>
  </w:style>
  <w:style w:type="character" w:customStyle="1" w:styleId="a9">
    <w:name w:val="註釋標題 字元"/>
    <w:basedOn w:val="a0"/>
    <w:link w:val="a8"/>
    <w:rsid w:val="00750288"/>
    <w:rPr>
      <w:rFonts w:ascii="Times" w:hAnsi="Times" w:cs="Times"/>
      <w:sz w:val="28"/>
      <w:szCs w:val="36"/>
      <w:u w:val="single"/>
      <w:lang w:eastAsia="zh-TW"/>
    </w:rPr>
  </w:style>
  <w:style w:type="paragraph" w:styleId="aa">
    <w:name w:val="Closing"/>
    <w:basedOn w:val="a"/>
    <w:link w:val="ab"/>
    <w:rsid w:val="00750288"/>
    <w:pPr>
      <w:ind w:left="4252"/>
    </w:pPr>
    <w:rPr>
      <w:rFonts w:ascii="Times" w:hAnsi="Times" w:cs="Times"/>
      <w:sz w:val="28"/>
      <w:szCs w:val="36"/>
      <w:u w:val="single"/>
      <w:lang w:eastAsia="zh-TW"/>
    </w:rPr>
  </w:style>
  <w:style w:type="character" w:customStyle="1" w:styleId="ab">
    <w:name w:val="結語 字元"/>
    <w:basedOn w:val="a0"/>
    <w:link w:val="aa"/>
    <w:rsid w:val="00750288"/>
    <w:rPr>
      <w:rFonts w:ascii="Times" w:hAnsi="Times" w:cs="Times"/>
      <w:sz w:val="28"/>
      <w:szCs w:val="36"/>
      <w:u w:val="single"/>
      <w:lang w:eastAsia="zh-TW"/>
    </w:rPr>
  </w:style>
  <w:style w:type="paragraph" w:styleId="ac">
    <w:name w:val="List Paragraph"/>
    <w:basedOn w:val="a"/>
    <w:uiPriority w:val="34"/>
    <w:qFormat/>
    <w:rsid w:val="009C25AE"/>
    <w:pPr>
      <w:ind w:left="720"/>
      <w:contextualSpacing/>
    </w:pPr>
  </w:style>
  <w:style w:type="table" w:styleId="ad">
    <w:name w:val="Table Grid"/>
    <w:basedOn w:val="a1"/>
    <w:uiPriority w:val="39"/>
    <w:rsid w:val="00A175AF"/>
    <w:rPr>
      <w:kern w:val="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2412A"/>
    <w:pPr>
      <w:widowControl w:val="0"/>
      <w:autoSpaceDE w:val="0"/>
      <w:autoSpaceDN w:val="0"/>
      <w:spacing w:before="46"/>
      <w:jc w:val="center"/>
    </w:pPr>
    <w:rPr>
      <w:rFonts w:ascii="Times New Roman" w:eastAsia="Times New Roman" w:hAnsi="Times New Roman" w:cs="Times New Roman"/>
      <w:sz w:val="22"/>
      <w:szCs w:val="22"/>
      <w:lang w:val="en-US" w:eastAsia="en-US"/>
    </w:rPr>
  </w:style>
  <w:style w:type="table" w:customStyle="1" w:styleId="TableNormal1">
    <w:name w:val="Table Normal1"/>
    <w:uiPriority w:val="2"/>
    <w:semiHidden/>
    <w:unhideWhenUsed/>
    <w:qFormat/>
    <w:rsid w:val="005F18C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2D38B6"/>
    <w:pPr>
      <w:widowControl w:val="0"/>
      <w:autoSpaceDE w:val="0"/>
      <w:autoSpaceDN w:val="0"/>
    </w:pPr>
    <w:rPr>
      <w:rFonts w:ascii="新細明體" w:eastAsia="新細明體" w:hAnsi="新細明體" w:cs="新細明體"/>
      <w:lang w:val="en-US" w:eastAsia="en-US"/>
    </w:rPr>
  </w:style>
  <w:style w:type="character" w:customStyle="1" w:styleId="af">
    <w:name w:val="本文 字元"/>
    <w:basedOn w:val="a0"/>
    <w:link w:val="ae"/>
    <w:uiPriority w:val="1"/>
    <w:rsid w:val="002D38B6"/>
    <w:rPr>
      <w:rFonts w:ascii="新細明體" w:eastAsia="新細明體" w:hAnsi="新細明體" w:cs="新細明體"/>
      <w:lang w:val="en-US" w:eastAsia="en-US"/>
    </w:rPr>
  </w:style>
  <w:style w:type="paragraph" w:styleId="af0">
    <w:name w:val="header"/>
    <w:basedOn w:val="a"/>
    <w:link w:val="af1"/>
    <w:uiPriority w:val="99"/>
    <w:unhideWhenUsed/>
    <w:rsid w:val="00434F57"/>
    <w:pPr>
      <w:tabs>
        <w:tab w:val="center" w:pos="4153"/>
        <w:tab w:val="right" w:pos="8306"/>
      </w:tabs>
      <w:snapToGrid w:val="0"/>
    </w:pPr>
    <w:rPr>
      <w:sz w:val="20"/>
      <w:szCs w:val="20"/>
    </w:rPr>
  </w:style>
  <w:style w:type="character" w:customStyle="1" w:styleId="af1">
    <w:name w:val="頁首 字元"/>
    <w:basedOn w:val="a0"/>
    <w:link w:val="af0"/>
    <w:uiPriority w:val="99"/>
    <w:rsid w:val="00434F57"/>
    <w:rPr>
      <w:sz w:val="20"/>
      <w:szCs w:val="20"/>
    </w:rPr>
  </w:style>
  <w:style w:type="character" w:styleId="af2">
    <w:name w:val="annotation reference"/>
    <w:basedOn w:val="a0"/>
    <w:semiHidden/>
    <w:unhideWhenUsed/>
    <w:rsid w:val="007E7B1B"/>
    <w:rPr>
      <w:sz w:val="18"/>
      <w:szCs w:val="18"/>
    </w:rPr>
  </w:style>
  <w:style w:type="paragraph" w:styleId="af3">
    <w:name w:val="annotation text"/>
    <w:basedOn w:val="a"/>
    <w:link w:val="af4"/>
    <w:semiHidden/>
    <w:unhideWhenUsed/>
    <w:rsid w:val="007E7B1B"/>
  </w:style>
  <w:style w:type="character" w:customStyle="1" w:styleId="af4">
    <w:name w:val="註解文字 字元"/>
    <w:basedOn w:val="a0"/>
    <w:link w:val="af3"/>
    <w:semiHidden/>
    <w:rsid w:val="007E7B1B"/>
  </w:style>
  <w:style w:type="paragraph" w:styleId="af5">
    <w:name w:val="annotation subject"/>
    <w:basedOn w:val="af3"/>
    <w:next w:val="af3"/>
    <w:link w:val="af6"/>
    <w:semiHidden/>
    <w:unhideWhenUsed/>
    <w:rsid w:val="007E7B1B"/>
    <w:rPr>
      <w:b/>
      <w:bCs/>
    </w:rPr>
  </w:style>
  <w:style w:type="character" w:customStyle="1" w:styleId="af6">
    <w:name w:val="註解主旨 字元"/>
    <w:basedOn w:val="af4"/>
    <w:link w:val="af5"/>
    <w:semiHidden/>
    <w:rsid w:val="007E7B1B"/>
    <w:rPr>
      <w:b/>
      <w:bCs/>
    </w:rPr>
  </w:style>
  <w:style w:type="paragraph" w:styleId="af7">
    <w:name w:val="Revision"/>
    <w:hidden/>
    <w:semiHidden/>
    <w:rsid w:val="00296AE3"/>
  </w:style>
  <w:style w:type="paragraph" w:styleId="af8">
    <w:name w:val="Title"/>
    <w:basedOn w:val="a"/>
    <w:link w:val="af9"/>
    <w:qFormat/>
    <w:rsid w:val="00241519"/>
    <w:pPr>
      <w:overflowPunct w:val="0"/>
      <w:autoSpaceDE w:val="0"/>
      <w:autoSpaceDN w:val="0"/>
      <w:adjustRightInd w:val="0"/>
      <w:jc w:val="center"/>
    </w:pPr>
    <w:rPr>
      <w:rFonts w:ascii="CG Times (W1)" w:eastAsia="細明體" w:hAnsi="CG Times (W1)" w:cs="Times New Roman"/>
      <w:b/>
      <w:szCs w:val="20"/>
      <w:lang w:val="en-GB" w:eastAsia="zh-TW"/>
    </w:rPr>
  </w:style>
  <w:style w:type="character" w:customStyle="1" w:styleId="af9">
    <w:name w:val="標題 字元"/>
    <w:basedOn w:val="a0"/>
    <w:link w:val="af8"/>
    <w:rsid w:val="00241519"/>
    <w:rPr>
      <w:rFonts w:ascii="CG Times (W1)" w:eastAsia="細明體" w:hAnsi="CG Times (W1)" w:cs="Times New Roman"/>
      <w:b/>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24">
      <w:bodyDiv w:val="1"/>
      <w:marLeft w:val="0"/>
      <w:marRight w:val="0"/>
      <w:marTop w:val="0"/>
      <w:marBottom w:val="0"/>
      <w:divBdr>
        <w:top w:val="none" w:sz="0" w:space="0" w:color="auto"/>
        <w:left w:val="none" w:sz="0" w:space="0" w:color="auto"/>
        <w:bottom w:val="none" w:sz="0" w:space="0" w:color="auto"/>
        <w:right w:val="none" w:sz="0" w:space="0" w:color="auto"/>
      </w:divBdr>
    </w:div>
    <w:div w:id="21126815">
      <w:bodyDiv w:val="1"/>
      <w:marLeft w:val="0"/>
      <w:marRight w:val="0"/>
      <w:marTop w:val="0"/>
      <w:marBottom w:val="0"/>
      <w:divBdr>
        <w:top w:val="none" w:sz="0" w:space="0" w:color="auto"/>
        <w:left w:val="none" w:sz="0" w:space="0" w:color="auto"/>
        <w:bottom w:val="none" w:sz="0" w:space="0" w:color="auto"/>
        <w:right w:val="none" w:sz="0" w:space="0" w:color="auto"/>
      </w:divBdr>
    </w:div>
    <w:div w:id="48965519">
      <w:bodyDiv w:val="1"/>
      <w:marLeft w:val="0"/>
      <w:marRight w:val="0"/>
      <w:marTop w:val="0"/>
      <w:marBottom w:val="0"/>
      <w:divBdr>
        <w:top w:val="none" w:sz="0" w:space="0" w:color="auto"/>
        <w:left w:val="none" w:sz="0" w:space="0" w:color="auto"/>
        <w:bottom w:val="none" w:sz="0" w:space="0" w:color="auto"/>
        <w:right w:val="none" w:sz="0" w:space="0" w:color="auto"/>
      </w:divBdr>
    </w:div>
    <w:div w:id="49429158">
      <w:bodyDiv w:val="1"/>
      <w:marLeft w:val="0"/>
      <w:marRight w:val="0"/>
      <w:marTop w:val="0"/>
      <w:marBottom w:val="0"/>
      <w:divBdr>
        <w:top w:val="none" w:sz="0" w:space="0" w:color="auto"/>
        <w:left w:val="none" w:sz="0" w:space="0" w:color="auto"/>
        <w:bottom w:val="none" w:sz="0" w:space="0" w:color="auto"/>
        <w:right w:val="none" w:sz="0" w:space="0" w:color="auto"/>
      </w:divBdr>
    </w:div>
    <w:div w:id="51388188">
      <w:bodyDiv w:val="1"/>
      <w:marLeft w:val="0"/>
      <w:marRight w:val="0"/>
      <w:marTop w:val="0"/>
      <w:marBottom w:val="0"/>
      <w:divBdr>
        <w:top w:val="none" w:sz="0" w:space="0" w:color="auto"/>
        <w:left w:val="none" w:sz="0" w:space="0" w:color="auto"/>
        <w:bottom w:val="none" w:sz="0" w:space="0" w:color="auto"/>
        <w:right w:val="none" w:sz="0" w:space="0" w:color="auto"/>
      </w:divBdr>
    </w:div>
    <w:div w:id="55200420">
      <w:bodyDiv w:val="1"/>
      <w:marLeft w:val="0"/>
      <w:marRight w:val="0"/>
      <w:marTop w:val="0"/>
      <w:marBottom w:val="0"/>
      <w:divBdr>
        <w:top w:val="none" w:sz="0" w:space="0" w:color="auto"/>
        <w:left w:val="none" w:sz="0" w:space="0" w:color="auto"/>
        <w:bottom w:val="none" w:sz="0" w:space="0" w:color="auto"/>
        <w:right w:val="none" w:sz="0" w:space="0" w:color="auto"/>
      </w:divBdr>
    </w:div>
    <w:div w:id="127363794">
      <w:bodyDiv w:val="1"/>
      <w:marLeft w:val="0"/>
      <w:marRight w:val="0"/>
      <w:marTop w:val="0"/>
      <w:marBottom w:val="0"/>
      <w:divBdr>
        <w:top w:val="none" w:sz="0" w:space="0" w:color="auto"/>
        <w:left w:val="none" w:sz="0" w:space="0" w:color="auto"/>
        <w:bottom w:val="none" w:sz="0" w:space="0" w:color="auto"/>
        <w:right w:val="none" w:sz="0" w:space="0" w:color="auto"/>
      </w:divBdr>
    </w:div>
    <w:div w:id="139463465">
      <w:bodyDiv w:val="1"/>
      <w:marLeft w:val="0"/>
      <w:marRight w:val="0"/>
      <w:marTop w:val="0"/>
      <w:marBottom w:val="0"/>
      <w:divBdr>
        <w:top w:val="none" w:sz="0" w:space="0" w:color="auto"/>
        <w:left w:val="none" w:sz="0" w:space="0" w:color="auto"/>
        <w:bottom w:val="none" w:sz="0" w:space="0" w:color="auto"/>
        <w:right w:val="none" w:sz="0" w:space="0" w:color="auto"/>
      </w:divBdr>
    </w:div>
    <w:div w:id="192497954">
      <w:bodyDiv w:val="1"/>
      <w:marLeft w:val="0"/>
      <w:marRight w:val="0"/>
      <w:marTop w:val="0"/>
      <w:marBottom w:val="0"/>
      <w:divBdr>
        <w:top w:val="none" w:sz="0" w:space="0" w:color="auto"/>
        <w:left w:val="none" w:sz="0" w:space="0" w:color="auto"/>
        <w:bottom w:val="none" w:sz="0" w:space="0" w:color="auto"/>
        <w:right w:val="none" w:sz="0" w:space="0" w:color="auto"/>
      </w:divBdr>
    </w:div>
    <w:div w:id="210386499">
      <w:bodyDiv w:val="1"/>
      <w:marLeft w:val="0"/>
      <w:marRight w:val="0"/>
      <w:marTop w:val="0"/>
      <w:marBottom w:val="0"/>
      <w:divBdr>
        <w:top w:val="none" w:sz="0" w:space="0" w:color="auto"/>
        <w:left w:val="none" w:sz="0" w:space="0" w:color="auto"/>
        <w:bottom w:val="none" w:sz="0" w:space="0" w:color="auto"/>
        <w:right w:val="none" w:sz="0" w:space="0" w:color="auto"/>
      </w:divBdr>
    </w:div>
    <w:div w:id="216622777">
      <w:bodyDiv w:val="1"/>
      <w:marLeft w:val="0"/>
      <w:marRight w:val="0"/>
      <w:marTop w:val="0"/>
      <w:marBottom w:val="0"/>
      <w:divBdr>
        <w:top w:val="none" w:sz="0" w:space="0" w:color="auto"/>
        <w:left w:val="none" w:sz="0" w:space="0" w:color="auto"/>
        <w:bottom w:val="none" w:sz="0" w:space="0" w:color="auto"/>
        <w:right w:val="none" w:sz="0" w:space="0" w:color="auto"/>
      </w:divBdr>
    </w:div>
    <w:div w:id="217520827">
      <w:bodyDiv w:val="1"/>
      <w:marLeft w:val="0"/>
      <w:marRight w:val="0"/>
      <w:marTop w:val="0"/>
      <w:marBottom w:val="0"/>
      <w:divBdr>
        <w:top w:val="none" w:sz="0" w:space="0" w:color="auto"/>
        <w:left w:val="none" w:sz="0" w:space="0" w:color="auto"/>
        <w:bottom w:val="none" w:sz="0" w:space="0" w:color="auto"/>
        <w:right w:val="none" w:sz="0" w:space="0" w:color="auto"/>
      </w:divBdr>
    </w:div>
    <w:div w:id="261761589">
      <w:bodyDiv w:val="1"/>
      <w:marLeft w:val="0"/>
      <w:marRight w:val="0"/>
      <w:marTop w:val="0"/>
      <w:marBottom w:val="0"/>
      <w:divBdr>
        <w:top w:val="none" w:sz="0" w:space="0" w:color="auto"/>
        <w:left w:val="none" w:sz="0" w:space="0" w:color="auto"/>
        <w:bottom w:val="none" w:sz="0" w:space="0" w:color="auto"/>
        <w:right w:val="none" w:sz="0" w:space="0" w:color="auto"/>
      </w:divBdr>
    </w:div>
    <w:div w:id="423722076">
      <w:bodyDiv w:val="1"/>
      <w:marLeft w:val="0"/>
      <w:marRight w:val="0"/>
      <w:marTop w:val="0"/>
      <w:marBottom w:val="0"/>
      <w:divBdr>
        <w:top w:val="none" w:sz="0" w:space="0" w:color="auto"/>
        <w:left w:val="none" w:sz="0" w:space="0" w:color="auto"/>
        <w:bottom w:val="none" w:sz="0" w:space="0" w:color="auto"/>
        <w:right w:val="none" w:sz="0" w:space="0" w:color="auto"/>
      </w:divBdr>
    </w:div>
    <w:div w:id="459080096">
      <w:bodyDiv w:val="1"/>
      <w:marLeft w:val="0"/>
      <w:marRight w:val="0"/>
      <w:marTop w:val="0"/>
      <w:marBottom w:val="0"/>
      <w:divBdr>
        <w:top w:val="none" w:sz="0" w:space="0" w:color="auto"/>
        <w:left w:val="none" w:sz="0" w:space="0" w:color="auto"/>
        <w:bottom w:val="none" w:sz="0" w:space="0" w:color="auto"/>
        <w:right w:val="none" w:sz="0" w:space="0" w:color="auto"/>
      </w:divBdr>
    </w:div>
    <w:div w:id="478114327">
      <w:bodyDiv w:val="1"/>
      <w:marLeft w:val="0"/>
      <w:marRight w:val="0"/>
      <w:marTop w:val="0"/>
      <w:marBottom w:val="0"/>
      <w:divBdr>
        <w:top w:val="none" w:sz="0" w:space="0" w:color="auto"/>
        <w:left w:val="none" w:sz="0" w:space="0" w:color="auto"/>
        <w:bottom w:val="none" w:sz="0" w:space="0" w:color="auto"/>
        <w:right w:val="none" w:sz="0" w:space="0" w:color="auto"/>
      </w:divBdr>
    </w:div>
    <w:div w:id="505675777">
      <w:bodyDiv w:val="1"/>
      <w:marLeft w:val="0"/>
      <w:marRight w:val="0"/>
      <w:marTop w:val="0"/>
      <w:marBottom w:val="0"/>
      <w:divBdr>
        <w:top w:val="none" w:sz="0" w:space="0" w:color="auto"/>
        <w:left w:val="none" w:sz="0" w:space="0" w:color="auto"/>
        <w:bottom w:val="none" w:sz="0" w:space="0" w:color="auto"/>
        <w:right w:val="none" w:sz="0" w:space="0" w:color="auto"/>
      </w:divBdr>
    </w:div>
    <w:div w:id="566962838">
      <w:bodyDiv w:val="1"/>
      <w:marLeft w:val="0"/>
      <w:marRight w:val="0"/>
      <w:marTop w:val="0"/>
      <w:marBottom w:val="0"/>
      <w:divBdr>
        <w:top w:val="none" w:sz="0" w:space="0" w:color="auto"/>
        <w:left w:val="none" w:sz="0" w:space="0" w:color="auto"/>
        <w:bottom w:val="none" w:sz="0" w:space="0" w:color="auto"/>
        <w:right w:val="none" w:sz="0" w:space="0" w:color="auto"/>
      </w:divBdr>
    </w:div>
    <w:div w:id="574751838">
      <w:bodyDiv w:val="1"/>
      <w:marLeft w:val="0"/>
      <w:marRight w:val="0"/>
      <w:marTop w:val="0"/>
      <w:marBottom w:val="0"/>
      <w:divBdr>
        <w:top w:val="none" w:sz="0" w:space="0" w:color="auto"/>
        <w:left w:val="none" w:sz="0" w:space="0" w:color="auto"/>
        <w:bottom w:val="none" w:sz="0" w:space="0" w:color="auto"/>
        <w:right w:val="none" w:sz="0" w:space="0" w:color="auto"/>
      </w:divBdr>
    </w:div>
    <w:div w:id="601500727">
      <w:bodyDiv w:val="1"/>
      <w:marLeft w:val="0"/>
      <w:marRight w:val="0"/>
      <w:marTop w:val="0"/>
      <w:marBottom w:val="0"/>
      <w:divBdr>
        <w:top w:val="none" w:sz="0" w:space="0" w:color="auto"/>
        <w:left w:val="none" w:sz="0" w:space="0" w:color="auto"/>
        <w:bottom w:val="none" w:sz="0" w:space="0" w:color="auto"/>
        <w:right w:val="none" w:sz="0" w:space="0" w:color="auto"/>
      </w:divBdr>
    </w:div>
    <w:div w:id="617026300">
      <w:bodyDiv w:val="1"/>
      <w:marLeft w:val="0"/>
      <w:marRight w:val="0"/>
      <w:marTop w:val="0"/>
      <w:marBottom w:val="0"/>
      <w:divBdr>
        <w:top w:val="none" w:sz="0" w:space="0" w:color="auto"/>
        <w:left w:val="none" w:sz="0" w:space="0" w:color="auto"/>
        <w:bottom w:val="none" w:sz="0" w:space="0" w:color="auto"/>
        <w:right w:val="none" w:sz="0" w:space="0" w:color="auto"/>
      </w:divBdr>
    </w:div>
    <w:div w:id="650597549">
      <w:bodyDiv w:val="1"/>
      <w:marLeft w:val="0"/>
      <w:marRight w:val="0"/>
      <w:marTop w:val="0"/>
      <w:marBottom w:val="0"/>
      <w:divBdr>
        <w:top w:val="none" w:sz="0" w:space="0" w:color="auto"/>
        <w:left w:val="none" w:sz="0" w:space="0" w:color="auto"/>
        <w:bottom w:val="none" w:sz="0" w:space="0" w:color="auto"/>
        <w:right w:val="none" w:sz="0" w:space="0" w:color="auto"/>
      </w:divBdr>
    </w:div>
    <w:div w:id="651566844">
      <w:bodyDiv w:val="1"/>
      <w:marLeft w:val="0"/>
      <w:marRight w:val="0"/>
      <w:marTop w:val="0"/>
      <w:marBottom w:val="0"/>
      <w:divBdr>
        <w:top w:val="none" w:sz="0" w:space="0" w:color="auto"/>
        <w:left w:val="none" w:sz="0" w:space="0" w:color="auto"/>
        <w:bottom w:val="none" w:sz="0" w:space="0" w:color="auto"/>
        <w:right w:val="none" w:sz="0" w:space="0" w:color="auto"/>
      </w:divBdr>
    </w:div>
    <w:div w:id="697510178">
      <w:bodyDiv w:val="1"/>
      <w:marLeft w:val="0"/>
      <w:marRight w:val="0"/>
      <w:marTop w:val="0"/>
      <w:marBottom w:val="0"/>
      <w:divBdr>
        <w:top w:val="none" w:sz="0" w:space="0" w:color="auto"/>
        <w:left w:val="none" w:sz="0" w:space="0" w:color="auto"/>
        <w:bottom w:val="none" w:sz="0" w:space="0" w:color="auto"/>
        <w:right w:val="none" w:sz="0" w:space="0" w:color="auto"/>
      </w:divBdr>
    </w:div>
    <w:div w:id="705641429">
      <w:bodyDiv w:val="1"/>
      <w:marLeft w:val="0"/>
      <w:marRight w:val="0"/>
      <w:marTop w:val="0"/>
      <w:marBottom w:val="0"/>
      <w:divBdr>
        <w:top w:val="none" w:sz="0" w:space="0" w:color="auto"/>
        <w:left w:val="none" w:sz="0" w:space="0" w:color="auto"/>
        <w:bottom w:val="none" w:sz="0" w:space="0" w:color="auto"/>
        <w:right w:val="none" w:sz="0" w:space="0" w:color="auto"/>
      </w:divBdr>
    </w:div>
    <w:div w:id="727144033">
      <w:bodyDiv w:val="1"/>
      <w:marLeft w:val="0"/>
      <w:marRight w:val="0"/>
      <w:marTop w:val="0"/>
      <w:marBottom w:val="0"/>
      <w:divBdr>
        <w:top w:val="none" w:sz="0" w:space="0" w:color="auto"/>
        <w:left w:val="none" w:sz="0" w:space="0" w:color="auto"/>
        <w:bottom w:val="none" w:sz="0" w:space="0" w:color="auto"/>
        <w:right w:val="none" w:sz="0" w:space="0" w:color="auto"/>
      </w:divBdr>
    </w:div>
    <w:div w:id="727532957">
      <w:bodyDiv w:val="1"/>
      <w:marLeft w:val="0"/>
      <w:marRight w:val="0"/>
      <w:marTop w:val="0"/>
      <w:marBottom w:val="0"/>
      <w:divBdr>
        <w:top w:val="none" w:sz="0" w:space="0" w:color="auto"/>
        <w:left w:val="none" w:sz="0" w:space="0" w:color="auto"/>
        <w:bottom w:val="none" w:sz="0" w:space="0" w:color="auto"/>
        <w:right w:val="none" w:sz="0" w:space="0" w:color="auto"/>
      </w:divBdr>
    </w:div>
    <w:div w:id="874386664">
      <w:bodyDiv w:val="1"/>
      <w:marLeft w:val="0"/>
      <w:marRight w:val="0"/>
      <w:marTop w:val="0"/>
      <w:marBottom w:val="0"/>
      <w:divBdr>
        <w:top w:val="none" w:sz="0" w:space="0" w:color="auto"/>
        <w:left w:val="none" w:sz="0" w:space="0" w:color="auto"/>
        <w:bottom w:val="none" w:sz="0" w:space="0" w:color="auto"/>
        <w:right w:val="none" w:sz="0" w:space="0" w:color="auto"/>
      </w:divBdr>
    </w:div>
    <w:div w:id="889994623">
      <w:bodyDiv w:val="1"/>
      <w:marLeft w:val="0"/>
      <w:marRight w:val="0"/>
      <w:marTop w:val="0"/>
      <w:marBottom w:val="0"/>
      <w:divBdr>
        <w:top w:val="none" w:sz="0" w:space="0" w:color="auto"/>
        <w:left w:val="none" w:sz="0" w:space="0" w:color="auto"/>
        <w:bottom w:val="none" w:sz="0" w:space="0" w:color="auto"/>
        <w:right w:val="none" w:sz="0" w:space="0" w:color="auto"/>
      </w:divBdr>
    </w:div>
    <w:div w:id="1108161985">
      <w:bodyDiv w:val="1"/>
      <w:marLeft w:val="0"/>
      <w:marRight w:val="0"/>
      <w:marTop w:val="0"/>
      <w:marBottom w:val="0"/>
      <w:divBdr>
        <w:top w:val="none" w:sz="0" w:space="0" w:color="auto"/>
        <w:left w:val="none" w:sz="0" w:space="0" w:color="auto"/>
        <w:bottom w:val="none" w:sz="0" w:space="0" w:color="auto"/>
        <w:right w:val="none" w:sz="0" w:space="0" w:color="auto"/>
      </w:divBdr>
    </w:div>
    <w:div w:id="1184244425">
      <w:bodyDiv w:val="1"/>
      <w:marLeft w:val="0"/>
      <w:marRight w:val="0"/>
      <w:marTop w:val="0"/>
      <w:marBottom w:val="0"/>
      <w:divBdr>
        <w:top w:val="none" w:sz="0" w:space="0" w:color="auto"/>
        <w:left w:val="none" w:sz="0" w:space="0" w:color="auto"/>
        <w:bottom w:val="none" w:sz="0" w:space="0" w:color="auto"/>
        <w:right w:val="none" w:sz="0" w:space="0" w:color="auto"/>
      </w:divBdr>
    </w:div>
    <w:div w:id="1191601885">
      <w:bodyDiv w:val="1"/>
      <w:marLeft w:val="0"/>
      <w:marRight w:val="0"/>
      <w:marTop w:val="0"/>
      <w:marBottom w:val="0"/>
      <w:divBdr>
        <w:top w:val="none" w:sz="0" w:space="0" w:color="auto"/>
        <w:left w:val="none" w:sz="0" w:space="0" w:color="auto"/>
        <w:bottom w:val="none" w:sz="0" w:space="0" w:color="auto"/>
        <w:right w:val="none" w:sz="0" w:space="0" w:color="auto"/>
      </w:divBdr>
    </w:div>
    <w:div w:id="1203441151">
      <w:bodyDiv w:val="1"/>
      <w:marLeft w:val="0"/>
      <w:marRight w:val="0"/>
      <w:marTop w:val="0"/>
      <w:marBottom w:val="0"/>
      <w:divBdr>
        <w:top w:val="none" w:sz="0" w:space="0" w:color="auto"/>
        <w:left w:val="none" w:sz="0" w:space="0" w:color="auto"/>
        <w:bottom w:val="none" w:sz="0" w:space="0" w:color="auto"/>
        <w:right w:val="none" w:sz="0" w:space="0" w:color="auto"/>
      </w:divBdr>
    </w:div>
    <w:div w:id="1226648392">
      <w:bodyDiv w:val="1"/>
      <w:marLeft w:val="0"/>
      <w:marRight w:val="0"/>
      <w:marTop w:val="0"/>
      <w:marBottom w:val="0"/>
      <w:divBdr>
        <w:top w:val="none" w:sz="0" w:space="0" w:color="auto"/>
        <w:left w:val="none" w:sz="0" w:space="0" w:color="auto"/>
        <w:bottom w:val="none" w:sz="0" w:space="0" w:color="auto"/>
        <w:right w:val="none" w:sz="0" w:space="0" w:color="auto"/>
      </w:divBdr>
    </w:div>
    <w:div w:id="1314144793">
      <w:bodyDiv w:val="1"/>
      <w:marLeft w:val="0"/>
      <w:marRight w:val="0"/>
      <w:marTop w:val="0"/>
      <w:marBottom w:val="0"/>
      <w:divBdr>
        <w:top w:val="none" w:sz="0" w:space="0" w:color="auto"/>
        <w:left w:val="none" w:sz="0" w:space="0" w:color="auto"/>
        <w:bottom w:val="none" w:sz="0" w:space="0" w:color="auto"/>
        <w:right w:val="none" w:sz="0" w:space="0" w:color="auto"/>
      </w:divBdr>
    </w:div>
    <w:div w:id="1385063168">
      <w:bodyDiv w:val="1"/>
      <w:marLeft w:val="0"/>
      <w:marRight w:val="0"/>
      <w:marTop w:val="0"/>
      <w:marBottom w:val="0"/>
      <w:divBdr>
        <w:top w:val="none" w:sz="0" w:space="0" w:color="auto"/>
        <w:left w:val="none" w:sz="0" w:space="0" w:color="auto"/>
        <w:bottom w:val="none" w:sz="0" w:space="0" w:color="auto"/>
        <w:right w:val="none" w:sz="0" w:space="0" w:color="auto"/>
      </w:divBdr>
    </w:div>
    <w:div w:id="1417240788">
      <w:bodyDiv w:val="1"/>
      <w:marLeft w:val="0"/>
      <w:marRight w:val="0"/>
      <w:marTop w:val="0"/>
      <w:marBottom w:val="0"/>
      <w:divBdr>
        <w:top w:val="none" w:sz="0" w:space="0" w:color="auto"/>
        <w:left w:val="none" w:sz="0" w:space="0" w:color="auto"/>
        <w:bottom w:val="none" w:sz="0" w:space="0" w:color="auto"/>
        <w:right w:val="none" w:sz="0" w:space="0" w:color="auto"/>
      </w:divBdr>
    </w:div>
    <w:div w:id="1456410232">
      <w:bodyDiv w:val="1"/>
      <w:marLeft w:val="0"/>
      <w:marRight w:val="0"/>
      <w:marTop w:val="0"/>
      <w:marBottom w:val="0"/>
      <w:divBdr>
        <w:top w:val="none" w:sz="0" w:space="0" w:color="auto"/>
        <w:left w:val="none" w:sz="0" w:space="0" w:color="auto"/>
        <w:bottom w:val="none" w:sz="0" w:space="0" w:color="auto"/>
        <w:right w:val="none" w:sz="0" w:space="0" w:color="auto"/>
      </w:divBdr>
    </w:div>
    <w:div w:id="1518542728">
      <w:bodyDiv w:val="1"/>
      <w:marLeft w:val="0"/>
      <w:marRight w:val="0"/>
      <w:marTop w:val="0"/>
      <w:marBottom w:val="0"/>
      <w:divBdr>
        <w:top w:val="none" w:sz="0" w:space="0" w:color="auto"/>
        <w:left w:val="none" w:sz="0" w:space="0" w:color="auto"/>
        <w:bottom w:val="none" w:sz="0" w:space="0" w:color="auto"/>
        <w:right w:val="none" w:sz="0" w:space="0" w:color="auto"/>
      </w:divBdr>
    </w:div>
    <w:div w:id="1537885291">
      <w:bodyDiv w:val="1"/>
      <w:marLeft w:val="0"/>
      <w:marRight w:val="0"/>
      <w:marTop w:val="0"/>
      <w:marBottom w:val="0"/>
      <w:divBdr>
        <w:top w:val="none" w:sz="0" w:space="0" w:color="auto"/>
        <w:left w:val="none" w:sz="0" w:space="0" w:color="auto"/>
        <w:bottom w:val="none" w:sz="0" w:space="0" w:color="auto"/>
        <w:right w:val="none" w:sz="0" w:space="0" w:color="auto"/>
      </w:divBdr>
    </w:div>
    <w:div w:id="1563442611">
      <w:bodyDiv w:val="1"/>
      <w:marLeft w:val="0"/>
      <w:marRight w:val="0"/>
      <w:marTop w:val="0"/>
      <w:marBottom w:val="0"/>
      <w:divBdr>
        <w:top w:val="none" w:sz="0" w:space="0" w:color="auto"/>
        <w:left w:val="none" w:sz="0" w:space="0" w:color="auto"/>
        <w:bottom w:val="none" w:sz="0" w:space="0" w:color="auto"/>
        <w:right w:val="none" w:sz="0" w:space="0" w:color="auto"/>
      </w:divBdr>
    </w:div>
    <w:div w:id="1616709839">
      <w:bodyDiv w:val="1"/>
      <w:marLeft w:val="0"/>
      <w:marRight w:val="0"/>
      <w:marTop w:val="0"/>
      <w:marBottom w:val="0"/>
      <w:divBdr>
        <w:top w:val="none" w:sz="0" w:space="0" w:color="auto"/>
        <w:left w:val="none" w:sz="0" w:space="0" w:color="auto"/>
        <w:bottom w:val="none" w:sz="0" w:space="0" w:color="auto"/>
        <w:right w:val="none" w:sz="0" w:space="0" w:color="auto"/>
      </w:divBdr>
    </w:div>
    <w:div w:id="1626350028">
      <w:bodyDiv w:val="1"/>
      <w:marLeft w:val="0"/>
      <w:marRight w:val="0"/>
      <w:marTop w:val="0"/>
      <w:marBottom w:val="0"/>
      <w:divBdr>
        <w:top w:val="none" w:sz="0" w:space="0" w:color="auto"/>
        <w:left w:val="none" w:sz="0" w:space="0" w:color="auto"/>
        <w:bottom w:val="none" w:sz="0" w:space="0" w:color="auto"/>
        <w:right w:val="none" w:sz="0" w:space="0" w:color="auto"/>
      </w:divBdr>
    </w:div>
    <w:div w:id="1716584501">
      <w:bodyDiv w:val="1"/>
      <w:marLeft w:val="0"/>
      <w:marRight w:val="0"/>
      <w:marTop w:val="0"/>
      <w:marBottom w:val="0"/>
      <w:divBdr>
        <w:top w:val="none" w:sz="0" w:space="0" w:color="auto"/>
        <w:left w:val="none" w:sz="0" w:space="0" w:color="auto"/>
        <w:bottom w:val="none" w:sz="0" w:space="0" w:color="auto"/>
        <w:right w:val="none" w:sz="0" w:space="0" w:color="auto"/>
      </w:divBdr>
    </w:div>
    <w:div w:id="1747416211">
      <w:bodyDiv w:val="1"/>
      <w:marLeft w:val="0"/>
      <w:marRight w:val="0"/>
      <w:marTop w:val="0"/>
      <w:marBottom w:val="0"/>
      <w:divBdr>
        <w:top w:val="none" w:sz="0" w:space="0" w:color="auto"/>
        <w:left w:val="none" w:sz="0" w:space="0" w:color="auto"/>
        <w:bottom w:val="none" w:sz="0" w:space="0" w:color="auto"/>
        <w:right w:val="none" w:sz="0" w:space="0" w:color="auto"/>
      </w:divBdr>
    </w:div>
    <w:div w:id="1753500557">
      <w:bodyDiv w:val="1"/>
      <w:marLeft w:val="0"/>
      <w:marRight w:val="0"/>
      <w:marTop w:val="0"/>
      <w:marBottom w:val="0"/>
      <w:divBdr>
        <w:top w:val="none" w:sz="0" w:space="0" w:color="auto"/>
        <w:left w:val="none" w:sz="0" w:space="0" w:color="auto"/>
        <w:bottom w:val="none" w:sz="0" w:space="0" w:color="auto"/>
        <w:right w:val="none" w:sz="0" w:space="0" w:color="auto"/>
      </w:divBdr>
    </w:div>
    <w:div w:id="1875074945">
      <w:bodyDiv w:val="1"/>
      <w:marLeft w:val="0"/>
      <w:marRight w:val="0"/>
      <w:marTop w:val="0"/>
      <w:marBottom w:val="0"/>
      <w:divBdr>
        <w:top w:val="none" w:sz="0" w:space="0" w:color="auto"/>
        <w:left w:val="none" w:sz="0" w:space="0" w:color="auto"/>
        <w:bottom w:val="none" w:sz="0" w:space="0" w:color="auto"/>
        <w:right w:val="none" w:sz="0" w:space="0" w:color="auto"/>
      </w:divBdr>
    </w:div>
    <w:div w:id="1941797768">
      <w:bodyDiv w:val="1"/>
      <w:marLeft w:val="0"/>
      <w:marRight w:val="0"/>
      <w:marTop w:val="0"/>
      <w:marBottom w:val="0"/>
      <w:divBdr>
        <w:top w:val="none" w:sz="0" w:space="0" w:color="auto"/>
        <w:left w:val="none" w:sz="0" w:space="0" w:color="auto"/>
        <w:bottom w:val="none" w:sz="0" w:space="0" w:color="auto"/>
        <w:right w:val="none" w:sz="0" w:space="0" w:color="auto"/>
      </w:divBdr>
    </w:div>
    <w:div w:id="1951736004">
      <w:bodyDiv w:val="1"/>
      <w:marLeft w:val="0"/>
      <w:marRight w:val="0"/>
      <w:marTop w:val="0"/>
      <w:marBottom w:val="0"/>
      <w:divBdr>
        <w:top w:val="none" w:sz="0" w:space="0" w:color="auto"/>
        <w:left w:val="none" w:sz="0" w:space="0" w:color="auto"/>
        <w:bottom w:val="none" w:sz="0" w:space="0" w:color="auto"/>
        <w:right w:val="none" w:sz="0" w:space="0" w:color="auto"/>
      </w:divBdr>
    </w:div>
    <w:div w:id="1965112807">
      <w:bodyDiv w:val="1"/>
      <w:marLeft w:val="0"/>
      <w:marRight w:val="0"/>
      <w:marTop w:val="0"/>
      <w:marBottom w:val="0"/>
      <w:divBdr>
        <w:top w:val="none" w:sz="0" w:space="0" w:color="auto"/>
        <w:left w:val="none" w:sz="0" w:space="0" w:color="auto"/>
        <w:bottom w:val="none" w:sz="0" w:space="0" w:color="auto"/>
        <w:right w:val="none" w:sz="0" w:space="0" w:color="auto"/>
      </w:divBdr>
    </w:div>
    <w:div w:id="1984968965">
      <w:bodyDiv w:val="1"/>
      <w:marLeft w:val="0"/>
      <w:marRight w:val="0"/>
      <w:marTop w:val="0"/>
      <w:marBottom w:val="0"/>
      <w:divBdr>
        <w:top w:val="none" w:sz="0" w:space="0" w:color="auto"/>
        <w:left w:val="none" w:sz="0" w:space="0" w:color="auto"/>
        <w:bottom w:val="none" w:sz="0" w:space="0" w:color="auto"/>
        <w:right w:val="none" w:sz="0" w:space="0" w:color="auto"/>
      </w:divBdr>
    </w:div>
    <w:div w:id="2056469329">
      <w:bodyDiv w:val="1"/>
      <w:marLeft w:val="0"/>
      <w:marRight w:val="0"/>
      <w:marTop w:val="0"/>
      <w:marBottom w:val="0"/>
      <w:divBdr>
        <w:top w:val="none" w:sz="0" w:space="0" w:color="auto"/>
        <w:left w:val="none" w:sz="0" w:space="0" w:color="auto"/>
        <w:bottom w:val="none" w:sz="0" w:space="0" w:color="auto"/>
        <w:right w:val="none" w:sz="0" w:space="0" w:color="auto"/>
      </w:divBdr>
    </w:div>
    <w:div w:id="2080899441">
      <w:bodyDiv w:val="1"/>
      <w:marLeft w:val="0"/>
      <w:marRight w:val="0"/>
      <w:marTop w:val="0"/>
      <w:marBottom w:val="0"/>
      <w:divBdr>
        <w:top w:val="none" w:sz="0" w:space="0" w:color="auto"/>
        <w:left w:val="none" w:sz="0" w:space="0" w:color="auto"/>
        <w:bottom w:val="none" w:sz="0" w:space="0" w:color="auto"/>
        <w:right w:val="none" w:sz="0" w:space="0" w:color="auto"/>
      </w:divBdr>
    </w:div>
    <w:div w:id="2118215582">
      <w:bodyDiv w:val="1"/>
      <w:marLeft w:val="0"/>
      <w:marRight w:val="0"/>
      <w:marTop w:val="0"/>
      <w:marBottom w:val="0"/>
      <w:divBdr>
        <w:top w:val="none" w:sz="0" w:space="0" w:color="auto"/>
        <w:left w:val="none" w:sz="0" w:space="0" w:color="auto"/>
        <w:bottom w:val="none" w:sz="0" w:space="0" w:color="auto"/>
        <w:right w:val="none" w:sz="0" w:space="0" w:color="auto"/>
      </w:divBdr>
    </w:div>
    <w:div w:id="2144154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A269-6CDF-4C20-B3C1-1FEA9832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2021-08-23T02:46:00Z</dcterms:created>
  <dcterms:modified xsi:type="dcterms:W3CDTF">2021-08-23T02:52:00Z</dcterms:modified>
</cp:coreProperties>
</file>