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07C94" w14:textId="6D883F44" w:rsidR="00F272A4" w:rsidRPr="009535E7" w:rsidRDefault="009535E7" w:rsidP="00590EE5">
      <w:pPr>
        <w:pStyle w:val="af8"/>
        <w:tabs>
          <w:tab w:val="left" w:pos="1276"/>
        </w:tabs>
        <w:snapToGrid w:val="0"/>
        <w:ind w:rightChars="-29" w:right="-58"/>
        <w:rPr>
          <w:rFonts w:ascii="Times New Roman" w:eastAsia="標楷體" w:hAnsi="Times New Roman"/>
          <w:szCs w:val="24"/>
        </w:rPr>
      </w:pPr>
      <w:r w:rsidRPr="009535E7">
        <w:rPr>
          <w:rFonts w:ascii="Times New Roman" w:eastAsia="標楷體" w:hAnsi="Times New Roman"/>
          <w:szCs w:val="24"/>
          <w:lang w:eastAsia="zh-CN"/>
        </w:rPr>
        <w:t>Case No. D8/24</w:t>
      </w:r>
    </w:p>
    <w:p w14:paraId="0B27FD34" w14:textId="77777777" w:rsidR="00F272A4" w:rsidRPr="009535E7" w:rsidRDefault="00F272A4" w:rsidP="00590EE5">
      <w:pPr>
        <w:tabs>
          <w:tab w:val="left" w:pos="1276"/>
        </w:tabs>
        <w:snapToGrid w:val="0"/>
        <w:ind w:rightChars="-29" w:right="-58"/>
        <w:jc w:val="both"/>
        <w:rPr>
          <w:rFonts w:eastAsia="標楷體"/>
          <w:sz w:val="24"/>
          <w:szCs w:val="24"/>
        </w:rPr>
      </w:pPr>
    </w:p>
    <w:p w14:paraId="182979A7" w14:textId="77777777" w:rsidR="00F272A4" w:rsidRPr="009535E7" w:rsidRDefault="00F272A4" w:rsidP="00590EE5">
      <w:pPr>
        <w:tabs>
          <w:tab w:val="left" w:pos="1276"/>
        </w:tabs>
        <w:snapToGrid w:val="0"/>
        <w:ind w:rightChars="-29" w:right="-58"/>
        <w:jc w:val="both"/>
        <w:rPr>
          <w:rFonts w:eastAsia="標楷體"/>
          <w:sz w:val="24"/>
          <w:szCs w:val="24"/>
          <w:lang w:val="en-US"/>
        </w:rPr>
      </w:pPr>
    </w:p>
    <w:p w14:paraId="0A2CB345" w14:textId="77777777" w:rsidR="00F272A4" w:rsidRPr="009535E7" w:rsidRDefault="00F272A4" w:rsidP="00590EE5">
      <w:pPr>
        <w:tabs>
          <w:tab w:val="left" w:pos="1276"/>
        </w:tabs>
        <w:snapToGrid w:val="0"/>
        <w:ind w:rightChars="-29" w:right="-58"/>
        <w:jc w:val="both"/>
        <w:rPr>
          <w:rFonts w:eastAsia="標楷體"/>
          <w:sz w:val="24"/>
          <w:szCs w:val="24"/>
        </w:rPr>
      </w:pPr>
    </w:p>
    <w:p w14:paraId="6FE608FF" w14:textId="77777777" w:rsidR="00F272A4" w:rsidRPr="009535E7" w:rsidRDefault="00F272A4" w:rsidP="00590EE5">
      <w:pPr>
        <w:tabs>
          <w:tab w:val="left" w:pos="1276"/>
        </w:tabs>
        <w:snapToGrid w:val="0"/>
        <w:ind w:rightChars="-29" w:right="-58"/>
        <w:jc w:val="both"/>
        <w:rPr>
          <w:rFonts w:eastAsia="標楷體"/>
          <w:sz w:val="24"/>
          <w:szCs w:val="24"/>
          <w:lang w:val="en-HK"/>
        </w:rPr>
      </w:pPr>
    </w:p>
    <w:p w14:paraId="27A3AF67" w14:textId="6B4866FF" w:rsidR="004E6030" w:rsidRPr="009535E7" w:rsidRDefault="009535E7" w:rsidP="00590EE5">
      <w:pPr>
        <w:snapToGrid w:val="0"/>
        <w:jc w:val="both"/>
        <w:rPr>
          <w:rFonts w:eastAsia="標楷體"/>
          <w:sz w:val="24"/>
          <w:szCs w:val="24"/>
          <w:lang w:val="en-US"/>
        </w:rPr>
      </w:pPr>
      <w:r w:rsidRPr="009535E7">
        <w:rPr>
          <w:rFonts w:eastAsia="標楷體"/>
          <w:b/>
          <w:bCs/>
          <w:sz w:val="24"/>
          <w:szCs w:val="24"/>
          <w:lang w:val="en-US" w:eastAsia="zh-CN"/>
        </w:rPr>
        <w:t xml:space="preserve">Profits tax </w:t>
      </w:r>
      <w:r w:rsidRPr="009535E7">
        <w:rPr>
          <w:rFonts w:eastAsia="標楷體"/>
          <w:sz w:val="24"/>
          <w:szCs w:val="24"/>
          <w:lang w:val="en-US" w:eastAsia="zh-CN"/>
        </w:rPr>
        <w:t>– source of profits – Profits of manufacturing businesses – whether taxpayer discharged burden of proof – whether profits derived outside Hong Kong – whether taxpayer could rely on the Departmental Interpretation and Practice Notes No 21 (Revised) – appeal dismissed [Decision in Chinese]</w:t>
      </w:r>
    </w:p>
    <w:p w14:paraId="2F8EA5CA" w14:textId="77777777" w:rsidR="004E6030" w:rsidRPr="009535E7" w:rsidRDefault="004E6030" w:rsidP="00590EE5">
      <w:pPr>
        <w:tabs>
          <w:tab w:val="left" w:pos="1276"/>
        </w:tabs>
        <w:snapToGrid w:val="0"/>
        <w:ind w:rightChars="-29" w:right="-58"/>
        <w:jc w:val="both"/>
        <w:rPr>
          <w:rFonts w:eastAsia="標楷體"/>
          <w:sz w:val="24"/>
          <w:szCs w:val="24"/>
          <w:lang w:val="en-HK"/>
        </w:rPr>
      </w:pPr>
    </w:p>
    <w:p w14:paraId="66F421E9" w14:textId="39A56A82" w:rsidR="00F272A4" w:rsidRPr="009535E7" w:rsidRDefault="009535E7" w:rsidP="00590EE5">
      <w:pPr>
        <w:tabs>
          <w:tab w:val="left" w:pos="0"/>
          <w:tab w:val="left" w:pos="1276"/>
        </w:tabs>
        <w:snapToGrid w:val="0"/>
        <w:ind w:rightChars="-29" w:right="-58"/>
        <w:jc w:val="both"/>
        <w:rPr>
          <w:rFonts w:eastAsia="標楷體"/>
          <w:sz w:val="24"/>
          <w:szCs w:val="24"/>
        </w:rPr>
      </w:pPr>
      <w:r w:rsidRPr="009535E7">
        <w:rPr>
          <w:rFonts w:eastAsia="標楷體"/>
          <w:sz w:val="24"/>
          <w:szCs w:val="24"/>
          <w:lang w:eastAsia="zh-CN"/>
        </w:rPr>
        <w:t xml:space="preserve">Panel: Ma </w:t>
      </w:r>
      <w:proofErr w:type="spellStart"/>
      <w:r w:rsidRPr="009535E7">
        <w:rPr>
          <w:rFonts w:eastAsia="標楷體"/>
          <w:sz w:val="24"/>
          <w:szCs w:val="24"/>
          <w:lang w:eastAsia="zh-CN"/>
        </w:rPr>
        <w:t>Yiu</w:t>
      </w:r>
      <w:proofErr w:type="spellEnd"/>
      <w:r w:rsidRPr="009535E7">
        <w:rPr>
          <w:rFonts w:eastAsia="標楷體"/>
          <w:sz w:val="24"/>
          <w:szCs w:val="24"/>
          <w:lang w:eastAsia="zh-CN"/>
        </w:rPr>
        <w:t xml:space="preserve"> Tim Jimmy (chairman), Chan Kin Pun and Law </w:t>
      </w:r>
      <w:proofErr w:type="spellStart"/>
      <w:r w:rsidRPr="009535E7">
        <w:rPr>
          <w:rFonts w:eastAsia="標楷體"/>
          <w:sz w:val="24"/>
          <w:szCs w:val="24"/>
          <w:lang w:eastAsia="zh-CN"/>
        </w:rPr>
        <w:t>Shuk</w:t>
      </w:r>
      <w:proofErr w:type="spellEnd"/>
      <w:r w:rsidRPr="009535E7">
        <w:rPr>
          <w:rFonts w:eastAsia="標楷體"/>
          <w:sz w:val="24"/>
          <w:szCs w:val="24"/>
          <w:lang w:eastAsia="zh-CN"/>
        </w:rPr>
        <w:t xml:space="preserve"> Wah.</w:t>
      </w:r>
    </w:p>
    <w:p w14:paraId="3EC5CA7A" w14:textId="77777777" w:rsidR="00F272A4" w:rsidRPr="009535E7" w:rsidRDefault="00F272A4" w:rsidP="00590EE5">
      <w:pPr>
        <w:tabs>
          <w:tab w:val="left" w:pos="840"/>
          <w:tab w:val="left" w:pos="1276"/>
        </w:tabs>
        <w:snapToGrid w:val="0"/>
        <w:ind w:rightChars="-29" w:right="-58"/>
        <w:jc w:val="both"/>
        <w:rPr>
          <w:rFonts w:eastAsia="標楷體"/>
          <w:sz w:val="24"/>
          <w:szCs w:val="24"/>
        </w:rPr>
      </w:pPr>
    </w:p>
    <w:p w14:paraId="44F57433" w14:textId="166397EE" w:rsidR="00F272A4" w:rsidRPr="009535E7" w:rsidRDefault="009535E7" w:rsidP="00590EE5">
      <w:pPr>
        <w:tabs>
          <w:tab w:val="left" w:pos="840"/>
          <w:tab w:val="left" w:pos="1276"/>
        </w:tabs>
        <w:snapToGrid w:val="0"/>
        <w:ind w:rightChars="-29" w:right="-58"/>
        <w:jc w:val="both"/>
        <w:rPr>
          <w:rFonts w:eastAsia="標楷體"/>
          <w:sz w:val="24"/>
          <w:szCs w:val="24"/>
        </w:rPr>
      </w:pPr>
      <w:r w:rsidRPr="009535E7">
        <w:rPr>
          <w:rFonts w:eastAsia="標楷體"/>
          <w:sz w:val="24"/>
          <w:szCs w:val="24"/>
          <w:lang w:eastAsia="zh-CN"/>
        </w:rPr>
        <w:t>Dates of hearing: 21 February 2024 &amp; 20 May 2024.</w:t>
      </w:r>
    </w:p>
    <w:p w14:paraId="1777A61E" w14:textId="16645F0A" w:rsidR="00F272A4" w:rsidRPr="009535E7" w:rsidRDefault="009535E7" w:rsidP="00590EE5">
      <w:pPr>
        <w:tabs>
          <w:tab w:val="left" w:pos="840"/>
          <w:tab w:val="left" w:pos="1276"/>
        </w:tabs>
        <w:snapToGrid w:val="0"/>
        <w:ind w:rightChars="-29" w:right="-58"/>
        <w:jc w:val="both"/>
        <w:rPr>
          <w:rFonts w:eastAsia="標楷體"/>
          <w:sz w:val="24"/>
          <w:szCs w:val="24"/>
        </w:rPr>
      </w:pPr>
      <w:r w:rsidRPr="009535E7">
        <w:rPr>
          <w:rFonts w:eastAsia="標楷體"/>
          <w:sz w:val="24"/>
          <w:szCs w:val="24"/>
          <w:lang w:eastAsia="zh-CN"/>
        </w:rPr>
        <w:t>Date of decision: 23 August 2024.</w:t>
      </w:r>
    </w:p>
    <w:p w14:paraId="642C7B5A" w14:textId="77777777" w:rsidR="00F272A4" w:rsidRPr="009535E7" w:rsidRDefault="00F272A4" w:rsidP="00590EE5">
      <w:pPr>
        <w:tabs>
          <w:tab w:val="left" w:pos="840"/>
          <w:tab w:val="left" w:pos="1276"/>
        </w:tabs>
        <w:snapToGrid w:val="0"/>
        <w:ind w:rightChars="-29" w:right="-58"/>
        <w:jc w:val="both"/>
        <w:rPr>
          <w:rFonts w:eastAsia="標楷體"/>
          <w:sz w:val="24"/>
          <w:szCs w:val="24"/>
          <w:lang w:eastAsia="zh-HK"/>
        </w:rPr>
      </w:pPr>
    </w:p>
    <w:p w14:paraId="725F5FC6" w14:textId="77777777" w:rsidR="004E6032" w:rsidRPr="009535E7" w:rsidRDefault="004E6032" w:rsidP="004E6032">
      <w:pPr>
        <w:tabs>
          <w:tab w:val="left" w:pos="840"/>
          <w:tab w:val="left" w:pos="1276"/>
        </w:tabs>
        <w:snapToGrid w:val="0"/>
        <w:ind w:rightChars="-29" w:right="-58"/>
        <w:jc w:val="both"/>
        <w:rPr>
          <w:rFonts w:eastAsia="標楷體"/>
          <w:sz w:val="24"/>
          <w:szCs w:val="24"/>
          <w:lang w:eastAsia="zh-HK"/>
        </w:rPr>
      </w:pPr>
    </w:p>
    <w:p w14:paraId="4FEA2611" w14:textId="78BA39B4" w:rsidR="004E6032" w:rsidRPr="009535E7" w:rsidRDefault="009535E7" w:rsidP="004E6032">
      <w:pPr>
        <w:ind w:firstLineChars="450" w:firstLine="1080"/>
        <w:jc w:val="both"/>
        <w:rPr>
          <w:rFonts w:eastAsia="標楷體"/>
          <w:sz w:val="24"/>
          <w:szCs w:val="24"/>
          <w:lang w:val="en-US"/>
        </w:rPr>
      </w:pPr>
      <w:r w:rsidRPr="009535E7">
        <w:rPr>
          <w:rFonts w:eastAsia="標楷體"/>
          <w:sz w:val="24"/>
          <w:szCs w:val="24"/>
          <w:lang w:val="en-US" w:eastAsia="zh-CN"/>
        </w:rPr>
        <w:t>The Appellant was a Hong Kong-incorporated private company, principally engaged in the manufacture and sale of garments and investment holding. Its wholly-owned subsidiary, Company C, was established in the Chinese Mainland in 2003 as a foreign-invested enterprise. In its year of assessment 2004/05, the Appellant claimed that half of its profits or losses arose from operational activities outside Hong Kong, and this offshore claim was accepted by the Assessor, with its assessable profits apportioned on a 50:50 basis.</w:t>
      </w:r>
      <w:r w:rsidR="004E6032" w:rsidRPr="009535E7">
        <w:rPr>
          <w:rFonts w:eastAsia="標楷體"/>
          <w:sz w:val="24"/>
          <w:szCs w:val="24"/>
          <w:lang w:val="en-US"/>
        </w:rPr>
        <w:t xml:space="preserve"> </w:t>
      </w:r>
    </w:p>
    <w:p w14:paraId="64C32CD2" w14:textId="77777777" w:rsidR="004E6032" w:rsidRPr="009535E7" w:rsidRDefault="004E6032" w:rsidP="004E6032">
      <w:pPr>
        <w:ind w:firstLineChars="450" w:firstLine="1080"/>
        <w:jc w:val="both"/>
        <w:rPr>
          <w:rFonts w:eastAsia="標楷體"/>
          <w:sz w:val="24"/>
          <w:szCs w:val="24"/>
          <w:lang w:val="en-US"/>
        </w:rPr>
      </w:pPr>
    </w:p>
    <w:p w14:paraId="2E9B5B8B" w14:textId="3B91EC10" w:rsidR="004E6032" w:rsidRPr="009535E7" w:rsidRDefault="009535E7" w:rsidP="004E6032">
      <w:pPr>
        <w:ind w:firstLineChars="450" w:firstLine="1080"/>
        <w:jc w:val="both"/>
        <w:rPr>
          <w:rFonts w:eastAsia="標楷體"/>
          <w:sz w:val="24"/>
          <w:szCs w:val="24"/>
          <w:lang w:val="en-US"/>
        </w:rPr>
      </w:pPr>
      <w:r w:rsidRPr="009535E7">
        <w:rPr>
          <w:rFonts w:eastAsia="標楷體"/>
          <w:sz w:val="24"/>
          <w:szCs w:val="24"/>
          <w:lang w:val="en-US" w:eastAsia="zh-CN"/>
        </w:rPr>
        <w:t>For the years of assessment 2012/13 to 2015/16, the Appellant continued to declare its profits on a 50:50 apportionment basis. Upon review, the Assessor requested the Appellant to provide further documents in support. By a letter dated 21 March 2019, the Assessor informed Commissioner that the offshore claim could not be accepted for lack of evidence. The Appellant made an objection to this decision, which was dismissed due to insufficient evidence. The Appellant then appealed the determination to the Board.</w:t>
      </w:r>
    </w:p>
    <w:p w14:paraId="1913A283" w14:textId="77777777" w:rsidR="004E6032" w:rsidRPr="009535E7" w:rsidRDefault="004E6032" w:rsidP="004E6032">
      <w:pPr>
        <w:jc w:val="both"/>
        <w:rPr>
          <w:rFonts w:eastAsia="標楷體"/>
          <w:sz w:val="24"/>
          <w:szCs w:val="24"/>
          <w:lang w:val="en-US"/>
        </w:rPr>
      </w:pPr>
    </w:p>
    <w:p w14:paraId="214E4C37" w14:textId="5F7D8E39" w:rsidR="004E6032" w:rsidRPr="009535E7" w:rsidRDefault="009535E7" w:rsidP="004E6032">
      <w:pPr>
        <w:ind w:firstLineChars="450" w:firstLine="1080"/>
        <w:jc w:val="both"/>
        <w:rPr>
          <w:rFonts w:eastAsia="標楷體"/>
          <w:sz w:val="24"/>
          <w:szCs w:val="24"/>
          <w:lang w:val="en-US"/>
        </w:rPr>
      </w:pPr>
      <w:r w:rsidRPr="009535E7">
        <w:rPr>
          <w:rFonts w:eastAsia="標楷體"/>
          <w:sz w:val="24"/>
          <w:szCs w:val="24"/>
          <w:lang w:val="en-US" w:eastAsia="zh-CN"/>
        </w:rPr>
        <w:t xml:space="preserve">The Appellant contended, </w:t>
      </w:r>
      <w:r w:rsidRPr="009535E7">
        <w:rPr>
          <w:rFonts w:eastAsia="標楷體"/>
          <w:i/>
          <w:iCs/>
          <w:sz w:val="24"/>
          <w:szCs w:val="24"/>
          <w:lang w:val="en-US" w:eastAsia="zh-CN"/>
        </w:rPr>
        <w:t>inter alia</w:t>
      </w:r>
      <w:r w:rsidRPr="009535E7">
        <w:rPr>
          <w:rFonts w:eastAsia="標楷體"/>
          <w:sz w:val="24"/>
          <w:szCs w:val="24"/>
          <w:lang w:val="en-US" w:eastAsia="zh-CN"/>
        </w:rPr>
        <w:t>, that its business had at all times been conducted by way of contract processing, and since its offshore claim in year of assessment 2004/05 had been accepted, the 50:50 apportionment should continue to apply in light of the Departmental Interpretation and Practice Notes No 21 (Revised) (‘</w:t>
      </w:r>
      <w:r w:rsidRPr="009535E7">
        <w:rPr>
          <w:rFonts w:eastAsia="標楷體"/>
          <w:b/>
          <w:bCs/>
          <w:sz w:val="24"/>
          <w:szCs w:val="24"/>
          <w:lang w:val="en-US" w:eastAsia="zh-CN"/>
        </w:rPr>
        <w:t>DIPN 21</w:t>
      </w:r>
      <w:r w:rsidRPr="009535E7">
        <w:rPr>
          <w:rFonts w:eastAsia="標楷體"/>
          <w:sz w:val="24"/>
          <w:szCs w:val="24"/>
          <w:lang w:val="en-US" w:eastAsia="zh-CN"/>
        </w:rPr>
        <w:t>’).</w:t>
      </w:r>
    </w:p>
    <w:p w14:paraId="53CE9E8A" w14:textId="77777777" w:rsidR="004E6032" w:rsidRPr="009535E7" w:rsidRDefault="004E6032" w:rsidP="004E6032">
      <w:pPr>
        <w:jc w:val="both"/>
        <w:rPr>
          <w:rFonts w:eastAsia="標楷體"/>
          <w:sz w:val="24"/>
          <w:szCs w:val="24"/>
          <w:lang w:val="en-US"/>
        </w:rPr>
      </w:pPr>
    </w:p>
    <w:p w14:paraId="38A4F5B1" w14:textId="77777777" w:rsidR="004E6032" w:rsidRPr="009535E7" w:rsidRDefault="004E6032" w:rsidP="004E6032">
      <w:pPr>
        <w:jc w:val="both"/>
        <w:rPr>
          <w:rFonts w:eastAsia="標楷體"/>
          <w:sz w:val="24"/>
          <w:szCs w:val="24"/>
          <w:lang w:val="en-US"/>
        </w:rPr>
      </w:pPr>
    </w:p>
    <w:p w14:paraId="2B724DCF" w14:textId="3F8DB77A" w:rsidR="004E6032" w:rsidRPr="009535E7" w:rsidRDefault="009535E7" w:rsidP="004E6032">
      <w:pPr>
        <w:ind w:leftChars="450" w:left="900"/>
        <w:jc w:val="both"/>
        <w:rPr>
          <w:rFonts w:eastAsia="標楷體"/>
          <w:b/>
          <w:bCs/>
          <w:sz w:val="24"/>
          <w:szCs w:val="24"/>
          <w:lang w:val="en-US"/>
        </w:rPr>
      </w:pPr>
      <w:r w:rsidRPr="009535E7">
        <w:rPr>
          <w:rFonts w:eastAsia="標楷體"/>
          <w:b/>
          <w:bCs/>
          <w:sz w:val="24"/>
          <w:szCs w:val="24"/>
          <w:lang w:val="en-US" w:eastAsia="zh-CN"/>
        </w:rPr>
        <w:t>Held:</w:t>
      </w:r>
    </w:p>
    <w:p w14:paraId="5B1FD51D" w14:textId="77777777" w:rsidR="004E6032" w:rsidRPr="009535E7" w:rsidRDefault="004E6032" w:rsidP="004E6032">
      <w:pPr>
        <w:jc w:val="both"/>
        <w:rPr>
          <w:rFonts w:eastAsia="標楷體"/>
          <w:sz w:val="24"/>
          <w:szCs w:val="24"/>
          <w:lang w:val="en-US"/>
        </w:rPr>
      </w:pPr>
    </w:p>
    <w:p w14:paraId="6F3FAE59" w14:textId="21331D92" w:rsidR="004E6032" w:rsidRPr="009535E7" w:rsidRDefault="009535E7" w:rsidP="004E6032">
      <w:pPr>
        <w:pStyle w:val="ac"/>
        <w:numPr>
          <w:ilvl w:val="0"/>
          <w:numId w:val="47"/>
        </w:numPr>
        <w:adjustRightInd/>
        <w:ind w:leftChars="450" w:left="1380" w:hangingChars="200" w:hanging="480"/>
        <w:contextualSpacing/>
        <w:jc w:val="both"/>
        <w:textAlignment w:val="auto"/>
        <w:rPr>
          <w:rFonts w:eastAsia="標楷體"/>
          <w:sz w:val="24"/>
          <w:szCs w:val="24"/>
          <w:lang w:val="en-US"/>
        </w:rPr>
      </w:pPr>
      <w:r w:rsidRPr="009535E7">
        <w:rPr>
          <w:rFonts w:eastAsia="標楷體"/>
          <w:sz w:val="24"/>
          <w:szCs w:val="24"/>
          <w:lang w:val="en-US" w:eastAsia="zh-CN"/>
        </w:rPr>
        <w:t>The function of the Board is to decide whether the assessments under appeal are excessive or incorrect.</w:t>
      </w:r>
    </w:p>
    <w:p w14:paraId="6303D9B4" w14:textId="77777777" w:rsidR="00707032" w:rsidRPr="009535E7" w:rsidRDefault="00707032" w:rsidP="00707032">
      <w:pPr>
        <w:pStyle w:val="ac"/>
        <w:ind w:left="400"/>
        <w:jc w:val="both"/>
        <w:rPr>
          <w:rFonts w:eastAsia="標楷體"/>
          <w:sz w:val="24"/>
          <w:szCs w:val="24"/>
          <w:lang w:val="en-US"/>
        </w:rPr>
      </w:pPr>
    </w:p>
    <w:p w14:paraId="25C3CCCC" w14:textId="113F1082" w:rsidR="00707032" w:rsidRPr="009535E7" w:rsidRDefault="009535E7" w:rsidP="00707032">
      <w:pPr>
        <w:pStyle w:val="ac"/>
        <w:numPr>
          <w:ilvl w:val="0"/>
          <w:numId w:val="47"/>
        </w:numPr>
        <w:adjustRightInd/>
        <w:ind w:leftChars="450" w:left="1380" w:hangingChars="200" w:hanging="480"/>
        <w:contextualSpacing/>
        <w:jc w:val="both"/>
        <w:textAlignment w:val="auto"/>
        <w:rPr>
          <w:rFonts w:eastAsia="標楷體"/>
          <w:sz w:val="24"/>
          <w:szCs w:val="24"/>
          <w:lang w:val="en-US"/>
        </w:rPr>
      </w:pPr>
      <w:r w:rsidRPr="009535E7">
        <w:rPr>
          <w:rFonts w:eastAsia="標楷體"/>
          <w:sz w:val="24"/>
          <w:szCs w:val="24"/>
          <w:lang w:val="en-US" w:eastAsia="zh-CN"/>
        </w:rPr>
        <w:t xml:space="preserve">To ascertain the source of profits, regard must be had to the nature of the different transactions by which the profits are generated, and to the taxpayer’s operations to which profits should be ascribed, per Lord Bridge in </w:t>
      </w:r>
      <w:r w:rsidRPr="009535E7">
        <w:rPr>
          <w:rFonts w:eastAsia="標楷體"/>
          <w:sz w:val="24"/>
          <w:szCs w:val="24"/>
          <w:u w:val="single"/>
          <w:lang w:val="en-US" w:eastAsia="zh-CN"/>
        </w:rPr>
        <w:t>Commissioner of Inland Revenue v Hang Sang Bank Limited</w:t>
      </w:r>
      <w:r w:rsidRPr="009535E7">
        <w:rPr>
          <w:rFonts w:eastAsia="標楷體"/>
          <w:sz w:val="24"/>
          <w:szCs w:val="24"/>
          <w:lang w:val="en-US" w:eastAsia="zh-CN"/>
        </w:rPr>
        <w:t>. The operations in question are subject to two limitations: (</w:t>
      </w:r>
      <w:proofErr w:type="spellStart"/>
      <w:r w:rsidRPr="009535E7">
        <w:rPr>
          <w:rFonts w:eastAsia="標楷體"/>
          <w:sz w:val="24"/>
          <w:szCs w:val="24"/>
          <w:lang w:val="en-US" w:eastAsia="zh-CN"/>
        </w:rPr>
        <w:t>i</w:t>
      </w:r>
      <w:proofErr w:type="spellEnd"/>
      <w:r w:rsidRPr="009535E7">
        <w:rPr>
          <w:rFonts w:eastAsia="標楷體"/>
          <w:sz w:val="24"/>
          <w:szCs w:val="24"/>
          <w:lang w:val="en-US" w:eastAsia="zh-CN"/>
        </w:rPr>
        <w:t xml:space="preserve">) the operations in question must be those of the taxpayer; and (ii) they do not comprise all of the taxpayer’s </w:t>
      </w:r>
      <w:r w:rsidRPr="009535E7">
        <w:rPr>
          <w:rFonts w:eastAsia="標楷體"/>
          <w:sz w:val="24"/>
          <w:szCs w:val="24"/>
          <w:lang w:val="en-US" w:eastAsia="zh-CN"/>
        </w:rPr>
        <w:lastRenderedPageBreak/>
        <w:t xml:space="preserve">operations, but only those operations which produce the profit in question. The source of those profits must be attributed to the operations of the taxpayer’s own business activities and not to the operations of other members of the group, per Lord Millet NPJ in </w:t>
      </w:r>
      <w:r w:rsidRPr="009535E7">
        <w:rPr>
          <w:rFonts w:eastAsia="標楷體"/>
          <w:sz w:val="24"/>
          <w:szCs w:val="24"/>
          <w:u w:val="single"/>
          <w:lang w:val="en-US" w:eastAsia="zh-CN"/>
        </w:rPr>
        <w:t>ING Baring Securities (Hong Kong) Ltd v Commissioner of Inland Revenue</w:t>
      </w:r>
      <w:r w:rsidRPr="009535E7">
        <w:rPr>
          <w:rFonts w:eastAsia="標楷體"/>
          <w:sz w:val="24"/>
          <w:szCs w:val="24"/>
          <w:lang w:val="en-US" w:eastAsia="zh-CN"/>
        </w:rPr>
        <w:t>.</w:t>
      </w:r>
    </w:p>
    <w:p w14:paraId="639471FE" w14:textId="77777777" w:rsidR="00707032" w:rsidRPr="009535E7" w:rsidRDefault="00707032" w:rsidP="00707032">
      <w:pPr>
        <w:pStyle w:val="ac"/>
        <w:ind w:left="400"/>
        <w:jc w:val="both"/>
        <w:rPr>
          <w:rFonts w:eastAsia="標楷體"/>
          <w:sz w:val="24"/>
          <w:szCs w:val="24"/>
          <w:lang w:val="en-US"/>
        </w:rPr>
      </w:pPr>
    </w:p>
    <w:p w14:paraId="50E60CD7" w14:textId="485E95C6" w:rsidR="00707032" w:rsidRPr="009535E7" w:rsidRDefault="009535E7" w:rsidP="00707032">
      <w:pPr>
        <w:pStyle w:val="ac"/>
        <w:numPr>
          <w:ilvl w:val="0"/>
          <w:numId w:val="47"/>
        </w:numPr>
        <w:adjustRightInd/>
        <w:ind w:leftChars="450" w:left="1380" w:hangingChars="200" w:hanging="480"/>
        <w:contextualSpacing/>
        <w:jc w:val="both"/>
        <w:textAlignment w:val="auto"/>
        <w:rPr>
          <w:rFonts w:eastAsia="標楷體"/>
          <w:sz w:val="24"/>
          <w:szCs w:val="24"/>
          <w:lang w:val="en-US"/>
        </w:rPr>
      </w:pPr>
      <w:r w:rsidRPr="009535E7">
        <w:rPr>
          <w:rFonts w:eastAsia="標楷體"/>
          <w:sz w:val="24"/>
          <w:szCs w:val="24"/>
          <w:lang w:val="en-US" w:eastAsia="zh-CN"/>
        </w:rPr>
        <w:t>Under section 68(4) of the Inland Revenue Ordinance, the burden of proof rests on the taxpayer.</w:t>
      </w:r>
    </w:p>
    <w:p w14:paraId="24877FB4" w14:textId="77777777" w:rsidR="00707032" w:rsidRPr="009535E7" w:rsidRDefault="00707032" w:rsidP="00707032">
      <w:pPr>
        <w:pStyle w:val="ac"/>
        <w:ind w:left="400"/>
        <w:jc w:val="both"/>
        <w:rPr>
          <w:rFonts w:eastAsia="標楷體"/>
          <w:sz w:val="24"/>
          <w:szCs w:val="24"/>
          <w:lang w:val="en-US"/>
        </w:rPr>
      </w:pPr>
    </w:p>
    <w:p w14:paraId="7D3AEFEF" w14:textId="773FF6C6" w:rsidR="00707032" w:rsidRPr="009535E7" w:rsidRDefault="009535E7" w:rsidP="00707032">
      <w:pPr>
        <w:pStyle w:val="ac"/>
        <w:numPr>
          <w:ilvl w:val="0"/>
          <w:numId w:val="47"/>
        </w:numPr>
        <w:adjustRightInd/>
        <w:ind w:leftChars="450" w:left="1380" w:hangingChars="200" w:hanging="480"/>
        <w:contextualSpacing/>
        <w:jc w:val="both"/>
        <w:textAlignment w:val="auto"/>
        <w:rPr>
          <w:rFonts w:eastAsia="標楷體"/>
          <w:sz w:val="24"/>
          <w:szCs w:val="24"/>
          <w:lang w:val="en-US"/>
        </w:rPr>
      </w:pPr>
      <w:r w:rsidRPr="009535E7">
        <w:rPr>
          <w:rFonts w:eastAsia="標楷體"/>
          <w:sz w:val="24"/>
          <w:szCs w:val="24"/>
          <w:lang w:val="en-US" w:eastAsia="zh-CN"/>
        </w:rPr>
        <w:t>Although DIPN 21 has no legal effect and is not binding on the Board, it advises that taxpayers should be ready to substantiate their returns, with supporting documentary evidence, that a profit from a transaction was derived outside Hong Kong. The Assessor has a statutory obligation to raise assessment and to make enquiry and request details regarding the operation of transactions involved in the taxpayer’s claim.</w:t>
      </w:r>
    </w:p>
    <w:p w14:paraId="591391F8" w14:textId="77777777" w:rsidR="00707032" w:rsidRPr="009535E7" w:rsidRDefault="00707032" w:rsidP="00707032">
      <w:pPr>
        <w:jc w:val="both"/>
        <w:rPr>
          <w:rFonts w:eastAsia="標楷體"/>
          <w:sz w:val="24"/>
          <w:szCs w:val="24"/>
          <w:lang w:val="en-US"/>
        </w:rPr>
      </w:pPr>
    </w:p>
    <w:p w14:paraId="5ED3B188" w14:textId="016759CF" w:rsidR="00707032" w:rsidRPr="009535E7" w:rsidRDefault="009535E7" w:rsidP="00707032">
      <w:pPr>
        <w:pStyle w:val="ac"/>
        <w:numPr>
          <w:ilvl w:val="0"/>
          <w:numId w:val="47"/>
        </w:numPr>
        <w:adjustRightInd/>
        <w:ind w:leftChars="450" w:left="1380" w:hangingChars="200" w:hanging="480"/>
        <w:contextualSpacing/>
        <w:jc w:val="both"/>
        <w:textAlignment w:val="auto"/>
        <w:rPr>
          <w:rFonts w:eastAsia="標楷體"/>
          <w:sz w:val="24"/>
          <w:szCs w:val="24"/>
          <w:lang w:val="en-US"/>
        </w:rPr>
      </w:pPr>
      <w:r w:rsidRPr="009535E7">
        <w:rPr>
          <w:rFonts w:eastAsia="標楷體"/>
          <w:sz w:val="24"/>
          <w:szCs w:val="24"/>
          <w:lang w:val="en-US" w:eastAsia="zh-CN"/>
        </w:rPr>
        <w:t>The documents produced by the Appellant merely showed that it and Company C were able to engage in processing contract, and that it had an ongoing processing contract arrangement with Company C, but they were insufficient to demonstrate the Appellant’s overall business operations or the manner in which the profits in question were generated.</w:t>
      </w:r>
      <w:r w:rsidR="00707032" w:rsidRPr="009535E7">
        <w:rPr>
          <w:rFonts w:eastAsia="標楷體"/>
          <w:sz w:val="24"/>
          <w:szCs w:val="24"/>
          <w:lang w:val="en-US"/>
        </w:rPr>
        <w:t xml:space="preserve"> </w:t>
      </w:r>
    </w:p>
    <w:p w14:paraId="7A4E9175" w14:textId="77777777" w:rsidR="00707032" w:rsidRPr="009535E7" w:rsidRDefault="00707032" w:rsidP="00707032">
      <w:pPr>
        <w:pStyle w:val="ac"/>
        <w:ind w:left="400"/>
        <w:jc w:val="both"/>
        <w:rPr>
          <w:rFonts w:eastAsia="標楷體"/>
          <w:sz w:val="24"/>
          <w:szCs w:val="24"/>
          <w:lang w:val="en-US"/>
        </w:rPr>
      </w:pPr>
    </w:p>
    <w:p w14:paraId="332F3AA7" w14:textId="5CF29214" w:rsidR="00707032" w:rsidRPr="009535E7" w:rsidRDefault="009535E7" w:rsidP="00707032">
      <w:pPr>
        <w:pStyle w:val="ac"/>
        <w:numPr>
          <w:ilvl w:val="0"/>
          <w:numId w:val="47"/>
        </w:numPr>
        <w:adjustRightInd/>
        <w:ind w:leftChars="450" w:left="1380" w:hangingChars="200" w:hanging="480"/>
        <w:contextualSpacing/>
        <w:jc w:val="both"/>
        <w:textAlignment w:val="auto"/>
        <w:rPr>
          <w:rFonts w:eastAsia="標楷體"/>
          <w:sz w:val="24"/>
          <w:szCs w:val="24"/>
          <w:lang w:val="en-US"/>
        </w:rPr>
      </w:pPr>
      <w:r w:rsidRPr="009535E7">
        <w:rPr>
          <w:rFonts w:eastAsia="標楷體"/>
          <w:sz w:val="24"/>
          <w:szCs w:val="24"/>
          <w:lang w:val="en-US" w:eastAsia="zh-CN"/>
        </w:rPr>
        <w:t xml:space="preserve">Despite repeated written reminders, the Appellant failed to provide sufficient evidence to establish that its profits for the years of assessment 2012/13 to 2014/15 were derived outside Hong Kong. In particular, no documents were produced showing the records of trading or import/export processes, customs clearance, or tax payment in the </w:t>
      </w:r>
      <w:proofErr w:type="gramStart"/>
      <w:r w:rsidRPr="009535E7">
        <w:rPr>
          <w:rFonts w:eastAsia="標楷體"/>
          <w:sz w:val="24"/>
          <w:szCs w:val="24"/>
          <w:lang w:val="en-US" w:eastAsia="zh-CN"/>
        </w:rPr>
        <w:t>Mainland</w:t>
      </w:r>
      <w:proofErr w:type="gramEnd"/>
      <w:r w:rsidRPr="009535E7">
        <w:rPr>
          <w:rFonts w:eastAsia="標楷體"/>
          <w:sz w:val="24"/>
          <w:szCs w:val="24"/>
          <w:lang w:val="en-US" w:eastAsia="zh-CN"/>
        </w:rPr>
        <w:t xml:space="preserve">. Further, the Appellant was unable to provide information regarding the deployment of its staff to the </w:t>
      </w:r>
      <w:proofErr w:type="gramStart"/>
      <w:r w:rsidRPr="009535E7">
        <w:rPr>
          <w:rFonts w:eastAsia="標楷體"/>
          <w:sz w:val="24"/>
          <w:szCs w:val="24"/>
          <w:lang w:val="en-US" w:eastAsia="zh-CN"/>
        </w:rPr>
        <w:t>Mainland</w:t>
      </w:r>
      <w:proofErr w:type="gramEnd"/>
      <w:r w:rsidRPr="009535E7">
        <w:rPr>
          <w:rFonts w:eastAsia="標楷體"/>
          <w:sz w:val="24"/>
          <w:szCs w:val="24"/>
          <w:lang w:val="en-US" w:eastAsia="zh-CN"/>
        </w:rPr>
        <w:t>.</w:t>
      </w:r>
    </w:p>
    <w:p w14:paraId="35E9E9F7" w14:textId="77777777" w:rsidR="00707032" w:rsidRPr="009535E7" w:rsidRDefault="00707032" w:rsidP="00707032">
      <w:pPr>
        <w:pStyle w:val="ac"/>
        <w:ind w:left="400"/>
        <w:jc w:val="both"/>
        <w:rPr>
          <w:rFonts w:eastAsia="標楷體"/>
          <w:sz w:val="24"/>
          <w:szCs w:val="24"/>
          <w:lang w:val="en-US"/>
        </w:rPr>
      </w:pPr>
    </w:p>
    <w:p w14:paraId="69C185A4" w14:textId="07378F5F" w:rsidR="00707032" w:rsidRPr="009535E7" w:rsidRDefault="009535E7" w:rsidP="00707032">
      <w:pPr>
        <w:pStyle w:val="ac"/>
        <w:numPr>
          <w:ilvl w:val="0"/>
          <w:numId w:val="47"/>
        </w:numPr>
        <w:adjustRightInd/>
        <w:ind w:leftChars="450" w:left="1380" w:hangingChars="200" w:hanging="480"/>
        <w:contextualSpacing/>
        <w:jc w:val="both"/>
        <w:textAlignment w:val="auto"/>
        <w:rPr>
          <w:rFonts w:eastAsia="標楷體"/>
          <w:sz w:val="24"/>
          <w:szCs w:val="24"/>
          <w:lang w:val="en-US"/>
        </w:rPr>
      </w:pPr>
      <w:r w:rsidRPr="009535E7">
        <w:rPr>
          <w:rFonts w:eastAsia="標楷體"/>
          <w:sz w:val="24"/>
          <w:szCs w:val="24"/>
          <w:lang w:val="en-US" w:eastAsia="zh-CN"/>
        </w:rPr>
        <w:t>Each year of assessment must be considered independently. The Appellant’s contention that the apportionment method adopted in the 2004/05 year of assessment should apply to the 2012/13 to 2014/15 years of assessment is without merit.</w:t>
      </w:r>
    </w:p>
    <w:p w14:paraId="4030C769" w14:textId="77777777" w:rsidR="00707032" w:rsidRPr="009535E7" w:rsidRDefault="00707032" w:rsidP="00707032">
      <w:pPr>
        <w:jc w:val="both"/>
        <w:rPr>
          <w:rFonts w:eastAsia="標楷體"/>
          <w:sz w:val="24"/>
          <w:szCs w:val="24"/>
          <w:lang w:val="en-US"/>
        </w:rPr>
      </w:pPr>
    </w:p>
    <w:p w14:paraId="2A5ED107" w14:textId="7785DE72" w:rsidR="00707032" w:rsidRPr="009535E7" w:rsidRDefault="009535E7" w:rsidP="00707032">
      <w:pPr>
        <w:pStyle w:val="ac"/>
        <w:numPr>
          <w:ilvl w:val="0"/>
          <w:numId w:val="47"/>
        </w:numPr>
        <w:adjustRightInd/>
        <w:ind w:leftChars="450" w:left="1380" w:hangingChars="200" w:hanging="480"/>
        <w:contextualSpacing/>
        <w:jc w:val="both"/>
        <w:textAlignment w:val="auto"/>
        <w:rPr>
          <w:rFonts w:eastAsia="標楷體"/>
          <w:sz w:val="24"/>
          <w:szCs w:val="24"/>
          <w:lang w:val="en-US"/>
        </w:rPr>
      </w:pPr>
      <w:r w:rsidRPr="009535E7">
        <w:rPr>
          <w:rFonts w:eastAsia="標楷體"/>
          <w:sz w:val="24"/>
          <w:szCs w:val="24"/>
          <w:lang w:val="en-US" w:eastAsia="zh-CN"/>
        </w:rPr>
        <w:t xml:space="preserve">As the Appellant failed to provide any evidence showing that Company C’s operations in the </w:t>
      </w:r>
      <w:proofErr w:type="gramStart"/>
      <w:r w:rsidRPr="009535E7">
        <w:rPr>
          <w:rFonts w:eastAsia="標楷體"/>
          <w:sz w:val="24"/>
          <w:szCs w:val="24"/>
          <w:lang w:val="en-US" w:eastAsia="zh-CN"/>
        </w:rPr>
        <w:t>Mainland</w:t>
      </w:r>
      <w:proofErr w:type="gramEnd"/>
      <w:r w:rsidRPr="009535E7">
        <w:rPr>
          <w:rFonts w:eastAsia="標楷體"/>
          <w:sz w:val="24"/>
          <w:szCs w:val="24"/>
          <w:lang w:val="en-US" w:eastAsia="zh-CN"/>
        </w:rPr>
        <w:t xml:space="preserve"> were attributable to the Appellant’s business, the Board confirmed that Company C is a separate and independent entity. Accordingly, the operations of Company C should not be taken into account in determining the source of the Appellant’s profits.</w:t>
      </w:r>
      <w:r w:rsidR="00707032" w:rsidRPr="009535E7">
        <w:rPr>
          <w:rFonts w:eastAsia="標楷體"/>
          <w:sz w:val="24"/>
          <w:szCs w:val="24"/>
          <w:lang w:val="en-US"/>
        </w:rPr>
        <w:t xml:space="preserve"> </w:t>
      </w:r>
    </w:p>
    <w:p w14:paraId="1285B0C5" w14:textId="77777777" w:rsidR="00707032" w:rsidRPr="009535E7" w:rsidRDefault="00707032" w:rsidP="00707032">
      <w:pPr>
        <w:pStyle w:val="ac"/>
        <w:ind w:left="400"/>
        <w:jc w:val="both"/>
        <w:rPr>
          <w:rFonts w:eastAsia="標楷體"/>
          <w:sz w:val="24"/>
          <w:szCs w:val="24"/>
          <w:lang w:val="en-US"/>
        </w:rPr>
      </w:pPr>
    </w:p>
    <w:p w14:paraId="2DDB2406" w14:textId="2A2D7FF4" w:rsidR="00707032" w:rsidRPr="009535E7" w:rsidRDefault="009535E7" w:rsidP="00707032">
      <w:pPr>
        <w:pStyle w:val="ac"/>
        <w:numPr>
          <w:ilvl w:val="0"/>
          <w:numId w:val="47"/>
        </w:numPr>
        <w:adjustRightInd/>
        <w:ind w:leftChars="450" w:left="1380" w:hangingChars="200" w:hanging="480"/>
        <w:contextualSpacing/>
        <w:jc w:val="both"/>
        <w:textAlignment w:val="auto"/>
        <w:rPr>
          <w:rFonts w:eastAsia="標楷體"/>
          <w:sz w:val="24"/>
          <w:szCs w:val="24"/>
          <w:lang w:val="en-US"/>
        </w:rPr>
      </w:pPr>
      <w:r w:rsidRPr="009535E7">
        <w:rPr>
          <w:rFonts w:eastAsia="標楷體"/>
          <w:sz w:val="24"/>
          <w:szCs w:val="24"/>
          <w:lang w:val="en-US" w:eastAsia="zh-CN"/>
        </w:rPr>
        <w:t>Since the Appellant did not discharge its evidential burden to prove that the assessment amounts were excessive or incorrect, the appeal was dismissed and the Commissioner’s determination upheld.</w:t>
      </w:r>
    </w:p>
    <w:p w14:paraId="4B01C555" w14:textId="77777777" w:rsidR="00707032" w:rsidRPr="009535E7" w:rsidRDefault="00707032" w:rsidP="00707032">
      <w:pPr>
        <w:tabs>
          <w:tab w:val="left" w:pos="1276"/>
        </w:tabs>
        <w:snapToGrid w:val="0"/>
        <w:ind w:rightChars="-29" w:right="-58"/>
        <w:jc w:val="both"/>
        <w:rPr>
          <w:rFonts w:eastAsia="標楷體"/>
          <w:sz w:val="24"/>
          <w:szCs w:val="24"/>
          <w:lang w:val="en-US"/>
        </w:rPr>
      </w:pPr>
    </w:p>
    <w:p w14:paraId="1DFC2ED7" w14:textId="77777777" w:rsidR="00707032" w:rsidRPr="009535E7" w:rsidRDefault="00707032" w:rsidP="00707032">
      <w:pPr>
        <w:tabs>
          <w:tab w:val="left" w:pos="1276"/>
        </w:tabs>
        <w:snapToGrid w:val="0"/>
        <w:ind w:rightChars="-29" w:right="-58"/>
        <w:jc w:val="both"/>
        <w:rPr>
          <w:rFonts w:eastAsia="標楷體"/>
          <w:sz w:val="24"/>
          <w:szCs w:val="24"/>
          <w:lang w:val="en-US"/>
        </w:rPr>
      </w:pPr>
    </w:p>
    <w:p w14:paraId="6E9DA33A" w14:textId="43D8010F" w:rsidR="00707032" w:rsidRPr="009535E7" w:rsidRDefault="009535E7" w:rsidP="00707032">
      <w:pPr>
        <w:tabs>
          <w:tab w:val="left" w:pos="1276"/>
        </w:tabs>
        <w:snapToGrid w:val="0"/>
        <w:ind w:rightChars="-29" w:right="-58"/>
        <w:jc w:val="both"/>
        <w:rPr>
          <w:rFonts w:eastAsia="標楷體"/>
          <w:b/>
          <w:sz w:val="24"/>
          <w:szCs w:val="24"/>
          <w:lang w:val="en-US" w:eastAsia="zh-HK"/>
        </w:rPr>
      </w:pPr>
      <w:r w:rsidRPr="009535E7">
        <w:rPr>
          <w:rFonts w:eastAsia="標楷體"/>
          <w:b/>
          <w:sz w:val="24"/>
          <w:szCs w:val="24"/>
          <w:lang w:val="en-US" w:eastAsia="zh-CN"/>
        </w:rPr>
        <w:t>Appeal dismissed.</w:t>
      </w:r>
    </w:p>
    <w:p w14:paraId="308BDFF5" w14:textId="77777777" w:rsidR="00707032" w:rsidRPr="009535E7" w:rsidRDefault="00707032" w:rsidP="00707032">
      <w:pPr>
        <w:tabs>
          <w:tab w:val="left" w:pos="1276"/>
        </w:tabs>
        <w:snapToGrid w:val="0"/>
        <w:ind w:rightChars="-29" w:right="-58"/>
        <w:jc w:val="both"/>
        <w:rPr>
          <w:rFonts w:eastAsia="標楷體"/>
          <w:sz w:val="24"/>
          <w:szCs w:val="24"/>
          <w:lang w:val="en-US" w:eastAsia="zh-HK"/>
        </w:rPr>
      </w:pPr>
    </w:p>
    <w:p w14:paraId="011B8576" w14:textId="296EE8C1" w:rsidR="00707032" w:rsidRPr="009535E7" w:rsidRDefault="009535E7" w:rsidP="00707032">
      <w:pPr>
        <w:tabs>
          <w:tab w:val="left" w:pos="1276"/>
        </w:tabs>
        <w:snapToGrid w:val="0"/>
        <w:ind w:left="1620" w:rightChars="-29" w:right="-58" w:hanging="1620"/>
        <w:jc w:val="both"/>
        <w:rPr>
          <w:rFonts w:eastAsia="標楷體"/>
          <w:color w:val="000000"/>
          <w:sz w:val="24"/>
          <w:szCs w:val="24"/>
          <w:lang w:val="en-US"/>
        </w:rPr>
      </w:pPr>
      <w:r w:rsidRPr="009535E7">
        <w:rPr>
          <w:rFonts w:eastAsia="標楷體"/>
          <w:color w:val="000000"/>
          <w:sz w:val="24"/>
          <w:szCs w:val="24"/>
          <w:lang w:val="en-US" w:eastAsia="zh-CN"/>
        </w:rPr>
        <w:lastRenderedPageBreak/>
        <w:t>Cases referred to:</w:t>
      </w:r>
    </w:p>
    <w:p w14:paraId="17DBAFF9" w14:textId="77777777" w:rsidR="00707032" w:rsidRPr="009535E7" w:rsidRDefault="00707032" w:rsidP="00707032">
      <w:pPr>
        <w:tabs>
          <w:tab w:val="left" w:pos="1276"/>
        </w:tabs>
        <w:snapToGrid w:val="0"/>
        <w:ind w:rightChars="-29" w:right="-58"/>
        <w:jc w:val="both"/>
        <w:rPr>
          <w:rFonts w:eastAsia="標楷體"/>
          <w:sz w:val="24"/>
          <w:szCs w:val="24"/>
          <w:lang w:val="en-US" w:eastAsia="zh-HK"/>
        </w:rPr>
      </w:pPr>
    </w:p>
    <w:p w14:paraId="61FAAE76" w14:textId="52525E1A" w:rsidR="00707032" w:rsidRPr="009535E7" w:rsidRDefault="009535E7" w:rsidP="00707032">
      <w:pPr>
        <w:tabs>
          <w:tab w:val="left" w:pos="1276"/>
        </w:tabs>
        <w:snapToGrid w:val="0"/>
        <w:ind w:left="993" w:rightChars="-29" w:right="-58" w:hanging="1620"/>
        <w:jc w:val="both"/>
        <w:rPr>
          <w:rFonts w:eastAsia="標楷體"/>
          <w:sz w:val="24"/>
          <w:szCs w:val="24"/>
          <w:lang w:val="en-US"/>
        </w:rPr>
      </w:pPr>
      <w:r w:rsidRPr="009535E7">
        <w:rPr>
          <w:rFonts w:eastAsia="標楷體"/>
          <w:sz w:val="24"/>
          <w:szCs w:val="24"/>
          <w:lang w:val="en-US" w:eastAsia="zh-CN"/>
        </w:rPr>
        <w:tab/>
        <w:t xml:space="preserve">Commissioner of Inland Revenue v </w:t>
      </w:r>
      <w:proofErr w:type="spellStart"/>
      <w:r w:rsidRPr="009535E7">
        <w:rPr>
          <w:rFonts w:eastAsia="標楷體"/>
          <w:sz w:val="24"/>
          <w:szCs w:val="24"/>
          <w:lang w:val="en-US" w:eastAsia="zh-CN"/>
        </w:rPr>
        <w:t>Datatronic</w:t>
      </w:r>
      <w:proofErr w:type="spellEnd"/>
      <w:r w:rsidRPr="009535E7">
        <w:rPr>
          <w:rFonts w:eastAsia="標楷體"/>
          <w:sz w:val="24"/>
          <w:szCs w:val="24"/>
          <w:lang w:val="en-US" w:eastAsia="zh-CN"/>
        </w:rPr>
        <w:t xml:space="preserve"> Ltd [2009] 4 HKLRD 675</w:t>
      </w:r>
    </w:p>
    <w:p w14:paraId="6903C363" w14:textId="02A13BCA" w:rsidR="00707032" w:rsidRPr="009535E7" w:rsidRDefault="009535E7" w:rsidP="00707032">
      <w:pPr>
        <w:tabs>
          <w:tab w:val="left" w:pos="1276"/>
        </w:tabs>
        <w:snapToGrid w:val="0"/>
        <w:ind w:left="993" w:rightChars="-29" w:right="-58" w:hanging="1620"/>
        <w:jc w:val="both"/>
        <w:rPr>
          <w:rFonts w:eastAsia="標楷體"/>
          <w:sz w:val="24"/>
          <w:szCs w:val="24"/>
          <w:lang w:val="en-US"/>
        </w:rPr>
      </w:pPr>
      <w:r w:rsidRPr="009535E7">
        <w:rPr>
          <w:rFonts w:eastAsia="標楷體"/>
          <w:sz w:val="24"/>
          <w:szCs w:val="24"/>
          <w:lang w:val="en-US" w:eastAsia="zh-CN"/>
        </w:rPr>
        <w:tab/>
        <w:t>Commissioner of Inland Revenue v CG lighting Limited [2010] 3 HKLRD 110</w:t>
      </w:r>
    </w:p>
    <w:p w14:paraId="506B9F4E" w14:textId="762272BA" w:rsidR="00707032" w:rsidRPr="009535E7" w:rsidRDefault="009535E7" w:rsidP="00707032">
      <w:pPr>
        <w:tabs>
          <w:tab w:val="left" w:pos="1276"/>
        </w:tabs>
        <w:snapToGrid w:val="0"/>
        <w:ind w:left="993" w:rightChars="-29" w:right="-58" w:hanging="1620"/>
        <w:jc w:val="both"/>
        <w:rPr>
          <w:rFonts w:eastAsia="標楷體"/>
          <w:sz w:val="24"/>
          <w:szCs w:val="24"/>
          <w:lang w:val="en-US"/>
        </w:rPr>
      </w:pPr>
      <w:r w:rsidRPr="009535E7">
        <w:rPr>
          <w:rFonts w:eastAsia="標楷體"/>
          <w:sz w:val="24"/>
          <w:szCs w:val="24"/>
          <w:lang w:val="en-US" w:eastAsia="zh-CN"/>
        </w:rPr>
        <w:tab/>
        <w:t>Commissioner of Inland Revenue v Hang Seng Bank Limited [1991] 1 AC 306</w:t>
      </w:r>
    </w:p>
    <w:p w14:paraId="4BCB5438" w14:textId="7AD45E9D" w:rsidR="00707032" w:rsidRPr="009535E7" w:rsidRDefault="009535E7" w:rsidP="00707032">
      <w:pPr>
        <w:tabs>
          <w:tab w:val="left" w:pos="1276"/>
        </w:tabs>
        <w:snapToGrid w:val="0"/>
        <w:ind w:left="993" w:rightChars="-29" w:right="-58" w:hanging="1620"/>
        <w:jc w:val="both"/>
        <w:rPr>
          <w:rFonts w:eastAsia="標楷體"/>
          <w:sz w:val="24"/>
          <w:szCs w:val="24"/>
          <w:lang w:val="en-US"/>
        </w:rPr>
      </w:pPr>
      <w:r w:rsidRPr="009535E7">
        <w:rPr>
          <w:rFonts w:eastAsia="標楷體"/>
          <w:sz w:val="24"/>
          <w:szCs w:val="24"/>
          <w:lang w:val="en-US" w:eastAsia="zh-CN"/>
        </w:rPr>
        <w:tab/>
        <w:t>ING Baring Securities (Hong Kong) Ltd v Commissioner of Inland Revenue</w:t>
      </w:r>
    </w:p>
    <w:p w14:paraId="526ABCDD" w14:textId="3D6F4704" w:rsidR="00707032" w:rsidRPr="009535E7" w:rsidRDefault="009535E7" w:rsidP="00707032">
      <w:pPr>
        <w:tabs>
          <w:tab w:val="left" w:pos="1276"/>
        </w:tabs>
        <w:snapToGrid w:val="0"/>
        <w:ind w:leftChars="100" w:left="200" w:rightChars="-29" w:right="-58" w:firstLineChars="500" w:firstLine="1200"/>
        <w:jc w:val="both"/>
        <w:rPr>
          <w:rFonts w:eastAsia="標楷體"/>
          <w:sz w:val="24"/>
          <w:szCs w:val="24"/>
          <w:lang w:val="en-US"/>
        </w:rPr>
      </w:pPr>
      <w:r w:rsidRPr="009535E7">
        <w:rPr>
          <w:rFonts w:eastAsia="標楷體"/>
          <w:sz w:val="24"/>
          <w:szCs w:val="24"/>
          <w:lang w:val="en-US" w:eastAsia="zh-CN"/>
        </w:rPr>
        <w:t>[2008] 1 HKLRD 412</w:t>
      </w:r>
    </w:p>
    <w:p w14:paraId="63DC3FED" w14:textId="77777777" w:rsidR="00707032" w:rsidRPr="009535E7" w:rsidRDefault="00707032" w:rsidP="00707032">
      <w:pPr>
        <w:tabs>
          <w:tab w:val="left" w:pos="630"/>
        </w:tabs>
        <w:snapToGrid w:val="0"/>
        <w:ind w:rightChars="-29" w:right="-58"/>
        <w:jc w:val="both"/>
        <w:rPr>
          <w:rFonts w:eastAsia="標楷體"/>
          <w:color w:val="FF0000"/>
          <w:sz w:val="24"/>
          <w:szCs w:val="24"/>
          <w:lang w:val="en-US" w:eastAsia="zh-HK"/>
        </w:rPr>
      </w:pPr>
    </w:p>
    <w:p w14:paraId="138D588B" w14:textId="4B46AFE0" w:rsidR="00707032" w:rsidRPr="009535E7" w:rsidRDefault="009535E7" w:rsidP="00707032">
      <w:pPr>
        <w:tabs>
          <w:tab w:val="left" w:pos="1276"/>
        </w:tabs>
        <w:snapToGrid w:val="0"/>
        <w:ind w:rightChars="-29" w:right="-58"/>
        <w:jc w:val="both"/>
        <w:rPr>
          <w:rFonts w:eastAsia="標楷體"/>
          <w:sz w:val="24"/>
          <w:szCs w:val="24"/>
          <w:lang w:val="en-US" w:eastAsia="zh-HK"/>
        </w:rPr>
      </w:pPr>
      <w:r w:rsidRPr="009535E7">
        <w:rPr>
          <w:rFonts w:eastAsia="標楷體"/>
          <w:sz w:val="24"/>
          <w:szCs w:val="24"/>
          <w:lang w:val="en-US" w:eastAsia="zh-CN"/>
        </w:rPr>
        <w:t>Lam Kin Fung of J Enterprise Secretarial and Taxation Limited, for the appellant.</w:t>
      </w:r>
    </w:p>
    <w:p w14:paraId="308A801F" w14:textId="386122D8" w:rsidR="00707032" w:rsidRPr="009535E7" w:rsidRDefault="009535E7" w:rsidP="00707032">
      <w:pPr>
        <w:tabs>
          <w:tab w:val="left" w:pos="1276"/>
        </w:tabs>
        <w:snapToGrid w:val="0"/>
        <w:ind w:left="360" w:rightChars="-29" w:right="-58" w:hangingChars="150" w:hanging="360"/>
        <w:jc w:val="both"/>
        <w:rPr>
          <w:rFonts w:eastAsia="標楷體"/>
          <w:sz w:val="24"/>
          <w:szCs w:val="24"/>
          <w:lang w:val="en-US" w:eastAsia="zh-HK"/>
        </w:rPr>
      </w:pPr>
      <w:r w:rsidRPr="009535E7">
        <w:rPr>
          <w:rFonts w:eastAsia="標楷體"/>
          <w:sz w:val="24"/>
          <w:szCs w:val="24"/>
          <w:lang w:val="en-US" w:eastAsia="zh-CN"/>
        </w:rPr>
        <w:t>Lee Shun Shan, Yau Yuen Chun and Cheng Nga Man, for the Commissioner of Inland Revenue.</w:t>
      </w:r>
    </w:p>
    <w:p w14:paraId="4C6204DF" w14:textId="77777777" w:rsidR="00707032" w:rsidRPr="009535E7" w:rsidRDefault="00707032" w:rsidP="00707032">
      <w:pPr>
        <w:snapToGrid w:val="0"/>
        <w:textAlignment w:val="auto"/>
        <w:rPr>
          <w:rFonts w:eastAsia="標楷體"/>
          <w:b/>
          <w:sz w:val="24"/>
          <w:szCs w:val="24"/>
          <w:lang w:val="en-US"/>
        </w:rPr>
      </w:pPr>
      <w:r w:rsidRPr="009535E7">
        <w:rPr>
          <w:rFonts w:eastAsia="標楷體"/>
          <w:b/>
          <w:sz w:val="24"/>
          <w:szCs w:val="24"/>
          <w:lang w:val="en-US"/>
        </w:rPr>
        <w:br w:type="page"/>
      </w:r>
    </w:p>
    <w:p w14:paraId="6761B028" w14:textId="4ECC14F7" w:rsidR="00707032" w:rsidRPr="009535E7" w:rsidRDefault="009535E7" w:rsidP="00707032">
      <w:pPr>
        <w:tabs>
          <w:tab w:val="left" w:pos="1276"/>
        </w:tabs>
        <w:snapToGrid w:val="0"/>
        <w:ind w:left="420" w:rightChars="-29" w:right="-58" w:hangingChars="150" w:hanging="420"/>
        <w:jc w:val="center"/>
        <w:rPr>
          <w:rFonts w:eastAsia="標楷體"/>
          <w:b/>
          <w:sz w:val="28"/>
          <w:szCs w:val="28"/>
          <w:lang w:val="en-US"/>
        </w:rPr>
      </w:pPr>
      <w:r w:rsidRPr="009535E7">
        <w:rPr>
          <w:rFonts w:eastAsia="標楷體"/>
          <w:b/>
          <w:sz w:val="28"/>
          <w:szCs w:val="28"/>
          <w:lang w:val="en-US" w:eastAsia="zh-CN"/>
        </w:rPr>
        <w:lastRenderedPageBreak/>
        <w:t>案件编号</w:t>
      </w:r>
      <w:r w:rsidRPr="009535E7">
        <w:rPr>
          <w:rFonts w:eastAsia="標楷體"/>
          <w:b/>
          <w:sz w:val="28"/>
          <w:szCs w:val="28"/>
          <w:lang w:val="en-US" w:eastAsia="zh-CN"/>
        </w:rPr>
        <w:t xml:space="preserve"> D8/24</w:t>
      </w:r>
    </w:p>
    <w:p w14:paraId="29AFE3DF" w14:textId="77777777" w:rsidR="00707032" w:rsidRPr="009535E7" w:rsidRDefault="00707032" w:rsidP="00707032">
      <w:pPr>
        <w:tabs>
          <w:tab w:val="left" w:pos="1276"/>
        </w:tabs>
        <w:snapToGrid w:val="0"/>
        <w:ind w:left="360" w:rightChars="-29" w:right="-58" w:hangingChars="150" w:hanging="360"/>
        <w:jc w:val="both"/>
        <w:rPr>
          <w:rFonts w:eastAsia="標楷體"/>
          <w:sz w:val="24"/>
          <w:szCs w:val="24"/>
          <w:lang w:val="en-US" w:eastAsia="zh-HK"/>
        </w:rPr>
      </w:pPr>
    </w:p>
    <w:p w14:paraId="5BC5A6B8" w14:textId="77777777" w:rsidR="00707032" w:rsidRPr="009535E7" w:rsidRDefault="00707032" w:rsidP="00707032">
      <w:pPr>
        <w:tabs>
          <w:tab w:val="left" w:pos="1276"/>
        </w:tabs>
        <w:snapToGrid w:val="0"/>
        <w:ind w:left="360" w:rightChars="-29" w:right="-58" w:hangingChars="150" w:hanging="360"/>
        <w:jc w:val="both"/>
        <w:rPr>
          <w:rFonts w:eastAsia="標楷體"/>
          <w:sz w:val="24"/>
          <w:szCs w:val="24"/>
          <w:lang w:val="en-US" w:eastAsia="zh-HK"/>
        </w:rPr>
      </w:pPr>
    </w:p>
    <w:p w14:paraId="4899D056" w14:textId="77777777" w:rsidR="00707032" w:rsidRPr="009535E7" w:rsidRDefault="00707032" w:rsidP="00707032">
      <w:pPr>
        <w:tabs>
          <w:tab w:val="left" w:pos="1276"/>
        </w:tabs>
        <w:snapToGrid w:val="0"/>
        <w:ind w:left="360" w:rightChars="-29" w:right="-58" w:hangingChars="150" w:hanging="360"/>
        <w:jc w:val="both"/>
        <w:rPr>
          <w:rFonts w:eastAsia="標楷體"/>
          <w:sz w:val="24"/>
          <w:szCs w:val="24"/>
          <w:lang w:val="en-US" w:eastAsia="zh-HK"/>
        </w:rPr>
      </w:pPr>
    </w:p>
    <w:p w14:paraId="4FDA57DF" w14:textId="77777777" w:rsidR="00707032" w:rsidRPr="009535E7" w:rsidRDefault="00707032" w:rsidP="00707032">
      <w:pPr>
        <w:tabs>
          <w:tab w:val="left" w:pos="1276"/>
        </w:tabs>
        <w:snapToGrid w:val="0"/>
        <w:ind w:left="360" w:rightChars="-29" w:right="-58" w:hangingChars="150" w:hanging="360"/>
        <w:jc w:val="both"/>
        <w:rPr>
          <w:rFonts w:eastAsia="標楷體"/>
          <w:sz w:val="24"/>
          <w:szCs w:val="24"/>
          <w:lang w:val="en-US" w:eastAsia="zh-HK"/>
        </w:rPr>
      </w:pPr>
    </w:p>
    <w:p w14:paraId="0669DDAF" w14:textId="04DFB7D5" w:rsidR="00707032" w:rsidRPr="009535E7" w:rsidRDefault="009535E7" w:rsidP="00707032">
      <w:pPr>
        <w:snapToGrid w:val="0"/>
        <w:ind w:rightChars="-29" w:right="-58"/>
        <w:jc w:val="both"/>
        <w:rPr>
          <w:rFonts w:eastAsia="標楷體"/>
          <w:sz w:val="24"/>
          <w:szCs w:val="24"/>
          <w:lang w:val="en-US"/>
        </w:rPr>
      </w:pPr>
      <w:r w:rsidRPr="009535E7">
        <w:rPr>
          <w:rFonts w:eastAsia="標楷體"/>
          <w:b/>
          <w:bCs/>
          <w:sz w:val="28"/>
          <w:szCs w:val="28"/>
          <w:lang w:val="en-US" w:eastAsia="zh-CN"/>
        </w:rPr>
        <w:t>利得税</w:t>
      </w:r>
      <w:r w:rsidRPr="009535E7">
        <w:rPr>
          <w:rFonts w:eastAsia="標楷體"/>
          <w:szCs w:val="24"/>
          <w:lang w:eastAsia="zh-CN"/>
        </w:rPr>
        <w:t>–</w:t>
      </w:r>
      <w:r w:rsidRPr="009535E7">
        <w:rPr>
          <w:rFonts w:eastAsia="標楷體"/>
          <w:sz w:val="24"/>
          <w:szCs w:val="24"/>
          <w:lang w:val="en-US" w:eastAsia="zh-CN"/>
        </w:rPr>
        <w:t>利润来源</w:t>
      </w:r>
      <w:r w:rsidRPr="009535E7">
        <w:rPr>
          <w:rFonts w:eastAsia="標楷體"/>
          <w:sz w:val="24"/>
          <w:szCs w:val="24"/>
          <w:lang w:val="en-US" w:eastAsia="zh-CN"/>
        </w:rPr>
        <w:t xml:space="preserve"> </w:t>
      </w:r>
      <w:r w:rsidRPr="009535E7">
        <w:rPr>
          <w:rFonts w:eastAsia="標楷體"/>
          <w:lang w:eastAsia="zh-CN"/>
        </w:rPr>
        <w:t xml:space="preserve">– </w:t>
      </w:r>
      <w:r w:rsidRPr="009535E7">
        <w:rPr>
          <w:rFonts w:eastAsia="標楷體"/>
          <w:sz w:val="24"/>
          <w:szCs w:val="24"/>
          <w:lang w:val="en-US" w:eastAsia="zh-CN"/>
        </w:rPr>
        <w:t>制造业利润</w:t>
      </w:r>
      <w:r w:rsidRPr="009535E7">
        <w:rPr>
          <w:rFonts w:eastAsia="標楷體"/>
          <w:szCs w:val="24"/>
          <w:lang w:eastAsia="zh-CN"/>
        </w:rPr>
        <w:t>–</w:t>
      </w:r>
      <w:r w:rsidRPr="009535E7">
        <w:rPr>
          <w:rFonts w:eastAsia="標楷體"/>
          <w:sz w:val="24"/>
          <w:szCs w:val="24"/>
          <w:lang w:val="en-US" w:eastAsia="zh-CN"/>
        </w:rPr>
        <w:t>纳税人是否已履行举证责任证明平税额过高或不正确</w:t>
      </w:r>
      <w:r w:rsidRPr="009535E7">
        <w:rPr>
          <w:rFonts w:eastAsia="標楷體"/>
          <w:szCs w:val="24"/>
          <w:lang w:eastAsia="zh-CN"/>
        </w:rPr>
        <w:t>–</w:t>
      </w:r>
      <w:r w:rsidRPr="009535E7">
        <w:rPr>
          <w:rFonts w:eastAsia="標楷體"/>
          <w:sz w:val="24"/>
          <w:szCs w:val="24"/>
          <w:lang w:val="en-US" w:eastAsia="zh-CN"/>
        </w:rPr>
        <w:t>利润是否源自香港以外</w:t>
      </w:r>
      <w:r w:rsidRPr="009535E7">
        <w:rPr>
          <w:rFonts w:eastAsia="標楷體"/>
          <w:szCs w:val="24"/>
          <w:lang w:eastAsia="zh-CN"/>
        </w:rPr>
        <w:t>–</w:t>
      </w:r>
      <w:r w:rsidRPr="009535E7">
        <w:rPr>
          <w:rFonts w:eastAsia="標楷體"/>
          <w:sz w:val="24"/>
          <w:szCs w:val="24"/>
          <w:lang w:val="en-US" w:eastAsia="zh-CN"/>
        </w:rPr>
        <w:t>是否可依据《税务条例释义及执行指引第</w:t>
      </w:r>
      <w:r w:rsidRPr="009535E7">
        <w:rPr>
          <w:rFonts w:eastAsia="標楷體"/>
          <w:sz w:val="24"/>
          <w:szCs w:val="24"/>
          <w:lang w:val="en-US" w:eastAsia="zh-CN"/>
        </w:rPr>
        <w:t>21</w:t>
      </w:r>
      <w:r w:rsidRPr="009535E7">
        <w:rPr>
          <w:rFonts w:eastAsia="標楷體"/>
          <w:sz w:val="24"/>
          <w:szCs w:val="24"/>
          <w:lang w:val="en-US" w:eastAsia="zh-CN"/>
        </w:rPr>
        <w:t>号（修订版）》</w:t>
      </w:r>
      <w:r w:rsidRPr="009535E7">
        <w:rPr>
          <w:rFonts w:eastAsia="標楷體"/>
          <w:szCs w:val="24"/>
          <w:lang w:eastAsia="zh-CN"/>
        </w:rPr>
        <w:t>–</w:t>
      </w:r>
      <w:r w:rsidRPr="009535E7">
        <w:rPr>
          <w:rFonts w:eastAsia="標楷體"/>
          <w:sz w:val="24"/>
          <w:szCs w:val="24"/>
          <w:lang w:val="en-US" w:eastAsia="zh-CN"/>
        </w:rPr>
        <w:t>上诉驳回</w:t>
      </w:r>
    </w:p>
    <w:p w14:paraId="266A239F" w14:textId="77777777" w:rsidR="00707032" w:rsidRPr="009535E7" w:rsidRDefault="00707032" w:rsidP="00707032">
      <w:pPr>
        <w:tabs>
          <w:tab w:val="left" w:pos="840"/>
          <w:tab w:val="left" w:pos="1276"/>
        </w:tabs>
        <w:snapToGrid w:val="0"/>
        <w:ind w:rightChars="-29" w:right="-58"/>
        <w:jc w:val="both"/>
        <w:rPr>
          <w:rFonts w:eastAsia="標楷體"/>
          <w:sz w:val="24"/>
          <w:szCs w:val="24"/>
          <w:lang w:val="en-HK"/>
        </w:rPr>
      </w:pPr>
    </w:p>
    <w:p w14:paraId="50E54235" w14:textId="22BAFDCC" w:rsidR="00707032" w:rsidRPr="009535E7" w:rsidRDefault="009535E7" w:rsidP="00707032">
      <w:pPr>
        <w:tabs>
          <w:tab w:val="left" w:pos="840"/>
          <w:tab w:val="left" w:pos="1276"/>
        </w:tabs>
        <w:snapToGrid w:val="0"/>
        <w:ind w:rightChars="-29" w:right="-58"/>
        <w:jc w:val="both"/>
        <w:rPr>
          <w:rFonts w:eastAsia="標楷體"/>
          <w:sz w:val="24"/>
          <w:szCs w:val="24"/>
          <w:lang w:eastAsia="zh-HK"/>
        </w:rPr>
      </w:pPr>
      <w:r w:rsidRPr="009535E7">
        <w:rPr>
          <w:rFonts w:eastAsia="標楷體"/>
          <w:sz w:val="24"/>
          <w:szCs w:val="24"/>
          <w:lang w:eastAsia="zh-CN"/>
        </w:rPr>
        <w:t>委员会：马耀添（主席）、陈健彬及罗淑华</w:t>
      </w:r>
    </w:p>
    <w:p w14:paraId="0629D4FB" w14:textId="77777777" w:rsidR="00707032" w:rsidRPr="009535E7" w:rsidRDefault="00707032" w:rsidP="00707032">
      <w:pPr>
        <w:tabs>
          <w:tab w:val="left" w:pos="840"/>
          <w:tab w:val="left" w:pos="1276"/>
        </w:tabs>
        <w:snapToGrid w:val="0"/>
        <w:ind w:rightChars="-29" w:right="-58"/>
        <w:jc w:val="both"/>
        <w:rPr>
          <w:rFonts w:eastAsia="標楷體"/>
          <w:color w:val="FF0000"/>
          <w:sz w:val="24"/>
          <w:szCs w:val="24"/>
          <w:lang w:eastAsia="zh-HK"/>
        </w:rPr>
      </w:pPr>
    </w:p>
    <w:p w14:paraId="0DDC5FFA" w14:textId="44FC9FDF" w:rsidR="00707032" w:rsidRPr="009535E7" w:rsidRDefault="009535E7" w:rsidP="00707032">
      <w:pPr>
        <w:tabs>
          <w:tab w:val="left" w:pos="840"/>
          <w:tab w:val="left" w:pos="1276"/>
        </w:tabs>
        <w:snapToGrid w:val="0"/>
        <w:ind w:rightChars="-29" w:right="-58"/>
        <w:jc w:val="both"/>
        <w:rPr>
          <w:rFonts w:eastAsia="標楷體"/>
          <w:sz w:val="24"/>
          <w:szCs w:val="24"/>
          <w:lang w:eastAsia="zh-HK"/>
        </w:rPr>
      </w:pPr>
      <w:r w:rsidRPr="009535E7">
        <w:rPr>
          <w:rFonts w:eastAsia="標楷體"/>
          <w:sz w:val="24"/>
          <w:szCs w:val="24"/>
          <w:lang w:eastAsia="zh-CN"/>
        </w:rPr>
        <w:t>聆讯日期：</w:t>
      </w:r>
      <w:r w:rsidRPr="009535E7">
        <w:rPr>
          <w:rFonts w:eastAsia="標楷體"/>
          <w:sz w:val="24"/>
          <w:szCs w:val="24"/>
          <w:lang w:eastAsia="zh-CN"/>
        </w:rPr>
        <w:t>2024</w:t>
      </w:r>
      <w:r w:rsidRPr="009535E7">
        <w:rPr>
          <w:rFonts w:eastAsia="標楷體"/>
          <w:sz w:val="24"/>
          <w:szCs w:val="24"/>
          <w:lang w:eastAsia="zh-CN"/>
        </w:rPr>
        <w:t>年</w:t>
      </w:r>
      <w:r w:rsidRPr="009535E7">
        <w:rPr>
          <w:rFonts w:eastAsia="標楷體"/>
          <w:sz w:val="24"/>
          <w:szCs w:val="24"/>
          <w:lang w:eastAsia="zh-CN"/>
        </w:rPr>
        <w:t>2</w:t>
      </w:r>
      <w:r w:rsidRPr="009535E7">
        <w:rPr>
          <w:rFonts w:eastAsia="標楷體"/>
          <w:sz w:val="24"/>
          <w:szCs w:val="24"/>
          <w:lang w:eastAsia="zh-CN"/>
        </w:rPr>
        <w:t>月</w:t>
      </w:r>
      <w:r w:rsidRPr="009535E7">
        <w:rPr>
          <w:rFonts w:eastAsia="標楷體"/>
          <w:sz w:val="24"/>
          <w:szCs w:val="24"/>
          <w:lang w:eastAsia="zh-CN"/>
        </w:rPr>
        <w:t>21</w:t>
      </w:r>
      <w:r w:rsidRPr="009535E7">
        <w:rPr>
          <w:rFonts w:eastAsia="標楷體"/>
          <w:sz w:val="24"/>
          <w:szCs w:val="24"/>
          <w:lang w:eastAsia="zh-CN"/>
        </w:rPr>
        <w:t>日及</w:t>
      </w:r>
      <w:r w:rsidRPr="009535E7">
        <w:rPr>
          <w:rFonts w:eastAsia="標楷體"/>
          <w:sz w:val="24"/>
          <w:szCs w:val="24"/>
          <w:lang w:eastAsia="zh-CN"/>
        </w:rPr>
        <w:t>2024</w:t>
      </w:r>
      <w:r w:rsidRPr="009535E7">
        <w:rPr>
          <w:rFonts w:eastAsia="標楷體"/>
          <w:sz w:val="24"/>
          <w:szCs w:val="24"/>
          <w:lang w:eastAsia="zh-CN"/>
        </w:rPr>
        <w:t>年</w:t>
      </w:r>
      <w:r w:rsidRPr="009535E7">
        <w:rPr>
          <w:rFonts w:eastAsia="標楷體"/>
          <w:sz w:val="24"/>
          <w:szCs w:val="24"/>
          <w:lang w:eastAsia="zh-CN"/>
        </w:rPr>
        <w:t>5</w:t>
      </w:r>
      <w:r w:rsidRPr="009535E7">
        <w:rPr>
          <w:rFonts w:eastAsia="標楷體"/>
          <w:sz w:val="24"/>
          <w:szCs w:val="24"/>
          <w:lang w:eastAsia="zh-CN"/>
        </w:rPr>
        <w:t>月</w:t>
      </w:r>
      <w:r w:rsidRPr="009535E7">
        <w:rPr>
          <w:rFonts w:eastAsia="標楷體"/>
          <w:sz w:val="24"/>
          <w:szCs w:val="24"/>
          <w:lang w:eastAsia="zh-CN"/>
        </w:rPr>
        <w:t>20</w:t>
      </w:r>
      <w:r w:rsidRPr="009535E7">
        <w:rPr>
          <w:rFonts w:eastAsia="標楷體"/>
          <w:sz w:val="24"/>
          <w:szCs w:val="24"/>
          <w:lang w:eastAsia="zh-CN"/>
        </w:rPr>
        <w:t>日</w:t>
      </w:r>
    </w:p>
    <w:p w14:paraId="5A5AB589" w14:textId="1648CC18" w:rsidR="00707032" w:rsidRPr="009535E7" w:rsidRDefault="009535E7" w:rsidP="00707032">
      <w:pPr>
        <w:tabs>
          <w:tab w:val="left" w:pos="840"/>
          <w:tab w:val="left" w:pos="1276"/>
        </w:tabs>
        <w:snapToGrid w:val="0"/>
        <w:ind w:rightChars="-29" w:right="-58"/>
        <w:jc w:val="both"/>
        <w:rPr>
          <w:rFonts w:eastAsia="標楷體"/>
          <w:sz w:val="24"/>
          <w:szCs w:val="24"/>
          <w:lang w:eastAsia="zh-HK"/>
        </w:rPr>
      </w:pPr>
      <w:r w:rsidRPr="009535E7">
        <w:rPr>
          <w:rFonts w:eastAsia="標楷體"/>
          <w:sz w:val="24"/>
          <w:szCs w:val="24"/>
          <w:lang w:eastAsia="zh-CN"/>
        </w:rPr>
        <w:t>裁决日期：</w:t>
      </w:r>
      <w:r w:rsidRPr="009535E7">
        <w:rPr>
          <w:rFonts w:eastAsia="標楷體"/>
          <w:sz w:val="24"/>
          <w:szCs w:val="24"/>
          <w:lang w:eastAsia="zh-CN"/>
        </w:rPr>
        <w:t>2024</w:t>
      </w:r>
      <w:r w:rsidRPr="009535E7">
        <w:rPr>
          <w:rFonts w:eastAsia="標楷體"/>
          <w:sz w:val="24"/>
          <w:szCs w:val="24"/>
          <w:lang w:eastAsia="zh-CN"/>
        </w:rPr>
        <w:t>年</w:t>
      </w:r>
      <w:r w:rsidRPr="009535E7">
        <w:rPr>
          <w:rFonts w:eastAsia="標楷體"/>
          <w:sz w:val="24"/>
          <w:szCs w:val="24"/>
          <w:lang w:eastAsia="zh-CN"/>
        </w:rPr>
        <w:t>8</w:t>
      </w:r>
      <w:r w:rsidRPr="009535E7">
        <w:rPr>
          <w:rFonts w:eastAsia="標楷體"/>
          <w:sz w:val="24"/>
          <w:szCs w:val="24"/>
          <w:lang w:eastAsia="zh-CN"/>
        </w:rPr>
        <w:t>月</w:t>
      </w:r>
      <w:r w:rsidRPr="009535E7">
        <w:rPr>
          <w:rFonts w:eastAsia="標楷體"/>
          <w:sz w:val="24"/>
          <w:szCs w:val="24"/>
          <w:lang w:eastAsia="zh-CN"/>
        </w:rPr>
        <w:t>23</w:t>
      </w:r>
      <w:r w:rsidRPr="009535E7">
        <w:rPr>
          <w:rFonts w:eastAsia="標楷體"/>
          <w:sz w:val="24"/>
          <w:szCs w:val="24"/>
          <w:lang w:eastAsia="zh-CN"/>
        </w:rPr>
        <w:t>日</w:t>
      </w:r>
    </w:p>
    <w:p w14:paraId="64F3400E" w14:textId="77777777" w:rsidR="00707032" w:rsidRPr="009535E7" w:rsidRDefault="00707032" w:rsidP="00707032">
      <w:pPr>
        <w:tabs>
          <w:tab w:val="left" w:pos="1276"/>
        </w:tabs>
        <w:snapToGrid w:val="0"/>
        <w:ind w:left="360" w:rightChars="-29" w:right="-58" w:hangingChars="150" w:hanging="360"/>
        <w:jc w:val="both"/>
        <w:rPr>
          <w:rFonts w:eastAsia="標楷體"/>
          <w:sz w:val="24"/>
          <w:szCs w:val="24"/>
          <w:lang w:eastAsia="zh-HK"/>
        </w:rPr>
      </w:pPr>
    </w:p>
    <w:p w14:paraId="62ED3984" w14:textId="77777777" w:rsidR="00707032" w:rsidRPr="009535E7" w:rsidRDefault="00707032" w:rsidP="00707032">
      <w:pPr>
        <w:tabs>
          <w:tab w:val="left" w:pos="1276"/>
        </w:tabs>
        <w:snapToGrid w:val="0"/>
        <w:ind w:left="360" w:rightChars="-29" w:right="-58" w:hangingChars="150" w:hanging="360"/>
        <w:jc w:val="both"/>
        <w:rPr>
          <w:rFonts w:eastAsia="標楷體"/>
          <w:sz w:val="24"/>
          <w:szCs w:val="24"/>
          <w:lang w:val="en-HK" w:eastAsia="zh-HK"/>
        </w:rPr>
      </w:pPr>
    </w:p>
    <w:p w14:paraId="41C47464" w14:textId="405CCACA" w:rsidR="00707032" w:rsidRPr="009535E7" w:rsidRDefault="009535E7" w:rsidP="00707032">
      <w:pPr>
        <w:ind w:firstLineChars="450" w:firstLine="1080"/>
        <w:jc w:val="both"/>
        <w:rPr>
          <w:rFonts w:eastAsia="標楷體"/>
          <w:sz w:val="24"/>
          <w:szCs w:val="24"/>
          <w:lang w:val="en-US" w:eastAsia="zh-CN"/>
        </w:rPr>
      </w:pPr>
      <w:r w:rsidRPr="009535E7">
        <w:rPr>
          <w:rFonts w:eastAsia="標楷體"/>
          <w:sz w:val="24"/>
          <w:szCs w:val="24"/>
          <w:lang w:val="en-US" w:eastAsia="zh-CN"/>
        </w:rPr>
        <w:t>上诉人为一间香港注册成立的私人公司，主要从事成衣生产、销售及投资控股业务。其全资附属公司</w:t>
      </w:r>
      <w:r w:rsidRPr="009535E7">
        <w:rPr>
          <w:rFonts w:eastAsia="標楷體"/>
          <w:sz w:val="24"/>
          <w:szCs w:val="24"/>
          <w:lang w:val="en-US" w:eastAsia="zh-CN"/>
        </w:rPr>
        <w:t>C</w:t>
      </w:r>
      <w:r w:rsidRPr="009535E7">
        <w:rPr>
          <w:rFonts w:eastAsia="標楷體"/>
          <w:sz w:val="24"/>
          <w:szCs w:val="24"/>
          <w:lang w:val="en-US" w:eastAsia="zh-CN"/>
        </w:rPr>
        <w:t>公司于</w:t>
      </w:r>
      <w:r w:rsidRPr="009535E7">
        <w:rPr>
          <w:rFonts w:eastAsia="標楷體"/>
          <w:sz w:val="24"/>
          <w:szCs w:val="24"/>
          <w:lang w:val="en-US" w:eastAsia="zh-CN"/>
        </w:rPr>
        <w:t>2003</w:t>
      </w:r>
      <w:r w:rsidRPr="009535E7">
        <w:rPr>
          <w:rFonts w:eastAsia="標楷體"/>
          <w:sz w:val="24"/>
          <w:szCs w:val="24"/>
          <w:lang w:val="en-US" w:eastAsia="zh-CN"/>
        </w:rPr>
        <w:t>年以外资企业在中国内地设立。于</w:t>
      </w:r>
      <w:r w:rsidRPr="009535E7">
        <w:rPr>
          <w:rFonts w:eastAsia="標楷體"/>
          <w:sz w:val="24"/>
          <w:szCs w:val="24"/>
          <w:lang w:val="en-US" w:eastAsia="zh-CN"/>
        </w:rPr>
        <w:t>2004/05</w:t>
      </w:r>
      <w:r w:rsidRPr="009535E7">
        <w:rPr>
          <w:rFonts w:eastAsia="標楷體"/>
          <w:sz w:val="24"/>
          <w:szCs w:val="24"/>
          <w:lang w:val="en-US" w:eastAsia="zh-CN"/>
        </w:rPr>
        <w:t>课税年度，上诉人称其一半的利润或亏损源自香港以外的生产活动，因此获评税主任批准并接纳其应评税利润按</w:t>
      </w:r>
      <w:r w:rsidRPr="009535E7">
        <w:rPr>
          <w:rFonts w:eastAsia="標楷體"/>
          <w:sz w:val="24"/>
          <w:szCs w:val="24"/>
          <w:lang w:val="en-US" w:eastAsia="zh-CN"/>
        </w:rPr>
        <w:t>50:50</w:t>
      </w:r>
      <w:r w:rsidRPr="009535E7">
        <w:rPr>
          <w:rFonts w:eastAsia="標楷體"/>
          <w:sz w:val="24"/>
          <w:szCs w:val="24"/>
          <w:lang w:val="en-US" w:eastAsia="zh-CN"/>
        </w:rPr>
        <w:t>的比例分摊计算。</w:t>
      </w:r>
    </w:p>
    <w:p w14:paraId="28B1E856" w14:textId="21504E21" w:rsidR="00707032" w:rsidRPr="009535E7" w:rsidRDefault="009535E7" w:rsidP="00707032">
      <w:pPr>
        <w:jc w:val="both"/>
        <w:rPr>
          <w:rFonts w:eastAsia="標楷體"/>
          <w:sz w:val="24"/>
          <w:szCs w:val="24"/>
          <w:lang w:val="en-US" w:eastAsia="zh-CN"/>
        </w:rPr>
      </w:pPr>
      <w:r w:rsidRPr="009535E7">
        <w:rPr>
          <w:rFonts w:eastAsia="標楷體"/>
          <w:sz w:val="24"/>
          <w:szCs w:val="24"/>
          <w:lang w:val="en-US" w:eastAsia="zh-CN"/>
        </w:rPr>
        <w:tab/>
      </w:r>
    </w:p>
    <w:p w14:paraId="4C2AF412" w14:textId="524FC1A7" w:rsidR="00707032" w:rsidRPr="009535E7" w:rsidRDefault="009535E7" w:rsidP="00707032">
      <w:pPr>
        <w:ind w:firstLineChars="450" w:firstLine="1080"/>
        <w:jc w:val="both"/>
        <w:rPr>
          <w:rFonts w:eastAsia="標楷體"/>
          <w:sz w:val="24"/>
          <w:szCs w:val="24"/>
          <w:lang w:val="en-US" w:eastAsia="zh-CN"/>
        </w:rPr>
      </w:pPr>
      <w:r w:rsidRPr="009535E7">
        <w:rPr>
          <w:rFonts w:eastAsia="標楷體"/>
          <w:sz w:val="24"/>
          <w:szCs w:val="24"/>
          <w:lang w:val="en-US" w:eastAsia="zh-CN"/>
        </w:rPr>
        <w:t>上诉人在</w:t>
      </w:r>
      <w:r w:rsidRPr="009535E7">
        <w:rPr>
          <w:rFonts w:eastAsia="標楷體"/>
          <w:sz w:val="24"/>
          <w:szCs w:val="24"/>
          <w:lang w:val="en-US" w:eastAsia="zh-CN"/>
        </w:rPr>
        <w:t>2012/13</w:t>
      </w:r>
      <w:r w:rsidRPr="009535E7">
        <w:rPr>
          <w:rFonts w:eastAsia="標楷體"/>
          <w:sz w:val="24"/>
          <w:szCs w:val="24"/>
          <w:lang w:val="en-US" w:eastAsia="zh-CN"/>
        </w:rPr>
        <w:t>至</w:t>
      </w:r>
      <w:r w:rsidRPr="009535E7">
        <w:rPr>
          <w:rFonts w:eastAsia="標楷體"/>
          <w:sz w:val="24"/>
          <w:szCs w:val="24"/>
          <w:lang w:val="en-US" w:eastAsia="zh-CN"/>
        </w:rPr>
        <w:t>2015/16</w:t>
      </w:r>
      <w:r w:rsidRPr="009535E7">
        <w:rPr>
          <w:rFonts w:eastAsia="標楷體"/>
          <w:sz w:val="24"/>
          <w:szCs w:val="24"/>
          <w:lang w:val="en-US" w:eastAsia="zh-CN"/>
        </w:rPr>
        <w:t>课税年度继续以</w:t>
      </w:r>
      <w:r w:rsidRPr="009535E7">
        <w:rPr>
          <w:rFonts w:eastAsia="標楷體"/>
          <w:sz w:val="24"/>
          <w:szCs w:val="24"/>
          <w:lang w:val="en-US" w:eastAsia="zh-CN"/>
        </w:rPr>
        <w:t>50:50</w:t>
      </w:r>
      <w:r w:rsidRPr="009535E7">
        <w:rPr>
          <w:rFonts w:eastAsia="標楷體"/>
          <w:sz w:val="24"/>
          <w:szCs w:val="24"/>
          <w:lang w:val="en-US" w:eastAsia="zh-CN"/>
        </w:rPr>
        <w:t>的比例申报境外利润。经复核后，评税主任要求上诉人提供进一步证明文件。于</w:t>
      </w:r>
      <w:r w:rsidRPr="009535E7">
        <w:rPr>
          <w:rFonts w:eastAsia="標楷體"/>
          <w:sz w:val="24"/>
          <w:szCs w:val="24"/>
          <w:lang w:val="en-US" w:eastAsia="zh-CN"/>
        </w:rPr>
        <w:t>2019</w:t>
      </w:r>
      <w:r w:rsidRPr="009535E7">
        <w:rPr>
          <w:rFonts w:eastAsia="標楷體"/>
          <w:sz w:val="24"/>
          <w:szCs w:val="24"/>
          <w:lang w:val="en-US" w:eastAsia="zh-CN"/>
        </w:rPr>
        <w:t>年</w:t>
      </w:r>
      <w:r w:rsidRPr="009535E7">
        <w:rPr>
          <w:rFonts w:eastAsia="標楷體"/>
          <w:sz w:val="24"/>
          <w:szCs w:val="24"/>
          <w:lang w:val="en-US" w:eastAsia="zh-CN"/>
        </w:rPr>
        <w:t>3</w:t>
      </w:r>
      <w:r w:rsidRPr="009535E7">
        <w:rPr>
          <w:rFonts w:eastAsia="標楷體"/>
          <w:sz w:val="24"/>
          <w:szCs w:val="24"/>
          <w:lang w:val="en-US" w:eastAsia="zh-CN"/>
        </w:rPr>
        <w:t>月</w:t>
      </w:r>
      <w:r w:rsidRPr="009535E7">
        <w:rPr>
          <w:rFonts w:eastAsia="標楷體"/>
          <w:sz w:val="24"/>
          <w:szCs w:val="24"/>
          <w:lang w:val="en-US" w:eastAsia="zh-CN"/>
        </w:rPr>
        <w:t>21</w:t>
      </w:r>
      <w:r w:rsidRPr="009535E7">
        <w:rPr>
          <w:rFonts w:eastAsia="標楷體"/>
          <w:sz w:val="24"/>
          <w:szCs w:val="24"/>
          <w:lang w:val="en-US" w:eastAsia="zh-CN"/>
        </w:rPr>
        <w:t>日信件中，评税主任通知税务局上诉人的离岸申索未获接纳。上诉人发出反对通知书，但因未能提供所需证据而被驳回，上诉人遂向税务上诉委员会提出上诉。</w:t>
      </w:r>
    </w:p>
    <w:p w14:paraId="26E245A9" w14:textId="77777777" w:rsidR="00707032" w:rsidRPr="009535E7" w:rsidRDefault="00707032" w:rsidP="00707032">
      <w:pPr>
        <w:jc w:val="both"/>
        <w:rPr>
          <w:rFonts w:eastAsia="標楷體"/>
          <w:sz w:val="24"/>
          <w:szCs w:val="24"/>
          <w:lang w:val="en-US" w:eastAsia="zh-CN"/>
        </w:rPr>
      </w:pPr>
    </w:p>
    <w:p w14:paraId="5197262E" w14:textId="109719A4" w:rsidR="00707032" w:rsidRPr="009535E7" w:rsidRDefault="009535E7" w:rsidP="00707032">
      <w:pPr>
        <w:ind w:firstLineChars="450" w:firstLine="1080"/>
        <w:jc w:val="both"/>
        <w:rPr>
          <w:rFonts w:eastAsia="標楷體"/>
          <w:sz w:val="24"/>
          <w:szCs w:val="24"/>
          <w:lang w:val="en-US"/>
        </w:rPr>
      </w:pPr>
      <w:r w:rsidRPr="009535E7">
        <w:rPr>
          <w:rFonts w:eastAsia="標楷體"/>
          <w:sz w:val="24"/>
          <w:szCs w:val="24"/>
          <w:lang w:val="en-US" w:eastAsia="zh-CN"/>
        </w:rPr>
        <w:t>上诉人主张，其业务一直仅属来料加工，亦援引</w:t>
      </w:r>
      <w:r w:rsidRPr="009535E7">
        <w:rPr>
          <w:rFonts w:eastAsia="標楷體"/>
          <w:sz w:val="24"/>
          <w:szCs w:val="24"/>
          <w:lang w:val="en-US" w:eastAsia="zh-CN"/>
        </w:rPr>
        <w:t>2004/05</w:t>
      </w:r>
      <w:r w:rsidRPr="009535E7">
        <w:rPr>
          <w:rFonts w:eastAsia="標楷體"/>
          <w:sz w:val="24"/>
          <w:szCs w:val="24"/>
          <w:lang w:val="en-US" w:eastAsia="zh-CN"/>
        </w:rPr>
        <w:t>课税年度的离岸申索已获接受，主张</w:t>
      </w:r>
      <w:r w:rsidRPr="009535E7">
        <w:rPr>
          <w:rFonts w:eastAsia="標楷體"/>
          <w:sz w:val="24"/>
          <w:szCs w:val="24"/>
          <w:lang w:val="en-US" w:eastAsia="zh-CN"/>
        </w:rPr>
        <w:t>50:50</w:t>
      </w:r>
      <w:r w:rsidRPr="009535E7">
        <w:rPr>
          <w:rFonts w:eastAsia="標楷體"/>
          <w:sz w:val="24"/>
          <w:szCs w:val="24"/>
          <w:lang w:val="en-US" w:eastAsia="zh-CN"/>
        </w:rPr>
        <w:t>分摊应参照《税务条例释义及执行指引第</w:t>
      </w:r>
      <w:r w:rsidRPr="009535E7">
        <w:rPr>
          <w:rFonts w:eastAsia="標楷體"/>
          <w:sz w:val="24"/>
          <w:szCs w:val="24"/>
          <w:lang w:val="en-US" w:eastAsia="zh-CN"/>
        </w:rPr>
        <w:t>21</w:t>
      </w:r>
      <w:r w:rsidRPr="009535E7">
        <w:rPr>
          <w:rFonts w:eastAsia="標楷體"/>
          <w:sz w:val="24"/>
          <w:szCs w:val="24"/>
          <w:lang w:val="en-US" w:eastAsia="zh-CN"/>
        </w:rPr>
        <w:t>号</w:t>
      </w:r>
      <w:r w:rsidRPr="009535E7">
        <w:rPr>
          <w:rFonts w:eastAsia="標楷體"/>
          <w:sz w:val="24"/>
          <w:szCs w:val="24"/>
          <w:lang w:val="en-US" w:eastAsia="zh-CN"/>
        </w:rPr>
        <w:t>(</w:t>
      </w:r>
      <w:r w:rsidRPr="009535E7">
        <w:rPr>
          <w:rFonts w:eastAsia="標楷體"/>
          <w:sz w:val="24"/>
          <w:szCs w:val="24"/>
          <w:lang w:val="en-US" w:eastAsia="zh-CN"/>
        </w:rPr>
        <w:t>修订版</w:t>
      </w:r>
      <w:r w:rsidRPr="009535E7">
        <w:rPr>
          <w:rFonts w:eastAsia="標楷體"/>
          <w:sz w:val="24"/>
          <w:szCs w:val="24"/>
          <w:lang w:val="en-US" w:eastAsia="zh-CN"/>
        </w:rPr>
        <w:t>)</w:t>
      </w:r>
      <w:r w:rsidRPr="009535E7">
        <w:rPr>
          <w:rFonts w:eastAsia="標楷體"/>
          <w:sz w:val="24"/>
          <w:szCs w:val="24"/>
          <w:lang w:val="en-US" w:eastAsia="zh-CN"/>
        </w:rPr>
        <w:t>》</w:t>
      </w:r>
      <w:r w:rsidRPr="009535E7">
        <w:rPr>
          <w:rFonts w:eastAsia="標楷體"/>
          <w:sz w:val="24"/>
          <w:szCs w:val="24"/>
          <w:lang w:val="en-US" w:eastAsia="zh-CN"/>
        </w:rPr>
        <w:t xml:space="preserve"> (‘DIPN 21’) </w:t>
      </w:r>
      <w:r w:rsidRPr="009535E7">
        <w:rPr>
          <w:rFonts w:eastAsia="標楷體"/>
          <w:sz w:val="24"/>
          <w:szCs w:val="24"/>
          <w:lang w:val="en-US" w:eastAsia="zh-CN"/>
        </w:rPr>
        <w:t>继续适用。</w:t>
      </w:r>
    </w:p>
    <w:p w14:paraId="2EA09EFC" w14:textId="77777777" w:rsidR="00707032" w:rsidRPr="009535E7" w:rsidRDefault="00707032" w:rsidP="00707032">
      <w:pPr>
        <w:jc w:val="both"/>
        <w:rPr>
          <w:rFonts w:eastAsia="標楷體"/>
          <w:sz w:val="24"/>
          <w:szCs w:val="24"/>
          <w:lang w:val="en-US"/>
        </w:rPr>
      </w:pPr>
    </w:p>
    <w:p w14:paraId="62FFEF14" w14:textId="77777777" w:rsidR="00707032" w:rsidRPr="009535E7" w:rsidRDefault="00707032" w:rsidP="00707032">
      <w:pPr>
        <w:jc w:val="both"/>
        <w:rPr>
          <w:rFonts w:eastAsia="標楷體"/>
          <w:sz w:val="24"/>
          <w:szCs w:val="24"/>
          <w:lang w:val="en-US"/>
        </w:rPr>
      </w:pPr>
    </w:p>
    <w:p w14:paraId="0F83C1B0" w14:textId="3DFB9713" w:rsidR="00707032" w:rsidRPr="009535E7" w:rsidRDefault="009535E7" w:rsidP="00707032">
      <w:pPr>
        <w:ind w:leftChars="450" w:left="900"/>
        <w:jc w:val="both"/>
        <w:rPr>
          <w:rFonts w:eastAsia="標楷體"/>
          <w:b/>
          <w:bCs/>
          <w:sz w:val="28"/>
          <w:szCs w:val="28"/>
          <w:lang w:val="en-US"/>
        </w:rPr>
      </w:pPr>
      <w:r w:rsidRPr="009535E7">
        <w:rPr>
          <w:rFonts w:eastAsia="標楷體"/>
          <w:b/>
          <w:bCs/>
          <w:sz w:val="28"/>
          <w:szCs w:val="28"/>
          <w:lang w:val="en-US" w:eastAsia="zh-CN"/>
        </w:rPr>
        <w:t>裁决：</w:t>
      </w:r>
    </w:p>
    <w:p w14:paraId="4CAA343C" w14:textId="77777777" w:rsidR="00707032" w:rsidRPr="009535E7" w:rsidRDefault="00707032" w:rsidP="00707032">
      <w:pPr>
        <w:jc w:val="both"/>
        <w:rPr>
          <w:rFonts w:eastAsia="標楷體"/>
          <w:b/>
          <w:bCs/>
          <w:sz w:val="28"/>
          <w:szCs w:val="28"/>
          <w:lang w:val="en-US"/>
        </w:rPr>
      </w:pPr>
    </w:p>
    <w:p w14:paraId="38A2BD96" w14:textId="5467B98D" w:rsidR="00707032" w:rsidRPr="009535E7" w:rsidRDefault="009535E7" w:rsidP="00707032">
      <w:pPr>
        <w:pStyle w:val="ac"/>
        <w:numPr>
          <w:ilvl w:val="0"/>
          <w:numId w:val="48"/>
        </w:numPr>
        <w:overflowPunct/>
        <w:autoSpaceDE/>
        <w:autoSpaceDN/>
        <w:adjustRightInd/>
        <w:ind w:leftChars="450" w:left="1380" w:hangingChars="200" w:hanging="480"/>
        <w:contextualSpacing/>
        <w:jc w:val="both"/>
        <w:textAlignment w:val="auto"/>
        <w:rPr>
          <w:rFonts w:eastAsia="標楷體"/>
          <w:sz w:val="24"/>
          <w:szCs w:val="24"/>
          <w:lang w:val="en-US"/>
        </w:rPr>
      </w:pPr>
      <w:r w:rsidRPr="009535E7">
        <w:rPr>
          <w:rFonts w:eastAsia="標楷體"/>
          <w:sz w:val="24"/>
          <w:szCs w:val="24"/>
          <w:lang w:val="en-US" w:eastAsia="zh-CN"/>
        </w:rPr>
        <w:t>本委员会在处理上诉个案时的职能是判断所涉上诉评税是否过高或者不正确。</w:t>
      </w:r>
    </w:p>
    <w:p w14:paraId="564FEA86" w14:textId="77777777" w:rsidR="00707032" w:rsidRPr="009535E7" w:rsidRDefault="00707032" w:rsidP="00707032">
      <w:pPr>
        <w:pStyle w:val="ac"/>
        <w:ind w:left="400"/>
        <w:jc w:val="both"/>
        <w:rPr>
          <w:rFonts w:eastAsia="標楷體"/>
          <w:sz w:val="24"/>
          <w:szCs w:val="24"/>
          <w:lang w:val="en-US"/>
        </w:rPr>
      </w:pPr>
    </w:p>
    <w:p w14:paraId="52E4F803" w14:textId="3B0F9A09" w:rsidR="00707032" w:rsidRPr="009535E7" w:rsidRDefault="009535E7" w:rsidP="00707032">
      <w:pPr>
        <w:pStyle w:val="ac"/>
        <w:numPr>
          <w:ilvl w:val="0"/>
          <w:numId w:val="48"/>
        </w:numPr>
        <w:overflowPunct/>
        <w:autoSpaceDE/>
        <w:autoSpaceDN/>
        <w:adjustRightInd/>
        <w:ind w:leftChars="450" w:left="1380" w:hangingChars="200" w:hanging="480"/>
        <w:contextualSpacing/>
        <w:jc w:val="both"/>
        <w:textAlignment w:val="auto"/>
        <w:rPr>
          <w:rFonts w:eastAsia="標楷體"/>
          <w:sz w:val="24"/>
          <w:szCs w:val="24"/>
          <w:lang w:val="en-US"/>
        </w:rPr>
      </w:pPr>
      <w:r w:rsidRPr="009535E7">
        <w:rPr>
          <w:rFonts w:eastAsia="標楷體"/>
          <w:sz w:val="24"/>
          <w:szCs w:val="24"/>
          <w:lang w:val="en-US" w:eastAsia="zh-CN"/>
        </w:rPr>
        <w:t>就利润来源而言，须考虑产生利润的不同交易的性质，并根据纳税人从事赚取有关利润的运作来确认（参照</w:t>
      </w:r>
      <w:r w:rsidRPr="009535E7">
        <w:rPr>
          <w:rFonts w:eastAsia="標楷體"/>
          <w:sz w:val="24"/>
          <w:szCs w:val="24"/>
          <w:lang w:val="en-US" w:eastAsia="zh-CN"/>
        </w:rPr>
        <w:t xml:space="preserve">Lord Bridge </w:t>
      </w:r>
      <w:r w:rsidRPr="009535E7">
        <w:rPr>
          <w:rFonts w:eastAsia="標楷體"/>
          <w:sz w:val="24"/>
          <w:szCs w:val="24"/>
          <w:lang w:val="en-US" w:eastAsia="zh-CN"/>
        </w:rPr>
        <w:t>在</w:t>
      </w:r>
      <w:r w:rsidRPr="009535E7">
        <w:rPr>
          <w:rFonts w:eastAsia="標楷體"/>
          <w:sz w:val="24"/>
          <w:szCs w:val="24"/>
          <w:lang w:val="en-US" w:eastAsia="zh-CN"/>
        </w:rPr>
        <w:t xml:space="preserve"> </w:t>
      </w:r>
      <w:r w:rsidRPr="009535E7">
        <w:rPr>
          <w:rFonts w:eastAsia="標楷體"/>
          <w:sz w:val="24"/>
          <w:szCs w:val="24"/>
          <w:u w:val="single"/>
          <w:lang w:val="en-US" w:eastAsia="zh-CN"/>
        </w:rPr>
        <w:t>Commissioner of Inland Revenue v Hang Sang Bank Limited</w:t>
      </w:r>
      <w:r w:rsidRPr="009535E7">
        <w:rPr>
          <w:rFonts w:eastAsia="標楷體"/>
          <w:sz w:val="24"/>
          <w:szCs w:val="24"/>
          <w:lang w:val="en-US" w:eastAsia="zh-CN"/>
        </w:rPr>
        <w:t>一案中判词）。利润的运作受制于两个限制：</w:t>
      </w:r>
      <w:r w:rsidRPr="009535E7">
        <w:rPr>
          <w:rFonts w:eastAsia="標楷體"/>
          <w:sz w:val="24"/>
          <w:szCs w:val="24"/>
          <w:lang w:val="en-US" w:eastAsia="zh-CN"/>
        </w:rPr>
        <w:t xml:space="preserve"> 1) </w:t>
      </w:r>
      <w:r w:rsidRPr="009535E7">
        <w:rPr>
          <w:rFonts w:eastAsia="標楷體"/>
          <w:sz w:val="24"/>
          <w:szCs w:val="24"/>
          <w:lang w:val="en-US" w:eastAsia="zh-CN"/>
        </w:rPr>
        <w:t>有关的运作必须是纳税人的运作；及</w:t>
      </w:r>
      <w:r w:rsidRPr="009535E7">
        <w:rPr>
          <w:rFonts w:eastAsia="標楷體"/>
          <w:sz w:val="24"/>
          <w:szCs w:val="24"/>
          <w:lang w:val="en-US" w:eastAsia="zh-CN"/>
        </w:rPr>
        <w:t xml:space="preserve">2) </w:t>
      </w:r>
      <w:r w:rsidRPr="009535E7">
        <w:rPr>
          <w:rFonts w:eastAsia="標楷體"/>
          <w:sz w:val="24"/>
          <w:szCs w:val="24"/>
          <w:lang w:val="en-US" w:eastAsia="zh-CN"/>
        </w:rPr>
        <w:t>有关运作并不包括整个纳税人的运作，只包括那些产生有关利润的运作。利润来源须归因纳税人自身的业务活动，而非集团内其他成员公司的业务运作</w:t>
      </w:r>
      <w:r w:rsidRPr="009535E7">
        <w:rPr>
          <w:rFonts w:eastAsia="標楷體"/>
          <w:sz w:val="24"/>
          <w:szCs w:val="24"/>
          <w:lang w:val="en-US" w:eastAsia="zh-CN"/>
        </w:rPr>
        <w:t xml:space="preserve"> (</w:t>
      </w:r>
      <w:r w:rsidRPr="009535E7">
        <w:rPr>
          <w:rFonts w:eastAsia="標楷體"/>
          <w:sz w:val="24"/>
          <w:szCs w:val="24"/>
          <w:lang w:val="en-US" w:eastAsia="zh-CN"/>
        </w:rPr>
        <w:t>参照</w:t>
      </w:r>
      <w:r w:rsidRPr="009535E7">
        <w:rPr>
          <w:rFonts w:eastAsia="標楷體"/>
          <w:sz w:val="24"/>
          <w:szCs w:val="24"/>
          <w:lang w:val="en-US" w:eastAsia="zh-CN"/>
        </w:rPr>
        <w:t xml:space="preserve">Lord Millet NPJ </w:t>
      </w:r>
      <w:r w:rsidRPr="009535E7">
        <w:rPr>
          <w:rFonts w:eastAsia="標楷體"/>
          <w:sz w:val="24"/>
          <w:szCs w:val="24"/>
          <w:lang w:val="en-US" w:eastAsia="zh-CN"/>
        </w:rPr>
        <w:t>在</w:t>
      </w:r>
      <w:r w:rsidRPr="009535E7">
        <w:rPr>
          <w:rFonts w:eastAsia="標楷體"/>
          <w:sz w:val="24"/>
          <w:szCs w:val="24"/>
          <w:u w:val="single"/>
          <w:lang w:val="en-US" w:eastAsia="zh-CN"/>
        </w:rPr>
        <w:t>ING Baring Securities (Hong Kong) Ltd v Commissioner of Inland Revenue</w:t>
      </w:r>
      <w:r w:rsidRPr="009535E7">
        <w:rPr>
          <w:rFonts w:eastAsia="標楷體"/>
          <w:sz w:val="24"/>
          <w:szCs w:val="24"/>
          <w:lang w:val="en-US" w:eastAsia="zh-CN"/>
        </w:rPr>
        <w:t xml:space="preserve"> </w:t>
      </w:r>
      <w:r w:rsidRPr="009535E7">
        <w:rPr>
          <w:rFonts w:eastAsia="標楷體"/>
          <w:sz w:val="24"/>
          <w:szCs w:val="24"/>
          <w:lang w:val="en-US" w:eastAsia="zh-CN"/>
        </w:rPr>
        <w:t>一案中判词</w:t>
      </w:r>
      <w:r w:rsidRPr="009535E7">
        <w:rPr>
          <w:rFonts w:eastAsia="標楷體"/>
          <w:sz w:val="24"/>
          <w:szCs w:val="24"/>
          <w:lang w:val="en-US" w:eastAsia="zh-CN"/>
        </w:rPr>
        <w:t>)</w:t>
      </w:r>
      <w:r w:rsidRPr="009535E7">
        <w:rPr>
          <w:rFonts w:eastAsia="標楷體"/>
          <w:sz w:val="24"/>
          <w:szCs w:val="24"/>
          <w:lang w:val="en-US" w:eastAsia="zh-CN"/>
        </w:rPr>
        <w:t>。</w:t>
      </w:r>
    </w:p>
    <w:p w14:paraId="350B630F" w14:textId="77777777" w:rsidR="00707032" w:rsidRPr="009535E7" w:rsidRDefault="00707032" w:rsidP="00707032">
      <w:pPr>
        <w:pStyle w:val="ac"/>
        <w:overflowPunct/>
        <w:autoSpaceDE/>
        <w:autoSpaceDN/>
        <w:adjustRightInd/>
        <w:ind w:leftChars="0" w:left="1778"/>
        <w:contextualSpacing/>
        <w:jc w:val="both"/>
        <w:textAlignment w:val="auto"/>
        <w:rPr>
          <w:rFonts w:eastAsia="標楷體"/>
          <w:sz w:val="24"/>
          <w:szCs w:val="24"/>
          <w:lang w:val="en-US"/>
        </w:rPr>
      </w:pPr>
    </w:p>
    <w:p w14:paraId="10E3F35E" w14:textId="425FED75" w:rsidR="00707032" w:rsidRPr="009535E7" w:rsidRDefault="009535E7" w:rsidP="00707032">
      <w:pPr>
        <w:pStyle w:val="ac"/>
        <w:numPr>
          <w:ilvl w:val="0"/>
          <w:numId w:val="48"/>
        </w:numPr>
        <w:overflowPunct/>
        <w:autoSpaceDE/>
        <w:autoSpaceDN/>
        <w:adjustRightInd/>
        <w:ind w:leftChars="450" w:left="1380" w:hangingChars="200" w:hanging="480"/>
        <w:contextualSpacing/>
        <w:jc w:val="both"/>
        <w:textAlignment w:val="auto"/>
        <w:rPr>
          <w:rFonts w:eastAsia="標楷體"/>
          <w:sz w:val="24"/>
          <w:szCs w:val="24"/>
          <w:lang w:val="en-US"/>
        </w:rPr>
      </w:pPr>
      <w:r w:rsidRPr="009535E7">
        <w:rPr>
          <w:rFonts w:eastAsia="標楷體"/>
          <w:sz w:val="24"/>
          <w:szCs w:val="24"/>
          <w:lang w:val="en-US" w:eastAsia="zh-CN"/>
        </w:rPr>
        <w:t>根据第</w:t>
      </w:r>
      <w:r w:rsidRPr="009535E7">
        <w:rPr>
          <w:rFonts w:eastAsia="標楷體"/>
          <w:sz w:val="24"/>
          <w:szCs w:val="24"/>
          <w:lang w:val="en-US" w:eastAsia="zh-CN"/>
        </w:rPr>
        <w:t>112</w:t>
      </w:r>
      <w:r w:rsidRPr="009535E7">
        <w:rPr>
          <w:rFonts w:eastAsia="標楷體"/>
          <w:sz w:val="24"/>
          <w:szCs w:val="24"/>
          <w:lang w:val="en-US" w:eastAsia="zh-CN"/>
        </w:rPr>
        <w:t>章《税务条例》第</w:t>
      </w:r>
      <w:r w:rsidRPr="009535E7">
        <w:rPr>
          <w:rFonts w:eastAsia="標楷體"/>
          <w:sz w:val="24"/>
          <w:szCs w:val="24"/>
          <w:lang w:val="en-US" w:eastAsia="zh-CN"/>
        </w:rPr>
        <w:t>68(4)</w:t>
      </w:r>
      <w:r w:rsidRPr="009535E7">
        <w:rPr>
          <w:rFonts w:eastAsia="標楷體"/>
          <w:sz w:val="24"/>
          <w:szCs w:val="24"/>
          <w:lang w:val="en-US" w:eastAsia="zh-CN"/>
        </w:rPr>
        <w:t>条，举证责任由纳税人承担。</w:t>
      </w:r>
    </w:p>
    <w:p w14:paraId="13FC2A7A" w14:textId="77777777" w:rsidR="00707032" w:rsidRPr="009535E7" w:rsidRDefault="00707032" w:rsidP="00707032">
      <w:pPr>
        <w:pStyle w:val="ac"/>
        <w:overflowPunct/>
        <w:autoSpaceDE/>
        <w:autoSpaceDN/>
        <w:adjustRightInd/>
        <w:ind w:leftChars="0" w:left="1778"/>
        <w:contextualSpacing/>
        <w:jc w:val="both"/>
        <w:textAlignment w:val="auto"/>
        <w:rPr>
          <w:rFonts w:eastAsia="標楷體"/>
          <w:sz w:val="24"/>
          <w:szCs w:val="24"/>
          <w:lang w:val="en-US"/>
        </w:rPr>
      </w:pPr>
    </w:p>
    <w:p w14:paraId="4BF64F2E" w14:textId="56B314ED" w:rsidR="00707032" w:rsidRPr="009535E7" w:rsidRDefault="009535E7" w:rsidP="00707032">
      <w:pPr>
        <w:pStyle w:val="ac"/>
        <w:numPr>
          <w:ilvl w:val="0"/>
          <w:numId w:val="48"/>
        </w:numPr>
        <w:overflowPunct/>
        <w:autoSpaceDE/>
        <w:autoSpaceDN/>
        <w:adjustRightInd/>
        <w:ind w:leftChars="450" w:left="1380" w:hangingChars="200" w:hanging="480"/>
        <w:contextualSpacing/>
        <w:jc w:val="both"/>
        <w:textAlignment w:val="auto"/>
        <w:rPr>
          <w:rFonts w:eastAsia="標楷體"/>
          <w:sz w:val="24"/>
          <w:szCs w:val="24"/>
          <w:lang w:val="en-US" w:eastAsia="zh-CN"/>
        </w:rPr>
      </w:pPr>
      <w:r w:rsidRPr="009535E7">
        <w:rPr>
          <w:rFonts w:eastAsia="標楷體"/>
          <w:sz w:val="24"/>
          <w:szCs w:val="24"/>
          <w:lang w:val="en-US" w:eastAsia="zh-CN"/>
        </w:rPr>
        <w:t>DIPN 21</w:t>
      </w:r>
      <w:r w:rsidRPr="009535E7">
        <w:rPr>
          <w:rFonts w:eastAsia="標楷體"/>
          <w:sz w:val="24"/>
          <w:szCs w:val="24"/>
          <w:lang w:val="en-US" w:eastAsia="zh-CN"/>
        </w:rPr>
        <w:t>没有法律效力，亦对上诉委员会没有约束力。然而，</w:t>
      </w:r>
      <w:r w:rsidRPr="009535E7">
        <w:rPr>
          <w:rFonts w:eastAsia="標楷體"/>
          <w:sz w:val="24"/>
          <w:szCs w:val="24"/>
          <w:lang w:val="en-US" w:eastAsia="zh-CN"/>
        </w:rPr>
        <w:t>DIPN 21</w:t>
      </w:r>
      <w:r w:rsidRPr="009535E7">
        <w:rPr>
          <w:rFonts w:eastAsia="標楷體"/>
          <w:sz w:val="24"/>
          <w:szCs w:val="24"/>
          <w:lang w:val="en-US" w:eastAsia="zh-CN"/>
        </w:rPr>
        <w:t>建议纳税人在作出申请离岸申索时准备足够文件证明其报税表中所申报的交易利润源自香港以外，而评税主任则有法定责任作出评税，并就纳税人的申请所涉及的交易的运作情况提出查问及要求提供详情。</w:t>
      </w:r>
    </w:p>
    <w:p w14:paraId="43486EC7" w14:textId="77777777" w:rsidR="00707032" w:rsidRPr="009535E7" w:rsidRDefault="00707032" w:rsidP="00707032">
      <w:pPr>
        <w:pStyle w:val="ac"/>
        <w:overflowPunct/>
        <w:autoSpaceDE/>
        <w:autoSpaceDN/>
        <w:adjustRightInd/>
        <w:ind w:leftChars="0" w:left="1778"/>
        <w:contextualSpacing/>
        <w:jc w:val="both"/>
        <w:textAlignment w:val="auto"/>
        <w:rPr>
          <w:rFonts w:eastAsia="標楷體"/>
          <w:sz w:val="24"/>
          <w:szCs w:val="24"/>
          <w:lang w:val="en-US" w:eastAsia="zh-CN"/>
        </w:rPr>
      </w:pPr>
    </w:p>
    <w:p w14:paraId="4CCEA4AE" w14:textId="104FA5CA" w:rsidR="00707032" w:rsidRPr="009535E7" w:rsidRDefault="009535E7" w:rsidP="00707032">
      <w:pPr>
        <w:pStyle w:val="ac"/>
        <w:numPr>
          <w:ilvl w:val="0"/>
          <w:numId w:val="48"/>
        </w:numPr>
        <w:overflowPunct/>
        <w:autoSpaceDE/>
        <w:autoSpaceDN/>
        <w:adjustRightInd/>
        <w:ind w:leftChars="450" w:left="1380" w:hangingChars="200" w:hanging="480"/>
        <w:contextualSpacing/>
        <w:jc w:val="both"/>
        <w:textAlignment w:val="auto"/>
        <w:rPr>
          <w:rFonts w:eastAsia="標楷體"/>
          <w:sz w:val="24"/>
          <w:szCs w:val="24"/>
          <w:lang w:val="en-US"/>
        </w:rPr>
      </w:pPr>
      <w:r w:rsidRPr="009535E7">
        <w:rPr>
          <w:rFonts w:eastAsia="標楷體"/>
          <w:sz w:val="24"/>
          <w:szCs w:val="24"/>
          <w:lang w:val="en-US" w:eastAsia="zh-CN"/>
        </w:rPr>
        <w:t>上诉人提供的文件仅能证明其与</w:t>
      </w:r>
      <w:r w:rsidRPr="009535E7">
        <w:rPr>
          <w:rFonts w:eastAsia="標楷體"/>
          <w:sz w:val="24"/>
          <w:szCs w:val="24"/>
          <w:lang w:val="en-US" w:eastAsia="zh-CN"/>
        </w:rPr>
        <w:t>C</w:t>
      </w:r>
      <w:r w:rsidRPr="009535E7">
        <w:rPr>
          <w:rFonts w:eastAsia="標楷體"/>
          <w:sz w:val="24"/>
          <w:szCs w:val="24"/>
          <w:lang w:val="en-US" w:eastAsia="zh-CN"/>
        </w:rPr>
        <w:t>公司可从事来料加工，以及</w:t>
      </w:r>
      <w:r w:rsidRPr="009535E7">
        <w:rPr>
          <w:rFonts w:eastAsia="標楷體"/>
          <w:sz w:val="24"/>
          <w:szCs w:val="24"/>
          <w:lang w:val="en-US" w:eastAsia="zh-CN"/>
        </w:rPr>
        <w:t>C</w:t>
      </w:r>
      <w:r w:rsidRPr="009535E7">
        <w:rPr>
          <w:rFonts w:eastAsia="標楷體"/>
          <w:sz w:val="24"/>
          <w:szCs w:val="24"/>
          <w:lang w:val="en-US" w:eastAsia="zh-CN"/>
        </w:rPr>
        <w:t>公司与上诉人有签订持续的加工合同安排，但不足以证明上诉人的整体业务运作情况或有关利润的产生方式。</w:t>
      </w:r>
    </w:p>
    <w:p w14:paraId="4136D7FD" w14:textId="77777777" w:rsidR="004E6032" w:rsidRPr="009535E7" w:rsidRDefault="004E6032" w:rsidP="004E6032">
      <w:pPr>
        <w:pStyle w:val="ac"/>
        <w:ind w:left="400"/>
        <w:rPr>
          <w:rFonts w:eastAsia="標楷體"/>
          <w:sz w:val="24"/>
          <w:szCs w:val="24"/>
          <w:lang w:val="en-US"/>
        </w:rPr>
      </w:pPr>
    </w:p>
    <w:p w14:paraId="7008E2B8" w14:textId="194B065E" w:rsidR="004E6032" w:rsidRPr="009535E7" w:rsidRDefault="009535E7" w:rsidP="004E6032">
      <w:pPr>
        <w:pStyle w:val="ac"/>
        <w:numPr>
          <w:ilvl w:val="0"/>
          <w:numId w:val="48"/>
        </w:numPr>
        <w:overflowPunct/>
        <w:autoSpaceDE/>
        <w:autoSpaceDN/>
        <w:adjustRightInd/>
        <w:ind w:leftChars="450" w:left="1380" w:hangingChars="200" w:hanging="480"/>
        <w:contextualSpacing/>
        <w:jc w:val="both"/>
        <w:textAlignment w:val="auto"/>
        <w:rPr>
          <w:rFonts w:eastAsia="標楷體"/>
          <w:sz w:val="24"/>
          <w:szCs w:val="24"/>
          <w:lang w:val="en-US" w:eastAsia="zh-CN"/>
        </w:rPr>
      </w:pPr>
      <w:r w:rsidRPr="009535E7">
        <w:rPr>
          <w:rFonts w:eastAsia="標楷體"/>
          <w:sz w:val="24"/>
          <w:szCs w:val="24"/>
          <w:lang w:val="en-US" w:eastAsia="zh-CN"/>
        </w:rPr>
        <w:t>上诉人在多次书面提醒下仍未能提交足够证据证明</w:t>
      </w:r>
      <w:r w:rsidRPr="009535E7">
        <w:rPr>
          <w:rFonts w:eastAsia="標楷體"/>
          <w:sz w:val="24"/>
          <w:szCs w:val="24"/>
          <w:lang w:val="en-US" w:eastAsia="zh-CN"/>
        </w:rPr>
        <w:t>2012/13</w:t>
      </w:r>
      <w:r w:rsidRPr="009535E7">
        <w:rPr>
          <w:rFonts w:eastAsia="標楷體"/>
          <w:sz w:val="24"/>
          <w:szCs w:val="24"/>
          <w:lang w:val="en-US" w:eastAsia="zh-CN"/>
        </w:rPr>
        <w:t>至</w:t>
      </w:r>
      <w:r w:rsidRPr="009535E7">
        <w:rPr>
          <w:rFonts w:eastAsia="標楷體"/>
          <w:sz w:val="24"/>
          <w:szCs w:val="24"/>
          <w:lang w:val="en-US" w:eastAsia="zh-CN"/>
        </w:rPr>
        <w:t>2014/15</w:t>
      </w:r>
      <w:r w:rsidRPr="009535E7">
        <w:rPr>
          <w:rFonts w:eastAsia="標楷體"/>
          <w:sz w:val="24"/>
          <w:szCs w:val="24"/>
          <w:lang w:val="en-US" w:eastAsia="zh-CN"/>
        </w:rPr>
        <w:t>课税年度利润源自香港以外，例如买卖及运输流程、出入境证明或内地缴税相关文件。</w:t>
      </w:r>
      <w:r w:rsidRPr="009535E7">
        <w:rPr>
          <w:rFonts w:eastAsia="標楷體"/>
          <w:color w:val="000000"/>
          <w:sz w:val="24"/>
          <w:szCs w:val="24"/>
          <w:lang w:eastAsia="zh-CN"/>
        </w:rPr>
        <w:t>上诉人亦无法提供有关派遣员工到内地的资料。</w:t>
      </w:r>
    </w:p>
    <w:p w14:paraId="1FEE9692" w14:textId="77777777" w:rsidR="004E6032" w:rsidRPr="009535E7" w:rsidRDefault="004E6032" w:rsidP="004E6032">
      <w:pPr>
        <w:pStyle w:val="ac"/>
        <w:overflowPunct/>
        <w:autoSpaceDE/>
        <w:autoSpaceDN/>
        <w:adjustRightInd/>
        <w:ind w:leftChars="0" w:left="1778"/>
        <w:contextualSpacing/>
        <w:jc w:val="both"/>
        <w:textAlignment w:val="auto"/>
        <w:rPr>
          <w:rFonts w:eastAsia="標楷體"/>
          <w:sz w:val="24"/>
          <w:szCs w:val="24"/>
          <w:lang w:val="en-US" w:eastAsia="zh-CN"/>
        </w:rPr>
      </w:pPr>
    </w:p>
    <w:p w14:paraId="1F131DE8" w14:textId="5D0DA122" w:rsidR="004E6032" w:rsidRPr="009535E7" w:rsidRDefault="009535E7" w:rsidP="004E6032">
      <w:pPr>
        <w:pStyle w:val="ac"/>
        <w:numPr>
          <w:ilvl w:val="0"/>
          <w:numId w:val="48"/>
        </w:numPr>
        <w:overflowPunct/>
        <w:autoSpaceDE/>
        <w:autoSpaceDN/>
        <w:adjustRightInd/>
        <w:ind w:leftChars="450" w:left="1380" w:hangingChars="200" w:hanging="480"/>
        <w:contextualSpacing/>
        <w:jc w:val="both"/>
        <w:textAlignment w:val="auto"/>
        <w:rPr>
          <w:rFonts w:eastAsia="標楷體"/>
          <w:sz w:val="24"/>
          <w:szCs w:val="24"/>
          <w:lang w:val="en-US" w:eastAsia="zh-CN"/>
        </w:rPr>
      </w:pPr>
      <w:r w:rsidRPr="009535E7">
        <w:rPr>
          <w:rFonts w:eastAsia="標楷體"/>
          <w:sz w:val="24"/>
          <w:szCs w:val="24"/>
          <w:lang w:val="en-US" w:eastAsia="zh-CN"/>
        </w:rPr>
        <w:t>每个课税年度都必须独立评审。上诉人认为由于税务局在</w:t>
      </w:r>
      <w:r w:rsidRPr="009535E7">
        <w:rPr>
          <w:rFonts w:eastAsia="標楷體"/>
          <w:sz w:val="24"/>
          <w:szCs w:val="24"/>
          <w:lang w:val="en-US" w:eastAsia="zh-CN"/>
        </w:rPr>
        <w:t>2004/05</w:t>
      </w:r>
      <w:r w:rsidRPr="009535E7">
        <w:rPr>
          <w:rFonts w:eastAsia="標楷體"/>
          <w:sz w:val="24"/>
          <w:szCs w:val="24"/>
          <w:lang w:val="en-US" w:eastAsia="zh-CN"/>
        </w:rPr>
        <w:t>课税年度采取分摊计算的处理方法，因此</w:t>
      </w:r>
      <w:r w:rsidRPr="009535E7">
        <w:rPr>
          <w:rFonts w:eastAsia="標楷體"/>
          <w:sz w:val="24"/>
          <w:szCs w:val="24"/>
          <w:lang w:val="en-US" w:eastAsia="zh-CN"/>
        </w:rPr>
        <w:t>2012/13</w:t>
      </w:r>
      <w:r w:rsidRPr="009535E7">
        <w:rPr>
          <w:rFonts w:eastAsia="標楷體"/>
          <w:sz w:val="24"/>
          <w:szCs w:val="24"/>
          <w:lang w:val="en-US" w:eastAsia="zh-CN"/>
        </w:rPr>
        <w:t>至</w:t>
      </w:r>
      <w:r w:rsidRPr="009535E7">
        <w:rPr>
          <w:rFonts w:eastAsia="標楷體"/>
          <w:sz w:val="24"/>
          <w:szCs w:val="24"/>
          <w:lang w:val="en-US" w:eastAsia="zh-CN"/>
        </w:rPr>
        <w:t>2014/15</w:t>
      </w:r>
      <w:r w:rsidRPr="009535E7">
        <w:rPr>
          <w:rFonts w:eastAsia="標楷體"/>
          <w:sz w:val="24"/>
          <w:szCs w:val="24"/>
          <w:lang w:val="en-US" w:eastAsia="zh-CN"/>
        </w:rPr>
        <w:t>课税年度亦应采取同样方法处理的论点不成立。</w:t>
      </w:r>
    </w:p>
    <w:p w14:paraId="3B6F0FF8" w14:textId="77777777" w:rsidR="004E6032" w:rsidRPr="009535E7" w:rsidRDefault="004E6032" w:rsidP="004E6032">
      <w:pPr>
        <w:pStyle w:val="ac"/>
        <w:overflowPunct/>
        <w:autoSpaceDE/>
        <w:autoSpaceDN/>
        <w:adjustRightInd/>
        <w:ind w:leftChars="0" w:left="1778"/>
        <w:contextualSpacing/>
        <w:jc w:val="both"/>
        <w:textAlignment w:val="auto"/>
        <w:rPr>
          <w:rFonts w:eastAsia="標楷體"/>
          <w:sz w:val="24"/>
          <w:szCs w:val="24"/>
          <w:lang w:val="en-US" w:eastAsia="zh-CN"/>
        </w:rPr>
      </w:pPr>
    </w:p>
    <w:p w14:paraId="2EC469E6" w14:textId="75E77F66" w:rsidR="004E6032" w:rsidRPr="009535E7" w:rsidRDefault="009535E7" w:rsidP="004E6032">
      <w:pPr>
        <w:pStyle w:val="ac"/>
        <w:numPr>
          <w:ilvl w:val="0"/>
          <w:numId w:val="48"/>
        </w:numPr>
        <w:overflowPunct/>
        <w:autoSpaceDE/>
        <w:autoSpaceDN/>
        <w:adjustRightInd/>
        <w:ind w:leftChars="450" w:left="1380" w:hangingChars="200" w:hanging="480"/>
        <w:contextualSpacing/>
        <w:jc w:val="both"/>
        <w:textAlignment w:val="auto"/>
        <w:rPr>
          <w:rFonts w:eastAsia="標楷體"/>
          <w:sz w:val="24"/>
          <w:szCs w:val="24"/>
          <w:lang w:val="en-US" w:eastAsia="zh-CN"/>
        </w:rPr>
      </w:pPr>
      <w:r w:rsidRPr="009535E7">
        <w:rPr>
          <w:rFonts w:eastAsia="標楷體"/>
          <w:sz w:val="24"/>
          <w:szCs w:val="24"/>
          <w:lang w:val="en-US" w:eastAsia="zh-CN"/>
        </w:rPr>
        <w:t>由于上诉人未能提供任何证据证明</w:t>
      </w:r>
      <w:r w:rsidRPr="009535E7">
        <w:rPr>
          <w:rFonts w:eastAsia="標楷體"/>
          <w:sz w:val="24"/>
          <w:szCs w:val="24"/>
          <w:lang w:val="en-US" w:eastAsia="zh-CN"/>
        </w:rPr>
        <w:t>C</w:t>
      </w:r>
      <w:r w:rsidRPr="009535E7">
        <w:rPr>
          <w:rFonts w:eastAsia="標楷體"/>
          <w:sz w:val="24"/>
          <w:szCs w:val="24"/>
          <w:lang w:val="en-US" w:eastAsia="zh-CN"/>
        </w:rPr>
        <w:t>公司在内地的活动与上诉人的营业有关或上诉人曾参与营运，委员会确认</w:t>
      </w:r>
      <w:r w:rsidRPr="009535E7">
        <w:rPr>
          <w:rFonts w:eastAsia="標楷體"/>
          <w:sz w:val="24"/>
          <w:szCs w:val="24"/>
          <w:lang w:val="en-US" w:eastAsia="zh-CN"/>
        </w:rPr>
        <w:t>C</w:t>
      </w:r>
      <w:r w:rsidRPr="009535E7">
        <w:rPr>
          <w:rFonts w:eastAsia="標楷體"/>
          <w:sz w:val="24"/>
          <w:szCs w:val="24"/>
          <w:lang w:val="en-US" w:eastAsia="zh-CN"/>
        </w:rPr>
        <w:t>公司为独立企业。因此，在确立上诉人利润来源时，不应考虑</w:t>
      </w:r>
      <w:r w:rsidRPr="009535E7">
        <w:rPr>
          <w:rFonts w:eastAsia="標楷體"/>
          <w:sz w:val="24"/>
          <w:szCs w:val="24"/>
          <w:lang w:val="en-US" w:eastAsia="zh-CN"/>
        </w:rPr>
        <w:t>C</w:t>
      </w:r>
      <w:r w:rsidRPr="009535E7">
        <w:rPr>
          <w:rFonts w:eastAsia="標楷體"/>
          <w:sz w:val="24"/>
          <w:szCs w:val="24"/>
          <w:lang w:val="en-US" w:eastAsia="zh-CN"/>
        </w:rPr>
        <w:t>公司在内地的运作。</w:t>
      </w:r>
    </w:p>
    <w:p w14:paraId="401F5700" w14:textId="77777777" w:rsidR="004E6032" w:rsidRPr="009535E7" w:rsidRDefault="004E6032" w:rsidP="004E6032">
      <w:pPr>
        <w:pStyle w:val="ac"/>
        <w:overflowPunct/>
        <w:autoSpaceDE/>
        <w:autoSpaceDN/>
        <w:adjustRightInd/>
        <w:ind w:leftChars="0" w:left="1778"/>
        <w:contextualSpacing/>
        <w:jc w:val="both"/>
        <w:textAlignment w:val="auto"/>
        <w:rPr>
          <w:rFonts w:eastAsia="標楷體"/>
          <w:sz w:val="24"/>
          <w:szCs w:val="24"/>
          <w:lang w:val="en-US" w:eastAsia="zh-CN"/>
        </w:rPr>
      </w:pPr>
    </w:p>
    <w:p w14:paraId="0D59688E" w14:textId="6526015F" w:rsidR="004E6032" w:rsidRPr="009535E7" w:rsidRDefault="009535E7" w:rsidP="004E6032">
      <w:pPr>
        <w:pStyle w:val="ac"/>
        <w:numPr>
          <w:ilvl w:val="0"/>
          <w:numId w:val="48"/>
        </w:numPr>
        <w:overflowPunct/>
        <w:autoSpaceDE/>
        <w:autoSpaceDN/>
        <w:adjustRightInd/>
        <w:ind w:leftChars="450" w:left="1380" w:hangingChars="200" w:hanging="480"/>
        <w:contextualSpacing/>
        <w:jc w:val="both"/>
        <w:textAlignment w:val="auto"/>
        <w:rPr>
          <w:rFonts w:eastAsia="標楷體"/>
          <w:sz w:val="24"/>
          <w:szCs w:val="24"/>
          <w:lang w:val="en-US"/>
        </w:rPr>
      </w:pPr>
      <w:r w:rsidRPr="009535E7">
        <w:rPr>
          <w:rFonts w:eastAsia="標楷體"/>
          <w:sz w:val="24"/>
          <w:szCs w:val="24"/>
          <w:lang w:val="en-US" w:eastAsia="zh-CN"/>
        </w:rPr>
        <w:t>综上所述，由于上诉人未能举证证明评税额过多或不正确，故驳回上诉维持决定书的评税。</w:t>
      </w:r>
    </w:p>
    <w:p w14:paraId="0B919CBC" w14:textId="77777777" w:rsidR="00654DFE" w:rsidRPr="009535E7" w:rsidRDefault="00654DFE" w:rsidP="00590EE5">
      <w:pPr>
        <w:tabs>
          <w:tab w:val="left" w:pos="1276"/>
        </w:tabs>
        <w:snapToGrid w:val="0"/>
        <w:ind w:left="360" w:rightChars="-29" w:right="-58" w:hangingChars="150" w:hanging="360"/>
        <w:jc w:val="both"/>
        <w:rPr>
          <w:rFonts w:eastAsia="標楷體"/>
          <w:sz w:val="24"/>
          <w:szCs w:val="24"/>
          <w:lang w:val="en-US" w:eastAsia="zh-HK"/>
        </w:rPr>
      </w:pPr>
    </w:p>
    <w:p w14:paraId="02E7E4C1" w14:textId="77777777" w:rsidR="00654DFE" w:rsidRPr="009535E7" w:rsidRDefault="00654DFE" w:rsidP="00590EE5">
      <w:pPr>
        <w:tabs>
          <w:tab w:val="left" w:pos="1276"/>
        </w:tabs>
        <w:snapToGrid w:val="0"/>
        <w:ind w:left="360" w:rightChars="-29" w:right="-58" w:hangingChars="150" w:hanging="360"/>
        <w:jc w:val="both"/>
        <w:rPr>
          <w:rFonts w:eastAsia="標楷體"/>
          <w:sz w:val="24"/>
          <w:szCs w:val="24"/>
          <w:lang w:val="en-HK" w:eastAsia="zh-HK"/>
        </w:rPr>
      </w:pPr>
    </w:p>
    <w:p w14:paraId="524EE7C1" w14:textId="35DC866C" w:rsidR="00005661" w:rsidRPr="009535E7" w:rsidRDefault="009535E7" w:rsidP="00590EE5">
      <w:pPr>
        <w:tabs>
          <w:tab w:val="left" w:pos="1276"/>
        </w:tabs>
        <w:snapToGrid w:val="0"/>
        <w:ind w:rightChars="-29" w:right="-58"/>
        <w:jc w:val="both"/>
        <w:rPr>
          <w:rFonts w:eastAsia="標楷體"/>
          <w:b/>
          <w:sz w:val="28"/>
          <w:szCs w:val="28"/>
          <w:lang w:eastAsia="zh-HK"/>
        </w:rPr>
      </w:pPr>
      <w:r w:rsidRPr="009535E7">
        <w:rPr>
          <w:rFonts w:eastAsia="標楷體"/>
          <w:b/>
          <w:sz w:val="28"/>
          <w:szCs w:val="28"/>
          <w:lang w:eastAsia="zh-CN"/>
        </w:rPr>
        <w:t>上诉驳回。</w:t>
      </w:r>
    </w:p>
    <w:p w14:paraId="381DC855" w14:textId="77777777" w:rsidR="00005661" w:rsidRPr="009535E7" w:rsidRDefault="00005661" w:rsidP="00590EE5">
      <w:pPr>
        <w:tabs>
          <w:tab w:val="left" w:pos="1276"/>
        </w:tabs>
        <w:snapToGrid w:val="0"/>
        <w:ind w:left="360" w:rightChars="-29" w:right="-58" w:hangingChars="150" w:hanging="360"/>
        <w:jc w:val="both"/>
        <w:rPr>
          <w:rFonts w:eastAsia="標楷體"/>
          <w:sz w:val="24"/>
          <w:szCs w:val="24"/>
          <w:lang w:eastAsia="zh-HK"/>
        </w:rPr>
      </w:pPr>
    </w:p>
    <w:p w14:paraId="699B29F6" w14:textId="56FF65D5" w:rsidR="00005661" w:rsidRPr="009535E7" w:rsidRDefault="009535E7" w:rsidP="00590EE5">
      <w:pPr>
        <w:tabs>
          <w:tab w:val="left" w:pos="1276"/>
        </w:tabs>
        <w:snapToGrid w:val="0"/>
        <w:ind w:rightChars="-29" w:right="-58"/>
        <w:jc w:val="both"/>
        <w:rPr>
          <w:rFonts w:eastAsia="標楷體"/>
          <w:sz w:val="24"/>
          <w:szCs w:val="24"/>
          <w:lang w:val="en-US" w:eastAsia="zh-HK"/>
        </w:rPr>
      </w:pPr>
      <w:r w:rsidRPr="009535E7">
        <w:rPr>
          <w:rFonts w:eastAsia="標楷體"/>
          <w:sz w:val="24"/>
          <w:szCs w:val="24"/>
          <w:lang w:val="en-US" w:eastAsia="zh-CN"/>
        </w:rPr>
        <w:t>参考案例：</w:t>
      </w:r>
    </w:p>
    <w:p w14:paraId="00A5AE58" w14:textId="77777777" w:rsidR="00005661" w:rsidRPr="009535E7" w:rsidRDefault="00005661" w:rsidP="00590EE5">
      <w:pPr>
        <w:tabs>
          <w:tab w:val="left" w:pos="1276"/>
        </w:tabs>
        <w:snapToGrid w:val="0"/>
        <w:ind w:left="360" w:rightChars="-29" w:right="-58" w:hangingChars="150" w:hanging="360"/>
        <w:jc w:val="both"/>
        <w:rPr>
          <w:rFonts w:eastAsia="標楷體"/>
          <w:sz w:val="24"/>
          <w:szCs w:val="24"/>
          <w:lang w:eastAsia="zh-HK"/>
        </w:rPr>
      </w:pPr>
    </w:p>
    <w:p w14:paraId="6F1E0FA0" w14:textId="57D90691" w:rsidR="00005661" w:rsidRPr="009535E7" w:rsidRDefault="009535E7" w:rsidP="00590EE5">
      <w:pPr>
        <w:tabs>
          <w:tab w:val="left" w:pos="1276"/>
        </w:tabs>
        <w:snapToGrid w:val="0"/>
        <w:ind w:left="851" w:rightChars="-29" w:right="-58" w:hanging="1620"/>
        <w:jc w:val="both"/>
        <w:rPr>
          <w:rFonts w:eastAsia="標楷體"/>
          <w:color w:val="000000"/>
          <w:sz w:val="24"/>
          <w:szCs w:val="24"/>
          <w:lang w:val="en-US"/>
        </w:rPr>
      </w:pPr>
      <w:r w:rsidRPr="009535E7">
        <w:rPr>
          <w:rFonts w:eastAsia="標楷體"/>
          <w:color w:val="000000"/>
          <w:sz w:val="24"/>
          <w:szCs w:val="24"/>
          <w:lang w:val="en-US" w:eastAsia="zh-CN"/>
        </w:rPr>
        <w:tab/>
        <w:t xml:space="preserve">Commissioner of Inland Revenue v </w:t>
      </w:r>
      <w:proofErr w:type="spellStart"/>
      <w:r w:rsidRPr="009535E7">
        <w:rPr>
          <w:rFonts w:eastAsia="標楷體"/>
          <w:color w:val="000000"/>
          <w:sz w:val="24"/>
          <w:szCs w:val="24"/>
          <w:lang w:val="en-US" w:eastAsia="zh-CN"/>
        </w:rPr>
        <w:t>Datatronic</w:t>
      </w:r>
      <w:proofErr w:type="spellEnd"/>
      <w:r w:rsidRPr="009535E7">
        <w:rPr>
          <w:rFonts w:eastAsia="標楷體"/>
          <w:color w:val="000000"/>
          <w:sz w:val="24"/>
          <w:szCs w:val="24"/>
          <w:lang w:val="en-US" w:eastAsia="zh-CN"/>
        </w:rPr>
        <w:t xml:space="preserve"> Ltd [2009] 4 HKLRD 675</w:t>
      </w:r>
    </w:p>
    <w:p w14:paraId="6F4A6D07" w14:textId="0E3FB51F" w:rsidR="00005661" w:rsidRPr="009535E7" w:rsidRDefault="009535E7" w:rsidP="00590EE5">
      <w:pPr>
        <w:tabs>
          <w:tab w:val="left" w:pos="1276"/>
        </w:tabs>
        <w:snapToGrid w:val="0"/>
        <w:ind w:left="851" w:rightChars="-29" w:right="-58" w:hanging="1620"/>
        <w:jc w:val="both"/>
        <w:rPr>
          <w:rFonts w:eastAsia="標楷體"/>
          <w:color w:val="000000"/>
          <w:sz w:val="24"/>
          <w:szCs w:val="24"/>
          <w:lang w:val="en-US"/>
        </w:rPr>
      </w:pPr>
      <w:r w:rsidRPr="009535E7">
        <w:rPr>
          <w:rFonts w:eastAsia="標楷體"/>
          <w:color w:val="000000"/>
          <w:sz w:val="24"/>
          <w:szCs w:val="24"/>
          <w:lang w:val="en-US" w:eastAsia="zh-CN"/>
        </w:rPr>
        <w:tab/>
        <w:t>Commissioner of Inland Revenue v CG lighting Limited [2010] 3 HKLRD 110</w:t>
      </w:r>
    </w:p>
    <w:p w14:paraId="15458D52" w14:textId="332325BE" w:rsidR="00005661" w:rsidRPr="009535E7" w:rsidRDefault="009535E7" w:rsidP="00590EE5">
      <w:pPr>
        <w:tabs>
          <w:tab w:val="left" w:pos="1276"/>
        </w:tabs>
        <w:snapToGrid w:val="0"/>
        <w:ind w:left="851" w:rightChars="-29" w:right="-58" w:hanging="1620"/>
        <w:jc w:val="both"/>
        <w:rPr>
          <w:rFonts w:eastAsia="標楷體"/>
          <w:color w:val="000000"/>
          <w:sz w:val="24"/>
          <w:szCs w:val="24"/>
          <w:lang w:val="en-US"/>
        </w:rPr>
      </w:pPr>
      <w:r w:rsidRPr="009535E7">
        <w:rPr>
          <w:rFonts w:eastAsia="標楷體"/>
          <w:color w:val="000000"/>
          <w:sz w:val="24"/>
          <w:szCs w:val="24"/>
          <w:lang w:val="en-US" w:eastAsia="zh-CN"/>
        </w:rPr>
        <w:tab/>
        <w:t>Commissioner of Inland Revenue v Hang Seng Bank Limited [1991] 1 AC 306</w:t>
      </w:r>
    </w:p>
    <w:p w14:paraId="284B4C4C" w14:textId="4D5A3D12" w:rsidR="00275A8E" w:rsidRPr="009535E7" w:rsidRDefault="009535E7" w:rsidP="00590EE5">
      <w:pPr>
        <w:tabs>
          <w:tab w:val="left" w:pos="1276"/>
        </w:tabs>
        <w:snapToGrid w:val="0"/>
        <w:ind w:left="851" w:rightChars="-29" w:right="-58" w:hanging="1620"/>
        <w:jc w:val="both"/>
        <w:rPr>
          <w:rFonts w:eastAsia="標楷體"/>
          <w:color w:val="000000"/>
          <w:sz w:val="24"/>
          <w:szCs w:val="24"/>
          <w:lang w:val="en-US"/>
        </w:rPr>
      </w:pPr>
      <w:r w:rsidRPr="009535E7">
        <w:rPr>
          <w:rFonts w:eastAsia="標楷體"/>
          <w:color w:val="000000"/>
          <w:sz w:val="24"/>
          <w:szCs w:val="24"/>
          <w:lang w:val="en-US" w:eastAsia="zh-CN"/>
        </w:rPr>
        <w:tab/>
        <w:t>ING Baring Securities (Hong Kong) Ltd v Commissioner of Inland Revenue [2008]</w:t>
      </w:r>
      <w:r w:rsidR="00005661" w:rsidRPr="009535E7">
        <w:rPr>
          <w:rFonts w:eastAsia="標楷體"/>
          <w:color w:val="000000"/>
          <w:sz w:val="24"/>
          <w:szCs w:val="24"/>
          <w:lang w:val="en-US"/>
        </w:rPr>
        <w:t xml:space="preserve"> </w:t>
      </w:r>
    </w:p>
    <w:p w14:paraId="6BBABA5A" w14:textId="1E7A243F" w:rsidR="00005661" w:rsidRPr="009535E7" w:rsidRDefault="009535E7" w:rsidP="00590EE5">
      <w:pPr>
        <w:tabs>
          <w:tab w:val="left" w:pos="1276"/>
        </w:tabs>
        <w:snapToGrid w:val="0"/>
        <w:ind w:leftChars="50" w:left="100" w:rightChars="-29" w:right="-58" w:firstLineChars="500" w:firstLine="1200"/>
        <w:jc w:val="both"/>
        <w:rPr>
          <w:rFonts w:eastAsia="標楷體"/>
          <w:color w:val="000000"/>
          <w:sz w:val="24"/>
          <w:szCs w:val="24"/>
          <w:lang w:val="en-US"/>
        </w:rPr>
      </w:pPr>
      <w:r w:rsidRPr="009535E7">
        <w:rPr>
          <w:rFonts w:eastAsia="標楷體"/>
          <w:color w:val="000000"/>
          <w:sz w:val="24"/>
          <w:szCs w:val="24"/>
          <w:lang w:val="en-US" w:eastAsia="zh-CN"/>
        </w:rPr>
        <w:t>1 HKLRD 412</w:t>
      </w:r>
    </w:p>
    <w:p w14:paraId="758BF81E" w14:textId="77777777" w:rsidR="00005661" w:rsidRPr="009535E7" w:rsidRDefault="00005661" w:rsidP="00590EE5">
      <w:pPr>
        <w:tabs>
          <w:tab w:val="left" w:pos="1276"/>
        </w:tabs>
        <w:snapToGrid w:val="0"/>
        <w:ind w:rightChars="-29" w:right="-58"/>
        <w:jc w:val="both"/>
        <w:rPr>
          <w:rFonts w:eastAsia="標楷體"/>
          <w:i/>
          <w:sz w:val="24"/>
          <w:szCs w:val="24"/>
          <w:lang w:val="en" w:eastAsia="zh-HK"/>
        </w:rPr>
      </w:pPr>
    </w:p>
    <w:p w14:paraId="15BA869F" w14:textId="4603A80A" w:rsidR="00005661" w:rsidRPr="009535E7" w:rsidRDefault="009535E7" w:rsidP="00590EE5">
      <w:pPr>
        <w:tabs>
          <w:tab w:val="left" w:pos="1276"/>
        </w:tabs>
        <w:snapToGrid w:val="0"/>
        <w:ind w:rightChars="-29" w:right="-58"/>
        <w:jc w:val="both"/>
        <w:rPr>
          <w:rFonts w:eastAsia="標楷體"/>
          <w:sz w:val="24"/>
          <w:szCs w:val="24"/>
        </w:rPr>
      </w:pPr>
      <w:r w:rsidRPr="009535E7">
        <w:rPr>
          <w:rFonts w:eastAsia="標楷體"/>
          <w:sz w:val="24"/>
          <w:szCs w:val="24"/>
          <w:lang w:val="en-US" w:eastAsia="zh-CN"/>
        </w:rPr>
        <w:t>企业秘书税务有限公司林建峯代表上诉人出席聆讯</w:t>
      </w:r>
      <w:r w:rsidRPr="009535E7">
        <w:rPr>
          <w:rFonts w:eastAsia="標楷體"/>
          <w:sz w:val="24"/>
          <w:szCs w:val="24"/>
          <w:lang w:eastAsia="zh-CN"/>
        </w:rPr>
        <w:t>。</w:t>
      </w:r>
    </w:p>
    <w:p w14:paraId="2FCB2EA5" w14:textId="35AC56F0" w:rsidR="00005661" w:rsidRPr="009535E7" w:rsidRDefault="009535E7" w:rsidP="00590EE5">
      <w:pPr>
        <w:tabs>
          <w:tab w:val="left" w:pos="1276"/>
        </w:tabs>
        <w:snapToGrid w:val="0"/>
        <w:ind w:rightChars="-29" w:right="-58"/>
        <w:jc w:val="both"/>
        <w:rPr>
          <w:rFonts w:eastAsia="標楷體"/>
          <w:sz w:val="24"/>
          <w:szCs w:val="24"/>
          <w:lang w:val="en-US" w:eastAsia="zh-HK"/>
        </w:rPr>
      </w:pPr>
      <w:r w:rsidRPr="009535E7">
        <w:rPr>
          <w:rFonts w:eastAsia="標楷體"/>
          <w:color w:val="000000"/>
          <w:sz w:val="24"/>
          <w:szCs w:val="24"/>
          <w:lang w:val="en" w:eastAsia="zh-CN"/>
        </w:rPr>
        <w:t>李顺珊</w:t>
      </w:r>
      <w:r w:rsidRPr="009535E7">
        <w:rPr>
          <w:rFonts w:eastAsia="標楷體"/>
          <w:sz w:val="24"/>
          <w:szCs w:val="24"/>
          <w:lang w:eastAsia="zh-CN"/>
        </w:rPr>
        <w:t>、</w:t>
      </w:r>
      <w:r w:rsidRPr="009535E7">
        <w:rPr>
          <w:rFonts w:eastAsia="標楷體"/>
          <w:color w:val="000000"/>
          <w:sz w:val="24"/>
          <w:szCs w:val="24"/>
          <w:lang w:val="en" w:eastAsia="zh-CN"/>
        </w:rPr>
        <w:t>邱婉真</w:t>
      </w:r>
      <w:r w:rsidRPr="009535E7">
        <w:rPr>
          <w:rFonts w:eastAsia="標楷體"/>
          <w:sz w:val="24"/>
          <w:szCs w:val="24"/>
          <w:lang w:eastAsia="zh-CN"/>
        </w:rPr>
        <w:t>及</w:t>
      </w:r>
      <w:r w:rsidRPr="009535E7">
        <w:rPr>
          <w:rFonts w:eastAsia="標楷體"/>
          <w:color w:val="000000"/>
          <w:sz w:val="24"/>
          <w:szCs w:val="24"/>
          <w:lang w:eastAsia="zh-CN"/>
        </w:rPr>
        <w:t>郑雅蔓</w:t>
      </w:r>
      <w:r w:rsidRPr="009535E7">
        <w:rPr>
          <w:rFonts w:eastAsia="標楷體"/>
          <w:sz w:val="24"/>
          <w:szCs w:val="24"/>
          <w:lang w:eastAsia="zh-CN"/>
        </w:rPr>
        <w:t>代表税务局局长出席聆讯。</w:t>
      </w:r>
    </w:p>
    <w:p w14:paraId="20C94237" w14:textId="77777777" w:rsidR="00695727" w:rsidRPr="009535E7" w:rsidRDefault="00695727" w:rsidP="00590EE5">
      <w:pPr>
        <w:snapToGrid w:val="0"/>
        <w:jc w:val="both"/>
        <w:rPr>
          <w:rFonts w:eastAsia="標楷體"/>
          <w:sz w:val="24"/>
          <w:szCs w:val="24"/>
          <w:lang w:val="en-US"/>
        </w:rPr>
      </w:pPr>
    </w:p>
    <w:p w14:paraId="21C85BF3" w14:textId="77777777" w:rsidR="005E2D04" w:rsidRPr="009535E7" w:rsidRDefault="005E2D04" w:rsidP="00590EE5">
      <w:pPr>
        <w:snapToGrid w:val="0"/>
        <w:jc w:val="both"/>
        <w:rPr>
          <w:rFonts w:eastAsia="標楷體"/>
          <w:sz w:val="24"/>
          <w:szCs w:val="24"/>
          <w:lang w:val="en-US"/>
        </w:rPr>
      </w:pPr>
    </w:p>
    <w:p w14:paraId="69597566" w14:textId="77777777" w:rsidR="002F112B" w:rsidRPr="009535E7" w:rsidRDefault="002F112B">
      <w:pPr>
        <w:overflowPunct/>
        <w:autoSpaceDE/>
        <w:autoSpaceDN/>
        <w:adjustRightInd/>
        <w:textAlignment w:val="auto"/>
        <w:rPr>
          <w:rFonts w:eastAsia="標楷體"/>
          <w:b/>
          <w:bCs/>
          <w:sz w:val="24"/>
          <w:szCs w:val="24"/>
        </w:rPr>
      </w:pPr>
      <w:r w:rsidRPr="009535E7">
        <w:rPr>
          <w:rFonts w:eastAsia="標楷體"/>
          <w:b/>
          <w:bCs/>
          <w:sz w:val="24"/>
          <w:szCs w:val="24"/>
        </w:rPr>
        <w:br w:type="page"/>
      </w:r>
    </w:p>
    <w:p w14:paraId="20E40AB6" w14:textId="22353CC5" w:rsidR="005E2D04" w:rsidRPr="009535E7" w:rsidRDefault="009535E7" w:rsidP="00590EE5">
      <w:pPr>
        <w:pStyle w:val="ac"/>
        <w:snapToGrid w:val="0"/>
        <w:ind w:leftChars="0" w:left="0"/>
        <w:jc w:val="both"/>
        <w:rPr>
          <w:rFonts w:eastAsia="標楷體"/>
          <w:b/>
          <w:bCs/>
          <w:sz w:val="28"/>
          <w:szCs w:val="28"/>
        </w:rPr>
      </w:pPr>
      <w:r w:rsidRPr="009535E7">
        <w:rPr>
          <w:rFonts w:eastAsia="標楷體"/>
          <w:b/>
          <w:bCs/>
          <w:sz w:val="28"/>
          <w:szCs w:val="28"/>
          <w:lang w:eastAsia="zh-CN"/>
        </w:rPr>
        <w:lastRenderedPageBreak/>
        <w:t>决</w:t>
      </w:r>
      <w:r w:rsidRPr="009535E7">
        <w:rPr>
          <w:rFonts w:eastAsia="標楷體"/>
          <w:b/>
          <w:bCs/>
          <w:sz w:val="28"/>
          <w:szCs w:val="28"/>
          <w:lang w:eastAsia="zh-CN"/>
        </w:rPr>
        <w:t xml:space="preserve"> </w:t>
      </w:r>
      <w:r w:rsidRPr="009535E7">
        <w:rPr>
          <w:rFonts w:eastAsia="標楷體"/>
          <w:b/>
          <w:bCs/>
          <w:sz w:val="28"/>
          <w:szCs w:val="28"/>
          <w:lang w:eastAsia="zh-CN"/>
        </w:rPr>
        <w:t>定</w:t>
      </w:r>
      <w:r w:rsidRPr="009535E7">
        <w:rPr>
          <w:rFonts w:eastAsia="標楷體"/>
          <w:b/>
          <w:bCs/>
          <w:sz w:val="28"/>
          <w:szCs w:val="28"/>
          <w:lang w:eastAsia="zh-CN"/>
        </w:rPr>
        <w:t xml:space="preserve"> </w:t>
      </w:r>
      <w:r w:rsidRPr="009535E7">
        <w:rPr>
          <w:rFonts w:eastAsia="標楷體"/>
          <w:b/>
          <w:bCs/>
          <w:sz w:val="28"/>
          <w:szCs w:val="28"/>
          <w:lang w:eastAsia="zh-CN"/>
        </w:rPr>
        <w:t>书：</w:t>
      </w:r>
    </w:p>
    <w:p w14:paraId="677BBD9C" w14:textId="77777777" w:rsidR="00552DCD" w:rsidRPr="009535E7" w:rsidRDefault="00552DCD" w:rsidP="00590EE5">
      <w:pPr>
        <w:snapToGrid w:val="0"/>
        <w:jc w:val="both"/>
        <w:rPr>
          <w:rFonts w:eastAsia="標楷體"/>
          <w:b/>
          <w:bCs/>
          <w:sz w:val="28"/>
          <w:szCs w:val="28"/>
        </w:rPr>
      </w:pPr>
    </w:p>
    <w:p w14:paraId="1125ED2E" w14:textId="3045CB5E" w:rsidR="00552DCD" w:rsidRPr="009535E7" w:rsidRDefault="009535E7" w:rsidP="00590EE5">
      <w:pPr>
        <w:pStyle w:val="ac"/>
        <w:numPr>
          <w:ilvl w:val="0"/>
          <w:numId w:val="44"/>
        </w:numPr>
        <w:snapToGrid w:val="0"/>
        <w:ind w:leftChars="0" w:left="709" w:hanging="567"/>
        <w:jc w:val="both"/>
        <w:textAlignment w:val="auto"/>
        <w:rPr>
          <w:rFonts w:eastAsia="標楷體"/>
          <w:b/>
          <w:bCs/>
          <w:sz w:val="28"/>
          <w:szCs w:val="28"/>
          <w:lang w:val="en-US"/>
        </w:rPr>
      </w:pPr>
      <w:r w:rsidRPr="009535E7">
        <w:rPr>
          <w:rFonts w:eastAsia="標楷體"/>
          <w:b/>
          <w:bCs/>
          <w:sz w:val="28"/>
          <w:szCs w:val="28"/>
          <w:lang w:val="en-US" w:eastAsia="zh-CN"/>
        </w:rPr>
        <w:t>上诉</w:t>
      </w:r>
    </w:p>
    <w:p w14:paraId="7708B993" w14:textId="77777777" w:rsidR="00552DCD" w:rsidRPr="009535E7" w:rsidRDefault="00552DCD" w:rsidP="00590EE5">
      <w:pPr>
        <w:pStyle w:val="ac"/>
        <w:snapToGrid w:val="0"/>
        <w:ind w:left="400"/>
        <w:jc w:val="both"/>
        <w:rPr>
          <w:rFonts w:eastAsia="標楷體"/>
          <w:b/>
          <w:bCs/>
          <w:sz w:val="24"/>
          <w:szCs w:val="24"/>
          <w:lang w:val="en-US"/>
        </w:rPr>
      </w:pPr>
    </w:p>
    <w:p w14:paraId="24C441A0" w14:textId="52394723" w:rsidR="00552DCD" w:rsidRPr="009535E7" w:rsidRDefault="009535E7" w:rsidP="00590EE5">
      <w:pPr>
        <w:pStyle w:val="ac"/>
        <w:numPr>
          <w:ilvl w:val="0"/>
          <w:numId w:val="45"/>
        </w:numPr>
        <w:snapToGrid w:val="0"/>
        <w:ind w:leftChars="0" w:left="0" w:firstLine="0"/>
        <w:jc w:val="both"/>
        <w:textAlignment w:val="auto"/>
        <w:rPr>
          <w:rFonts w:eastAsia="標楷體"/>
          <w:b/>
          <w:bCs/>
          <w:sz w:val="24"/>
          <w:szCs w:val="24"/>
          <w:lang w:val="en-US"/>
        </w:rPr>
      </w:pPr>
      <w:r w:rsidRPr="009535E7">
        <w:rPr>
          <w:rFonts w:eastAsia="標楷體"/>
          <w:sz w:val="24"/>
          <w:szCs w:val="24"/>
          <w:lang w:val="en-US" w:eastAsia="zh-CN"/>
        </w:rPr>
        <w:t>这是针对税务局副局长于</w:t>
      </w:r>
      <w:r w:rsidRPr="009535E7">
        <w:rPr>
          <w:rFonts w:eastAsia="標楷體"/>
          <w:sz w:val="24"/>
          <w:szCs w:val="24"/>
          <w:lang w:val="en-US" w:eastAsia="zh-CN"/>
        </w:rPr>
        <w:t>2023</w:t>
      </w:r>
      <w:r w:rsidRPr="009535E7">
        <w:rPr>
          <w:rFonts w:eastAsia="標楷體"/>
          <w:sz w:val="24"/>
          <w:szCs w:val="24"/>
          <w:lang w:val="en-US" w:eastAsia="zh-CN"/>
        </w:rPr>
        <w:t>年</w:t>
      </w:r>
      <w:r w:rsidRPr="009535E7">
        <w:rPr>
          <w:rFonts w:eastAsia="標楷體"/>
          <w:sz w:val="24"/>
          <w:szCs w:val="24"/>
          <w:lang w:val="en-US" w:eastAsia="zh-CN"/>
        </w:rPr>
        <w:t>8</w:t>
      </w:r>
      <w:r w:rsidRPr="009535E7">
        <w:rPr>
          <w:rFonts w:eastAsia="標楷體"/>
          <w:sz w:val="24"/>
          <w:szCs w:val="24"/>
          <w:lang w:val="en-US" w:eastAsia="zh-CN"/>
        </w:rPr>
        <w:t>月</w:t>
      </w:r>
      <w:r w:rsidRPr="009535E7">
        <w:rPr>
          <w:rFonts w:eastAsia="標楷體"/>
          <w:sz w:val="24"/>
          <w:szCs w:val="24"/>
          <w:lang w:val="en-US" w:eastAsia="zh-CN"/>
        </w:rPr>
        <w:t>24</w:t>
      </w:r>
      <w:r w:rsidRPr="009535E7">
        <w:rPr>
          <w:rFonts w:eastAsia="標楷體"/>
          <w:sz w:val="24"/>
          <w:szCs w:val="24"/>
          <w:lang w:val="en-US" w:eastAsia="zh-CN"/>
        </w:rPr>
        <w:t>日发出的决定书（「</w:t>
      </w:r>
      <w:r w:rsidRPr="009535E7">
        <w:rPr>
          <w:rFonts w:eastAsia="標楷體"/>
          <w:b/>
          <w:bCs/>
          <w:sz w:val="24"/>
          <w:szCs w:val="24"/>
          <w:lang w:val="en-US" w:eastAsia="zh-CN"/>
        </w:rPr>
        <w:t>决定书</w:t>
      </w:r>
      <w:r w:rsidRPr="009535E7">
        <w:rPr>
          <w:rFonts w:eastAsia="標楷體"/>
          <w:sz w:val="24"/>
          <w:szCs w:val="24"/>
          <w:lang w:val="en-US" w:eastAsia="zh-CN"/>
        </w:rPr>
        <w:t>」）提出的上诉，该决定书确认了上诉人就</w:t>
      </w:r>
      <w:r w:rsidRPr="009535E7">
        <w:rPr>
          <w:rFonts w:eastAsia="標楷體"/>
          <w:sz w:val="24"/>
          <w:szCs w:val="24"/>
          <w:lang w:val="en-US" w:eastAsia="zh-CN"/>
        </w:rPr>
        <w:t>2012/13</w:t>
      </w:r>
      <w:r w:rsidRPr="009535E7">
        <w:rPr>
          <w:rFonts w:eastAsia="標楷體"/>
          <w:sz w:val="24"/>
          <w:szCs w:val="24"/>
          <w:lang w:val="en-US" w:eastAsia="zh-CN"/>
        </w:rPr>
        <w:t>至</w:t>
      </w:r>
      <w:r w:rsidRPr="009535E7">
        <w:rPr>
          <w:rFonts w:eastAsia="標楷體"/>
          <w:sz w:val="24"/>
          <w:szCs w:val="24"/>
          <w:lang w:val="en-US" w:eastAsia="zh-CN"/>
        </w:rPr>
        <w:t>2014/15</w:t>
      </w:r>
      <w:r w:rsidRPr="009535E7">
        <w:rPr>
          <w:rFonts w:eastAsia="標楷體"/>
          <w:sz w:val="24"/>
          <w:szCs w:val="24"/>
          <w:lang w:val="en-US" w:eastAsia="zh-CN"/>
        </w:rPr>
        <w:t>课税年度的利得税补加评税及</w:t>
      </w:r>
      <w:r w:rsidRPr="009535E7">
        <w:rPr>
          <w:rFonts w:eastAsia="標楷體"/>
          <w:sz w:val="24"/>
          <w:szCs w:val="24"/>
          <w:lang w:val="en-US" w:eastAsia="zh-CN"/>
        </w:rPr>
        <w:t>2015/16</w:t>
      </w:r>
      <w:r w:rsidRPr="009535E7">
        <w:rPr>
          <w:rFonts w:eastAsia="標楷體"/>
          <w:sz w:val="24"/>
          <w:szCs w:val="24"/>
          <w:lang w:val="en-US" w:eastAsia="zh-CN"/>
        </w:rPr>
        <w:t>课税年度的利得税评税（统称「</w:t>
      </w:r>
      <w:r w:rsidRPr="009535E7">
        <w:rPr>
          <w:rFonts w:eastAsia="標楷體"/>
          <w:b/>
          <w:bCs/>
          <w:sz w:val="24"/>
          <w:szCs w:val="24"/>
          <w:lang w:val="en-US" w:eastAsia="zh-CN"/>
        </w:rPr>
        <w:t>该等评税</w:t>
      </w:r>
      <w:r w:rsidRPr="009535E7">
        <w:rPr>
          <w:rFonts w:eastAsia="標楷體"/>
          <w:sz w:val="24"/>
          <w:szCs w:val="24"/>
          <w:lang w:val="en-US" w:eastAsia="zh-CN"/>
        </w:rPr>
        <w:t>」）。</w:t>
      </w:r>
    </w:p>
    <w:p w14:paraId="18166F78" w14:textId="77777777" w:rsidR="00552DCD" w:rsidRPr="009535E7" w:rsidRDefault="00552DCD" w:rsidP="00590EE5">
      <w:pPr>
        <w:pStyle w:val="ac"/>
        <w:snapToGrid w:val="0"/>
        <w:ind w:left="1109" w:hanging="709"/>
        <w:jc w:val="both"/>
        <w:rPr>
          <w:rFonts w:eastAsia="標楷體"/>
          <w:b/>
          <w:bCs/>
          <w:sz w:val="24"/>
          <w:szCs w:val="24"/>
          <w:lang w:val="en-US"/>
        </w:rPr>
      </w:pPr>
    </w:p>
    <w:p w14:paraId="2FBF07FD" w14:textId="52F30789" w:rsidR="00552DCD" w:rsidRPr="009535E7" w:rsidRDefault="009535E7" w:rsidP="00590EE5">
      <w:pPr>
        <w:pStyle w:val="ac"/>
        <w:numPr>
          <w:ilvl w:val="0"/>
          <w:numId w:val="45"/>
        </w:numPr>
        <w:snapToGrid w:val="0"/>
        <w:ind w:leftChars="0" w:left="0" w:firstLine="0"/>
        <w:jc w:val="both"/>
        <w:textAlignment w:val="auto"/>
        <w:rPr>
          <w:rFonts w:eastAsia="標楷體"/>
          <w:sz w:val="24"/>
          <w:szCs w:val="24"/>
          <w:lang w:val="en-US"/>
        </w:rPr>
      </w:pPr>
      <w:r w:rsidRPr="009535E7">
        <w:rPr>
          <w:rFonts w:eastAsia="標楷體"/>
          <w:sz w:val="24"/>
          <w:szCs w:val="24"/>
          <w:lang w:val="en-US" w:eastAsia="zh-CN"/>
        </w:rPr>
        <w:t>在决定书中，</w:t>
      </w:r>
      <w:r w:rsidRPr="009535E7">
        <w:rPr>
          <w:rFonts w:eastAsia="標楷體"/>
          <w:sz w:val="24"/>
          <w:szCs w:val="24"/>
          <w:lang w:eastAsia="zh-CN"/>
        </w:rPr>
        <w:t>税务局局长需要就以下</w:t>
      </w:r>
      <w:r w:rsidRPr="009535E7">
        <w:rPr>
          <w:rFonts w:eastAsia="標楷體"/>
          <w:sz w:val="24"/>
          <w:szCs w:val="24"/>
          <w:lang w:eastAsia="zh-CN"/>
        </w:rPr>
        <w:t>3</w:t>
      </w:r>
      <w:r w:rsidRPr="009535E7">
        <w:rPr>
          <w:rFonts w:eastAsia="標楷體"/>
          <w:sz w:val="24"/>
          <w:szCs w:val="24"/>
          <w:lang w:eastAsia="zh-CN"/>
        </w:rPr>
        <w:t>个问题作出决定：</w:t>
      </w:r>
    </w:p>
    <w:p w14:paraId="4EA253FE" w14:textId="77777777" w:rsidR="00190337" w:rsidRPr="009535E7" w:rsidRDefault="00190337" w:rsidP="00590EE5">
      <w:pPr>
        <w:pStyle w:val="ac"/>
        <w:snapToGrid w:val="0"/>
        <w:ind w:leftChars="0" w:left="851"/>
        <w:jc w:val="both"/>
        <w:textAlignment w:val="auto"/>
        <w:rPr>
          <w:rFonts w:eastAsia="標楷體"/>
          <w:sz w:val="24"/>
          <w:szCs w:val="24"/>
          <w:lang w:val="en-US"/>
        </w:rPr>
      </w:pPr>
    </w:p>
    <w:p w14:paraId="447D245E" w14:textId="77D4B690" w:rsidR="00552DCD" w:rsidRPr="009535E7" w:rsidRDefault="009535E7"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sz w:val="24"/>
          <w:szCs w:val="24"/>
          <w:lang w:val="en-US"/>
        </w:rPr>
      </w:pPr>
      <w:r w:rsidRPr="009535E7">
        <w:rPr>
          <w:rFonts w:eastAsia="標楷體"/>
          <w:sz w:val="24"/>
          <w:szCs w:val="24"/>
          <w:lang w:val="en-US" w:eastAsia="zh-CN"/>
        </w:rPr>
        <w:t>上诉人在</w:t>
      </w:r>
      <w:r w:rsidRPr="009535E7">
        <w:rPr>
          <w:rFonts w:eastAsia="標楷體"/>
          <w:color w:val="000000"/>
          <w:sz w:val="24"/>
          <w:szCs w:val="24"/>
          <w:lang w:eastAsia="zh-CN"/>
        </w:rPr>
        <w:t>2012</w:t>
      </w:r>
      <w:r w:rsidRPr="009535E7">
        <w:rPr>
          <w:rFonts w:eastAsia="標楷體"/>
          <w:sz w:val="24"/>
          <w:szCs w:val="24"/>
          <w:lang w:val="en-US" w:eastAsia="zh-CN"/>
        </w:rPr>
        <w:t>/13</w:t>
      </w:r>
      <w:r w:rsidRPr="009535E7">
        <w:rPr>
          <w:rFonts w:eastAsia="標楷體"/>
          <w:sz w:val="24"/>
          <w:szCs w:val="24"/>
          <w:lang w:val="en-US" w:eastAsia="zh-CN"/>
        </w:rPr>
        <w:t>至</w:t>
      </w:r>
      <w:r w:rsidRPr="009535E7">
        <w:rPr>
          <w:rFonts w:eastAsia="標楷體"/>
          <w:sz w:val="24"/>
          <w:szCs w:val="24"/>
          <w:lang w:val="en-US" w:eastAsia="zh-CN"/>
        </w:rPr>
        <w:t>2015/16</w:t>
      </w:r>
      <w:r w:rsidRPr="009535E7">
        <w:rPr>
          <w:rFonts w:eastAsia="標楷體"/>
          <w:sz w:val="24"/>
          <w:szCs w:val="24"/>
          <w:lang w:val="en-US" w:eastAsia="zh-CN"/>
        </w:rPr>
        <w:t>课税年度赚取的利润是否部分于香港以外地方产生或得自于香港以外的地方；</w:t>
      </w:r>
    </w:p>
    <w:p w14:paraId="0FE915F9" w14:textId="77777777" w:rsidR="00CA0E7C" w:rsidRPr="009535E7" w:rsidRDefault="00CA0E7C"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440"/>
        <w:jc w:val="both"/>
        <w:textAlignment w:val="auto"/>
        <w:rPr>
          <w:rFonts w:eastAsia="標楷體"/>
          <w:sz w:val="24"/>
          <w:szCs w:val="24"/>
          <w:lang w:val="en-US"/>
        </w:rPr>
      </w:pPr>
    </w:p>
    <w:p w14:paraId="7BFCB38A" w14:textId="01457CE3" w:rsidR="00552DCD" w:rsidRPr="009535E7" w:rsidRDefault="009535E7"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sz w:val="24"/>
          <w:szCs w:val="24"/>
          <w:lang w:val="en-US"/>
        </w:rPr>
      </w:pPr>
      <w:r w:rsidRPr="009535E7">
        <w:rPr>
          <w:rFonts w:eastAsia="標楷體"/>
          <w:sz w:val="24"/>
          <w:szCs w:val="24"/>
          <w:lang w:val="en-US" w:eastAsia="zh-CN"/>
        </w:rPr>
        <w:t>上诉人可否在</w:t>
      </w:r>
      <w:r w:rsidRPr="009535E7">
        <w:rPr>
          <w:rFonts w:eastAsia="標楷體"/>
          <w:sz w:val="24"/>
          <w:szCs w:val="24"/>
          <w:lang w:val="en-US" w:eastAsia="zh-CN"/>
        </w:rPr>
        <w:t>2012/13</w:t>
      </w:r>
      <w:r w:rsidRPr="009535E7">
        <w:rPr>
          <w:rFonts w:eastAsia="標楷體"/>
          <w:sz w:val="24"/>
          <w:szCs w:val="24"/>
          <w:lang w:val="en-US" w:eastAsia="zh-CN"/>
        </w:rPr>
        <w:t>至</w:t>
      </w:r>
      <w:r w:rsidRPr="009535E7">
        <w:rPr>
          <w:rFonts w:eastAsia="標楷體"/>
          <w:sz w:val="24"/>
          <w:szCs w:val="24"/>
          <w:lang w:val="en-US" w:eastAsia="zh-CN"/>
        </w:rPr>
        <w:t>2015/16</w:t>
      </w:r>
      <w:r w:rsidRPr="009535E7">
        <w:rPr>
          <w:rFonts w:eastAsia="標楷體"/>
          <w:sz w:val="24"/>
          <w:szCs w:val="24"/>
          <w:lang w:val="en-US" w:eastAsia="zh-CN"/>
        </w:rPr>
        <w:t>课税年度就内地法律和专业服务费用、内地税款、</w:t>
      </w:r>
      <w:r w:rsidRPr="009535E7">
        <w:rPr>
          <w:rFonts w:eastAsia="標楷體"/>
          <w:sz w:val="24"/>
          <w:szCs w:val="24"/>
          <w:lang w:val="en-US" w:eastAsia="zh-CN"/>
        </w:rPr>
        <w:t>A</w:t>
      </w:r>
      <w:r w:rsidRPr="009535E7">
        <w:rPr>
          <w:rFonts w:eastAsia="標楷體"/>
          <w:sz w:val="24"/>
          <w:szCs w:val="24"/>
          <w:lang w:val="en-US" w:eastAsia="zh-CN"/>
        </w:rPr>
        <w:t>镇宿舍建筑物翻修开支在计算其应评税利润获扣除；及</w:t>
      </w:r>
    </w:p>
    <w:p w14:paraId="6DEA2847" w14:textId="77777777" w:rsidR="00EF3B23" w:rsidRPr="009535E7" w:rsidRDefault="00EF3B23"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440"/>
        <w:jc w:val="both"/>
        <w:textAlignment w:val="auto"/>
        <w:rPr>
          <w:rFonts w:eastAsia="標楷體"/>
          <w:sz w:val="24"/>
          <w:szCs w:val="24"/>
          <w:lang w:val="en-US"/>
        </w:rPr>
      </w:pPr>
    </w:p>
    <w:p w14:paraId="4B1823AE" w14:textId="52B4E5AC" w:rsidR="00552DCD" w:rsidRPr="009535E7" w:rsidRDefault="009535E7"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sz w:val="24"/>
          <w:szCs w:val="24"/>
          <w:lang w:val="en-US"/>
        </w:rPr>
      </w:pPr>
      <w:r w:rsidRPr="009535E7">
        <w:rPr>
          <w:rFonts w:eastAsia="標楷體"/>
          <w:sz w:val="24"/>
          <w:szCs w:val="24"/>
          <w:lang w:val="en-US" w:eastAsia="zh-CN"/>
        </w:rPr>
        <w:t>上诉人可否在</w:t>
      </w:r>
      <w:r w:rsidRPr="009535E7">
        <w:rPr>
          <w:rFonts w:eastAsia="標楷體"/>
          <w:sz w:val="24"/>
          <w:szCs w:val="24"/>
          <w:lang w:val="en-US" w:eastAsia="zh-CN"/>
        </w:rPr>
        <w:t>2012/13</w:t>
      </w:r>
      <w:r w:rsidRPr="009535E7">
        <w:rPr>
          <w:rFonts w:eastAsia="標楷體"/>
          <w:sz w:val="24"/>
          <w:szCs w:val="24"/>
          <w:lang w:val="en-US" w:eastAsia="zh-CN"/>
        </w:rPr>
        <w:t>至</w:t>
      </w:r>
      <w:r w:rsidRPr="009535E7">
        <w:rPr>
          <w:rFonts w:eastAsia="標楷體"/>
          <w:sz w:val="24"/>
          <w:szCs w:val="24"/>
          <w:lang w:val="en-US" w:eastAsia="zh-CN"/>
        </w:rPr>
        <w:t>2015/16</w:t>
      </w:r>
      <w:r w:rsidRPr="009535E7">
        <w:rPr>
          <w:rFonts w:eastAsia="標楷體"/>
          <w:sz w:val="24"/>
          <w:szCs w:val="24"/>
          <w:lang w:val="en-US" w:eastAsia="zh-CN"/>
        </w:rPr>
        <w:t>课税年度就缝纫机获扣除折旧免税额。</w:t>
      </w:r>
    </w:p>
    <w:p w14:paraId="781D95A9" w14:textId="77777777" w:rsidR="00177E64" w:rsidRPr="009535E7" w:rsidRDefault="00177E64" w:rsidP="00590EE5">
      <w:pPr>
        <w:pStyle w:val="ac"/>
        <w:snapToGrid w:val="0"/>
        <w:ind w:left="1109" w:hanging="709"/>
        <w:jc w:val="both"/>
        <w:rPr>
          <w:rFonts w:eastAsia="標楷體"/>
          <w:b/>
          <w:bCs/>
          <w:sz w:val="24"/>
          <w:szCs w:val="24"/>
          <w:lang w:val="en-US"/>
        </w:rPr>
      </w:pPr>
    </w:p>
    <w:p w14:paraId="2203713A" w14:textId="2544D485" w:rsidR="00552DCD" w:rsidRPr="009535E7" w:rsidRDefault="009535E7" w:rsidP="00590EE5">
      <w:pPr>
        <w:pStyle w:val="ac"/>
        <w:numPr>
          <w:ilvl w:val="0"/>
          <w:numId w:val="45"/>
        </w:numPr>
        <w:snapToGrid w:val="0"/>
        <w:ind w:leftChars="0" w:left="0" w:firstLine="0"/>
        <w:jc w:val="both"/>
        <w:textAlignment w:val="auto"/>
        <w:rPr>
          <w:rFonts w:eastAsia="標楷體"/>
          <w:sz w:val="24"/>
          <w:szCs w:val="24"/>
          <w:lang w:val="en-US" w:eastAsia="zh-CN"/>
        </w:rPr>
      </w:pPr>
      <w:r w:rsidRPr="009535E7">
        <w:rPr>
          <w:rFonts w:eastAsia="標楷體"/>
          <w:sz w:val="24"/>
          <w:szCs w:val="24"/>
          <w:lang w:val="en-US" w:eastAsia="zh-CN"/>
        </w:rPr>
        <w:t>根据上诉人</w:t>
      </w:r>
      <w:r w:rsidRPr="009535E7">
        <w:rPr>
          <w:rFonts w:eastAsia="標楷體"/>
          <w:sz w:val="24"/>
          <w:szCs w:val="24"/>
          <w:lang w:val="en-US" w:eastAsia="zh-CN"/>
        </w:rPr>
        <w:t>2023</w:t>
      </w:r>
      <w:r w:rsidRPr="009535E7">
        <w:rPr>
          <w:rFonts w:eastAsia="標楷體"/>
          <w:sz w:val="24"/>
          <w:szCs w:val="24"/>
          <w:lang w:val="en-US" w:eastAsia="zh-CN"/>
        </w:rPr>
        <w:t>年</w:t>
      </w:r>
      <w:r w:rsidRPr="009535E7">
        <w:rPr>
          <w:rFonts w:eastAsia="標楷體"/>
          <w:sz w:val="24"/>
          <w:szCs w:val="24"/>
          <w:lang w:val="en-US" w:eastAsia="zh-CN"/>
        </w:rPr>
        <w:t>8</w:t>
      </w:r>
      <w:r w:rsidRPr="009535E7">
        <w:rPr>
          <w:rFonts w:eastAsia="標楷體"/>
          <w:sz w:val="24"/>
          <w:szCs w:val="24"/>
          <w:lang w:val="en-US" w:eastAsia="zh-CN"/>
        </w:rPr>
        <w:t>月</w:t>
      </w:r>
      <w:r w:rsidRPr="009535E7">
        <w:rPr>
          <w:rFonts w:eastAsia="標楷體"/>
          <w:sz w:val="24"/>
          <w:szCs w:val="24"/>
          <w:lang w:val="en-US" w:eastAsia="zh-CN"/>
        </w:rPr>
        <w:t>31</w:t>
      </w:r>
      <w:r w:rsidRPr="009535E7">
        <w:rPr>
          <w:rFonts w:eastAsia="標楷體"/>
          <w:sz w:val="24"/>
          <w:szCs w:val="24"/>
          <w:lang w:val="en-US" w:eastAsia="zh-CN"/>
        </w:rPr>
        <w:t>日提交的上诉通知（「</w:t>
      </w:r>
      <w:r w:rsidRPr="009535E7">
        <w:rPr>
          <w:rFonts w:eastAsia="標楷體"/>
          <w:b/>
          <w:bCs/>
          <w:sz w:val="24"/>
          <w:szCs w:val="24"/>
          <w:lang w:val="en-US" w:eastAsia="zh-CN"/>
        </w:rPr>
        <w:t>上诉通知</w:t>
      </w:r>
      <w:r w:rsidRPr="009535E7">
        <w:rPr>
          <w:rFonts w:eastAsia="標楷體"/>
          <w:sz w:val="24"/>
          <w:szCs w:val="24"/>
          <w:lang w:val="en-US" w:eastAsia="zh-CN"/>
        </w:rPr>
        <w:t>」），上诉人</w:t>
      </w:r>
      <w:r w:rsidRPr="009535E7">
        <w:rPr>
          <w:rFonts w:eastAsia="標楷體"/>
          <w:sz w:val="24"/>
          <w:szCs w:val="24"/>
          <w:lang w:eastAsia="zh-CN"/>
        </w:rPr>
        <w:t>仅就税务局</w:t>
      </w:r>
      <w:r w:rsidRPr="009535E7">
        <w:rPr>
          <w:rFonts w:eastAsia="標楷體"/>
          <w:sz w:val="24"/>
          <w:szCs w:val="24"/>
          <w:lang w:val="en-US" w:eastAsia="zh-CN"/>
        </w:rPr>
        <w:t>副局长</w:t>
      </w:r>
      <w:r w:rsidRPr="009535E7">
        <w:rPr>
          <w:rFonts w:eastAsia="標楷體"/>
          <w:sz w:val="24"/>
          <w:szCs w:val="24"/>
          <w:lang w:eastAsia="zh-CN"/>
        </w:rPr>
        <w:t>在决定书中未能将上诉人的部分利润区分为源自香港和源自香港境外这一点提出上诉。简言之，上诉通知中提出的唯一问题是有关上诉人利润的来源，而上诉理由如下：</w:t>
      </w:r>
    </w:p>
    <w:p w14:paraId="791B8938" w14:textId="77777777" w:rsidR="006D4878" w:rsidRPr="009535E7" w:rsidRDefault="006D4878" w:rsidP="00590EE5">
      <w:pPr>
        <w:pStyle w:val="ac"/>
        <w:snapToGrid w:val="0"/>
        <w:ind w:leftChars="0" w:left="0"/>
        <w:jc w:val="both"/>
        <w:textAlignment w:val="auto"/>
        <w:rPr>
          <w:rFonts w:eastAsia="標楷體"/>
          <w:sz w:val="24"/>
          <w:szCs w:val="24"/>
          <w:lang w:val="en-US" w:eastAsia="zh-CN"/>
        </w:rPr>
      </w:pPr>
    </w:p>
    <w:p w14:paraId="306C30AA" w14:textId="58A3CC75" w:rsidR="00552DCD" w:rsidRPr="009535E7" w:rsidRDefault="009535E7" w:rsidP="00590EE5">
      <w:pPr>
        <w:pStyle w:val="ac"/>
        <w:snapToGrid w:val="0"/>
        <w:ind w:leftChars="780" w:left="1560"/>
        <w:jc w:val="both"/>
        <w:rPr>
          <w:rFonts w:eastAsia="標楷體"/>
          <w:sz w:val="24"/>
          <w:szCs w:val="24"/>
          <w:lang w:val="en-US"/>
        </w:rPr>
      </w:pPr>
      <w:r w:rsidRPr="009535E7">
        <w:rPr>
          <w:rFonts w:eastAsia="標楷體"/>
          <w:sz w:val="24"/>
          <w:szCs w:val="24"/>
          <w:lang w:eastAsia="zh-CN"/>
        </w:rPr>
        <w:t>「</w:t>
      </w:r>
      <w:r w:rsidRPr="009535E7">
        <w:rPr>
          <w:rFonts w:eastAsia="標楷體"/>
          <w:sz w:val="24"/>
          <w:szCs w:val="24"/>
          <w:lang w:val="en-US" w:eastAsia="zh-CN"/>
        </w:rPr>
        <w:t>〔上诉人〕由头到尾至今都是从事来料加工生意，没有半点进料加工生意。如属进料加工生意，都是</w:t>
      </w:r>
      <w:r w:rsidRPr="009535E7">
        <w:rPr>
          <w:rFonts w:eastAsia="標楷體"/>
          <w:sz w:val="24"/>
          <w:szCs w:val="24"/>
          <w:lang w:val="en-US" w:eastAsia="zh-CN"/>
        </w:rPr>
        <w:t>B</w:t>
      </w:r>
      <w:r w:rsidRPr="009535E7">
        <w:rPr>
          <w:rFonts w:eastAsia="標楷體"/>
          <w:sz w:val="24"/>
          <w:szCs w:val="24"/>
          <w:lang w:val="en-US" w:eastAsia="zh-CN"/>
        </w:rPr>
        <w:t>市方面与〔上诉人〕无涉。</w:t>
      </w:r>
      <w:r w:rsidRPr="009535E7">
        <w:rPr>
          <w:rFonts w:eastAsia="標楷體"/>
          <w:sz w:val="24"/>
          <w:szCs w:val="24"/>
          <w:lang w:val="en-US" w:eastAsia="zh-CN"/>
        </w:rPr>
        <w:t>…</w:t>
      </w:r>
      <w:r w:rsidRPr="009535E7">
        <w:rPr>
          <w:rFonts w:eastAsia="標楷體"/>
          <w:sz w:val="24"/>
          <w:szCs w:val="24"/>
          <w:lang w:eastAsia="zh-CN"/>
        </w:rPr>
        <w:t>」</w:t>
      </w:r>
    </w:p>
    <w:p w14:paraId="4193C565" w14:textId="77777777" w:rsidR="00552DCD" w:rsidRPr="009535E7" w:rsidRDefault="00552DCD" w:rsidP="00590EE5">
      <w:pPr>
        <w:pStyle w:val="ac"/>
        <w:snapToGrid w:val="0"/>
        <w:ind w:left="1109" w:hanging="709"/>
        <w:jc w:val="both"/>
        <w:rPr>
          <w:rFonts w:eastAsia="標楷體"/>
          <w:sz w:val="24"/>
          <w:szCs w:val="24"/>
          <w:lang w:val="en-US"/>
        </w:rPr>
      </w:pPr>
    </w:p>
    <w:p w14:paraId="5D089326" w14:textId="239CAC91" w:rsidR="00552DCD" w:rsidRPr="009535E7" w:rsidRDefault="009535E7" w:rsidP="00590EE5">
      <w:pPr>
        <w:pStyle w:val="ac"/>
        <w:numPr>
          <w:ilvl w:val="0"/>
          <w:numId w:val="45"/>
        </w:numPr>
        <w:snapToGrid w:val="0"/>
        <w:ind w:leftChars="0" w:left="0" w:firstLine="0"/>
        <w:jc w:val="both"/>
        <w:textAlignment w:val="auto"/>
        <w:rPr>
          <w:rFonts w:eastAsia="標楷體"/>
          <w:sz w:val="24"/>
          <w:szCs w:val="24"/>
          <w:lang w:val="en-US"/>
        </w:rPr>
      </w:pPr>
      <w:r w:rsidRPr="009535E7">
        <w:rPr>
          <w:rFonts w:eastAsia="標楷體"/>
          <w:sz w:val="24"/>
          <w:szCs w:val="24"/>
          <w:lang w:val="en-US" w:eastAsia="zh-CN"/>
        </w:rPr>
        <w:t>在上诉聆讯中，上诉人由林建峯先生代表，而</w:t>
      </w:r>
      <w:r w:rsidRPr="009535E7">
        <w:rPr>
          <w:rFonts w:eastAsia="標楷體"/>
          <w:sz w:val="24"/>
          <w:szCs w:val="24"/>
          <w:lang w:eastAsia="zh-CN"/>
        </w:rPr>
        <w:t>税务局局长则由</w:t>
      </w:r>
      <w:r w:rsidRPr="009535E7">
        <w:rPr>
          <w:rFonts w:eastAsia="標楷體"/>
          <w:sz w:val="24"/>
          <w:szCs w:val="24"/>
          <w:lang w:val="en-US" w:eastAsia="zh-CN"/>
        </w:rPr>
        <w:t>李顺珊女士代表。</w:t>
      </w:r>
    </w:p>
    <w:p w14:paraId="2D020261" w14:textId="77777777" w:rsidR="00552DCD" w:rsidRPr="009535E7" w:rsidRDefault="00552DCD" w:rsidP="00590EE5">
      <w:pPr>
        <w:snapToGrid w:val="0"/>
        <w:jc w:val="both"/>
        <w:rPr>
          <w:rFonts w:eastAsia="標楷體"/>
          <w:color w:val="000000"/>
          <w:sz w:val="28"/>
          <w:szCs w:val="28"/>
        </w:rPr>
      </w:pPr>
    </w:p>
    <w:p w14:paraId="41221A74" w14:textId="08CAC1A0" w:rsidR="00552DCD" w:rsidRPr="009535E7" w:rsidRDefault="009535E7" w:rsidP="00590EE5">
      <w:pPr>
        <w:pStyle w:val="ac"/>
        <w:numPr>
          <w:ilvl w:val="0"/>
          <w:numId w:val="44"/>
        </w:numPr>
        <w:snapToGrid w:val="0"/>
        <w:ind w:leftChars="0" w:left="851" w:hanging="567"/>
        <w:jc w:val="both"/>
        <w:textAlignment w:val="auto"/>
        <w:rPr>
          <w:rFonts w:eastAsia="標楷體"/>
          <w:b/>
          <w:bCs/>
          <w:sz w:val="28"/>
          <w:szCs w:val="28"/>
          <w:lang w:val="en-US"/>
        </w:rPr>
      </w:pPr>
      <w:r w:rsidRPr="009535E7">
        <w:rPr>
          <w:rFonts w:eastAsia="標楷體"/>
          <w:b/>
          <w:bCs/>
          <w:sz w:val="28"/>
          <w:szCs w:val="28"/>
          <w:lang w:val="en-US" w:eastAsia="zh-CN"/>
        </w:rPr>
        <w:t>关键问题</w:t>
      </w:r>
    </w:p>
    <w:p w14:paraId="545DBE77" w14:textId="77777777" w:rsidR="00552DCD" w:rsidRPr="009535E7" w:rsidRDefault="00552DCD" w:rsidP="00590EE5">
      <w:pPr>
        <w:pStyle w:val="ac"/>
        <w:snapToGrid w:val="0"/>
        <w:ind w:left="400"/>
        <w:jc w:val="both"/>
        <w:rPr>
          <w:rFonts w:eastAsia="標楷體"/>
          <w:b/>
          <w:bCs/>
          <w:sz w:val="24"/>
          <w:szCs w:val="24"/>
          <w:lang w:val="en-US"/>
        </w:rPr>
      </w:pPr>
    </w:p>
    <w:p w14:paraId="2B60AB68" w14:textId="705F95B8" w:rsidR="00552DCD" w:rsidRPr="009535E7" w:rsidRDefault="009535E7" w:rsidP="00590EE5">
      <w:pPr>
        <w:pStyle w:val="ac"/>
        <w:numPr>
          <w:ilvl w:val="0"/>
          <w:numId w:val="45"/>
        </w:numPr>
        <w:snapToGrid w:val="0"/>
        <w:ind w:leftChars="0" w:left="0" w:firstLine="0"/>
        <w:jc w:val="both"/>
        <w:textAlignment w:val="auto"/>
        <w:rPr>
          <w:rFonts w:eastAsia="標楷體"/>
          <w:color w:val="000000"/>
          <w:sz w:val="24"/>
          <w:szCs w:val="24"/>
        </w:rPr>
      </w:pPr>
      <w:r w:rsidRPr="009535E7">
        <w:rPr>
          <w:rFonts w:eastAsia="標楷體"/>
          <w:sz w:val="24"/>
          <w:szCs w:val="24"/>
          <w:lang w:val="en-US" w:eastAsia="zh-CN"/>
        </w:rPr>
        <w:t>本案的关键问题是</w:t>
      </w:r>
      <w:r w:rsidRPr="009535E7">
        <w:rPr>
          <w:rFonts w:eastAsia="標楷體"/>
          <w:color w:val="000000"/>
          <w:sz w:val="24"/>
          <w:szCs w:val="24"/>
          <w:lang w:eastAsia="zh-CN"/>
        </w:rPr>
        <w:t>，上诉人是否能够证明在</w:t>
      </w:r>
      <w:r w:rsidRPr="009535E7">
        <w:rPr>
          <w:rFonts w:eastAsia="標楷體"/>
          <w:color w:val="000000"/>
          <w:sz w:val="24"/>
          <w:szCs w:val="24"/>
          <w:lang w:eastAsia="zh-CN"/>
        </w:rPr>
        <w:t>2012</w:t>
      </w:r>
      <w:r w:rsidRPr="009535E7">
        <w:rPr>
          <w:rFonts w:eastAsia="標楷體"/>
          <w:sz w:val="24"/>
          <w:szCs w:val="24"/>
          <w:lang w:val="en-US" w:eastAsia="zh-CN"/>
        </w:rPr>
        <w:t>/13</w:t>
      </w:r>
      <w:r w:rsidRPr="009535E7">
        <w:rPr>
          <w:rFonts w:eastAsia="標楷體"/>
          <w:sz w:val="24"/>
          <w:szCs w:val="24"/>
          <w:lang w:val="en-US" w:eastAsia="zh-CN"/>
        </w:rPr>
        <w:t>至</w:t>
      </w:r>
      <w:r w:rsidRPr="009535E7">
        <w:rPr>
          <w:rFonts w:eastAsia="標楷體"/>
          <w:sz w:val="24"/>
          <w:szCs w:val="24"/>
          <w:lang w:val="en-US" w:eastAsia="zh-CN"/>
        </w:rPr>
        <w:t>2015/16</w:t>
      </w:r>
      <w:r w:rsidRPr="009535E7">
        <w:rPr>
          <w:rFonts w:eastAsia="標楷體"/>
          <w:sz w:val="24"/>
          <w:szCs w:val="24"/>
          <w:lang w:val="en-US" w:eastAsia="zh-CN"/>
        </w:rPr>
        <w:t>课税年度其</w:t>
      </w:r>
      <w:r w:rsidRPr="009535E7">
        <w:rPr>
          <w:rFonts w:eastAsia="標楷體"/>
          <w:color w:val="000000"/>
          <w:sz w:val="24"/>
          <w:szCs w:val="24"/>
          <w:lang w:eastAsia="zh-CN"/>
        </w:rPr>
        <w:t>部分利润是不于香港产生或得自香港，而根据《税务条例》第</w:t>
      </w:r>
      <w:r w:rsidRPr="009535E7">
        <w:rPr>
          <w:rFonts w:eastAsia="標楷體"/>
          <w:color w:val="000000"/>
          <w:sz w:val="24"/>
          <w:szCs w:val="24"/>
          <w:lang w:eastAsia="zh-CN"/>
        </w:rPr>
        <w:t>14</w:t>
      </w:r>
      <w:r w:rsidRPr="009535E7">
        <w:rPr>
          <w:rFonts w:eastAsia="標楷體"/>
          <w:color w:val="000000"/>
          <w:sz w:val="24"/>
          <w:szCs w:val="24"/>
          <w:lang w:eastAsia="zh-CN"/>
        </w:rPr>
        <w:t>条是可获准按</w:t>
      </w:r>
      <w:r w:rsidRPr="009535E7">
        <w:rPr>
          <w:rFonts w:eastAsia="標楷體"/>
          <w:color w:val="000000"/>
          <w:sz w:val="24"/>
          <w:szCs w:val="24"/>
          <w:lang w:eastAsia="zh-CN"/>
        </w:rPr>
        <w:t>50:50</w:t>
      </w:r>
      <w:r w:rsidRPr="009535E7">
        <w:rPr>
          <w:rFonts w:eastAsia="標楷體"/>
          <w:color w:val="000000"/>
          <w:sz w:val="24"/>
          <w:szCs w:val="24"/>
          <w:lang w:eastAsia="zh-CN"/>
        </w:rPr>
        <w:t>的比例分摊计算为应评税利润。</w:t>
      </w:r>
    </w:p>
    <w:p w14:paraId="369C75E5" w14:textId="77777777" w:rsidR="00552DCD" w:rsidRPr="009535E7" w:rsidRDefault="00552DCD" w:rsidP="00590EE5">
      <w:pPr>
        <w:pStyle w:val="ac"/>
        <w:snapToGrid w:val="0"/>
        <w:ind w:left="400"/>
        <w:jc w:val="both"/>
        <w:rPr>
          <w:rFonts w:eastAsia="標楷體"/>
          <w:color w:val="000000"/>
          <w:sz w:val="28"/>
          <w:szCs w:val="28"/>
        </w:rPr>
      </w:pPr>
    </w:p>
    <w:p w14:paraId="2B63A61D" w14:textId="7443B258" w:rsidR="00552DCD" w:rsidRPr="009535E7" w:rsidRDefault="009535E7" w:rsidP="00590EE5">
      <w:pPr>
        <w:pStyle w:val="ac"/>
        <w:numPr>
          <w:ilvl w:val="0"/>
          <w:numId w:val="44"/>
        </w:numPr>
        <w:snapToGrid w:val="0"/>
        <w:ind w:leftChars="0" w:left="851" w:hanging="567"/>
        <w:jc w:val="both"/>
        <w:textAlignment w:val="auto"/>
        <w:rPr>
          <w:rFonts w:eastAsia="標楷體"/>
          <w:b/>
          <w:bCs/>
          <w:sz w:val="28"/>
          <w:szCs w:val="28"/>
          <w:lang w:val="en-US"/>
        </w:rPr>
      </w:pPr>
      <w:r w:rsidRPr="009535E7">
        <w:rPr>
          <w:rFonts w:eastAsia="標楷體"/>
          <w:b/>
          <w:bCs/>
          <w:sz w:val="28"/>
          <w:szCs w:val="28"/>
          <w:lang w:val="en-US" w:eastAsia="zh-CN"/>
        </w:rPr>
        <w:t>背景</w:t>
      </w:r>
    </w:p>
    <w:p w14:paraId="28E86ACC" w14:textId="77777777" w:rsidR="00552DCD" w:rsidRPr="009535E7" w:rsidRDefault="00552DCD" w:rsidP="00590EE5">
      <w:pPr>
        <w:pStyle w:val="ac"/>
        <w:snapToGrid w:val="0"/>
        <w:ind w:left="400"/>
        <w:jc w:val="both"/>
        <w:rPr>
          <w:rFonts w:eastAsia="標楷體"/>
          <w:b/>
          <w:bCs/>
          <w:sz w:val="24"/>
          <w:szCs w:val="24"/>
          <w:lang w:val="en-US"/>
        </w:rPr>
      </w:pPr>
    </w:p>
    <w:p w14:paraId="7755D9CA" w14:textId="5D708E7C" w:rsidR="00552DCD" w:rsidRPr="009535E7" w:rsidRDefault="009535E7" w:rsidP="00590EE5">
      <w:pPr>
        <w:pStyle w:val="ac"/>
        <w:numPr>
          <w:ilvl w:val="0"/>
          <w:numId w:val="45"/>
        </w:numPr>
        <w:snapToGrid w:val="0"/>
        <w:ind w:leftChars="0" w:left="0" w:firstLine="0"/>
        <w:jc w:val="both"/>
        <w:textAlignment w:val="auto"/>
        <w:rPr>
          <w:rFonts w:eastAsia="標楷體"/>
          <w:sz w:val="24"/>
          <w:szCs w:val="24"/>
        </w:rPr>
      </w:pPr>
      <w:r w:rsidRPr="009535E7">
        <w:rPr>
          <w:rFonts w:eastAsia="標楷體"/>
          <w:sz w:val="24"/>
          <w:szCs w:val="24"/>
          <w:lang w:eastAsia="zh-CN"/>
        </w:rPr>
        <w:t>在聆讯开始时，双方同意</w:t>
      </w:r>
      <w:r w:rsidRPr="009535E7">
        <w:rPr>
          <w:rFonts w:eastAsia="標楷體"/>
          <w:sz w:val="24"/>
          <w:szCs w:val="24"/>
          <w:lang w:val="en-US" w:eastAsia="zh-CN"/>
        </w:rPr>
        <w:t>采纳</w:t>
      </w:r>
      <w:r w:rsidRPr="009535E7">
        <w:rPr>
          <w:rFonts w:eastAsia="標楷體"/>
          <w:sz w:val="24"/>
          <w:szCs w:val="24"/>
          <w:lang w:eastAsia="zh-CN"/>
        </w:rPr>
        <w:t>决定书内的第</w:t>
      </w:r>
      <w:r w:rsidRPr="009535E7">
        <w:rPr>
          <w:rFonts w:eastAsia="標楷體"/>
          <w:sz w:val="24"/>
          <w:szCs w:val="24"/>
          <w:lang w:eastAsia="zh-CN"/>
        </w:rPr>
        <w:t>1</w:t>
      </w:r>
      <w:r w:rsidRPr="009535E7">
        <w:rPr>
          <w:rFonts w:eastAsia="標楷體"/>
          <w:sz w:val="24"/>
          <w:szCs w:val="24"/>
          <w:lang w:eastAsia="zh-CN"/>
        </w:rPr>
        <w:t>部</w:t>
      </w:r>
      <w:r w:rsidRPr="009535E7">
        <w:rPr>
          <w:rFonts w:eastAsia="標楷體"/>
          <w:sz w:val="24"/>
          <w:szCs w:val="24"/>
          <w:lang w:eastAsia="zh-CN"/>
        </w:rPr>
        <w:t xml:space="preserve"> – </w:t>
      </w:r>
      <w:r w:rsidRPr="009535E7">
        <w:rPr>
          <w:rFonts w:eastAsia="標楷體"/>
          <w:color w:val="000000"/>
          <w:sz w:val="24"/>
          <w:szCs w:val="24"/>
          <w:lang w:eastAsia="zh-CN"/>
        </w:rPr>
        <w:t>「决定所据事实」的第（</w:t>
      </w:r>
      <w:r w:rsidRPr="009535E7">
        <w:rPr>
          <w:rFonts w:eastAsia="標楷體"/>
          <w:color w:val="000000"/>
          <w:sz w:val="24"/>
          <w:szCs w:val="24"/>
          <w:lang w:eastAsia="zh-CN"/>
        </w:rPr>
        <w:t>1</w:t>
      </w:r>
      <w:r w:rsidRPr="009535E7">
        <w:rPr>
          <w:rFonts w:eastAsia="標楷體"/>
          <w:color w:val="000000"/>
          <w:sz w:val="24"/>
          <w:szCs w:val="24"/>
          <w:lang w:eastAsia="zh-CN"/>
        </w:rPr>
        <w:t>）段至第（</w:t>
      </w:r>
      <w:r w:rsidRPr="009535E7">
        <w:rPr>
          <w:rFonts w:eastAsia="標楷體"/>
          <w:color w:val="000000"/>
          <w:sz w:val="24"/>
          <w:szCs w:val="24"/>
          <w:lang w:eastAsia="zh-CN"/>
        </w:rPr>
        <w:t>21</w:t>
      </w:r>
      <w:r w:rsidRPr="009535E7">
        <w:rPr>
          <w:rFonts w:eastAsia="標楷體"/>
          <w:color w:val="000000"/>
          <w:sz w:val="24"/>
          <w:szCs w:val="24"/>
          <w:lang w:eastAsia="zh-CN"/>
        </w:rPr>
        <w:t>）段为本上诉的有关</w:t>
      </w:r>
      <w:r w:rsidRPr="009535E7">
        <w:rPr>
          <w:rFonts w:eastAsia="標楷體"/>
          <w:sz w:val="24"/>
          <w:szCs w:val="24"/>
          <w:lang w:eastAsia="zh-CN"/>
        </w:rPr>
        <w:t>事实，</w:t>
      </w:r>
      <w:r w:rsidRPr="009535E7">
        <w:rPr>
          <w:rFonts w:eastAsia="標楷體"/>
          <w:sz w:val="24"/>
          <w:szCs w:val="24"/>
          <w:lang w:eastAsia="zh-CN"/>
        </w:rPr>
        <w:t xml:space="preserve"> </w:t>
      </w:r>
      <w:r w:rsidRPr="009535E7">
        <w:rPr>
          <w:rFonts w:eastAsia="標楷體"/>
          <w:sz w:val="24"/>
          <w:szCs w:val="24"/>
          <w:lang w:eastAsia="zh-CN"/>
        </w:rPr>
        <w:t>包括决定书这部分的有关附件。</w:t>
      </w:r>
    </w:p>
    <w:p w14:paraId="339117BD" w14:textId="77777777" w:rsidR="00552DCD" w:rsidRPr="009535E7" w:rsidRDefault="00552DCD" w:rsidP="00590EE5">
      <w:pPr>
        <w:pStyle w:val="ac"/>
        <w:snapToGrid w:val="0"/>
        <w:ind w:left="1109" w:hanging="709"/>
        <w:jc w:val="both"/>
        <w:rPr>
          <w:rFonts w:eastAsia="標楷體"/>
          <w:sz w:val="24"/>
          <w:szCs w:val="24"/>
        </w:rPr>
      </w:pPr>
    </w:p>
    <w:p w14:paraId="60488327" w14:textId="0AE66A53" w:rsidR="00552DCD" w:rsidRPr="009535E7" w:rsidRDefault="009535E7" w:rsidP="00590EE5">
      <w:pPr>
        <w:pStyle w:val="ac"/>
        <w:numPr>
          <w:ilvl w:val="0"/>
          <w:numId w:val="45"/>
        </w:numPr>
        <w:snapToGrid w:val="0"/>
        <w:ind w:leftChars="0" w:left="0" w:firstLine="0"/>
        <w:jc w:val="both"/>
        <w:textAlignment w:val="auto"/>
        <w:rPr>
          <w:rFonts w:eastAsia="標楷體"/>
          <w:sz w:val="24"/>
          <w:szCs w:val="24"/>
        </w:rPr>
      </w:pPr>
      <w:r w:rsidRPr="009535E7">
        <w:rPr>
          <w:rFonts w:eastAsia="標楷體"/>
          <w:sz w:val="24"/>
          <w:szCs w:val="24"/>
          <w:lang w:eastAsia="zh-CN"/>
        </w:rPr>
        <w:lastRenderedPageBreak/>
        <w:t>由于本次上诉不涉及具体数字，以下只列出与本次上诉相关的重要背景事实。</w:t>
      </w:r>
    </w:p>
    <w:p w14:paraId="58DC52AC" w14:textId="77777777" w:rsidR="00552DCD" w:rsidRPr="009535E7" w:rsidRDefault="00552DCD" w:rsidP="00590EE5">
      <w:pPr>
        <w:pStyle w:val="ac"/>
        <w:snapToGrid w:val="0"/>
        <w:ind w:left="1109" w:hanging="709"/>
        <w:jc w:val="both"/>
        <w:rPr>
          <w:rFonts w:eastAsia="標楷體"/>
          <w:sz w:val="24"/>
          <w:szCs w:val="24"/>
        </w:rPr>
      </w:pPr>
    </w:p>
    <w:p w14:paraId="175C72B8" w14:textId="3C2C3600" w:rsidR="00552DCD" w:rsidRPr="009535E7" w:rsidRDefault="009535E7" w:rsidP="00590EE5">
      <w:pPr>
        <w:pStyle w:val="ac"/>
        <w:numPr>
          <w:ilvl w:val="0"/>
          <w:numId w:val="45"/>
        </w:numPr>
        <w:snapToGrid w:val="0"/>
        <w:ind w:leftChars="0" w:left="0" w:firstLine="0"/>
        <w:jc w:val="both"/>
        <w:textAlignment w:val="auto"/>
        <w:rPr>
          <w:rFonts w:eastAsia="標楷體"/>
          <w:sz w:val="24"/>
          <w:szCs w:val="24"/>
        </w:rPr>
      </w:pPr>
      <w:r w:rsidRPr="009535E7">
        <w:rPr>
          <w:rFonts w:eastAsia="標楷體"/>
          <w:sz w:val="24"/>
          <w:szCs w:val="24"/>
          <w:lang w:eastAsia="zh-CN"/>
        </w:rPr>
        <w:t>上诉人是一家在</w:t>
      </w:r>
      <w:r w:rsidRPr="009535E7">
        <w:rPr>
          <w:rFonts w:eastAsia="標楷體"/>
          <w:sz w:val="24"/>
          <w:szCs w:val="24"/>
          <w:lang w:eastAsia="zh-CN"/>
        </w:rPr>
        <w:t>1993</w:t>
      </w:r>
      <w:r w:rsidRPr="009535E7">
        <w:rPr>
          <w:rFonts w:eastAsia="標楷體"/>
          <w:sz w:val="24"/>
          <w:szCs w:val="24"/>
          <w:lang w:eastAsia="zh-CN"/>
        </w:rPr>
        <w:t>年于香港注册成立的私人公司，主要业务为生产和销售成衣产品及从事投资控权活动。</w:t>
      </w:r>
    </w:p>
    <w:p w14:paraId="50A9B557" w14:textId="77777777" w:rsidR="00552DCD" w:rsidRPr="009535E7" w:rsidRDefault="00552DCD" w:rsidP="00590EE5">
      <w:pPr>
        <w:pStyle w:val="ac"/>
        <w:snapToGrid w:val="0"/>
        <w:ind w:left="1109" w:hanging="709"/>
        <w:jc w:val="both"/>
        <w:rPr>
          <w:rFonts w:eastAsia="標楷體"/>
          <w:color w:val="000000"/>
          <w:sz w:val="24"/>
          <w:szCs w:val="24"/>
        </w:rPr>
      </w:pPr>
    </w:p>
    <w:p w14:paraId="199EA2CC" w14:textId="474F39CC" w:rsidR="00552DCD" w:rsidRPr="009535E7" w:rsidRDefault="009535E7" w:rsidP="00590EE5">
      <w:pPr>
        <w:pStyle w:val="ac"/>
        <w:numPr>
          <w:ilvl w:val="0"/>
          <w:numId w:val="45"/>
        </w:numPr>
        <w:snapToGrid w:val="0"/>
        <w:ind w:leftChars="0" w:left="0" w:firstLine="0"/>
        <w:jc w:val="both"/>
        <w:textAlignment w:val="auto"/>
        <w:rPr>
          <w:rFonts w:eastAsia="標楷體"/>
          <w:sz w:val="24"/>
          <w:szCs w:val="24"/>
        </w:rPr>
      </w:pPr>
      <w:r w:rsidRPr="009535E7">
        <w:rPr>
          <w:rFonts w:eastAsia="標楷體"/>
          <w:color w:val="000000"/>
          <w:sz w:val="24"/>
          <w:szCs w:val="24"/>
          <w:lang w:eastAsia="zh-CN"/>
        </w:rPr>
        <w:t>上诉人的全资附属公司</w:t>
      </w:r>
      <w:r w:rsidRPr="009535E7">
        <w:rPr>
          <w:rFonts w:eastAsia="標楷體"/>
          <w:color w:val="000000"/>
          <w:sz w:val="24"/>
          <w:szCs w:val="24"/>
          <w:lang w:eastAsia="zh-CN"/>
        </w:rPr>
        <w:t>C</w:t>
      </w:r>
      <w:r w:rsidRPr="009535E7">
        <w:rPr>
          <w:rFonts w:eastAsia="標楷體"/>
          <w:color w:val="000000"/>
          <w:sz w:val="24"/>
          <w:szCs w:val="24"/>
          <w:lang w:eastAsia="zh-CN"/>
        </w:rPr>
        <w:t>公司是一家</w:t>
      </w:r>
      <w:r w:rsidRPr="009535E7">
        <w:rPr>
          <w:rFonts w:eastAsia="標楷體"/>
          <w:color w:val="000000"/>
          <w:sz w:val="24"/>
          <w:szCs w:val="24"/>
          <w:lang w:eastAsia="zh-CN"/>
        </w:rPr>
        <w:t>2003</w:t>
      </w:r>
      <w:r w:rsidRPr="009535E7">
        <w:rPr>
          <w:rFonts w:eastAsia="標楷體"/>
          <w:color w:val="000000"/>
          <w:sz w:val="24"/>
          <w:szCs w:val="24"/>
          <w:lang w:eastAsia="zh-CN"/>
        </w:rPr>
        <w:t>年于中国内地成立的外资企业。</w:t>
      </w:r>
    </w:p>
    <w:p w14:paraId="75D83DEE" w14:textId="77777777" w:rsidR="00552DCD" w:rsidRPr="009535E7" w:rsidRDefault="00552DCD" w:rsidP="00590EE5">
      <w:pPr>
        <w:pStyle w:val="ac"/>
        <w:snapToGrid w:val="0"/>
        <w:ind w:left="1109" w:hanging="709"/>
        <w:jc w:val="both"/>
        <w:rPr>
          <w:rFonts w:eastAsia="標楷體"/>
          <w:color w:val="000000"/>
          <w:sz w:val="24"/>
          <w:szCs w:val="24"/>
        </w:rPr>
      </w:pPr>
    </w:p>
    <w:p w14:paraId="03CCBACB" w14:textId="4CBB7F79" w:rsidR="00552DCD" w:rsidRPr="009535E7" w:rsidRDefault="009535E7" w:rsidP="00590EE5">
      <w:pPr>
        <w:pStyle w:val="ac"/>
        <w:numPr>
          <w:ilvl w:val="0"/>
          <w:numId w:val="45"/>
        </w:numPr>
        <w:snapToGrid w:val="0"/>
        <w:ind w:leftChars="0" w:left="0" w:firstLine="0"/>
        <w:jc w:val="both"/>
        <w:textAlignment w:val="auto"/>
        <w:rPr>
          <w:rFonts w:eastAsia="標楷體"/>
          <w:sz w:val="24"/>
          <w:szCs w:val="24"/>
        </w:rPr>
      </w:pPr>
      <w:r w:rsidRPr="009535E7">
        <w:rPr>
          <w:rFonts w:eastAsia="標楷體"/>
          <w:color w:val="000000"/>
          <w:sz w:val="24"/>
          <w:szCs w:val="24"/>
          <w:lang w:eastAsia="zh-CN"/>
        </w:rPr>
        <w:t>上诉人</w:t>
      </w:r>
      <w:r w:rsidRPr="009535E7">
        <w:rPr>
          <w:rFonts w:eastAsia="標楷體"/>
          <w:color w:val="000000"/>
          <w:sz w:val="24"/>
          <w:szCs w:val="24"/>
          <w:lang w:val="en-US" w:eastAsia="zh-CN"/>
        </w:rPr>
        <w:t>在其</w:t>
      </w:r>
      <w:r w:rsidRPr="009535E7">
        <w:rPr>
          <w:rFonts w:eastAsia="標楷體"/>
          <w:color w:val="000000"/>
          <w:sz w:val="24"/>
          <w:szCs w:val="24"/>
          <w:lang w:val="en-US" w:eastAsia="zh-CN"/>
        </w:rPr>
        <w:t>2004/05</w:t>
      </w:r>
      <w:r w:rsidRPr="009535E7">
        <w:rPr>
          <w:rFonts w:eastAsia="標楷體"/>
          <w:color w:val="000000"/>
          <w:sz w:val="24"/>
          <w:szCs w:val="24"/>
          <w:lang w:val="en-US" w:eastAsia="zh-CN"/>
        </w:rPr>
        <w:t>课税年度申索以</w:t>
      </w:r>
      <w:r w:rsidRPr="009535E7">
        <w:rPr>
          <w:rFonts w:eastAsia="標楷體"/>
          <w:color w:val="000000"/>
          <w:sz w:val="24"/>
          <w:szCs w:val="24"/>
          <w:lang w:val="en-US" w:eastAsia="zh-CN"/>
        </w:rPr>
        <w:t>50:50</w:t>
      </w:r>
      <w:r w:rsidRPr="009535E7">
        <w:rPr>
          <w:rFonts w:eastAsia="標楷體"/>
          <w:color w:val="000000"/>
          <w:sz w:val="24"/>
          <w:szCs w:val="24"/>
          <w:lang w:val="en-US" w:eastAsia="zh-CN"/>
        </w:rPr>
        <w:t>的比例分摊计算其应评税利润，理由是上诉人一半的利润或亏损是来自香港以外的生产活动，评税主任最终接纳上诉人的离岸申索。</w:t>
      </w:r>
    </w:p>
    <w:p w14:paraId="60269D70" w14:textId="77777777" w:rsidR="00552DCD" w:rsidRPr="009535E7" w:rsidRDefault="00552DCD" w:rsidP="00590EE5">
      <w:pPr>
        <w:pStyle w:val="ac"/>
        <w:snapToGrid w:val="0"/>
        <w:ind w:left="1109" w:hanging="709"/>
        <w:jc w:val="both"/>
        <w:rPr>
          <w:rFonts w:eastAsia="標楷體"/>
          <w:color w:val="000000"/>
          <w:sz w:val="24"/>
          <w:szCs w:val="24"/>
        </w:rPr>
      </w:pPr>
    </w:p>
    <w:p w14:paraId="4472CB85" w14:textId="11844946" w:rsidR="00552DCD" w:rsidRPr="009535E7" w:rsidRDefault="009535E7" w:rsidP="00590EE5">
      <w:pPr>
        <w:pStyle w:val="ac"/>
        <w:numPr>
          <w:ilvl w:val="0"/>
          <w:numId w:val="45"/>
        </w:numPr>
        <w:snapToGrid w:val="0"/>
        <w:ind w:leftChars="0" w:left="0" w:firstLine="0"/>
        <w:jc w:val="both"/>
        <w:textAlignment w:val="auto"/>
        <w:rPr>
          <w:rFonts w:eastAsia="標楷體"/>
          <w:sz w:val="24"/>
          <w:szCs w:val="24"/>
        </w:rPr>
      </w:pPr>
      <w:r w:rsidRPr="009535E7">
        <w:rPr>
          <w:rFonts w:eastAsia="標楷體"/>
          <w:color w:val="000000"/>
          <w:sz w:val="24"/>
          <w:szCs w:val="24"/>
          <w:lang w:eastAsia="zh-CN"/>
        </w:rPr>
        <w:t>在</w:t>
      </w:r>
      <w:r w:rsidRPr="009535E7">
        <w:rPr>
          <w:rFonts w:eastAsia="標楷體"/>
          <w:color w:val="000000"/>
          <w:sz w:val="24"/>
          <w:szCs w:val="24"/>
          <w:lang w:eastAsia="zh-CN"/>
        </w:rPr>
        <w:t>2012/13</w:t>
      </w:r>
      <w:r w:rsidRPr="009535E7">
        <w:rPr>
          <w:rFonts w:eastAsia="標楷體"/>
          <w:color w:val="000000"/>
          <w:sz w:val="24"/>
          <w:szCs w:val="24"/>
          <w:lang w:eastAsia="zh-CN"/>
        </w:rPr>
        <w:t>至</w:t>
      </w:r>
      <w:r w:rsidRPr="009535E7">
        <w:rPr>
          <w:rFonts w:eastAsia="標楷體"/>
          <w:color w:val="000000"/>
          <w:sz w:val="24"/>
          <w:szCs w:val="24"/>
          <w:lang w:eastAsia="zh-CN"/>
        </w:rPr>
        <w:t>2015/16</w:t>
      </w:r>
      <w:r w:rsidRPr="009535E7">
        <w:rPr>
          <w:rFonts w:eastAsia="標楷體"/>
          <w:color w:val="000000"/>
          <w:sz w:val="24"/>
          <w:szCs w:val="24"/>
          <w:lang w:eastAsia="zh-CN"/>
        </w:rPr>
        <w:t>税务年度的申报中，上诉人继续以</w:t>
      </w:r>
      <w:r w:rsidRPr="009535E7">
        <w:rPr>
          <w:rFonts w:eastAsia="標楷體"/>
          <w:color w:val="000000"/>
          <w:sz w:val="24"/>
          <w:szCs w:val="24"/>
          <w:lang w:eastAsia="zh-CN"/>
        </w:rPr>
        <w:t>50%</w:t>
      </w:r>
      <w:r w:rsidRPr="009535E7">
        <w:rPr>
          <w:rFonts w:eastAsia="標楷體"/>
          <w:color w:val="000000"/>
          <w:sz w:val="24"/>
          <w:szCs w:val="24"/>
          <w:lang w:eastAsia="zh-CN"/>
        </w:rPr>
        <w:t>的比例申报境外利润。</w:t>
      </w:r>
    </w:p>
    <w:p w14:paraId="02F6947F" w14:textId="77777777" w:rsidR="00552DCD" w:rsidRPr="009535E7" w:rsidRDefault="00552DCD" w:rsidP="00590EE5">
      <w:pPr>
        <w:pStyle w:val="ac"/>
        <w:snapToGrid w:val="0"/>
        <w:ind w:left="1109" w:hanging="709"/>
        <w:jc w:val="both"/>
        <w:rPr>
          <w:rFonts w:eastAsia="標楷體"/>
          <w:color w:val="000000"/>
          <w:sz w:val="24"/>
          <w:szCs w:val="24"/>
          <w:lang w:val="en-US"/>
        </w:rPr>
      </w:pPr>
    </w:p>
    <w:p w14:paraId="48AB842F" w14:textId="18650C74" w:rsidR="00552DCD" w:rsidRPr="009535E7" w:rsidRDefault="009535E7" w:rsidP="00590EE5">
      <w:pPr>
        <w:pStyle w:val="ac"/>
        <w:numPr>
          <w:ilvl w:val="0"/>
          <w:numId w:val="45"/>
        </w:numPr>
        <w:snapToGrid w:val="0"/>
        <w:ind w:leftChars="0" w:left="0" w:firstLine="0"/>
        <w:jc w:val="both"/>
        <w:textAlignment w:val="auto"/>
        <w:rPr>
          <w:rFonts w:eastAsia="標楷體"/>
          <w:sz w:val="24"/>
          <w:szCs w:val="24"/>
        </w:rPr>
      </w:pPr>
      <w:r w:rsidRPr="009535E7">
        <w:rPr>
          <w:rFonts w:eastAsia="標楷體"/>
          <w:color w:val="000000"/>
          <w:sz w:val="24"/>
          <w:szCs w:val="24"/>
          <w:lang w:val="en-US" w:eastAsia="zh-CN"/>
        </w:rPr>
        <w:t>在复核后，评税主任</w:t>
      </w:r>
      <w:r w:rsidRPr="009535E7">
        <w:rPr>
          <w:rFonts w:eastAsia="標楷體"/>
          <w:color w:val="000000"/>
          <w:sz w:val="24"/>
          <w:szCs w:val="24"/>
          <w:lang w:eastAsia="zh-CN"/>
        </w:rPr>
        <w:t>要求上诉人提供更多证明文件。</w:t>
      </w:r>
    </w:p>
    <w:p w14:paraId="76FAD3D1" w14:textId="77777777" w:rsidR="00552DCD" w:rsidRPr="009535E7" w:rsidRDefault="00552DCD" w:rsidP="00590EE5">
      <w:pPr>
        <w:pStyle w:val="ac"/>
        <w:snapToGrid w:val="0"/>
        <w:ind w:left="1109" w:hanging="709"/>
        <w:jc w:val="both"/>
        <w:rPr>
          <w:rFonts w:eastAsia="標楷體"/>
          <w:color w:val="000000"/>
          <w:sz w:val="24"/>
          <w:szCs w:val="24"/>
        </w:rPr>
      </w:pPr>
    </w:p>
    <w:p w14:paraId="0F9CFA7B" w14:textId="08F70379" w:rsidR="00552DCD" w:rsidRPr="009535E7" w:rsidRDefault="009535E7" w:rsidP="00590EE5">
      <w:pPr>
        <w:pStyle w:val="ac"/>
        <w:numPr>
          <w:ilvl w:val="0"/>
          <w:numId w:val="45"/>
        </w:numPr>
        <w:snapToGrid w:val="0"/>
        <w:ind w:leftChars="0" w:left="0" w:firstLine="0"/>
        <w:jc w:val="both"/>
        <w:textAlignment w:val="auto"/>
        <w:rPr>
          <w:rFonts w:eastAsia="標楷體"/>
          <w:sz w:val="24"/>
          <w:szCs w:val="24"/>
        </w:rPr>
      </w:pPr>
      <w:r w:rsidRPr="009535E7">
        <w:rPr>
          <w:rFonts w:eastAsia="標楷體"/>
          <w:color w:val="000000"/>
          <w:sz w:val="24"/>
          <w:szCs w:val="24"/>
          <w:lang w:eastAsia="zh-CN"/>
        </w:rPr>
        <w:t>最终，</w:t>
      </w:r>
      <w:r w:rsidRPr="009535E7">
        <w:rPr>
          <w:rFonts w:eastAsia="標楷體"/>
          <w:color w:val="000000"/>
          <w:sz w:val="24"/>
          <w:szCs w:val="24"/>
          <w:lang w:val="en-US" w:eastAsia="zh-CN"/>
        </w:rPr>
        <w:t>评税主任</w:t>
      </w:r>
      <w:r w:rsidRPr="009535E7">
        <w:rPr>
          <w:rFonts w:eastAsia="標楷體"/>
          <w:color w:val="000000"/>
          <w:sz w:val="24"/>
          <w:szCs w:val="24"/>
          <w:lang w:eastAsia="zh-CN"/>
        </w:rPr>
        <w:t>在</w:t>
      </w:r>
      <w:r w:rsidRPr="009535E7">
        <w:rPr>
          <w:rFonts w:eastAsia="標楷體"/>
          <w:color w:val="000000"/>
          <w:sz w:val="24"/>
          <w:szCs w:val="24"/>
          <w:lang w:eastAsia="zh-CN"/>
        </w:rPr>
        <w:t>2019</w:t>
      </w:r>
      <w:r w:rsidRPr="009535E7">
        <w:rPr>
          <w:rFonts w:eastAsia="標楷體"/>
          <w:color w:val="000000"/>
          <w:sz w:val="24"/>
          <w:szCs w:val="24"/>
          <w:lang w:eastAsia="zh-CN"/>
        </w:rPr>
        <w:t>年</w:t>
      </w:r>
      <w:r w:rsidRPr="009535E7">
        <w:rPr>
          <w:rFonts w:eastAsia="標楷體"/>
          <w:color w:val="000000"/>
          <w:sz w:val="24"/>
          <w:szCs w:val="24"/>
          <w:lang w:eastAsia="zh-CN"/>
        </w:rPr>
        <w:t>3</w:t>
      </w:r>
      <w:r w:rsidRPr="009535E7">
        <w:rPr>
          <w:rFonts w:eastAsia="標楷體"/>
          <w:color w:val="000000"/>
          <w:sz w:val="24"/>
          <w:szCs w:val="24"/>
          <w:lang w:eastAsia="zh-CN"/>
        </w:rPr>
        <w:t>月</w:t>
      </w:r>
      <w:r w:rsidRPr="009535E7">
        <w:rPr>
          <w:rFonts w:eastAsia="標楷體"/>
          <w:color w:val="000000"/>
          <w:sz w:val="24"/>
          <w:szCs w:val="24"/>
          <w:lang w:eastAsia="zh-CN"/>
        </w:rPr>
        <w:t>21</w:t>
      </w:r>
      <w:r w:rsidRPr="009535E7">
        <w:rPr>
          <w:rFonts w:eastAsia="標楷體"/>
          <w:color w:val="000000"/>
          <w:sz w:val="24"/>
          <w:szCs w:val="24"/>
          <w:lang w:eastAsia="zh-CN"/>
        </w:rPr>
        <w:t>日发出信件通知税务代表税务局未能接纳其</w:t>
      </w:r>
      <w:r w:rsidRPr="009535E7">
        <w:rPr>
          <w:rFonts w:eastAsia="標楷體"/>
          <w:color w:val="000000"/>
          <w:sz w:val="24"/>
          <w:szCs w:val="24"/>
          <w:lang w:eastAsia="zh-CN"/>
        </w:rPr>
        <w:t>50%</w:t>
      </w:r>
      <w:r w:rsidRPr="009535E7">
        <w:rPr>
          <w:rFonts w:eastAsia="標楷體"/>
          <w:color w:val="000000"/>
          <w:sz w:val="24"/>
          <w:szCs w:val="24"/>
          <w:lang w:eastAsia="zh-CN"/>
        </w:rPr>
        <w:t>源于香港以外地方的制造业利润的申索。</w:t>
      </w:r>
    </w:p>
    <w:p w14:paraId="1441F669" w14:textId="77777777" w:rsidR="00552DCD" w:rsidRPr="009535E7" w:rsidRDefault="00552DCD" w:rsidP="00590EE5">
      <w:pPr>
        <w:snapToGrid w:val="0"/>
        <w:jc w:val="both"/>
        <w:rPr>
          <w:rFonts w:eastAsia="標楷體"/>
          <w:color w:val="000000"/>
          <w:sz w:val="24"/>
          <w:szCs w:val="24"/>
        </w:rPr>
      </w:pPr>
    </w:p>
    <w:p w14:paraId="4196D6B0" w14:textId="0A48A8CB" w:rsidR="00552DCD" w:rsidRPr="009535E7" w:rsidRDefault="009535E7" w:rsidP="00590EE5">
      <w:pPr>
        <w:pStyle w:val="ac"/>
        <w:numPr>
          <w:ilvl w:val="0"/>
          <w:numId w:val="45"/>
        </w:numPr>
        <w:snapToGrid w:val="0"/>
        <w:ind w:leftChars="0" w:left="0" w:firstLine="0"/>
        <w:jc w:val="both"/>
        <w:textAlignment w:val="auto"/>
        <w:rPr>
          <w:rFonts w:eastAsia="標楷體"/>
          <w:sz w:val="24"/>
          <w:szCs w:val="24"/>
        </w:rPr>
      </w:pPr>
      <w:r w:rsidRPr="009535E7">
        <w:rPr>
          <w:rFonts w:eastAsia="標楷體"/>
          <w:color w:val="000000"/>
          <w:sz w:val="24"/>
          <w:szCs w:val="24"/>
          <w:lang w:eastAsia="zh-CN"/>
        </w:rPr>
        <w:t>上诉人在</w:t>
      </w:r>
      <w:r w:rsidRPr="009535E7">
        <w:rPr>
          <w:rFonts w:eastAsia="標楷體"/>
          <w:color w:val="000000"/>
          <w:sz w:val="24"/>
          <w:szCs w:val="24"/>
          <w:lang w:eastAsia="zh-CN"/>
        </w:rPr>
        <w:t>2019</w:t>
      </w:r>
      <w:r w:rsidRPr="009535E7">
        <w:rPr>
          <w:rFonts w:eastAsia="標楷體"/>
          <w:color w:val="000000"/>
          <w:sz w:val="24"/>
          <w:szCs w:val="24"/>
          <w:lang w:eastAsia="zh-CN"/>
        </w:rPr>
        <w:t>年</w:t>
      </w:r>
      <w:r w:rsidRPr="009535E7">
        <w:rPr>
          <w:rFonts w:eastAsia="標楷體"/>
          <w:color w:val="000000"/>
          <w:sz w:val="24"/>
          <w:szCs w:val="24"/>
          <w:lang w:eastAsia="zh-CN"/>
        </w:rPr>
        <w:t>3</w:t>
      </w:r>
      <w:r w:rsidRPr="009535E7">
        <w:rPr>
          <w:rFonts w:eastAsia="標楷體"/>
          <w:color w:val="000000"/>
          <w:sz w:val="24"/>
          <w:szCs w:val="24"/>
          <w:lang w:eastAsia="zh-CN"/>
        </w:rPr>
        <w:t>月</w:t>
      </w:r>
      <w:r w:rsidRPr="009535E7">
        <w:rPr>
          <w:rFonts w:eastAsia="標楷體"/>
          <w:color w:val="000000"/>
          <w:sz w:val="24"/>
          <w:szCs w:val="24"/>
          <w:lang w:eastAsia="zh-CN"/>
        </w:rPr>
        <w:t>23</w:t>
      </w:r>
      <w:r w:rsidRPr="009535E7">
        <w:rPr>
          <w:rFonts w:eastAsia="標楷體"/>
          <w:color w:val="000000"/>
          <w:sz w:val="24"/>
          <w:szCs w:val="24"/>
          <w:lang w:eastAsia="zh-CN"/>
        </w:rPr>
        <w:t>日就</w:t>
      </w:r>
      <w:r w:rsidRPr="009535E7">
        <w:rPr>
          <w:rFonts w:eastAsia="標楷體"/>
          <w:sz w:val="24"/>
          <w:szCs w:val="24"/>
          <w:lang w:eastAsia="zh-CN"/>
        </w:rPr>
        <w:t xml:space="preserve">2012/13 </w:t>
      </w:r>
      <w:r w:rsidRPr="009535E7">
        <w:rPr>
          <w:rFonts w:eastAsia="標楷體"/>
          <w:sz w:val="24"/>
          <w:szCs w:val="24"/>
          <w:lang w:eastAsia="zh-CN"/>
        </w:rPr>
        <w:t>、</w:t>
      </w:r>
      <w:r w:rsidRPr="009535E7">
        <w:rPr>
          <w:rFonts w:eastAsia="標楷體"/>
          <w:sz w:val="24"/>
          <w:szCs w:val="24"/>
          <w:lang w:eastAsia="zh-CN"/>
        </w:rPr>
        <w:t>2013/14</w:t>
      </w:r>
      <w:r w:rsidRPr="009535E7">
        <w:rPr>
          <w:rFonts w:eastAsia="標楷體"/>
          <w:sz w:val="24"/>
          <w:szCs w:val="24"/>
          <w:lang w:eastAsia="zh-CN"/>
        </w:rPr>
        <w:t>及</w:t>
      </w:r>
      <w:r w:rsidRPr="009535E7">
        <w:rPr>
          <w:rFonts w:eastAsia="標楷體"/>
          <w:sz w:val="24"/>
          <w:szCs w:val="24"/>
          <w:lang w:eastAsia="zh-CN"/>
        </w:rPr>
        <w:t>2014/15</w:t>
      </w:r>
      <w:r w:rsidRPr="009535E7">
        <w:rPr>
          <w:rFonts w:eastAsia="標楷體"/>
          <w:color w:val="000000"/>
          <w:sz w:val="24"/>
          <w:szCs w:val="24"/>
          <w:lang w:eastAsia="zh-CN"/>
        </w:rPr>
        <w:t>课税年度的利得税补加评税发出反对通知书。</w:t>
      </w:r>
    </w:p>
    <w:p w14:paraId="52B6EEC9" w14:textId="77777777" w:rsidR="00552DCD" w:rsidRPr="009535E7" w:rsidRDefault="00552DCD" w:rsidP="00590EE5">
      <w:pPr>
        <w:snapToGrid w:val="0"/>
        <w:jc w:val="both"/>
        <w:rPr>
          <w:rFonts w:eastAsia="標楷體"/>
          <w:color w:val="000000"/>
          <w:sz w:val="24"/>
          <w:szCs w:val="24"/>
        </w:rPr>
      </w:pPr>
    </w:p>
    <w:p w14:paraId="4EF36E7C" w14:textId="563EB606" w:rsidR="00552DCD" w:rsidRPr="009535E7" w:rsidRDefault="009535E7" w:rsidP="00590EE5">
      <w:pPr>
        <w:pStyle w:val="ac"/>
        <w:numPr>
          <w:ilvl w:val="0"/>
          <w:numId w:val="45"/>
        </w:numPr>
        <w:snapToGrid w:val="0"/>
        <w:ind w:leftChars="0" w:left="0" w:firstLine="0"/>
        <w:jc w:val="both"/>
        <w:textAlignment w:val="auto"/>
        <w:rPr>
          <w:rFonts w:eastAsia="標楷體"/>
          <w:sz w:val="24"/>
          <w:szCs w:val="24"/>
        </w:rPr>
      </w:pPr>
      <w:r w:rsidRPr="009535E7">
        <w:rPr>
          <w:rFonts w:eastAsia="標楷體"/>
          <w:color w:val="000000"/>
          <w:sz w:val="24"/>
          <w:szCs w:val="24"/>
          <w:lang w:eastAsia="zh-CN"/>
        </w:rPr>
        <w:t>上诉人没有因应评税主任在</w:t>
      </w:r>
      <w:r w:rsidRPr="009535E7">
        <w:rPr>
          <w:rFonts w:eastAsia="標楷體"/>
          <w:color w:val="000000"/>
          <w:sz w:val="24"/>
          <w:szCs w:val="24"/>
          <w:lang w:eastAsia="zh-CN"/>
        </w:rPr>
        <w:t>2023</w:t>
      </w:r>
      <w:r w:rsidRPr="009535E7">
        <w:rPr>
          <w:rFonts w:eastAsia="標楷體"/>
          <w:color w:val="000000"/>
          <w:sz w:val="24"/>
          <w:szCs w:val="24"/>
          <w:lang w:eastAsia="zh-CN"/>
        </w:rPr>
        <w:t>年</w:t>
      </w:r>
      <w:r w:rsidRPr="009535E7">
        <w:rPr>
          <w:rFonts w:eastAsia="標楷體"/>
          <w:color w:val="000000"/>
          <w:sz w:val="24"/>
          <w:szCs w:val="24"/>
          <w:lang w:eastAsia="zh-CN"/>
        </w:rPr>
        <w:t>3</w:t>
      </w:r>
      <w:r w:rsidRPr="009535E7">
        <w:rPr>
          <w:rFonts w:eastAsia="標楷體"/>
          <w:color w:val="000000"/>
          <w:sz w:val="24"/>
          <w:szCs w:val="24"/>
          <w:lang w:eastAsia="zh-CN"/>
        </w:rPr>
        <w:t>月</w:t>
      </w:r>
      <w:r w:rsidRPr="009535E7">
        <w:rPr>
          <w:rFonts w:eastAsia="標楷體"/>
          <w:color w:val="000000"/>
          <w:sz w:val="24"/>
          <w:szCs w:val="24"/>
          <w:lang w:eastAsia="zh-CN"/>
        </w:rPr>
        <w:t>9</w:t>
      </w:r>
      <w:r w:rsidRPr="009535E7">
        <w:rPr>
          <w:rFonts w:eastAsia="標楷體"/>
          <w:color w:val="000000"/>
          <w:sz w:val="24"/>
          <w:szCs w:val="24"/>
          <w:lang w:eastAsia="zh-CN"/>
        </w:rPr>
        <w:t>日和</w:t>
      </w:r>
      <w:r w:rsidRPr="009535E7">
        <w:rPr>
          <w:rFonts w:eastAsia="標楷體"/>
          <w:color w:val="000000"/>
          <w:sz w:val="24"/>
          <w:szCs w:val="24"/>
          <w:lang w:eastAsia="zh-CN"/>
        </w:rPr>
        <w:t>2023</w:t>
      </w:r>
      <w:r w:rsidRPr="009535E7">
        <w:rPr>
          <w:rFonts w:eastAsia="標楷體"/>
          <w:color w:val="000000"/>
          <w:sz w:val="24"/>
          <w:szCs w:val="24"/>
          <w:lang w:eastAsia="zh-CN"/>
        </w:rPr>
        <w:t>年</w:t>
      </w:r>
      <w:r w:rsidRPr="009535E7">
        <w:rPr>
          <w:rFonts w:eastAsia="標楷體"/>
          <w:color w:val="000000"/>
          <w:sz w:val="24"/>
          <w:szCs w:val="24"/>
          <w:lang w:eastAsia="zh-CN"/>
        </w:rPr>
        <w:t>7</w:t>
      </w:r>
      <w:r w:rsidRPr="009535E7">
        <w:rPr>
          <w:rFonts w:eastAsia="標楷體"/>
          <w:color w:val="000000"/>
          <w:sz w:val="24"/>
          <w:szCs w:val="24"/>
          <w:lang w:eastAsia="zh-CN"/>
        </w:rPr>
        <w:t>月</w:t>
      </w:r>
      <w:r w:rsidRPr="009535E7">
        <w:rPr>
          <w:rFonts w:eastAsia="標楷體"/>
          <w:color w:val="000000"/>
          <w:sz w:val="24"/>
          <w:szCs w:val="24"/>
          <w:lang w:eastAsia="zh-CN"/>
        </w:rPr>
        <w:t>12</w:t>
      </w:r>
      <w:r w:rsidRPr="009535E7">
        <w:rPr>
          <w:rFonts w:eastAsia="標楷體"/>
          <w:color w:val="000000"/>
          <w:sz w:val="24"/>
          <w:szCs w:val="24"/>
          <w:lang w:eastAsia="zh-CN"/>
        </w:rPr>
        <w:t>日分别发出信件要求上诉人提供支持其海外利润申报的相关数据和文件而提供该等数据和文件。</w:t>
      </w:r>
    </w:p>
    <w:p w14:paraId="6BE2603D" w14:textId="77777777" w:rsidR="00552DCD" w:rsidRPr="009535E7" w:rsidRDefault="00552DCD" w:rsidP="00590EE5">
      <w:pPr>
        <w:pStyle w:val="ac"/>
        <w:snapToGrid w:val="0"/>
        <w:ind w:left="1109" w:hanging="709"/>
        <w:jc w:val="both"/>
        <w:rPr>
          <w:rFonts w:eastAsia="標楷體"/>
          <w:color w:val="000000"/>
          <w:sz w:val="24"/>
          <w:szCs w:val="24"/>
        </w:rPr>
      </w:pPr>
    </w:p>
    <w:p w14:paraId="6692F227" w14:textId="4755356B" w:rsidR="00552DCD" w:rsidRPr="009535E7" w:rsidRDefault="009535E7" w:rsidP="00590EE5">
      <w:pPr>
        <w:pStyle w:val="ac"/>
        <w:numPr>
          <w:ilvl w:val="0"/>
          <w:numId w:val="45"/>
        </w:numPr>
        <w:snapToGrid w:val="0"/>
        <w:ind w:leftChars="0" w:left="0" w:firstLine="0"/>
        <w:jc w:val="both"/>
        <w:textAlignment w:val="auto"/>
        <w:rPr>
          <w:rFonts w:eastAsia="標楷體"/>
          <w:sz w:val="24"/>
          <w:szCs w:val="24"/>
        </w:rPr>
      </w:pPr>
      <w:r w:rsidRPr="009535E7">
        <w:rPr>
          <w:rFonts w:eastAsia="標楷體"/>
          <w:color w:val="000000"/>
          <w:sz w:val="24"/>
          <w:szCs w:val="24"/>
          <w:lang w:eastAsia="zh-CN"/>
        </w:rPr>
        <w:t>由于上诉人未能提供评税主任要求的数据及文件，因此决定书驳回上诉人的反对。</w:t>
      </w:r>
    </w:p>
    <w:p w14:paraId="2E60B4E2" w14:textId="77777777" w:rsidR="00552DCD" w:rsidRPr="009535E7" w:rsidRDefault="00552DCD"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1109" w:hanging="709"/>
        <w:jc w:val="both"/>
        <w:rPr>
          <w:rFonts w:eastAsia="標楷體"/>
          <w:color w:val="000000"/>
          <w:sz w:val="24"/>
          <w:szCs w:val="24"/>
        </w:rPr>
      </w:pPr>
    </w:p>
    <w:p w14:paraId="4F081F76" w14:textId="54D17085" w:rsidR="00552DCD" w:rsidRPr="009535E7" w:rsidRDefault="009535E7" w:rsidP="00590EE5">
      <w:pPr>
        <w:pStyle w:val="ac"/>
        <w:numPr>
          <w:ilvl w:val="0"/>
          <w:numId w:val="45"/>
        </w:numPr>
        <w:snapToGrid w:val="0"/>
        <w:ind w:leftChars="0" w:left="0" w:firstLine="0"/>
        <w:jc w:val="both"/>
        <w:textAlignment w:val="auto"/>
        <w:rPr>
          <w:rFonts w:eastAsia="標楷體"/>
          <w:color w:val="000000"/>
          <w:sz w:val="24"/>
          <w:szCs w:val="24"/>
        </w:rPr>
      </w:pPr>
      <w:r w:rsidRPr="009535E7">
        <w:rPr>
          <w:rFonts w:eastAsia="標楷體"/>
          <w:color w:val="000000"/>
          <w:sz w:val="24"/>
          <w:szCs w:val="24"/>
          <w:lang w:eastAsia="zh-CN"/>
        </w:rPr>
        <w:t>上诉人其后就决定书向税务上诉委员会提出上诉，聆讯于</w:t>
      </w:r>
      <w:r w:rsidRPr="009535E7">
        <w:rPr>
          <w:rFonts w:eastAsia="標楷體"/>
          <w:color w:val="000000"/>
          <w:sz w:val="24"/>
          <w:szCs w:val="24"/>
          <w:lang w:eastAsia="zh-CN"/>
        </w:rPr>
        <w:t>2024</w:t>
      </w:r>
      <w:r w:rsidRPr="009535E7">
        <w:rPr>
          <w:rFonts w:eastAsia="標楷體"/>
          <w:color w:val="000000"/>
          <w:sz w:val="24"/>
          <w:szCs w:val="24"/>
          <w:lang w:eastAsia="zh-CN"/>
        </w:rPr>
        <w:t>年</w:t>
      </w:r>
      <w:r w:rsidRPr="009535E7">
        <w:rPr>
          <w:rFonts w:eastAsia="標楷體"/>
          <w:color w:val="000000"/>
          <w:sz w:val="24"/>
          <w:szCs w:val="24"/>
          <w:lang w:eastAsia="zh-CN"/>
        </w:rPr>
        <w:t>2</w:t>
      </w:r>
      <w:r w:rsidRPr="009535E7">
        <w:rPr>
          <w:rFonts w:eastAsia="標楷體"/>
          <w:color w:val="000000"/>
          <w:sz w:val="24"/>
          <w:szCs w:val="24"/>
          <w:lang w:eastAsia="zh-CN"/>
        </w:rPr>
        <w:t>月</w:t>
      </w:r>
      <w:r w:rsidRPr="009535E7">
        <w:rPr>
          <w:rFonts w:eastAsia="標楷體"/>
          <w:color w:val="000000"/>
          <w:sz w:val="24"/>
          <w:szCs w:val="24"/>
          <w:lang w:eastAsia="zh-CN"/>
        </w:rPr>
        <w:t>21</w:t>
      </w:r>
      <w:r w:rsidRPr="009535E7">
        <w:rPr>
          <w:rFonts w:eastAsia="標楷體"/>
          <w:color w:val="000000"/>
          <w:sz w:val="24"/>
          <w:szCs w:val="24"/>
          <w:lang w:eastAsia="zh-CN"/>
        </w:rPr>
        <w:t>日及</w:t>
      </w:r>
      <w:r w:rsidRPr="009535E7">
        <w:rPr>
          <w:rFonts w:eastAsia="標楷體"/>
          <w:color w:val="000000"/>
          <w:sz w:val="24"/>
          <w:szCs w:val="24"/>
          <w:lang w:eastAsia="zh-CN"/>
        </w:rPr>
        <w:t>2024</w:t>
      </w:r>
      <w:r w:rsidRPr="009535E7">
        <w:rPr>
          <w:rFonts w:eastAsia="標楷體"/>
          <w:color w:val="000000"/>
          <w:sz w:val="24"/>
          <w:szCs w:val="24"/>
          <w:lang w:eastAsia="zh-CN"/>
        </w:rPr>
        <w:t>年</w:t>
      </w:r>
      <w:r w:rsidRPr="009535E7">
        <w:rPr>
          <w:rFonts w:eastAsia="標楷體"/>
          <w:color w:val="000000"/>
          <w:sz w:val="24"/>
          <w:szCs w:val="24"/>
          <w:lang w:eastAsia="zh-CN"/>
        </w:rPr>
        <w:t>5</w:t>
      </w:r>
      <w:r w:rsidRPr="009535E7">
        <w:rPr>
          <w:rFonts w:eastAsia="標楷體"/>
          <w:color w:val="000000"/>
          <w:sz w:val="24"/>
          <w:szCs w:val="24"/>
          <w:lang w:eastAsia="zh-CN"/>
        </w:rPr>
        <w:t>月</w:t>
      </w:r>
      <w:r w:rsidRPr="009535E7">
        <w:rPr>
          <w:rFonts w:eastAsia="標楷體"/>
          <w:color w:val="000000"/>
          <w:sz w:val="24"/>
          <w:szCs w:val="24"/>
          <w:lang w:eastAsia="zh-CN"/>
        </w:rPr>
        <w:t>20</w:t>
      </w:r>
      <w:r w:rsidRPr="009535E7">
        <w:rPr>
          <w:rFonts w:eastAsia="標楷體"/>
          <w:color w:val="000000"/>
          <w:sz w:val="24"/>
          <w:szCs w:val="24"/>
          <w:lang w:eastAsia="zh-CN"/>
        </w:rPr>
        <w:t>日进行。</w:t>
      </w:r>
    </w:p>
    <w:p w14:paraId="05ABD826" w14:textId="77777777" w:rsidR="00552DCD" w:rsidRPr="009535E7" w:rsidRDefault="00552DCD" w:rsidP="00590E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jc w:val="both"/>
        <w:rPr>
          <w:rFonts w:eastAsia="標楷體"/>
          <w:color w:val="000000"/>
          <w:sz w:val="24"/>
          <w:szCs w:val="24"/>
        </w:rPr>
      </w:pPr>
    </w:p>
    <w:p w14:paraId="2C8FDAF6" w14:textId="1C258432" w:rsidR="00552DCD" w:rsidRPr="009535E7" w:rsidRDefault="009535E7" w:rsidP="00590EE5">
      <w:pPr>
        <w:pStyle w:val="ac"/>
        <w:numPr>
          <w:ilvl w:val="0"/>
          <w:numId w:val="45"/>
        </w:numPr>
        <w:snapToGrid w:val="0"/>
        <w:ind w:leftChars="0" w:left="0" w:firstLine="0"/>
        <w:jc w:val="both"/>
        <w:textAlignment w:val="auto"/>
        <w:rPr>
          <w:rFonts w:eastAsia="標楷體"/>
          <w:color w:val="000000"/>
          <w:sz w:val="24"/>
          <w:szCs w:val="24"/>
        </w:rPr>
      </w:pPr>
      <w:r w:rsidRPr="009535E7">
        <w:rPr>
          <w:rFonts w:eastAsia="標楷體"/>
          <w:color w:val="000000"/>
          <w:sz w:val="24"/>
          <w:szCs w:val="24"/>
          <w:lang w:eastAsia="zh-CN"/>
        </w:rPr>
        <w:t>在这上诉程序进行过程中，除了与税务局同意的事实（包括相关的文件）外，没有提供进一步的数据和文件。</w:t>
      </w:r>
    </w:p>
    <w:p w14:paraId="25CFC8D7" w14:textId="77777777" w:rsidR="00552DCD" w:rsidRPr="009535E7" w:rsidRDefault="00552DCD" w:rsidP="00590EE5">
      <w:pPr>
        <w:snapToGrid w:val="0"/>
        <w:jc w:val="both"/>
        <w:rPr>
          <w:rFonts w:eastAsia="標楷體"/>
          <w:sz w:val="28"/>
          <w:szCs w:val="28"/>
          <w:lang w:val="en-US"/>
        </w:rPr>
      </w:pPr>
    </w:p>
    <w:p w14:paraId="2F589FCC" w14:textId="3C72A1AC" w:rsidR="00552DCD" w:rsidRPr="009535E7" w:rsidRDefault="009535E7" w:rsidP="00590EE5">
      <w:pPr>
        <w:pStyle w:val="ac"/>
        <w:numPr>
          <w:ilvl w:val="0"/>
          <w:numId w:val="44"/>
        </w:numPr>
        <w:snapToGrid w:val="0"/>
        <w:ind w:leftChars="0" w:left="851" w:hanging="567"/>
        <w:jc w:val="both"/>
        <w:textAlignment w:val="auto"/>
        <w:rPr>
          <w:rFonts w:eastAsia="標楷體"/>
          <w:b/>
          <w:bCs/>
          <w:sz w:val="28"/>
          <w:szCs w:val="28"/>
          <w:lang w:val="en-US"/>
        </w:rPr>
      </w:pPr>
      <w:r w:rsidRPr="009535E7">
        <w:rPr>
          <w:rFonts w:eastAsia="標楷體"/>
          <w:b/>
          <w:bCs/>
          <w:sz w:val="28"/>
          <w:szCs w:val="28"/>
          <w:lang w:val="en-US" w:eastAsia="zh-CN"/>
        </w:rPr>
        <w:t>适用的有关条款</w:t>
      </w:r>
    </w:p>
    <w:p w14:paraId="75F717B8" w14:textId="77777777" w:rsidR="00552DCD" w:rsidRPr="009535E7" w:rsidRDefault="00552DCD" w:rsidP="00590EE5">
      <w:pPr>
        <w:pStyle w:val="ac"/>
        <w:snapToGrid w:val="0"/>
        <w:ind w:left="400"/>
        <w:jc w:val="both"/>
        <w:rPr>
          <w:rFonts w:eastAsia="標楷體"/>
          <w:b/>
          <w:bCs/>
          <w:sz w:val="24"/>
          <w:szCs w:val="24"/>
          <w:lang w:val="en-US"/>
        </w:rPr>
      </w:pPr>
    </w:p>
    <w:p w14:paraId="2355DA0B" w14:textId="771A5D22" w:rsidR="00552DCD" w:rsidRPr="009535E7" w:rsidRDefault="009535E7" w:rsidP="00590EE5">
      <w:pPr>
        <w:pStyle w:val="ac"/>
        <w:numPr>
          <w:ilvl w:val="0"/>
          <w:numId w:val="45"/>
        </w:numPr>
        <w:snapToGrid w:val="0"/>
        <w:ind w:leftChars="0" w:left="0" w:firstLine="0"/>
        <w:jc w:val="both"/>
        <w:textAlignment w:val="auto"/>
        <w:rPr>
          <w:rFonts w:eastAsia="標楷體"/>
          <w:sz w:val="24"/>
          <w:szCs w:val="24"/>
          <w:lang w:val="en-US"/>
        </w:rPr>
      </w:pPr>
      <w:r w:rsidRPr="009535E7">
        <w:rPr>
          <w:rFonts w:eastAsia="標楷體"/>
          <w:sz w:val="24"/>
          <w:szCs w:val="24"/>
          <w:lang w:eastAsia="zh-CN"/>
        </w:rPr>
        <w:t>根据第</w:t>
      </w:r>
      <w:r w:rsidRPr="009535E7">
        <w:rPr>
          <w:rFonts w:eastAsia="標楷體"/>
          <w:color w:val="000000"/>
          <w:sz w:val="24"/>
          <w:szCs w:val="24"/>
          <w:lang w:eastAsia="zh-CN"/>
        </w:rPr>
        <w:t>112</w:t>
      </w:r>
      <w:r w:rsidRPr="009535E7">
        <w:rPr>
          <w:rFonts w:eastAsia="標楷體"/>
          <w:sz w:val="24"/>
          <w:szCs w:val="24"/>
          <w:lang w:eastAsia="zh-CN"/>
        </w:rPr>
        <w:t>章《税务条例》第</w:t>
      </w:r>
      <w:r w:rsidRPr="009535E7">
        <w:rPr>
          <w:rFonts w:eastAsia="標楷體"/>
          <w:sz w:val="24"/>
          <w:szCs w:val="24"/>
          <w:lang w:eastAsia="zh-CN"/>
        </w:rPr>
        <w:t>14(1)</w:t>
      </w:r>
      <w:r w:rsidRPr="009535E7">
        <w:rPr>
          <w:rFonts w:eastAsia="標楷體"/>
          <w:sz w:val="24"/>
          <w:szCs w:val="24"/>
          <w:lang w:eastAsia="zh-CN"/>
        </w:rPr>
        <w:t>条：</w:t>
      </w:r>
      <w:r w:rsidRPr="009535E7">
        <w:rPr>
          <w:rFonts w:eastAsia="標楷體"/>
          <w:sz w:val="24"/>
          <w:szCs w:val="24"/>
          <w:lang w:eastAsia="zh-CN"/>
        </w:rPr>
        <w:t>-</w:t>
      </w:r>
    </w:p>
    <w:p w14:paraId="2F9A9690" w14:textId="77777777" w:rsidR="00552DCD" w:rsidRPr="009535E7" w:rsidRDefault="00552DCD"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400"/>
        <w:jc w:val="both"/>
        <w:rPr>
          <w:rFonts w:eastAsia="標楷體"/>
          <w:i/>
          <w:iCs/>
          <w:sz w:val="24"/>
          <w:szCs w:val="24"/>
          <w:lang w:val="en-HK"/>
        </w:rPr>
      </w:pPr>
    </w:p>
    <w:p w14:paraId="6EC531BB" w14:textId="77777777" w:rsidR="00A749D7" w:rsidRPr="009535E7" w:rsidRDefault="00A749D7"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400"/>
        <w:jc w:val="both"/>
        <w:rPr>
          <w:rFonts w:eastAsia="標楷體"/>
          <w:i/>
          <w:iCs/>
          <w:sz w:val="24"/>
          <w:szCs w:val="24"/>
          <w:lang w:val="en-HK"/>
        </w:rPr>
      </w:pPr>
    </w:p>
    <w:p w14:paraId="28854970" w14:textId="77777777" w:rsidR="00A749D7" w:rsidRPr="009535E7" w:rsidRDefault="00A749D7"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400"/>
        <w:jc w:val="both"/>
        <w:rPr>
          <w:rFonts w:eastAsia="標楷體"/>
          <w:i/>
          <w:iCs/>
          <w:sz w:val="24"/>
          <w:szCs w:val="24"/>
          <w:lang w:val="en-HK"/>
        </w:rPr>
      </w:pPr>
    </w:p>
    <w:p w14:paraId="588EDF7D" w14:textId="7F0B0609" w:rsidR="00552DCD" w:rsidRPr="009535E7" w:rsidRDefault="009535E7" w:rsidP="00590EE5">
      <w:pPr>
        <w:pStyle w:val="ac"/>
        <w:tabs>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780" w:left="1560"/>
        <w:jc w:val="both"/>
        <w:rPr>
          <w:rFonts w:eastAsia="標楷體"/>
          <w:sz w:val="24"/>
          <w:szCs w:val="24"/>
          <w:lang w:val="en-US"/>
        </w:rPr>
      </w:pPr>
      <w:r w:rsidRPr="009535E7">
        <w:rPr>
          <w:rFonts w:eastAsia="標楷體"/>
          <w:i/>
          <w:iCs/>
          <w:sz w:val="24"/>
          <w:szCs w:val="24"/>
          <w:lang w:eastAsia="zh-CN"/>
        </w:rPr>
        <w:lastRenderedPageBreak/>
        <w:t>「利得税的征收</w:t>
      </w:r>
    </w:p>
    <w:p w14:paraId="7C209BB1" w14:textId="43960678" w:rsidR="00552DCD" w:rsidRPr="009535E7" w:rsidRDefault="009535E7" w:rsidP="00590EE5">
      <w:pPr>
        <w:pStyle w:val="ac"/>
        <w:numPr>
          <w:ilvl w:val="0"/>
          <w:numId w:val="46"/>
        </w:numPr>
        <w:tabs>
          <w:tab w:val="left" w:pos="2240"/>
          <w:tab w:val="left" w:pos="2800"/>
          <w:tab w:val="left" w:pos="3360"/>
          <w:tab w:val="left" w:pos="3920"/>
          <w:tab w:val="left" w:pos="4480"/>
          <w:tab w:val="left" w:pos="5040"/>
          <w:tab w:val="left" w:pos="5600"/>
          <w:tab w:val="left" w:pos="6160"/>
          <w:tab w:val="left" w:pos="6720"/>
        </w:tabs>
        <w:snapToGrid w:val="0"/>
        <w:ind w:leftChars="0" w:left="1701" w:hanging="142"/>
        <w:jc w:val="both"/>
        <w:textAlignment w:val="auto"/>
        <w:rPr>
          <w:rFonts w:eastAsia="標楷體"/>
          <w:i/>
          <w:iCs/>
          <w:sz w:val="24"/>
          <w:szCs w:val="24"/>
        </w:rPr>
      </w:pPr>
      <w:r w:rsidRPr="009535E7">
        <w:rPr>
          <w:rFonts w:eastAsia="標楷體"/>
          <w:i/>
          <w:iCs/>
          <w:sz w:val="24"/>
          <w:szCs w:val="24"/>
          <w:lang w:eastAsia="zh-CN"/>
        </w:rPr>
        <w:t>除本条例另有规定外，凡任何人在香港经营任何行业、专业或业务，而从该行业、专业或业务获得按照本部被确定的其在有关年度于香港产生或得自香港的应评税利润</w:t>
      </w:r>
      <w:r w:rsidRPr="009535E7">
        <w:rPr>
          <w:rFonts w:eastAsia="標楷體"/>
          <w:i/>
          <w:iCs/>
          <w:sz w:val="24"/>
          <w:szCs w:val="24"/>
          <w:lang w:eastAsia="zh-CN"/>
        </w:rPr>
        <w:t>(</w:t>
      </w:r>
      <w:r w:rsidRPr="009535E7">
        <w:rPr>
          <w:rFonts w:eastAsia="標楷體"/>
          <w:i/>
          <w:iCs/>
          <w:sz w:val="24"/>
          <w:szCs w:val="24"/>
          <w:lang w:eastAsia="zh-CN"/>
        </w:rPr>
        <w:t>售卖资本资产所得的利润除外</w:t>
      </w:r>
      <w:r w:rsidRPr="009535E7">
        <w:rPr>
          <w:rFonts w:eastAsia="標楷體"/>
          <w:i/>
          <w:iCs/>
          <w:sz w:val="24"/>
          <w:szCs w:val="24"/>
          <w:lang w:eastAsia="zh-CN"/>
        </w:rPr>
        <w:t>)</w:t>
      </w:r>
      <w:r w:rsidRPr="009535E7">
        <w:rPr>
          <w:rFonts w:eastAsia="標楷體"/>
          <w:i/>
          <w:iCs/>
          <w:sz w:val="24"/>
          <w:szCs w:val="24"/>
          <w:lang w:eastAsia="zh-CN"/>
        </w:rPr>
        <w:t>，则须向该人就其上述利润，征收其在每个课税年度的利得税。</w:t>
      </w:r>
      <w:r w:rsidRPr="009535E7">
        <w:rPr>
          <w:rFonts w:eastAsia="標楷體"/>
          <w:i/>
          <w:iCs/>
          <w:sz w:val="24"/>
          <w:szCs w:val="24"/>
          <w:lang w:eastAsia="zh-CN"/>
        </w:rPr>
        <w:t xml:space="preserve"> </w:t>
      </w:r>
      <w:r w:rsidRPr="009535E7">
        <w:rPr>
          <w:rFonts w:eastAsia="標楷體"/>
          <w:i/>
          <w:iCs/>
          <w:sz w:val="24"/>
          <w:szCs w:val="24"/>
          <w:lang w:eastAsia="zh-CN"/>
        </w:rPr>
        <w:t>」</w:t>
      </w:r>
    </w:p>
    <w:p w14:paraId="0A01DAFA" w14:textId="77777777" w:rsidR="00552DCD" w:rsidRPr="009535E7" w:rsidRDefault="00552DCD" w:rsidP="00590E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851" w:hanging="709"/>
        <w:jc w:val="both"/>
        <w:rPr>
          <w:rFonts w:eastAsia="標楷體"/>
          <w:i/>
          <w:iCs/>
          <w:sz w:val="24"/>
          <w:szCs w:val="24"/>
          <w:lang w:val="en-US"/>
        </w:rPr>
      </w:pPr>
    </w:p>
    <w:p w14:paraId="043A5E19" w14:textId="37727255" w:rsidR="00552DCD" w:rsidRPr="009535E7" w:rsidRDefault="009535E7" w:rsidP="00590EE5">
      <w:pPr>
        <w:pStyle w:val="ac"/>
        <w:numPr>
          <w:ilvl w:val="0"/>
          <w:numId w:val="45"/>
        </w:numPr>
        <w:snapToGrid w:val="0"/>
        <w:ind w:leftChars="0" w:left="0" w:firstLine="0"/>
        <w:jc w:val="both"/>
        <w:textAlignment w:val="auto"/>
        <w:rPr>
          <w:rFonts w:eastAsia="標楷體"/>
          <w:sz w:val="24"/>
          <w:szCs w:val="24"/>
          <w:lang w:val="en-US"/>
        </w:rPr>
      </w:pPr>
      <w:r w:rsidRPr="009535E7">
        <w:rPr>
          <w:rFonts w:eastAsia="標楷體"/>
          <w:sz w:val="24"/>
          <w:szCs w:val="24"/>
          <w:lang w:eastAsia="zh-CN"/>
        </w:rPr>
        <w:t>根据第</w:t>
      </w:r>
      <w:r w:rsidRPr="009535E7">
        <w:rPr>
          <w:rFonts w:eastAsia="標楷體"/>
          <w:color w:val="000000"/>
          <w:sz w:val="24"/>
          <w:szCs w:val="24"/>
          <w:lang w:eastAsia="zh-CN"/>
        </w:rPr>
        <w:t>112</w:t>
      </w:r>
      <w:r w:rsidRPr="009535E7">
        <w:rPr>
          <w:rFonts w:eastAsia="標楷體"/>
          <w:sz w:val="24"/>
          <w:szCs w:val="24"/>
          <w:lang w:eastAsia="zh-CN"/>
        </w:rPr>
        <w:t>章《税务条例》第</w:t>
      </w:r>
      <w:r w:rsidRPr="009535E7">
        <w:rPr>
          <w:rFonts w:eastAsia="標楷體"/>
          <w:sz w:val="24"/>
          <w:szCs w:val="24"/>
          <w:lang w:eastAsia="zh-CN"/>
        </w:rPr>
        <w:t>68</w:t>
      </w:r>
      <w:r w:rsidRPr="009535E7">
        <w:rPr>
          <w:rFonts w:eastAsia="標楷體"/>
          <w:sz w:val="24"/>
          <w:szCs w:val="24"/>
          <w:lang w:eastAsia="zh-CN"/>
        </w:rPr>
        <w:t>（</w:t>
      </w:r>
      <w:r w:rsidRPr="009535E7">
        <w:rPr>
          <w:rFonts w:eastAsia="標楷體"/>
          <w:sz w:val="24"/>
          <w:szCs w:val="24"/>
          <w:lang w:eastAsia="zh-CN"/>
        </w:rPr>
        <w:t>4</w:t>
      </w:r>
      <w:r w:rsidRPr="009535E7">
        <w:rPr>
          <w:rFonts w:eastAsia="標楷體"/>
          <w:sz w:val="24"/>
          <w:szCs w:val="24"/>
          <w:lang w:eastAsia="zh-CN"/>
        </w:rPr>
        <w:t>）条</w:t>
      </w:r>
      <w:r w:rsidRPr="009535E7">
        <w:rPr>
          <w:rFonts w:eastAsia="標楷體"/>
          <w:sz w:val="24"/>
          <w:szCs w:val="24"/>
          <w:lang w:val="en-US" w:eastAsia="zh-CN"/>
        </w:rPr>
        <w:t>上诉人在本上诉中负有举证责任，</w:t>
      </w:r>
      <w:r w:rsidRPr="009535E7">
        <w:rPr>
          <w:rFonts w:eastAsia="標楷體"/>
          <w:color w:val="000000"/>
          <w:sz w:val="24"/>
          <w:szCs w:val="24"/>
          <w:lang w:eastAsia="zh-CN"/>
        </w:rPr>
        <w:t>他必须证明相关评税是过多或不正确的</w:t>
      </w:r>
      <w:r w:rsidRPr="009535E7">
        <w:rPr>
          <w:rFonts w:eastAsia="標楷體"/>
          <w:sz w:val="24"/>
          <w:szCs w:val="24"/>
          <w:lang w:eastAsia="zh-CN"/>
        </w:rPr>
        <w:t>：</w:t>
      </w:r>
      <w:r w:rsidRPr="009535E7">
        <w:rPr>
          <w:rFonts w:eastAsia="標楷體"/>
          <w:sz w:val="24"/>
          <w:szCs w:val="24"/>
          <w:lang w:eastAsia="zh-CN"/>
        </w:rPr>
        <w:t>-</w:t>
      </w:r>
    </w:p>
    <w:p w14:paraId="4E389E2D" w14:textId="77777777" w:rsidR="00552DCD" w:rsidRPr="009535E7" w:rsidRDefault="00552DCD"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400"/>
        <w:jc w:val="both"/>
        <w:rPr>
          <w:rFonts w:eastAsia="標楷體"/>
          <w:sz w:val="24"/>
          <w:szCs w:val="24"/>
        </w:rPr>
      </w:pPr>
    </w:p>
    <w:p w14:paraId="6D190DEB" w14:textId="6547EA11" w:rsidR="00552DCD" w:rsidRPr="009535E7" w:rsidRDefault="009535E7" w:rsidP="00590EE5">
      <w:pPr>
        <w:pStyle w:val="ac"/>
        <w:tabs>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780" w:left="1560"/>
        <w:jc w:val="both"/>
        <w:rPr>
          <w:rFonts w:eastAsia="標楷體"/>
          <w:i/>
          <w:iCs/>
          <w:sz w:val="24"/>
          <w:szCs w:val="24"/>
        </w:rPr>
      </w:pPr>
      <w:r w:rsidRPr="009535E7">
        <w:rPr>
          <w:rFonts w:eastAsia="標楷體"/>
          <w:sz w:val="24"/>
          <w:szCs w:val="24"/>
          <w:lang w:eastAsia="zh-CN"/>
        </w:rPr>
        <w:t>「</w:t>
      </w:r>
      <w:r w:rsidRPr="009535E7">
        <w:rPr>
          <w:rFonts w:eastAsia="標楷體"/>
          <w:i/>
          <w:iCs/>
          <w:sz w:val="24"/>
          <w:szCs w:val="24"/>
          <w:lang w:eastAsia="zh-CN"/>
        </w:rPr>
        <w:t>向税务上诉委员会提出的上诉的聆讯及处理</w:t>
      </w:r>
    </w:p>
    <w:p w14:paraId="7537EDF3" w14:textId="5BB48464" w:rsidR="00552DCD" w:rsidRPr="009535E7" w:rsidRDefault="009535E7" w:rsidP="00590EE5">
      <w:pPr>
        <w:pStyle w:val="ac"/>
        <w:tabs>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850" w:left="1700"/>
        <w:jc w:val="both"/>
        <w:rPr>
          <w:rFonts w:eastAsia="標楷體"/>
          <w:sz w:val="24"/>
          <w:szCs w:val="24"/>
          <w:lang w:val="en-US"/>
        </w:rPr>
      </w:pPr>
      <w:r w:rsidRPr="009535E7">
        <w:rPr>
          <w:rFonts w:eastAsia="標楷體"/>
          <w:i/>
          <w:iCs/>
          <w:sz w:val="24"/>
          <w:szCs w:val="24"/>
          <w:lang w:eastAsia="zh-CN"/>
        </w:rPr>
        <w:t>（</w:t>
      </w:r>
      <w:r w:rsidRPr="009535E7">
        <w:rPr>
          <w:rFonts w:eastAsia="標楷體"/>
          <w:i/>
          <w:iCs/>
          <w:sz w:val="24"/>
          <w:szCs w:val="24"/>
          <w:lang w:eastAsia="zh-CN"/>
        </w:rPr>
        <w:t>4</w:t>
      </w:r>
      <w:r w:rsidRPr="009535E7">
        <w:rPr>
          <w:rFonts w:eastAsia="標楷體"/>
          <w:i/>
          <w:iCs/>
          <w:sz w:val="24"/>
          <w:szCs w:val="24"/>
          <w:lang w:eastAsia="zh-CN"/>
        </w:rPr>
        <w:t>）证明上诉所针对的评税额过多或不正确的举证责任，须由上诉人承担。</w:t>
      </w:r>
      <w:r w:rsidRPr="009535E7">
        <w:rPr>
          <w:rFonts w:eastAsia="標楷體"/>
          <w:sz w:val="24"/>
          <w:szCs w:val="24"/>
          <w:lang w:eastAsia="zh-CN"/>
        </w:rPr>
        <w:t>」</w:t>
      </w:r>
    </w:p>
    <w:p w14:paraId="7DB06D99" w14:textId="77777777" w:rsidR="00552DCD" w:rsidRPr="009535E7" w:rsidRDefault="00552DCD"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1109" w:hanging="709"/>
        <w:jc w:val="both"/>
        <w:rPr>
          <w:rFonts w:eastAsia="標楷體"/>
          <w:sz w:val="24"/>
          <w:szCs w:val="24"/>
          <w:lang w:val="en-US"/>
        </w:rPr>
      </w:pPr>
    </w:p>
    <w:p w14:paraId="74697D31" w14:textId="0C9EA734" w:rsidR="00552DCD" w:rsidRPr="009535E7" w:rsidRDefault="009535E7" w:rsidP="00590EE5">
      <w:pPr>
        <w:pStyle w:val="ac"/>
        <w:numPr>
          <w:ilvl w:val="0"/>
          <w:numId w:val="45"/>
        </w:numPr>
        <w:snapToGrid w:val="0"/>
        <w:ind w:leftChars="0" w:left="0" w:firstLine="0"/>
        <w:jc w:val="both"/>
        <w:textAlignment w:val="auto"/>
        <w:rPr>
          <w:rFonts w:eastAsia="標楷體"/>
          <w:sz w:val="24"/>
          <w:szCs w:val="24"/>
          <w:lang w:val="en-US" w:eastAsia="zh-CN"/>
        </w:rPr>
      </w:pPr>
      <w:r w:rsidRPr="009535E7">
        <w:rPr>
          <w:rFonts w:eastAsia="標楷體"/>
          <w:color w:val="000000"/>
          <w:sz w:val="24"/>
          <w:szCs w:val="24"/>
          <w:lang w:eastAsia="zh-CN"/>
        </w:rPr>
        <w:t>税务局发出的</w:t>
      </w:r>
      <w:r w:rsidRPr="009535E7">
        <w:rPr>
          <w:rFonts w:eastAsia="標楷體"/>
          <w:sz w:val="24"/>
          <w:szCs w:val="24"/>
          <w:lang w:val="en-US" w:eastAsia="zh-CN"/>
        </w:rPr>
        <w:t>《税务条例释义及执行指引第</w:t>
      </w:r>
      <w:r w:rsidRPr="009535E7">
        <w:rPr>
          <w:rFonts w:eastAsia="標楷體"/>
          <w:sz w:val="24"/>
          <w:szCs w:val="24"/>
          <w:lang w:val="en-US" w:eastAsia="zh-CN"/>
        </w:rPr>
        <w:t>21</w:t>
      </w:r>
      <w:r w:rsidRPr="009535E7">
        <w:rPr>
          <w:rFonts w:eastAsia="標楷體"/>
          <w:sz w:val="24"/>
          <w:szCs w:val="24"/>
          <w:lang w:val="en-US" w:eastAsia="zh-CN"/>
        </w:rPr>
        <w:t>号</w:t>
      </w:r>
      <w:r w:rsidRPr="009535E7">
        <w:rPr>
          <w:rFonts w:eastAsia="標楷體"/>
          <w:sz w:val="24"/>
          <w:szCs w:val="24"/>
          <w:lang w:val="en-US" w:eastAsia="zh-CN"/>
        </w:rPr>
        <w:t>(</w:t>
      </w:r>
      <w:r w:rsidRPr="009535E7">
        <w:rPr>
          <w:rFonts w:eastAsia="標楷體"/>
          <w:sz w:val="24"/>
          <w:szCs w:val="24"/>
          <w:lang w:val="en-US" w:eastAsia="zh-CN"/>
        </w:rPr>
        <w:t>修订版</w:t>
      </w:r>
      <w:r w:rsidRPr="009535E7">
        <w:rPr>
          <w:rFonts w:eastAsia="標楷體"/>
          <w:sz w:val="24"/>
          <w:szCs w:val="24"/>
          <w:lang w:val="en-US" w:eastAsia="zh-CN"/>
        </w:rPr>
        <w:t>)</w:t>
      </w:r>
      <w:r w:rsidRPr="009535E7">
        <w:rPr>
          <w:rFonts w:eastAsia="標楷體"/>
          <w:sz w:val="24"/>
          <w:szCs w:val="24"/>
          <w:lang w:val="en-US" w:eastAsia="zh-CN"/>
        </w:rPr>
        <w:t>》</w:t>
      </w:r>
      <w:r w:rsidRPr="009535E7">
        <w:rPr>
          <w:rFonts w:eastAsia="標楷體"/>
          <w:sz w:val="24"/>
          <w:szCs w:val="24"/>
          <w:lang w:val="en-US" w:eastAsia="zh-CN"/>
        </w:rPr>
        <w:t>(</w:t>
      </w:r>
      <w:r w:rsidRPr="009535E7">
        <w:rPr>
          <w:rFonts w:eastAsia="標楷體"/>
          <w:sz w:val="24"/>
          <w:szCs w:val="24"/>
          <w:lang w:val="en-US" w:eastAsia="zh-CN"/>
        </w:rPr>
        <w:t>「</w:t>
      </w:r>
      <w:r w:rsidRPr="009535E7">
        <w:rPr>
          <w:rFonts w:eastAsia="標楷體"/>
          <w:b/>
          <w:bCs/>
          <w:sz w:val="24"/>
          <w:szCs w:val="24"/>
          <w:lang w:val="en-US" w:eastAsia="zh-CN"/>
        </w:rPr>
        <w:t>DIPN 21</w:t>
      </w:r>
      <w:r w:rsidRPr="009535E7">
        <w:rPr>
          <w:rFonts w:eastAsia="標楷體"/>
          <w:b/>
          <w:bCs/>
          <w:sz w:val="24"/>
          <w:szCs w:val="24"/>
          <w:lang w:val="en-US" w:eastAsia="zh-CN"/>
        </w:rPr>
        <w:t>」</w:t>
      </w:r>
      <w:r w:rsidRPr="009535E7">
        <w:rPr>
          <w:rFonts w:eastAsia="標楷體"/>
          <w:sz w:val="24"/>
          <w:szCs w:val="24"/>
          <w:lang w:val="en-US" w:eastAsia="zh-CN"/>
        </w:rPr>
        <w:t>)</w:t>
      </w:r>
      <w:r w:rsidRPr="009535E7">
        <w:rPr>
          <w:rFonts w:eastAsia="標楷體"/>
          <w:sz w:val="24"/>
          <w:szCs w:val="24"/>
          <w:lang w:val="en-US" w:eastAsia="zh-CN"/>
        </w:rPr>
        <w:t>没有法律效力，亦对上诉委员会没有约束力。然而，从</w:t>
      </w:r>
      <w:r w:rsidRPr="009535E7">
        <w:rPr>
          <w:rFonts w:eastAsia="標楷體"/>
          <w:sz w:val="24"/>
          <w:szCs w:val="24"/>
          <w:lang w:eastAsia="zh-CN"/>
        </w:rPr>
        <w:t>DIPN 21</w:t>
      </w:r>
      <w:r w:rsidRPr="009535E7">
        <w:rPr>
          <w:rFonts w:eastAsia="標楷體"/>
          <w:sz w:val="24"/>
          <w:szCs w:val="24"/>
          <w:lang w:val="en-US" w:eastAsia="zh-CN"/>
        </w:rPr>
        <w:t>可以看出，税务局的立场是即使香港制造企业与内地实体有加工或装配安排，并提供生产支持，内地加工单位在法律上仍属独立的分包商，因此不应考虑利润分摊。</w:t>
      </w:r>
    </w:p>
    <w:p w14:paraId="0DF4AF53" w14:textId="77777777" w:rsidR="00552DCD" w:rsidRPr="009535E7" w:rsidRDefault="00552DCD" w:rsidP="00590EE5">
      <w:pPr>
        <w:pStyle w:val="ac"/>
        <w:snapToGrid w:val="0"/>
        <w:ind w:left="1109" w:hanging="709"/>
        <w:jc w:val="both"/>
        <w:rPr>
          <w:rFonts w:eastAsia="標楷體"/>
          <w:sz w:val="24"/>
          <w:szCs w:val="24"/>
          <w:lang w:val="en-US" w:eastAsia="zh-CN"/>
        </w:rPr>
      </w:pPr>
    </w:p>
    <w:p w14:paraId="7EF6B3A1" w14:textId="4618C10C" w:rsidR="00552DCD" w:rsidRPr="009535E7" w:rsidRDefault="009535E7" w:rsidP="00590EE5">
      <w:pPr>
        <w:pStyle w:val="ac"/>
        <w:numPr>
          <w:ilvl w:val="0"/>
          <w:numId w:val="45"/>
        </w:numPr>
        <w:snapToGrid w:val="0"/>
        <w:ind w:leftChars="0" w:left="0" w:firstLine="0"/>
        <w:jc w:val="both"/>
        <w:textAlignment w:val="auto"/>
        <w:rPr>
          <w:rFonts w:eastAsia="標楷體"/>
          <w:sz w:val="24"/>
          <w:szCs w:val="24"/>
          <w:lang w:val="en-US"/>
        </w:rPr>
      </w:pPr>
      <w:r w:rsidRPr="009535E7">
        <w:rPr>
          <w:rFonts w:eastAsia="標楷體"/>
          <w:sz w:val="24"/>
          <w:szCs w:val="24"/>
          <w:lang w:val="en-US" w:eastAsia="zh-CN"/>
        </w:rPr>
        <w:t>不过，假若香港公司会向内地企业支付加工费用，以作为加工服务的报酬，为认同香港公司在内地的业务运作，税务局一般会愿意接受有关的香港公司可以按</w:t>
      </w:r>
      <w:r w:rsidRPr="009535E7">
        <w:rPr>
          <w:rFonts w:eastAsia="標楷體"/>
          <w:sz w:val="24"/>
          <w:szCs w:val="24"/>
          <w:lang w:val="en-US" w:eastAsia="zh-CN"/>
        </w:rPr>
        <w:t>50:50</w:t>
      </w:r>
      <w:r w:rsidRPr="009535E7">
        <w:rPr>
          <w:rFonts w:eastAsia="標楷體"/>
          <w:sz w:val="24"/>
          <w:szCs w:val="24"/>
          <w:lang w:val="en-US" w:eastAsia="zh-CN"/>
        </w:rPr>
        <w:t>的比例分摊利润。</w:t>
      </w:r>
    </w:p>
    <w:p w14:paraId="59561555" w14:textId="77777777" w:rsidR="00552DCD" w:rsidRPr="009535E7" w:rsidRDefault="00552DCD" w:rsidP="00590EE5">
      <w:pPr>
        <w:pStyle w:val="ac"/>
        <w:snapToGrid w:val="0"/>
        <w:ind w:left="400"/>
        <w:jc w:val="both"/>
        <w:rPr>
          <w:rFonts w:eastAsia="標楷體"/>
          <w:sz w:val="24"/>
          <w:szCs w:val="24"/>
          <w:lang w:val="en-US"/>
        </w:rPr>
      </w:pPr>
    </w:p>
    <w:p w14:paraId="567D42CE" w14:textId="427B40BE" w:rsidR="00552DCD" w:rsidRPr="009535E7" w:rsidRDefault="009535E7" w:rsidP="00590EE5">
      <w:pPr>
        <w:pStyle w:val="ac"/>
        <w:numPr>
          <w:ilvl w:val="0"/>
          <w:numId w:val="45"/>
        </w:numPr>
        <w:snapToGrid w:val="0"/>
        <w:ind w:leftChars="0" w:left="0" w:firstLine="0"/>
        <w:jc w:val="both"/>
        <w:textAlignment w:val="auto"/>
        <w:rPr>
          <w:rFonts w:eastAsia="標楷體"/>
          <w:sz w:val="24"/>
          <w:szCs w:val="24"/>
          <w:lang w:val="en-US" w:eastAsia="zh-CN"/>
        </w:rPr>
      </w:pPr>
      <w:r w:rsidRPr="009535E7">
        <w:rPr>
          <w:rFonts w:eastAsia="標楷體"/>
          <w:sz w:val="24"/>
          <w:szCs w:val="24"/>
          <w:lang w:eastAsia="zh-CN"/>
        </w:rPr>
        <w:t>DIPN 21</w:t>
      </w:r>
      <w:r w:rsidRPr="009535E7">
        <w:rPr>
          <w:rFonts w:eastAsia="標楷體"/>
          <w:sz w:val="24"/>
          <w:szCs w:val="24"/>
          <w:lang w:eastAsia="zh-CN"/>
        </w:rPr>
        <w:t>建议纳税人在作出申请离岸</w:t>
      </w:r>
      <w:r w:rsidRPr="009535E7">
        <w:rPr>
          <w:rFonts w:eastAsia="標楷體"/>
          <w:color w:val="000000"/>
          <w:sz w:val="24"/>
          <w:szCs w:val="24"/>
          <w:lang w:val="en-US" w:eastAsia="zh-CN"/>
        </w:rPr>
        <w:t>申索时</w:t>
      </w:r>
      <w:r w:rsidRPr="009535E7">
        <w:rPr>
          <w:rFonts w:eastAsia="標楷體"/>
          <w:sz w:val="24"/>
          <w:szCs w:val="24"/>
          <w:lang w:eastAsia="zh-CN"/>
        </w:rPr>
        <w:t>，应有足够准备以文件证明在其报税表中所申报的交易利润是得自香港以外地方。评税主任有法定责任作出评税，就纳税人的申请所涉及的交易的运作情况提出查问及要求提供详情。</w:t>
      </w:r>
    </w:p>
    <w:p w14:paraId="1E78CC61" w14:textId="77777777" w:rsidR="00552DCD" w:rsidRPr="009535E7" w:rsidRDefault="00552DCD" w:rsidP="00590EE5">
      <w:pPr>
        <w:snapToGrid w:val="0"/>
        <w:jc w:val="both"/>
        <w:rPr>
          <w:rFonts w:eastAsia="標楷體"/>
          <w:b/>
          <w:bCs/>
          <w:sz w:val="28"/>
          <w:szCs w:val="28"/>
          <w:lang w:val="en-US" w:eastAsia="zh-CN"/>
        </w:rPr>
      </w:pPr>
    </w:p>
    <w:p w14:paraId="1B455C2A" w14:textId="0D450FBE" w:rsidR="00552DCD" w:rsidRPr="009535E7" w:rsidRDefault="009535E7" w:rsidP="00590EE5">
      <w:pPr>
        <w:pStyle w:val="ac"/>
        <w:numPr>
          <w:ilvl w:val="0"/>
          <w:numId w:val="44"/>
        </w:numPr>
        <w:snapToGrid w:val="0"/>
        <w:ind w:leftChars="0" w:left="851" w:hanging="567"/>
        <w:jc w:val="both"/>
        <w:textAlignment w:val="auto"/>
        <w:rPr>
          <w:rFonts w:eastAsia="標楷體"/>
          <w:b/>
          <w:bCs/>
          <w:sz w:val="28"/>
          <w:szCs w:val="28"/>
          <w:lang w:val="en-US"/>
        </w:rPr>
      </w:pPr>
      <w:r w:rsidRPr="009535E7">
        <w:rPr>
          <w:rFonts w:eastAsia="標楷體"/>
          <w:b/>
          <w:bCs/>
          <w:sz w:val="28"/>
          <w:szCs w:val="28"/>
          <w:lang w:val="en-US" w:eastAsia="zh-CN"/>
        </w:rPr>
        <w:t>上诉人的主张及陈词</w:t>
      </w:r>
    </w:p>
    <w:p w14:paraId="4EED7034" w14:textId="77777777" w:rsidR="00552DCD" w:rsidRPr="009535E7" w:rsidRDefault="00552DCD" w:rsidP="00590EE5">
      <w:pPr>
        <w:pStyle w:val="ac"/>
        <w:snapToGrid w:val="0"/>
        <w:ind w:left="400"/>
        <w:jc w:val="both"/>
        <w:rPr>
          <w:rFonts w:eastAsia="標楷體"/>
          <w:b/>
          <w:bCs/>
          <w:sz w:val="24"/>
          <w:szCs w:val="24"/>
          <w:lang w:val="en-US"/>
        </w:rPr>
      </w:pPr>
    </w:p>
    <w:p w14:paraId="05F65688" w14:textId="33090B8B" w:rsidR="00552DCD" w:rsidRPr="009535E7" w:rsidRDefault="009535E7" w:rsidP="00590EE5">
      <w:pPr>
        <w:pStyle w:val="ac"/>
        <w:numPr>
          <w:ilvl w:val="0"/>
          <w:numId w:val="45"/>
        </w:numPr>
        <w:snapToGrid w:val="0"/>
        <w:ind w:leftChars="0" w:left="0" w:firstLine="0"/>
        <w:jc w:val="both"/>
        <w:textAlignment w:val="auto"/>
        <w:rPr>
          <w:rFonts w:eastAsia="標楷體"/>
          <w:color w:val="000000"/>
          <w:sz w:val="24"/>
          <w:szCs w:val="24"/>
        </w:rPr>
      </w:pPr>
      <w:r w:rsidRPr="009535E7">
        <w:rPr>
          <w:rFonts w:eastAsia="標楷體"/>
          <w:sz w:val="24"/>
          <w:szCs w:val="24"/>
          <w:lang w:eastAsia="zh-CN"/>
        </w:rPr>
        <w:t>上诉人认为</w:t>
      </w:r>
      <w:r w:rsidRPr="009535E7">
        <w:rPr>
          <w:rFonts w:eastAsia="標楷體"/>
          <w:color w:val="000000"/>
          <w:sz w:val="24"/>
          <w:szCs w:val="24"/>
          <w:lang w:eastAsia="zh-CN"/>
        </w:rPr>
        <w:t>，在</w:t>
      </w:r>
      <w:r w:rsidRPr="009535E7">
        <w:rPr>
          <w:rFonts w:eastAsia="標楷體"/>
          <w:color w:val="000000"/>
          <w:sz w:val="24"/>
          <w:szCs w:val="24"/>
          <w:lang w:eastAsia="zh-CN"/>
        </w:rPr>
        <w:t>2012</w:t>
      </w:r>
      <w:r w:rsidRPr="009535E7">
        <w:rPr>
          <w:rFonts w:eastAsia="標楷體"/>
          <w:sz w:val="24"/>
          <w:szCs w:val="24"/>
          <w:lang w:val="en-US" w:eastAsia="zh-CN"/>
        </w:rPr>
        <w:t>/13</w:t>
      </w:r>
      <w:r w:rsidRPr="009535E7">
        <w:rPr>
          <w:rFonts w:eastAsia="標楷體"/>
          <w:sz w:val="24"/>
          <w:szCs w:val="24"/>
          <w:lang w:val="en-US" w:eastAsia="zh-CN"/>
        </w:rPr>
        <w:t>至</w:t>
      </w:r>
      <w:r w:rsidRPr="009535E7">
        <w:rPr>
          <w:rFonts w:eastAsia="標楷體"/>
          <w:sz w:val="24"/>
          <w:szCs w:val="24"/>
          <w:lang w:val="en-US" w:eastAsia="zh-CN"/>
        </w:rPr>
        <w:t>2015/16</w:t>
      </w:r>
      <w:r w:rsidRPr="009535E7">
        <w:rPr>
          <w:rFonts w:eastAsia="標楷體"/>
          <w:sz w:val="24"/>
          <w:szCs w:val="24"/>
          <w:lang w:val="en-US" w:eastAsia="zh-CN"/>
        </w:rPr>
        <w:t>课税年度</w:t>
      </w:r>
      <w:r w:rsidRPr="009535E7">
        <w:rPr>
          <w:rFonts w:eastAsia="標楷體"/>
          <w:color w:val="000000"/>
          <w:sz w:val="24"/>
          <w:szCs w:val="24"/>
          <w:lang w:eastAsia="zh-CN"/>
        </w:rPr>
        <w:t>的应课税利润应继续以</w:t>
      </w:r>
      <w:r w:rsidRPr="009535E7">
        <w:rPr>
          <w:rFonts w:eastAsia="標楷體"/>
          <w:color w:val="000000"/>
          <w:sz w:val="24"/>
          <w:szCs w:val="24"/>
          <w:lang w:eastAsia="zh-CN"/>
        </w:rPr>
        <w:t>50:50</w:t>
      </w:r>
      <w:r w:rsidRPr="009535E7">
        <w:rPr>
          <w:rFonts w:eastAsia="標楷體"/>
          <w:color w:val="000000"/>
          <w:sz w:val="24"/>
          <w:szCs w:val="24"/>
          <w:lang w:eastAsia="zh-CN"/>
        </w:rPr>
        <w:t>的比例分摊计算。</w:t>
      </w:r>
    </w:p>
    <w:p w14:paraId="56625880" w14:textId="77777777" w:rsidR="00552DCD" w:rsidRPr="009535E7" w:rsidRDefault="00552DCD" w:rsidP="00590EE5">
      <w:pPr>
        <w:pStyle w:val="ac"/>
        <w:snapToGrid w:val="0"/>
        <w:ind w:left="400"/>
        <w:jc w:val="both"/>
        <w:rPr>
          <w:rFonts w:eastAsia="標楷體"/>
          <w:color w:val="000000"/>
          <w:sz w:val="24"/>
          <w:szCs w:val="24"/>
        </w:rPr>
      </w:pPr>
    </w:p>
    <w:p w14:paraId="15EA1014" w14:textId="34667EB2" w:rsidR="00552DCD" w:rsidRPr="009535E7" w:rsidRDefault="009535E7" w:rsidP="00590EE5">
      <w:pPr>
        <w:pStyle w:val="ac"/>
        <w:numPr>
          <w:ilvl w:val="0"/>
          <w:numId w:val="45"/>
        </w:numPr>
        <w:snapToGrid w:val="0"/>
        <w:ind w:leftChars="0" w:left="0" w:firstLine="0"/>
        <w:jc w:val="both"/>
        <w:textAlignment w:val="auto"/>
        <w:rPr>
          <w:rFonts w:eastAsia="標楷體"/>
          <w:color w:val="000000"/>
          <w:sz w:val="24"/>
          <w:szCs w:val="24"/>
        </w:rPr>
      </w:pPr>
      <w:r w:rsidRPr="009535E7">
        <w:rPr>
          <w:rFonts w:eastAsia="標楷體"/>
          <w:color w:val="000000"/>
          <w:sz w:val="24"/>
          <w:szCs w:val="24"/>
          <w:lang w:eastAsia="zh-CN"/>
        </w:rPr>
        <w:t>在聆讯时，上诉人的税务代表同意采纳日期为</w:t>
      </w:r>
      <w:r w:rsidRPr="009535E7">
        <w:rPr>
          <w:rFonts w:eastAsia="標楷體"/>
          <w:color w:val="000000"/>
          <w:sz w:val="24"/>
          <w:szCs w:val="24"/>
          <w:lang w:eastAsia="zh-CN"/>
        </w:rPr>
        <w:t>2024</w:t>
      </w:r>
      <w:r w:rsidRPr="009535E7">
        <w:rPr>
          <w:rFonts w:eastAsia="標楷體"/>
          <w:color w:val="000000"/>
          <w:sz w:val="24"/>
          <w:szCs w:val="24"/>
          <w:lang w:eastAsia="zh-CN"/>
        </w:rPr>
        <w:t>年</w:t>
      </w:r>
      <w:r w:rsidRPr="009535E7">
        <w:rPr>
          <w:rFonts w:eastAsia="標楷體"/>
          <w:color w:val="000000"/>
          <w:sz w:val="24"/>
          <w:szCs w:val="24"/>
          <w:lang w:eastAsia="zh-CN"/>
        </w:rPr>
        <w:t>2</w:t>
      </w:r>
      <w:r w:rsidRPr="009535E7">
        <w:rPr>
          <w:rFonts w:eastAsia="標楷體"/>
          <w:color w:val="000000"/>
          <w:sz w:val="24"/>
          <w:szCs w:val="24"/>
          <w:lang w:eastAsia="zh-CN"/>
        </w:rPr>
        <w:t>月</w:t>
      </w:r>
      <w:r w:rsidRPr="009535E7">
        <w:rPr>
          <w:rFonts w:eastAsia="標楷體"/>
          <w:color w:val="000000"/>
          <w:sz w:val="24"/>
          <w:szCs w:val="24"/>
          <w:lang w:eastAsia="zh-CN"/>
        </w:rPr>
        <w:t>2</w:t>
      </w:r>
      <w:r w:rsidRPr="009535E7">
        <w:rPr>
          <w:rFonts w:eastAsia="標楷體"/>
          <w:color w:val="000000"/>
          <w:sz w:val="24"/>
          <w:szCs w:val="24"/>
          <w:lang w:eastAsia="zh-CN"/>
        </w:rPr>
        <w:t>日由</w:t>
      </w:r>
      <w:r w:rsidRPr="009535E7">
        <w:rPr>
          <w:rFonts w:eastAsia="標楷體"/>
          <w:color w:val="000000"/>
          <w:sz w:val="24"/>
          <w:szCs w:val="24"/>
          <w:lang w:eastAsia="zh-CN"/>
        </w:rPr>
        <w:t>J. Enterprise Secretarial and Taxation Limited D</w:t>
      </w:r>
      <w:r w:rsidRPr="009535E7">
        <w:rPr>
          <w:rFonts w:eastAsia="標楷體"/>
          <w:color w:val="000000"/>
          <w:sz w:val="24"/>
          <w:szCs w:val="24"/>
          <w:lang w:eastAsia="zh-CN"/>
        </w:rPr>
        <w:t>女士签署的文件作为上诉的陈词。</w:t>
      </w:r>
    </w:p>
    <w:p w14:paraId="4F77801E" w14:textId="77777777" w:rsidR="00552DCD" w:rsidRPr="009535E7" w:rsidRDefault="00552DCD" w:rsidP="00590EE5">
      <w:pPr>
        <w:pStyle w:val="ac"/>
        <w:snapToGrid w:val="0"/>
        <w:ind w:left="400"/>
        <w:jc w:val="both"/>
        <w:rPr>
          <w:rFonts w:eastAsia="標楷體"/>
          <w:color w:val="000000"/>
          <w:sz w:val="24"/>
          <w:szCs w:val="24"/>
        </w:rPr>
      </w:pPr>
    </w:p>
    <w:p w14:paraId="367AE939" w14:textId="249A482C" w:rsidR="00552DCD" w:rsidRPr="009535E7" w:rsidRDefault="009535E7" w:rsidP="00590EE5">
      <w:pPr>
        <w:pStyle w:val="ac"/>
        <w:numPr>
          <w:ilvl w:val="0"/>
          <w:numId w:val="45"/>
        </w:numPr>
        <w:snapToGrid w:val="0"/>
        <w:ind w:leftChars="0" w:left="0" w:firstLine="0"/>
        <w:jc w:val="both"/>
        <w:textAlignment w:val="auto"/>
        <w:rPr>
          <w:rFonts w:eastAsia="標楷體"/>
          <w:color w:val="000000"/>
          <w:sz w:val="24"/>
          <w:szCs w:val="24"/>
        </w:rPr>
      </w:pPr>
      <w:r w:rsidRPr="009535E7">
        <w:rPr>
          <w:rFonts w:eastAsia="標楷體"/>
          <w:color w:val="000000"/>
          <w:sz w:val="24"/>
          <w:szCs w:val="24"/>
          <w:lang w:eastAsia="zh-CN"/>
        </w:rPr>
        <w:t>上诉人的税务代表同意决定书中所列出的事实内容为准确的，并确认没有其他需要补充的内容。</w:t>
      </w:r>
    </w:p>
    <w:p w14:paraId="2451FFE2" w14:textId="77777777" w:rsidR="00552DCD" w:rsidRPr="009535E7" w:rsidRDefault="00552DCD" w:rsidP="00590EE5">
      <w:pPr>
        <w:pStyle w:val="ac"/>
        <w:snapToGrid w:val="0"/>
        <w:ind w:left="400"/>
        <w:jc w:val="both"/>
        <w:rPr>
          <w:rFonts w:eastAsia="標楷體"/>
          <w:sz w:val="24"/>
          <w:szCs w:val="24"/>
        </w:rPr>
      </w:pPr>
    </w:p>
    <w:p w14:paraId="78D24236" w14:textId="03AB4101" w:rsidR="00552DCD" w:rsidRPr="009535E7" w:rsidRDefault="009535E7" w:rsidP="00590EE5">
      <w:pPr>
        <w:pStyle w:val="ac"/>
        <w:numPr>
          <w:ilvl w:val="0"/>
          <w:numId w:val="45"/>
        </w:numPr>
        <w:snapToGrid w:val="0"/>
        <w:ind w:leftChars="0" w:left="0" w:firstLine="0"/>
        <w:jc w:val="both"/>
        <w:textAlignment w:val="auto"/>
        <w:rPr>
          <w:rFonts w:eastAsia="標楷體"/>
          <w:color w:val="000000"/>
          <w:sz w:val="24"/>
          <w:szCs w:val="24"/>
        </w:rPr>
      </w:pPr>
      <w:r w:rsidRPr="009535E7">
        <w:rPr>
          <w:rFonts w:eastAsia="標楷體"/>
          <w:sz w:val="24"/>
          <w:szCs w:val="24"/>
          <w:lang w:eastAsia="zh-CN"/>
        </w:rPr>
        <w:t>上诉人的税务代表确认没有将日期为</w:t>
      </w:r>
      <w:r w:rsidRPr="009535E7">
        <w:rPr>
          <w:rFonts w:eastAsia="標楷體"/>
          <w:sz w:val="24"/>
          <w:szCs w:val="24"/>
          <w:lang w:eastAsia="zh-CN"/>
        </w:rPr>
        <w:t>2024</w:t>
      </w:r>
      <w:r w:rsidRPr="009535E7">
        <w:rPr>
          <w:rFonts w:eastAsia="標楷體"/>
          <w:sz w:val="24"/>
          <w:szCs w:val="24"/>
          <w:lang w:eastAsia="zh-CN"/>
        </w:rPr>
        <w:t>年</w:t>
      </w:r>
      <w:r w:rsidRPr="009535E7">
        <w:rPr>
          <w:rFonts w:eastAsia="標楷體"/>
          <w:sz w:val="24"/>
          <w:szCs w:val="24"/>
          <w:lang w:eastAsia="zh-CN"/>
        </w:rPr>
        <w:t>2</w:t>
      </w:r>
      <w:r w:rsidRPr="009535E7">
        <w:rPr>
          <w:rFonts w:eastAsia="標楷體"/>
          <w:sz w:val="24"/>
          <w:szCs w:val="24"/>
          <w:lang w:eastAsia="zh-CN"/>
        </w:rPr>
        <w:t>月</w:t>
      </w:r>
      <w:r w:rsidRPr="009535E7">
        <w:rPr>
          <w:rFonts w:eastAsia="標楷體"/>
          <w:sz w:val="24"/>
          <w:szCs w:val="24"/>
          <w:lang w:eastAsia="zh-CN"/>
        </w:rPr>
        <w:t>2</w:t>
      </w:r>
      <w:r w:rsidRPr="009535E7">
        <w:rPr>
          <w:rFonts w:eastAsia="標楷體"/>
          <w:sz w:val="24"/>
          <w:szCs w:val="24"/>
          <w:lang w:eastAsia="zh-CN"/>
        </w:rPr>
        <w:t>日的文件副本按要求抄送至税务局，但同时确认日期为</w:t>
      </w:r>
      <w:r w:rsidRPr="009535E7">
        <w:rPr>
          <w:rFonts w:eastAsia="標楷體"/>
          <w:sz w:val="24"/>
          <w:szCs w:val="24"/>
          <w:lang w:eastAsia="zh-CN"/>
        </w:rPr>
        <w:t>2023</w:t>
      </w:r>
      <w:r w:rsidRPr="009535E7">
        <w:rPr>
          <w:rFonts w:eastAsia="標楷體"/>
          <w:sz w:val="24"/>
          <w:szCs w:val="24"/>
          <w:lang w:eastAsia="zh-CN"/>
        </w:rPr>
        <w:t>年</w:t>
      </w:r>
      <w:r w:rsidRPr="009535E7">
        <w:rPr>
          <w:rFonts w:eastAsia="標楷體"/>
          <w:sz w:val="24"/>
          <w:szCs w:val="24"/>
          <w:lang w:eastAsia="zh-CN"/>
        </w:rPr>
        <w:t>10</w:t>
      </w:r>
      <w:r w:rsidRPr="009535E7">
        <w:rPr>
          <w:rFonts w:eastAsia="標楷體"/>
          <w:sz w:val="24"/>
          <w:szCs w:val="24"/>
          <w:lang w:eastAsia="zh-CN"/>
        </w:rPr>
        <w:t>月</w:t>
      </w:r>
      <w:r w:rsidRPr="009535E7">
        <w:rPr>
          <w:rFonts w:eastAsia="標楷體"/>
          <w:sz w:val="24"/>
          <w:szCs w:val="24"/>
          <w:lang w:eastAsia="zh-CN"/>
        </w:rPr>
        <w:t>27</w:t>
      </w:r>
      <w:r w:rsidRPr="009535E7">
        <w:rPr>
          <w:rFonts w:eastAsia="標楷體"/>
          <w:sz w:val="24"/>
          <w:szCs w:val="24"/>
          <w:lang w:eastAsia="zh-CN"/>
        </w:rPr>
        <w:t>日的文件和日期为</w:t>
      </w:r>
      <w:r w:rsidRPr="009535E7">
        <w:rPr>
          <w:rFonts w:eastAsia="標楷體"/>
          <w:sz w:val="24"/>
          <w:szCs w:val="24"/>
          <w:lang w:eastAsia="zh-CN"/>
        </w:rPr>
        <w:t>2024</w:t>
      </w:r>
      <w:r w:rsidRPr="009535E7">
        <w:rPr>
          <w:rFonts w:eastAsia="標楷體"/>
          <w:sz w:val="24"/>
          <w:szCs w:val="24"/>
          <w:lang w:eastAsia="zh-CN"/>
        </w:rPr>
        <w:t>年</w:t>
      </w:r>
      <w:r w:rsidRPr="009535E7">
        <w:rPr>
          <w:rFonts w:eastAsia="標楷體"/>
          <w:sz w:val="24"/>
          <w:szCs w:val="24"/>
          <w:lang w:eastAsia="zh-CN"/>
        </w:rPr>
        <w:t>2</w:t>
      </w:r>
      <w:r w:rsidRPr="009535E7">
        <w:rPr>
          <w:rFonts w:eastAsia="標楷體"/>
          <w:sz w:val="24"/>
          <w:szCs w:val="24"/>
          <w:lang w:eastAsia="zh-CN"/>
        </w:rPr>
        <w:t>月</w:t>
      </w:r>
      <w:r w:rsidRPr="009535E7">
        <w:rPr>
          <w:rFonts w:eastAsia="標楷體"/>
          <w:sz w:val="24"/>
          <w:szCs w:val="24"/>
          <w:lang w:eastAsia="zh-CN"/>
        </w:rPr>
        <w:t>2</w:t>
      </w:r>
      <w:r w:rsidRPr="009535E7">
        <w:rPr>
          <w:rFonts w:eastAsia="標楷體"/>
          <w:sz w:val="24"/>
          <w:szCs w:val="24"/>
          <w:lang w:eastAsia="zh-CN"/>
        </w:rPr>
        <w:t>日的文件内容是一致的。</w:t>
      </w:r>
    </w:p>
    <w:p w14:paraId="35430BE7" w14:textId="77777777" w:rsidR="00552DCD" w:rsidRPr="009535E7" w:rsidRDefault="00552DCD" w:rsidP="00590EE5">
      <w:pPr>
        <w:pStyle w:val="ac"/>
        <w:snapToGrid w:val="0"/>
        <w:ind w:left="400"/>
        <w:jc w:val="both"/>
        <w:rPr>
          <w:rFonts w:eastAsia="標楷體"/>
          <w:color w:val="000000"/>
          <w:sz w:val="24"/>
          <w:szCs w:val="24"/>
        </w:rPr>
      </w:pPr>
    </w:p>
    <w:p w14:paraId="682C612D" w14:textId="25F6EDFD" w:rsidR="00552DCD" w:rsidRPr="009535E7" w:rsidRDefault="009535E7" w:rsidP="00590EE5">
      <w:pPr>
        <w:pStyle w:val="ac"/>
        <w:numPr>
          <w:ilvl w:val="0"/>
          <w:numId w:val="45"/>
        </w:numPr>
        <w:snapToGrid w:val="0"/>
        <w:ind w:leftChars="0" w:left="0" w:firstLine="0"/>
        <w:jc w:val="both"/>
        <w:textAlignment w:val="auto"/>
        <w:rPr>
          <w:rFonts w:eastAsia="標楷體"/>
          <w:color w:val="000000"/>
          <w:sz w:val="24"/>
          <w:szCs w:val="24"/>
        </w:rPr>
      </w:pPr>
      <w:r w:rsidRPr="009535E7">
        <w:rPr>
          <w:rFonts w:eastAsia="標楷體"/>
          <w:color w:val="000000"/>
          <w:sz w:val="24"/>
          <w:szCs w:val="24"/>
          <w:lang w:eastAsia="zh-CN"/>
        </w:rPr>
        <w:t>上诉人的税务代表的陈词现总结如下：</w:t>
      </w:r>
    </w:p>
    <w:p w14:paraId="0998E766" w14:textId="77777777" w:rsidR="00552DCD" w:rsidRPr="009535E7" w:rsidRDefault="00552DCD" w:rsidP="00590EE5">
      <w:pPr>
        <w:pStyle w:val="ac"/>
        <w:snapToGrid w:val="0"/>
        <w:ind w:left="400"/>
        <w:jc w:val="both"/>
        <w:rPr>
          <w:rFonts w:eastAsia="標楷體"/>
          <w:color w:val="000000"/>
          <w:sz w:val="24"/>
          <w:szCs w:val="24"/>
        </w:rPr>
      </w:pPr>
    </w:p>
    <w:p w14:paraId="49F1E4AF" w14:textId="6F7A7C10" w:rsidR="00552DCD" w:rsidRPr="009535E7" w:rsidRDefault="009535E7"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color w:val="000000"/>
          <w:sz w:val="24"/>
          <w:szCs w:val="24"/>
        </w:rPr>
      </w:pPr>
      <w:r w:rsidRPr="009535E7">
        <w:rPr>
          <w:rFonts w:eastAsia="標楷體"/>
          <w:color w:val="000000"/>
          <w:sz w:val="24"/>
          <w:szCs w:val="24"/>
          <w:lang w:eastAsia="zh-CN"/>
        </w:rPr>
        <w:t>上诉人一直从事来料加工业务，未曾参与任何进料加工生意。</w:t>
      </w:r>
    </w:p>
    <w:p w14:paraId="5FDEE2FE" w14:textId="77777777" w:rsidR="00190337" w:rsidRPr="009535E7" w:rsidRDefault="00190337"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440"/>
        <w:jc w:val="both"/>
        <w:textAlignment w:val="auto"/>
        <w:rPr>
          <w:rFonts w:eastAsia="標楷體"/>
          <w:color w:val="000000"/>
          <w:sz w:val="24"/>
          <w:szCs w:val="24"/>
        </w:rPr>
      </w:pPr>
    </w:p>
    <w:p w14:paraId="04B706D0" w14:textId="3AB10BD8" w:rsidR="00552DCD" w:rsidRPr="009535E7" w:rsidRDefault="009535E7"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color w:val="000000"/>
          <w:sz w:val="24"/>
          <w:szCs w:val="24"/>
          <w:lang w:eastAsia="zh-CN"/>
        </w:rPr>
      </w:pPr>
      <w:r w:rsidRPr="009535E7">
        <w:rPr>
          <w:rFonts w:eastAsia="標楷體"/>
          <w:color w:val="000000"/>
          <w:sz w:val="24"/>
          <w:szCs w:val="24"/>
          <w:lang w:eastAsia="zh-CN"/>
        </w:rPr>
        <w:t>即使有进行分销或内销业务，所涉及的产品也都来自</w:t>
      </w:r>
      <w:r w:rsidRPr="009535E7">
        <w:rPr>
          <w:rFonts w:eastAsia="標楷體"/>
          <w:color w:val="000000"/>
          <w:sz w:val="24"/>
          <w:szCs w:val="24"/>
          <w:lang w:eastAsia="zh-CN"/>
        </w:rPr>
        <w:t>C</w:t>
      </w:r>
      <w:r w:rsidRPr="009535E7">
        <w:rPr>
          <w:rFonts w:eastAsia="標楷體"/>
          <w:color w:val="000000"/>
          <w:sz w:val="24"/>
          <w:szCs w:val="24"/>
          <w:lang w:eastAsia="zh-CN"/>
        </w:rPr>
        <w:t>公司，与上诉人无关。关于上诉人的</w:t>
      </w:r>
      <w:r w:rsidRPr="009535E7">
        <w:rPr>
          <w:rFonts w:eastAsia="標楷體"/>
          <w:sz w:val="24"/>
          <w:szCs w:val="24"/>
          <w:lang w:eastAsia="zh-CN"/>
        </w:rPr>
        <w:t>离岸</w:t>
      </w:r>
      <w:r w:rsidRPr="009535E7">
        <w:rPr>
          <w:rFonts w:eastAsia="標楷體"/>
          <w:color w:val="000000"/>
          <w:sz w:val="24"/>
          <w:szCs w:val="24"/>
          <w:lang w:val="en-US" w:eastAsia="zh-CN"/>
        </w:rPr>
        <w:t>申索</w:t>
      </w:r>
      <w:r w:rsidRPr="009535E7">
        <w:rPr>
          <w:rFonts w:eastAsia="標楷體"/>
          <w:color w:val="000000"/>
          <w:sz w:val="24"/>
          <w:szCs w:val="24"/>
          <w:lang w:eastAsia="zh-CN"/>
        </w:rPr>
        <w:t>，他们已经提交了大量文件，包括流程图，并能充分证明上诉人一直只从事来料加工业务，但不幸的是，税务局却不公平地不予接纳。</w:t>
      </w:r>
    </w:p>
    <w:p w14:paraId="7C8D198C" w14:textId="77777777" w:rsidR="00190337" w:rsidRPr="009535E7" w:rsidRDefault="00190337"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440"/>
        <w:jc w:val="both"/>
        <w:textAlignment w:val="auto"/>
        <w:rPr>
          <w:rFonts w:eastAsia="標楷體"/>
          <w:color w:val="000000"/>
          <w:sz w:val="24"/>
          <w:szCs w:val="24"/>
          <w:lang w:eastAsia="zh-CN"/>
        </w:rPr>
      </w:pPr>
    </w:p>
    <w:p w14:paraId="4C1A14B5" w14:textId="54015A58" w:rsidR="00552DCD" w:rsidRPr="009535E7" w:rsidRDefault="009535E7"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color w:val="000000"/>
          <w:sz w:val="24"/>
          <w:szCs w:val="24"/>
          <w:lang w:eastAsia="zh-CN"/>
        </w:rPr>
      </w:pPr>
      <w:r w:rsidRPr="009535E7">
        <w:rPr>
          <w:rFonts w:eastAsia="標楷體"/>
          <w:color w:val="000000"/>
          <w:sz w:val="24"/>
          <w:szCs w:val="24"/>
          <w:lang w:eastAsia="zh-CN"/>
        </w:rPr>
        <w:t>上诉人的税务代表确认上诉人没有能力提供</w:t>
      </w:r>
      <w:r w:rsidRPr="009535E7">
        <w:rPr>
          <w:rFonts w:eastAsia="標楷體"/>
          <w:sz w:val="24"/>
          <w:szCs w:val="24"/>
          <w:lang w:eastAsia="zh-CN"/>
        </w:rPr>
        <w:t>是否有委派员工至内地的详情。</w:t>
      </w:r>
      <w:r w:rsidRPr="009535E7">
        <w:rPr>
          <w:rFonts w:eastAsia="標楷體"/>
          <w:color w:val="000000"/>
          <w:sz w:val="24"/>
          <w:szCs w:val="24"/>
          <w:lang w:eastAsia="zh-CN"/>
        </w:rPr>
        <w:t>上诉人的税务代表表示认为上诉人已经提交了足够的文件。他亦指出，税务局先前说不再需要文件，现又要求提供文件，因此对上诉人不公平。</w:t>
      </w:r>
    </w:p>
    <w:p w14:paraId="1F993F8B" w14:textId="77777777" w:rsidR="00190337" w:rsidRPr="009535E7" w:rsidRDefault="00190337"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440"/>
        <w:jc w:val="both"/>
        <w:textAlignment w:val="auto"/>
        <w:rPr>
          <w:rFonts w:eastAsia="標楷體"/>
          <w:color w:val="000000"/>
          <w:sz w:val="24"/>
          <w:szCs w:val="24"/>
          <w:lang w:eastAsia="zh-CN"/>
        </w:rPr>
      </w:pPr>
    </w:p>
    <w:p w14:paraId="55277E87" w14:textId="28D2A305" w:rsidR="00552DCD" w:rsidRPr="009535E7" w:rsidRDefault="009535E7"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color w:val="000000"/>
          <w:sz w:val="24"/>
          <w:szCs w:val="24"/>
        </w:rPr>
      </w:pPr>
      <w:r w:rsidRPr="009535E7">
        <w:rPr>
          <w:rFonts w:eastAsia="標楷體"/>
          <w:color w:val="000000"/>
          <w:sz w:val="24"/>
          <w:szCs w:val="24"/>
          <w:lang w:eastAsia="zh-CN"/>
        </w:rPr>
        <w:t>上诉人认为，税务局将上诉人与</w:t>
      </w:r>
      <w:r w:rsidRPr="009535E7">
        <w:rPr>
          <w:rFonts w:eastAsia="標楷體"/>
          <w:color w:val="000000"/>
          <w:sz w:val="24"/>
          <w:szCs w:val="24"/>
          <w:lang w:eastAsia="zh-CN"/>
        </w:rPr>
        <w:t>C</w:t>
      </w:r>
      <w:r w:rsidRPr="009535E7">
        <w:rPr>
          <w:rFonts w:eastAsia="標楷體"/>
          <w:color w:val="000000"/>
          <w:sz w:val="24"/>
          <w:szCs w:val="24"/>
          <w:lang w:eastAsia="zh-CN"/>
        </w:rPr>
        <w:t>公司混作一谈，即</w:t>
      </w:r>
      <w:r w:rsidRPr="009535E7">
        <w:rPr>
          <w:rFonts w:eastAsia="標楷體"/>
          <w:sz w:val="24"/>
          <w:szCs w:val="24"/>
          <w:lang w:eastAsia="zh-CN"/>
        </w:rPr>
        <w:t>把香港和内地的运作当成一个实体，</w:t>
      </w:r>
      <w:r w:rsidRPr="009535E7">
        <w:rPr>
          <w:rFonts w:eastAsia="標楷體"/>
          <w:color w:val="000000"/>
          <w:sz w:val="24"/>
          <w:szCs w:val="24"/>
          <w:lang w:eastAsia="zh-CN"/>
        </w:rPr>
        <w:t>并将两间公司的利润均视作为来自香港，这并不公平，因为如果上诉人有曾经经营内销或其他分销，内地的政府部门必然会知悉并征收税项。</w:t>
      </w:r>
    </w:p>
    <w:p w14:paraId="672DE25F" w14:textId="77777777" w:rsidR="00190337" w:rsidRPr="009535E7" w:rsidRDefault="00190337"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440"/>
        <w:jc w:val="both"/>
        <w:textAlignment w:val="auto"/>
        <w:rPr>
          <w:rFonts w:eastAsia="標楷體"/>
          <w:color w:val="000000"/>
          <w:sz w:val="24"/>
          <w:szCs w:val="24"/>
        </w:rPr>
      </w:pPr>
    </w:p>
    <w:p w14:paraId="665254D7" w14:textId="1731EA55" w:rsidR="00552DCD" w:rsidRPr="009535E7" w:rsidRDefault="009535E7"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color w:val="000000"/>
          <w:sz w:val="24"/>
          <w:szCs w:val="24"/>
        </w:rPr>
      </w:pPr>
      <w:r w:rsidRPr="009535E7">
        <w:rPr>
          <w:rFonts w:eastAsia="標楷體"/>
          <w:color w:val="000000"/>
          <w:sz w:val="24"/>
          <w:szCs w:val="24"/>
          <w:lang w:eastAsia="zh-CN"/>
        </w:rPr>
        <w:t>就着陈词中</w:t>
      </w:r>
      <w:r w:rsidRPr="009535E7">
        <w:rPr>
          <w:rFonts w:eastAsia="標楷體"/>
          <w:sz w:val="24"/>
          <w:szCs w:val="24"/>
          <w:lang w:eastAsia="zh-CN"/>
        </w:rPr>
        <w:t>由于税务局不明内地就「就地转三资」的用词，故对上诉人做成不公平的情况的主张，上诉人的税务代表在聆讯中表示放弃这一点的上诉理据。</w:t>
      </w:r>
    </w:p>
    <w:p w14:paraId="7F8D9F62" w14:textId="77777777" w:rsidR="00190337" w:rsidRPr="009535E7" w:rsidRDefault="00190337"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440"/>
        <w:jc w:val="both"/>
        <w:textAlignment w:val="auto"/>
        <w:rPr>
          <w:rFonts w:eastAsia="標楷體"/>
          <w:color w:val="000000"/>
          <w:sz w:val="24"/>
          <w:szCs w:val="24"/>
        </w:rPr>
      </w:pPr>
    </w:p>
    <w:p w14:paraId="7728664A" w14:textId="4081BE31" w:rsidR="00552DCD" w:rsidRPr="009535E7" w:rsidRDefault="009535E7"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color w:val="000000"/>
          <w:sz w:val="24"/>
          <w:szCs w:val="24"/>
          <w:lang w:eastAsia="zh-CN"/>
        </w:rPr>
      </w:pPr>
      <w:r w:rsidRPr="009535E7">
        <w:rPr>
          <w:rFonts w:eastAsia="標楷體"/>
          <w:color w:val="000000"/>
          <w:sz w:val="24"/>
          <w:szCs w:val="24"/>
          <w:lang w:eastAsia="zh-CN"/>
        </w:rPr>
        <w:t>此外，上诉人认为虽然</w:t>
      </w:r>
      <w:r w:rsidRPr="009535E7">
        <w:rPr>
          <w:rFonts w:eastAsia="標楷體"/>
          <w:sz w:val="24"/>
          <w:szCs w:val="24"/>
          <w:lang w:eastAsia="zh-CN"/>
        </w:rPr>
        <w:t>DIPN 21</w:t>
      </w:r>
      <w:r w:rsidRPr="009535E7">
        <w:rPr>
          <w:rFonts w:eastAsia="標楷體"/>
          <w:sz w:val="24"/>
          <w:szCs w:val="24"/>
          <w:lang w:eastAsia="zh-CN"/>
        </w:rPr>
        <w:t>没有法律效力，但</w:t>
      </w:r>
      <w:r w:rsidRPr="009535E7">
        <w:rPr>
          <w:rFonts w:eastAsia="標楷體"/>
          <w:color w:val="000000"/>
          <w:sz w:val="24"/>
          <w:szCs w:val="24"/>
          <w:lang w:eastAsia="zh-CN"/>
        </w:rPr>
        <w:t>DIPN 21</w:t>
      </w:r>
      <w:r w:rsidRPr="009535E7">
        <w:rPr>
          <w:rFonts w:eastAsia="標楷體"/>
          <w:color w:val="000000"/>
          <w:sz w:val="24"/>
          <w:szCs w:val="24"/>
          <w:lang w:eastAsia="zh-CN"/>
        </w:rPr>
        <w:t>在本上诉中应赋予比重，因为税务局长期一直以来是知悉上诉人是以来料加工的方式运作，故应按</w:t>
      </w:r>
      <w:r w:rsidRPr="009535E7">
        <w:rPr>
          <w:rFonts w:eastAsia="標楷體"/>
          <w:color w:val="000000"/>
          <w:sz w:val="24"/>
          <w:szCs w:val="24"/>
          <w:lang w:eastAsia="zh-CN"/>
        </w:rPr>
        <w:t>DIPN 21</w:t>
      </w:r>
      <w:r w:rsidRPr="009535E7">
        <w:rPr>
          <w:rFonts w:eastAsia="標楷體"/>
          <w:color w:val="000000"/>
          <w:sz w:val="24"/>
          <w:szCs w:val="24"/>
          <w:lang w:eastAsia="zh-CN"/>
        </w:rPr>
        <w:t>继续享有以</w:t>
      </w:r>
      <w:r w:rsidRPr="009535E7">
        <w:rPr>
          <w:rFonts w:eastAsia="標楷體"/>
          <w:color w:val="000000"/>
          <w:sz w:val="24"/>
          <w:szCs w:val="24"/>
          <w:lang w:eastAsia="zh-CN"/>
        </w:rPr>
        <w:t>50:50</w:t>
      </w:r>
      <w:r w:rsidRPr="009535E7">
        <w:rPr>
          <w:rFonts w:eastAsia="標楷體"/>
          <w:color w:val="000000"/>
          <w:sz w:val="24"/>
          <w:szCs w:val="24"/>
          <w:lang w:eastAsia="zh-CN"/>
        </w:rPr>
        <w:t>的比例分摊计算其应评税利润。故此，税务局进一步要求提供数据是不公平的。</w:t>
      </w:r>
    </w:p>
    <w:p w14:paraId="63E9101A" w14:textId="77777777" w:rsidR="00190337" w:rsidRPr="009535E7" w:rsidRDefault="00190337"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440"/>
        <w:jc w:val="both"/>
        <w:textAlignment w:val="auto"/>
        <w:rPr>
          <w:rFonts w:eastAsia="標楷體"/>
          <w:color w:val="000000"/>
          <w:sz w:val="24"/>
          <w:szCs w:val="24"/>
          <w:lang w:eastAsia="zh-CN"/>
        </w:rPr>
      </w:pPr>
    </w:p>
    <w:p w14:paraId="7F1BB2F2" w14:textId="1E984646" w:rsidR="00552DCD" w:rsidRPr="009535E7" w:rsidRDefault="009535E7"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color w:val="000000"/>
          <w:sz w:val="24"/>
          <w:szCs w:val="24"/>
        </w:rPr>
      </w:pPr>
      <w:r w:rsidRPr="009535E7">
        <w:rPr>
          <w:rFonts w:eastAsia="標楷體"/>
          <w:sz w:val="24"/>
          <w:szCs w:val="24"/>
          <w:lang w:eastAsia="zh-CN"/>
        </w:rPr>
        <w:t>上诉人的税务代表确认上诉人不提供数据以协助评税主任的原因并非基于私隐问题。</w:t>
      </w:r>
    </w:p>
    <w:p w14:paraId="64ACF7A1" w14:textId="77777777" w:rsidR="00190337" w:rsidRPr="009535E7" w:rsidRDefault="00190337"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440"/>
        <w:jc w:val="both"/>
        <w:textAlignment w:val="auto"/>
        <w:rPr>
          <w:rFonts w:eastAsia="標楷體"/>
          <w:color w:val="000000"/>
          <w:sz w:val="24"/>
          <w:szCs w:val="24"/>
        </w:rPr>
      </w:pPr>
    </w:p>
    <w:p w14:paraId="5AA4D64B" w14:textId="4CB51EAB" w:rsidR="00552DCD" w:rsidRPr="009535E7" w:rsidRDefault="009535E7"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color w:val="000000"/>
          <w:sz w:val="24"/>
          <w:szCs w:val="24"/>
          <w:lang w:eastAsia="zh-CN"/>
        </w:rPr>
      </w:pPr>
      <w:r w:rsidRPr="009535E7">
        <w:rPr>
          <w:rFonts w:eastAsia="標楷體"/>
          <w:color w:val="000000"/>
          <w:sz w:val="24"/>
          <w:szCs w:val="24"/>
          <w:lang w:eastAsia="zh-CN"/>
        </w:rPr>
        <w:t>就上诉人对</w:t>
      </w:r>
      <w:r w:rsidRPr="009535E7">
        <w:rPr>
          <w:rFonts w:eastAsia="標楷體"/>
          <w:bCs/>
          <w:iCs/>
          <w:sz w:val="24"/>
          <w:szCs w:val="24"/>
          <w:u w:val="single"/>
          <w:lang w:eastAsia="zh-CN"/>
        </w:rPr>
        <w:t xml:space="preserve">CIR v </w:t>
      </w:r>
      <w:proofErr w:type="spellStart"/>
      <w:r w:rsidRPr="009535E7">
        <w:rPr>
          <w:rFonts w:eastAsia="標楷體"/>
          <w:bCs/>
          <w:iCs/>
          <w:sz w:val="24"/>
          <w:szCs w:val="24"/>
          <w:u w:val="single"/>
          <w:lang w:eastAsia="zh-CN"/>
        </w:rPr>
        <w:t>Datatronic</w:t>
      </w:r>
      <w:proofErr w:type="spellEnd"/>
      <w:r w:rsidRPr="009535E7">
        <w:rPr>
          <w:rFonts w:eastAsia="標楷體"/>
          <w:bCs/>
          <w:iCs/>
          <w:sz w:val="24"/>
          <w:szCs w:val="24"/>
          <w:u w:val="single"/>
          <w:lang w:eastAsia="zh-CN"/>
        </w:rPr>
        <w:t xml:space="preserve"> Ltd</w:t>
      </w:r>
      <w:r w:rsidRPr="009535E7">
        <w:rPr>
          <w:rFonts w:eastAsia="標楷體"/>
          <w:sz w:val="24"/>
          <w:szCs w:val="24"/>
          <w:lang w:eastAsia="zh-CN"/>
        </w:rPr>
        <w:t xml:space="preserve"> [2009] 4 HKLRD 675</w:t>
      </w:r>
      <w:r w:rsidRPr="009535E7">
        <w:rPr>
          <w:rFonts w:eastAsia="標楷體"/>
          <w:sz w:val="24"/>
          <w:szCs w:val="24"/>
          <w:lang w:eastAsia="zh-CN"/>
        </w:rPr>
        <w:t>及</w:t>
      </w:r>
      <w:r w:rsidRPr="009535E7">
        <w:rPr>
          <w:rFonts w:eastAsia="標楷體"/>
          <w:bCs/>
          <w:iCs/>
          <w:sz w:val="24"/>
          <w:szCs w:val="24"/>
          <w:u w:val="single"/>
          <w:lang w:eastAsia="zh-CN"/>
        </w:rPr>
        <w:t>Comm</w:t>
      </w:r>
      <w:proofErr w:type="spellStart"/>
      <w:r w:rsidRPr="009535E7">
        <w:rPr>
          <w:rFonts w:eastAsia="標楷體"/>
          <w:bCs/>
          <w:iCs/>
          <w:sz w:val="24"/>
          <w:szCs w:val="24"/>
          <w:u w:val="single"/>
          <w:lang w:val="en-US" w:eastAsia="zh-CN"/>
        </w:rPr>
        <w:t>issioner</w:t>
      </w:r>
      <w:proofErr w:type="spellEnd"/>
      <w:r w:rsidRPr="009535E7">
        <w:rPr>
          <w:rFonts w:eastAsia="標楷體"/>
          <w:bCs/>
          <w:iCs/>
          <w:sz w:val="24"/>
          <w:szCs w:val="24"/>
          <w:u w:val="single"/>
          <w:lang w:val="en-US" w:eastAsia="zh-CN"/>
        </w:rPr>
        <w:t xml:space="preserve"> of Inland Revenue v CG lighting Limited</w:t>
      </w:r>
      <w:r w:rsidRPr="009535E7">
        <w:rPr>
          <w:rFonts w:eastAsia="標楷體"/>
          <w:sz w:val="24"/>
          <w:szCs w:val="24"/>
          <w:lang w:val="en-US" w:eastAsia="zh-CN"/>
        </w:rPr>
        <w:t xml:space="preserve"> [2010] 3 HKLRD 110 </w:t>
      </w:r>
      <w:r w:rsidRPr="009535E7">
        <w:rPr>
          <w:rFonts w:eastAsia="標楷體"/>
          <w:sz w:val="24"/>
          <w:szCs w:val="24"/>
          <w:lang w:eastAsia="zh-CN"/>
        </w:rPr>
        <w:t>的评论，上诉人的税务代表在聆讯中确认并接纳每个课税年度是应该独立处理的。就评税主任要求上诉人提供数据，上诉人是有责任按要求提供。</w:t>
      </w:r>
    </w:p>
    <w:p w14:paraId="00BDF04A" w14:textId="77777777" w:rsidR="00552DCD" w:rsidRPr="009535E7" w:rsidRDefault="00552DCD"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400"/>
        <w:jc w:val="both"/>
        <w:rPr>
          <w:rFonts w:eastAsia="標楷體"/>
          <w:color w:val="000000"/>
          <w:sz w:val="28"/>
          <w:szCs w:val="28"/>
          <w:lang w:eastAsia="zh-CN"/>
        </w:rPr>
      </w:pPr>
    </w:p>
    <w:p w14:paraId="11B7EFB9" w14:textId="024848DC" w:rsidR="00552DCD" w:rsidRPr="009535E7" w:rsidRDefault="009535E7" w:rsidP="00590EE5">
      <w:pPr>
        <w:pStyle w:val="ac"/>
        <w:numPr>
          <w:ilvl w:val="0"/>
          <w:numId w:val="44"/>
        </w:numPr>
        <w:snapToGrid w:val="0"/>
        <w:ind w:leftChars="0" w:left="851" w:hanging="567"/>
        <w:jc w:val="both"/>
        <w:textAlignment w:val="auto"/>
        <w:rPr>
          <w:rFonts w:eastAsia="標楷體"/>
          <w:b/>
          <w:bCs/>
          <w:sz w:val="28"/>
          <w:szCs w:val="28"/>
          <w:lang w:val="en-US"/>
        </w:rPr>
      </w:pPr>
      <w:r w:rsidRPr="009535E7">
        <w:rPr>
          <w:rFonts w:eastAsia="標楷體"/>
          <w:b/>
          <w:bCs/>
          <w:sz w:val="28"/>
          <w:szCs w:val="28"/>
          <w:lang w:val="en-US" w:eastAsia="zh-CN"/>
        </w:rPr>
        <w:t>答辩人的陈词</w:t>
      </w:r>
    </w:p>
    <w:p w14:paraId="58743F75" w14:textId="77777777" w:rsidR="00552DCD" w:rsidRPr="009535E7" w:rsidRDefault="00552DCD" w:rsidP="00590EE5">
      <w:pPr>
        <w:pStyle w:val="ac"/>
        <w:snapToGrid w:val="0"/>
        <w:ind w:left="400"/>
        <w:jc w:val="both"/>
        <w:rPr>
          <w:rFonts w:eastAsia="標楷體"/>
          <w:b/>
          <w:bCs/>
          <w:sz w:val="24"/>
          <w:szCs w:val="24"/>
          <w:lang w:val="en-US"/>
        </w:rPr>
      </w:pPr>
    </w:p>
    <w:p w14:paraId="7EB35A22" w14:textId="241189CE" w:rsidR="00552DCD" w:rsidRPr="009535E7" w:rsidRDefault="009535E7" w:rsidP="00590EE5">
      <w:pPr>
        <w:pStyle w:val="ac"/>
        <w:numPr>
          <w:ilvl w:val="0"/>
          <w:numId w:val="45"/>
        </w:numPr>
        <w:snapToGrid w:val="0"/>
        <w:ind w:leftChars="0" w:left="0" w:firstLine="0"/>
        <w:jc w:val="both"/>
        <w:textAlignment w:val="auto"/>
        <w:rPr>
          <w:rFonts w:eastAsia="標楷體"/>
          <w:color w:val="000000"/>
          <w:sz w:val="24"/>
          <w:szCs w:val="24"/>
        </w:rPr>
      </w:pPr>
      <w:r w:rsidRPr="009535E7">
        <w:rPr>
          <w:rFonts w:eastAsia="標楷體"/>
          <w:color w:val="000000"/>
          <w:sz w:val="24"/>
          <w:szCs w:val="24"/>
          <w:lang w:eastAsia="zh-CN"/>
        </w:rPr>
        <w:t>答辩人的陈词现总结如下：</w:t>
      </w:r>
    </w:p>
    <w:p w14:paraId="4195BECA" w14:textId="77777777" w:rsidR="00552DCD" w:rsidRPr="009535E7" w:rsidRDefault="00552DCD" w:rsidP="00590EE5">
      <w:pPr>
        <w:pStyle w:val="ac"/>
        <w:snapToGrid w:val="0"/>
        <w:ind w:left="1109" w:hanging="709"/>
        <w:jc w:val="both"/>
        <w:rPr>
          <w:rFonts w:eastAsia="標楷體"/>
          <w:color w:val="000000"/>
          <w:sz w:val="24"/>
          <w:szCs w:val="24"/>
          <w:lang w:val="en-US"/>
        </w:rPr>
      </w:pPr>
    </w:p>
    <w:p w14:paraId="28C52FB7" w14:textId="29059BB8" w:rsidR="00552DCD" w:rsidRPr="009535E7" w:rsidRDefault="009535E7"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color w:val="000000"/>
          <w:sz w:val="24"/>
          <w:szCs w:val="24"/>
        </w:rPr>
      </w:pPr>
      <w:r w:rsidRPr="009535E7">
        <w:rPr>
          <w:rFonts w:eastAsia="標楷體"/>
          <w:color w:val="000000"/>
          <w:sz w:val="24"/>
          <w:szCs w:val="24"/>
          <w:lang w:eastAsia="zh-CN"/>
        </w:rPr>
        <w:t>就着聆讯的争议点，上诉人根据《税务条例》第</w:t>
      </w:r>
      <w:r w:rsidRPr="009535E7">
        <w:rPr>
          <w:rFonts w:eastAsia="標楷體"/>
          <w:color w:val="000000"/>
          <w:sz w:val="24"/>
          <w:szCs w:val="24"/>
          <w:lang w:eastAsia="zh-CN"/>
        </w:rPr>
        <w:t>68(4)</w:t>
      </w:r>
      <w:r w:rsidRPr="009535E7">
        <w:rPr>
          <w:rFonts w:eastAsia="標楷體"/>
          <w:color w:val="000000"/>
          <w:sz w:val="24"/>
          <w:szCs w:val="24"/>
          <w:lang w:eastAsia="zh-CN"/>
        </w:rPr>
        <w:t>条需要承担举证责任，并需提交充分及相关的证据。</w:t>
      </w:r>
    </w:p>
    <w:p w14:paraId="2FC43B46" w14:textId="77777777" w:rsidR="00C3100B" w:rsidRPr="009535E7" w:rsidRDefault="00C3100B"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440"/>
        <w:jc w:val="both"/>
        <w:textAlignment w:val="auto"/>
        <w:rPr>
          <w:rFonts w:eastAsia="標楷體"/>
          <w:color w:val="000000"/>
          <w:sz w:val="24"/>
          <w:szCs w:val="24"/>
        </w:rPr>
      </w:pPr>
    </w:p>
    <w:p w14:paraId="1622C453" w14:textId="21DC4575" w:rsidR="00552DCD" w:rsidRPr="009535E7" w:rsidRDefault="009535E7"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color w:val="000000"/>
          <w:sz w:val="24"/>
          <w:szCs w:val="24"/>
          <w:lang w:eastAsia="zh-CN"/>
        </w:rPr>
      </w:pPr>
      <w:r w:rsidRPr="009535E7">
        <w:rPr>
          <w:rFonts w:eastAsia="標楷體"/>
          <w:color w:val="000000"/>
          <w:sz w:val="24"/>
          <w:szCs w:val="24"/>
          <w:lang w:eastAsia="zh-CN"/>
        </w:rPr>
        <w:t>每一年的税务评核均是独立的。尤其上诉人的情况于</w:t>
      </w:r>
      <w:r w:rsidRPr="009535E7">
        <w:rPr>
          <w:rFonts w:eastAsia="標楷體"/>
          <w:color w:val="000000"/>
          <w:sz w:val="24"/>
          <w:szCs w:val="24"/>
          <w:lang w:eastAsia="zh-CN"/>
        </w:rPr>
        <w:t>2012</w:t>
      </w:r>
      <w:r w:rsidRPr="009535E7">
        <w:rPr>
          <w:rFonts w:eastAsia="標楷體"/>
          <w:color w:val="000000"/>
          <w:sz w:val="24"/>
          <w:szCs w:val="24"/>
          <w:lang w:eastAsia="zh-CN"/>
        </w:rPr>
        <w:t>年产生转变，即使</w:t>
      </w:r>
      <w:r w:rsidRPr="009535E7">
        <w:rPr>
          <w:rFonts w:eastAsia="標楷體"/>
          <w:color w:val="000000"/>
          <w:sz w:val="24"/>
          <w:szCs w:val="24"/>
          <w:lang w:eastAsia="zh-CN"/>
        </w:rPr>
        <w:t>2004/2005</w:t>
      </w:r>
      <w:r w:rsidRPr="009535E7">
        <w:rPr>
          <w:rFonts w:eastAsia="標楷體"/>
          <w:color w:val="000000"/>
          <w:sz w:val="24"/>
          <w:szCs w:val="24"/>
          <w:lang w:eastAsia="zh-CN"/>
        </w:rPr>
        <w:t>的税务年度的</w:t>
      </w:r>
      <w:r w:rsidRPr="009535E7">
        <w:rPr>
          <w:rFonts w:eastAsia="標楷體"/>
          <w:sz w:val="24"/>
          <w:szCs w:val="24"/>
          <w:lang w:eastAsia="zh-CN"/>
        </w:rPr>
        <w:t>离岸</w:t>
      </w:r>
      <w:r w:rsidRPr="009535E7">
        <w:rPr>
          <w:rFonts w:eastAsia="標楷體"/>
          <w:color w:val="000000"/>
          <w:sz w:val="24"/>
          <w:szCs w:val="24"/>
          <w:lang w:val="en-US" w:eastAsia="zh-CN"/>
        </w:rPr>
        <w:t>申索</w:t>
      </w:r>
      <w:r w:rsidRPr="009535E7">
        <w:rPr>
          <w:rFonts w:eastAsia="標楷體"/>
          <w:color w:val="000000"/>
          <w:sz w:val="24"/>
          <w:szCs w:val="24"/>
          <w:lang w:eastAsia="zh-CN"/>
        </w:rPr>
        <w:t>被接纳，也不能据此作为日后接纳申索的基础。</w:t>
      </w:r>
    </w:p>
    <w:p w14:paraId="4ED25A1A" w14:textId="77777777" w:rsidR="00190337" w:rsidRPr="009535E7" w:rsidRDefault="00190337"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440"/>
        <w:jc w:val="both"/>
        <w:textAlignment w:val="auto"/>
        <w:rPr>
          <w:rFonts w:eastAsia="標楷體"/>
          <w:color w:val="000000"/>
          <w:sz w:val="24"/>
          <w:szCs w:val="24"/>
          <w:lang w:eastAsia="zh-CN"/>
        </w:rPr>
      </w:pPr>
    </w:p>
    <w:p w14:paraId="76D768E4" w14:textId="7E92B1B6" w:rsidR="00552DCD" w:rsidRPr="009535E7" w:rsidRDefault="009535E7"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color w:val="000000"/>
          <w:sz w:val="24"/>
          <w:szCs w:val="24"/>
        </w:rPr>
      </w:pPr>
      <w:r w:rsidRPr="009535E7">
        <w:rPr>
          <w:rFonts w:eastAsia="標楷體"/>
          <w:color w:val="000000"/>
          <w:sz w:val="24"/>
          <w:szCs w:val="24"/>
          <w:lang w:eastAsia="zh-CN"/>
        </w:rPr>
        <w:t>就着处理</w:t>
      </w:r>
      <w:r w:rsidRPr="009535E7">
        <w:rPr>
          <w:rFonts w:eastAsia="標楷體"/>
          <w:sz w:val="24"/>
          <w:szCs w:val="24"/>
          <w:lang w:eastAsia="zh-CN"/>
        </w:rPr>
        <w:t>离岸</w:t>
      </w:r>
      <w:r w:rsidRPr="009535E7">
        <w:rPr>
          <w:rFonts w:eastAsia="標楷體"/>
          <w:color w:val="000000"/>
          <w:sz w:val="24"/>
          <w:szCs w:val="24"/>
          <w:lang w:val="en-US" w:eastAsia="zh-CN"/>
        </w:rPr>
        <w:t>申索所</w:t>
      </w:r>
      <w:r w:rsidRPr="009535E7">
        <w:rPr>
          <w:rFonts w:eastAsia="標楷體"/>
          <w:color w:val="000000"/>
          <w:sz w:val="24"/>
          <w:szCs w:val="24"/>
          <w:lang w:eastAsia="zh-CN"/>
        </w:rPr>
        <w:t>要求的文件，税务局会要求纳税人提交一套具全面代表性关于营运的文件，包括如何买卖及运货的程序、出入境证明及</w:t>
      </w:r>
      <w:r w:rsidRPr="009535E7">
        <w:rPr>
          <w:rFonts w:eastAsia="標楷體"/>
          <w:color w:val="000000"/>
          <w:sz w:val="24"/>
          <w:szCs w:val="24"/>
          <w:lang w:val="en-US" w:eastAsia="zh-CN"/>
        </w:rPr>
        <w:t>内地</w:t>
      </w:r>
      <w:r w:rsidRPr="009535E7">
        <w:rPr>
          <w:rFonts w:eastAsia="標楷體"/>
          <w:color w:val="000000"/>
          <w:sz w:val="24"/>
          <w:szCs w:val="24"/>
          <w:lang w:eastAsia="zh-CN"/>
        </w:rPr>
        <w:t>交税的证明。</w:t>
      </w:r>
    </w:p>
    <w:p w14:paraId="40DFDDAD" w14:textId="77777777" w:rsidR="00C3100B" w:rsidRPr="009535E7" w:rsidRDefault="00C3100B"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440"/>
        <w:jc w:val="both"/>
        <w:textAlignment w:val="auto"/>
        <w:rPr>
          <w:rFonts w:eastAsia="標楷體"/>
          <w:color w:val="000000"/>
          <w:sz w:val="24"/>
          <w:szCs w:val="24"/>
        </w:rPr>
      </w:pPr>
    </w:p>
    <w:p w14:paraId="67481095" w14:textId="642468F0" w:rsidR="00552DCD" w:rsidRPr="009535E7" w:rsidRDefault="009535E7"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color w:val="000000"/>
          <w:sz w:val="24"/>
          <w:szCs w:val="24"/>
          <w:lang w:eastAsia="zh-CN"/>
        </w:rPr>
      </w:pPr>
      <w:r w:rsidRPr="009535E7">
        <w:rPr>
          <w:rFonts w:eastAsia="標楷體"/>
          <w:color w:val="000000"/>
          <w:sz w:val="24"/>
          <w:szCs w:val="24"/>
          <w:lang w:eastAsia="zh-CN"/>
        </w:rPr>
        <w:t>即使税务局已经多番要求，但上诉人直至聆讯结束仍没有按要求提交具全面代表性的文件以证明其主张。此外，上诉人从来没有就为何不能提交该等文件作出解释。</w:t>
      </w:r>
    </w:p>
    <w:p w14:paraId="52B1230E" w14:textId="77777777" w:rsidR="00552DCD" w:rsidRPr="009535E7" w:rsidRDefault="00552DCD" w:rsidP="00590E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jc w:val="both"/>
        <w:rPr>
          <w:rFonts w:eastAsia="標楷體"/>
          <w:color w:val="000000"/>
          <w:sz w:val="28"/>
          <w:szCs w:val="28"/>
          <w:lang w:eastAsia="zh-CN"/>
        </w:rPr>
      </w:pPr>
    </w:p>
    <w:p w14:paraId="709AC4BF" w14:textId="56389BAD" w:rsidR="00552DCD" w:rsidRPr="009535E7" w:rsidRDefault="009535E7" w:rsidP="00590EE5">
      <w:pPr>
        <w:pStyle w:val="ac"/>
        <w:numPr>
          <w:ilvl w:val="0"/>
          <w:numId w:val="44"/>
        </w:numPr>
        <w:snapToGrid w:val="0"/>
        <w:ind w:leftChars="0" w:left="851" w:hanging="567"/>
        <w:jc w:val="both"/>
        <w:textAlignment w:val="auto"/>
        <w:rPr>
          <w:rFonts w:eastAsia="標楷體"/>
          <w:b/>
          <w:bCs/>
          <w:sz w:val="28"/>
          <w:szCs w:val="28"/>
          <w:lang w:val="en-US"/>
        </w:rPr>
      </w:pPr>
      <w:r w:rsidRPr="009535E7">
        <w:rPr>
          <w:rFonts w:eastAsia="標楷體"/>
          <w:b/>
          <w:bCs/>
          <w:sz w:val="28"/>
          <w:szCs w:val="28"/>
          <w:lang w:val="en-US" w:eastAsia="zh-CN"/>
        </w:rPr>
        <w:t>分析</w:t>
      </w:r>
    </w:p>
    <w:p w14:paraId="7C7ACC78" w14:textId="77777777" w:rsidR="00552DCD" w:rsidRPr="009535E7" w:rsidRDefault="00552DCD" w:rsidP="00590EE5">
      <w:pPr>
        <w:pStyle w:val="ac"/>
        <w:snapToGrid w:val="0"/>
        <w:ind w:left="400"/>
        <w:jc w:val="both"/>
        <w:rPr>
          <w:rFonts w:eastAsia="標楷體"/>
          <w:b/>
          <w:bCs/>
          <w:sz w:val="24"/>
          <w:szCs w:val="24"/>
          <w:lang w:val="en-US"/>
        </w:rPr>
      </w:pPr>
    </w:p>
    <w:p w14:paraId="0E0305D1" w14:textId="5E05B5A4" w:rsidR="00552DCD" w:rsidRPr="009535E7" w:rsidRDefault="009535E7" w:rsidP="00590EE5">
      <w:pPr>
        <w:pStyle w:val="ac"/>
        <w:numPr>
          <w:ilvl w:val="0"/>
          <w:numId w:val="45"/>
        </w:numPr>
        <w:snapToGrid w:val="0"/>
        <w:ind w:leftChars="0" w:left="0" w:firstLine="0"/>
        <w:jc w:val="both"/>
        <w:textAlignment w:val="auto"/>
        <w:rPr>
          <w:rFonts w:eastAsia="標楷體"/>
          <w:color w:val="000000"/>
          <w:sz w:val="24"/>
          <w:szCs w:val="24"/>
        </w:rPr>
      </w:pPr>
      <w:r w:rsidRPr="009535E7">
        <w:rPr>
          <w:rFonts w:eastAsia="標楷體"/>
          <w:color w:val="000000"/>
          <w:sz w:val="24"/>
          <w:szCs w:val="24"/>
          <w:lang w:eastAsia="zh-CN"/>
        </w:rPr>
        <w:t>根据以下所述的理由，委员会驳回本上诉。</w:t>
      </w:r>
    </w:p>
    <w:p w14:paraId="2502DDE5" w14:textId="77777777" w:rsidR="00552DCD" w:rsidRPr="009535E7" w:rsidRDefault="00552DCD" w:rsidP="00590EE5">
      <w:pPr>
        <w:pStyle w:val="ac"/>
        <w:snapToGrid w:val="0"/>
        <w:ind w:left="400"/>
        <w:jc w:val="both"/>
        <w:rPr>
          <w:rFonts w:eastAsia="標楷體"/>
          <w:color w:val="000000"/>
          <w:sz w:val="24"/>
          <w:szCs w:val="24"/>
        </w:rPr>
      </w:pPr>
    </w:p>
    <w:p w14:paraId="7A077227" w14:textId="7FBCD3FB" w:rsidR="00552DCD" w:rsidRPr="009535E7" w:rsidRDefault="009535E7" w:rsidP="00590EE5">
      <w:pPr>
        <w:pStyle w:val="ac"/>
        <w:numPr>
          <w:ilvl w:val="0"/>
          <w:numId w:val="45"/>
        </w:numPr>
        <w:snapToGrid w:val="0"/>
        <w:ind w:leftChars="0" w:left="0" w:firstLine="0"/>
        <w:jc w:val="both"/>
        <w:textAlignment w:val="auto"/>
        <w:rPr>
          <w:rFonts w:eastAsia="標楷體"/>
          <w:color w:val="000000"/>
          <w:sz w:val="24"/>
          <w:szCs w:val="24"/>
          <w:lang w:eastAsia="zh-CN"/>
        </w:rPr>
      </w:pPr>
      <w:r w:rsidRPr="009535E7">
        <w:rPr>
          <w:rFonts w:eastAsia="標楷體"/>
          <w:color w:val="000000"/>
          <w:sz w:val="24"/>
          <w:szCs w:val="24"/>
          <w:lang w:eastAsia="zh-CN"/>
        </w:rPr>
        <w:t>案例说明，在处理上诉个案时，委员会是一个就事实作出裁断的机构，其职能不是裁断决定书的事实是否正确，而是裁定上诉的评税是否过高或者不正确。委员会在聆讯时会重新考虑整个个案的事宜，并理应考虑本个案的所有事实，包括所有有关于本案的文件。</w:t>
      </w:r>
    </w:p>
    <w:p w14:paraId="0AB34BD1" w14:textId="77777777" w:rsidR="00552DCD" w:rsidRPr="009535E7" w:rsidRDefault="00552DCD" w:rsidP="00590EE5">
      <w:pPr>
        <w:pStyle w:val="ac"/>
        <w:snapToGrid w:val="0"/>
        <w:ind w:left="400"/>
        <w:jc w:val="both"/>
        <w:rPr>
          <w:rFonts w:eastAsia="標楷體"/>
          <w:color w:val="000000"/>
          <w:sz w:val="24"/>
          <w:szCs w:val="24"/>
          <w:lang w:val="en-US" w:eastAsia="zh-CN"/>
        </w:rPr>
      </w:pPr>
    </w:p>
    <w:p w14:paraId="1B7037F7" w14:textId="208793B2" w:rsidR="00552DCD" w:rsidRPr="009535E7" w:rsidRDefault="009535E7" w:rsidP="00590EE5">
      <w:pPr>
        <w:pStyle w:val="ac"/>
        <w:numPr>
          <w:ilvl w:val="0"/>
          <w:numId w:val="45"/>
        </w:numPr>
        <w:snapToGrid w:val="0"/>
        <w:ind w:leftChars="0" w:left="0" w:firstLine="0"/>
        <w:jc w:val="both"/>
        <w:textAlignment w:val="auto"/>
        <w:rPr>
          <w:rFonts w:eastAsia="標楷體"/>
          <w:color w:val="000000"/>
          <w:sz w:val="24"/>
          <w:szCs w:val="24"/>
        </w:rPr>
      </w:pPr>
      <w:r w:rsidRPr="009535E7">
        <w:rPr>
          <w:rFonts w:eastAsia="標楷體"/>
          <w:color w:val="000000"/>
          <w:sz w:val="24"/>
          <w:szCs w:val="24"/>
          <w:lang w:val="en-US" w:eastAsia="zh-CN"/>
        </w:rPr>
        <w:t>委员会接纳答辩方所提出的案例所确立的原则：</w:t>
      </w:r>
    </w:p>
    <w:p w14:paraId="3B1FCA8F" w14:textId="77777777" w:rsidR="00552DCD" w:rsidRPr="009535E7" w:rsidRDefault="00552DCD" w:rsidP="00590EE5">
      <w:pPr>
        <w:pStyle w:val="ac"/>
        <w:snapToGrid w:val="0"/>
        <w:ind w:left="400"/>
        <w:jc w:val="both"/>
        <w:rPr>
          <w:rFonts w:eastAsia="標楷體"/>
          <w:color w:val="000000"/>
          <w:sz w:val="24"/>
          <w:szCs w:val="24"/>
          <w:lang w:val="en-US"/>
        </w:rPr>
      </w:pPr>
    </w:p>
    <w:p w14:paraId="4DAAA2E5" w14:textId="01A21B4F" w:rsidR="00552DCD" w:rsidRPr="009535E7" w:rsidRDefault="009535E7"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color w:val="000000"/>
          <w:sz w:val="24"/>
          <w:szCs w:val="24"/>
          <w:lang w:val="en-US" w:eastAsia="zh-CN"/>
        </w:rPr>
      </w:pPr>
      <w:r w:rsidRPr="009535E7">
        <w:rPr>
          <w:rFonts w:eastAsia="標楷體"/>
          <w:color w:val="000000"/>
          <w:sz w:val="24"/>
          <w:szCs w:val="24"/>
          <w:lang w:val="en-US" w:eastAsia="zh-CN"/>
        </w:rPr>
        <w:t>就利润的来源地，</w:t>
      </w:r>
      <w:r w:rsidRPr="009535E7">
        <w:rPr>
          <w:rFonts w:eastAsia="標楷體"/>
          <w:color w:val="000000"/>
          <w:sz w:val="24"/>
          <w:szCs w:val="24"/>
          <w:lang w:val="en-US" w:eastAsia="zh-CN"/>
        </w:rPr>
        <w:t>Lord Bridge</w:t>
      </w:r>
      <w:r w:rsidRPr="009535E7">
        <w:rPr>
          <w:rFonts w:eastAsia="標楷體"/>
          <w:color w:val="000000"/>
          <w:sz w:val="24"/>
          <w:szCs w:val="24"/>
          <w:lang w:val="en-US" w:eastAsia="zh-CN"/>
        </w:rPr>
        <w:t>在</w:t>
      </w:r>
      <w:r w:rsidRPr="009535E7">
        <w:rPr>
          <w:rFonts w:eastAsia="標楷體"/>
          <w:bCs/>
          <w:iCs/>
          <w:color w:val="000000"/>
          <w:sz w:val="24"/>
          <w:szCs w:val="24"/>
          <w:u w:val="single"/>
          <w:lang w:val="en-US" w:eastAsia="zh-CN"/>
        </w:rPr>
        <w:t>Commissioner of Inland Revenue v Hang Seng Bank limited</w:t>
      </w:r>
      <w:r w:rsidRPr="009535E7">
        <w:rPr>
          <w:rFonts w:eastAsia="標楷體"/>
          <w:color w:val="000000"/>
          <w:sz w:val="24"/>
          <w:szCs w:val="24"/>
          <w:lang w:val="en-US" w:eastAsia="zh-CN"/>
        </w:rPr>
        <w:t>[1991] 1 AC 306</w:t>
      </w:r>
      <w:r w:rsidRPr="009535E7">
        <w:rPr>
          <w:rFonts w:eastAsia="標楷體"/>
          <w:color w:val="000000"/>
          <w:sz w:val="24"/>
          <w:szCs w:val="24"/>
          <w:lang w:val="en-US" w:eastAsia="zh-CN"/>
        </w:rPr>
        <w:t>一案指出：要区别于香港产生或得自香港的利润和于香港以外地方产生或得自香港以外地方的利润，我们必须根据产生利润的不同交易的性质来衡量</w:t>
      </w:r>
      <w:r w:rsidR="00552DCD" w:rsidRPr="009535E7">
        <w:rPr>
          <w:rStyle w:val="aa"/>
          <w:rFonts w:eastAsia="標楷體"/>
          <w:color w:val="000000"/>
          <w:sz w:val="24"/>
          <w:szCs w:val="24"/>
          <w:lang w:val="en-US"/>
        </w:rPr>
        <w:footnoteReference w:id="1"/>
      </w:r>
      <w:r w:rsidRPr="009535E7">
        <w:rPr>
          <w:rFonts w:eastAsia="標楷體"/>
          <w:color w:val="000000"/>
          <w:sz w:val="24"/>
          <w:szCs w:val="24"/>
          <w:lang w:val="en-US" w:eastAsia="zh-CN"/>
        </w:rPr>
        <w:t>。</w:t>
      </w:r>
      <w:r w:rsidRPr="009535E7">
        <w:rPr>
          <w:rFonts w:eastAsia="標楷體"/>
          <w:bCs/>
          <w:color w:val="000000"/>
          <w:sz w:val="24"/>
          <w:szCs w:val="24"/>
          <w:lang w:val="en-US" w:eastAsia="zh-CN"/>
        </w:rPr>
        <w:t>确定某一项交易所带来的利润是否于某地产生或得自某地是一个取决于交易性质的事实问题，</w:t>
      </w:r>
      <w:r w:rsidRPr="009535E7">
        <w:rPr>
          <w:rFonts w:eastAsia="標楷體"/>
          <w:color w:val="000000"/>
          <w:sz w:val="24"/>
          <w:szCs w:val="24"/>
          <w:lang w:val="en-US" w:eastAsia="zh-CN"/>
        </w:rPr>
        <w:t>当中应查明纳税人从事赚取有关利润的活动</w:t>
      </w:r>
      <w:r w:rsidR="00552DCD" w:rsidRPr="009535E7">
        <w:rPr>
          <w:rStyle w:val="aa"/>
          <w:rFonts w:eastAsia="標楷體"/>
          <w:color w:val="000000"/>
          <w:sz w:val="24"/>
          <w:szCs w:val="24"/>
          <w:lang w:val="en-US"/>
        </w:rPr>
        <w:footnoteReference w:id="2"/>
      </w:r>
      <w:r w:rsidRPr="009535E7">
        <w:rPr>
          <w:rFonts w:eastAsia="標楷體"/>
          <w:color w:val="000000"/>
          <w:sz w:val="24"/>
          <w:szCs w:val="24"/>
          <w:lang w:val="en-US" w:eastAsia="zh-CN"/>
        </w:rPr>
        <w:t>。</w:t>
      </w:r>
    </w:p>
    <w:p w14:paraId="263807F4" w14:textId="77777777" w:rsidR="00552DCD" w:rsidRPr="009535E7" w:rsidRDefault="00552DCD"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400"/>
        <w:jc w:val="both"/>
        <w:rPr>
          <w:rFonts w:eastAsia="標楷體"/>
          <w:color w:val="000000"/>
          <w:sz w:val="24"/>
          <w:szCs w:val="24"/>
          <w:lang w:val="en-US" w:eastAsia="zh-CN"/>
        </w:rPr>
      </w:pPr>
    </w:p>
    <w:p w14:paraId="4E95F089" w14:textId="2BC19854" w:rsidR="00552DCD" w:rsidRPr="009535E7" w:rsidRDefault="009535E7"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color w:val="000000"/>
          <w:sz w:val="24"/>
          <w:szCs w:val="24"/>
          <w:lang w:val="en-US" w:eastAsia="zh-CN"/>
        </w:rPr>
      </w:pPr>
      <w:r w:rsidRPr="009535E7">
        <w:rPr>
          <w:rFonts w:eastAsia="標楷體"/>
          <w:color w:val="000000"/>
          <w:sz w:val="24"/>
          <w:szCs w:val="24"/>
          <w:lang w:val="en-US" w:eastAsia="zh-CN"/>
        </w:rPr>
        <w:t>就正确识别产生利润的交易，</w:t>
      </w:r>
      <w:r w:rsidRPr="009535E7">
        <w:rPr>
          <w:rFonts w:eastAsia="標楷體"/>
          <w:color w:val="000000"/>
          <w:sz w:val="24"/>
          <w:szCs w:val="24"/>
          <w:lang w:val="en-US" w:eastAsia="zh-CN"/>
        </w:rPr>
        <w:t xml:space="preserve">Lord Millet NPJ </w:t>
      </w:r>
      <w:r w:rsidRPr="009535E7">
        <w:rPr>
          <w:rFonts w:eastAsia="標楷體"/>
          <w:color w:val="000000"/>
          <w:sz w:val="24"/>
          <w:szCs w:val="24"/>
          <w:lang w:val="en-US" w:eastAsia="zh-CN"/>
        </w:rPr>
        <w:t>在</w:t>
      </w:r>
      <w:r w:rsidRPr="009535E7">
        <w:rPr>
          <w:rFonts w:eastAsia="標楷體"/>
          <w:bCs/>
          <w:iCs/>
          <w:color w:val="000000"/>
          <w:sz w:val="24"/>
          <w:szCs w:val="24"/>
          <w:u w:val="single"/>
          <w:lang w:val="en-US" w:eastAsia="zh-CN"/>
        </w:rPr>
        <w:t>ING Baring Securities (Hong Kong) Ltd v Commissioner of Inland Revenue</w:t>
      </w:r>
      <w:r w:rsidRPr="009535E7">
        <w:rPr>
          <w:rFonts w:eastAsia="標楷體"/>
          <w:color w:val="000000"/>
          <w:sz w:val="24"/>
          <w:szCs w:val="24"/>
          <w:lang w:val="en-US" w:eastAsia="zh-CN"/>
        </w:rPr>
        <w:t xml:space="preserve"> [2008] 1 HKLRD 412</w:t>
      </w:r>
      <w:r w:rsidRPr="009535E7">
        <w:rPr>
          <w:rFonts w:eastAsia="標楷體"/>
          <w:color w:val="000000"/>
          <w:sz w:val="24"/>
          <w:szCs w:val="24"/>
          <w:lang w:val="en-US" w:eastAsia="zh-CN"/>
        </w:rPr>
        <w:t>一案中，</w:t>
      </w:r>
      <w:r w:rsidRPr="009535E7">
        <w:rPr>
          <w:rFonts w:eastAsia="標楷體"/>
          <w:color w:val="000000"/>
          <w:sz w:val="24"/>
          <w:szCs w:val="24"/>
          <w:lang w:eastAsia="zh-CN"/>
        </w:rPr>
        <w:t>认为法庭应考虑的，不是产生有关利润的运作，而是更加狭隘地考虑纳税人产生该些利润的运作</w:t>
      </w:r>
      <w:r w:rsidR="00552DCD" w:rsidRPr="009535E7">
        <w:rPr>
          <w:rStyle w:val="aa"/>
          <w:rFonts w:eastAsia="標楷體"/>
          <w:color w:val="000000"/>
          <w:sz w:val="24"/>
          <w:szCs w:val="24"/>
        </w:rPr>
        <w:footnoteReference w:id="3"/>
      </w:r>
      <w:r w:rsidRPr="009535E7">
        <w:rPr>
          <w:rFonts w:eastAsia="標楷體"/>
          <w:color w:val="000000"/>
          <w:sz w:val="24"/>
          <w:szCs w:val="24"/>
          <w:lang w:eastAsia="zh-CN"/>
        </w:rPr>
        <w:t>。其次，实质上产生利润的运作，必须被视为纳税人的实际营运所产生的；利润的运作，该运作出现在提供服务或进行盈利活动的地方。故此，产生利润的运作是受制于两个限制：</w:t>
      </w:r>
      <w:r w:rsidRPr="009535E7">
        <w:rPr>
          <w:rFonts w:eastAsia="標楷體"/>
          <w:color w:val="000000"/>
          <w:sz w:val="24"/>
          <w:szCs w:val="24"/>
          <w:lang w:eastAsia="zh-CN"/>
        </w:rPr>
        <w:t>1</w:t>
      </w:r>
      <w:r w:rsidRPr="009535E7">
        <w:rPr>
          <w:rFonts w:eastAsia="標楷體"/>
          <w:color w:val="000000"/>
          <w:sz w:val="24"/>
          <w:szCs w:val="24"/>
          <w:lang w:eastAsia="zh-CN"/>
        </w:rPr>
        <w:t>）有关的运作必须是纳</w:t>
      </w:r>
      <w:r w:rsidRPr="009535E7">
        <w:rPr>
          <w:rFonts w:eastAsia="標楷體"/>
          <w:color w:val="000000"/>
          <w:sz w:val="24"/>
          <w:szCs w:val="24"/>
          <w:lang w:eastAsia="zh-CN"/>
        </w:rPr>
        <w:lastRenderedPageBreak/>
        <w:t>税人的运作；及</w:t>
      </w:r>
      <w:r w:rsidRPr="009535E7">
        <w:rPr>
          <w:rFonts w:eastAsia="標楷體"/>
          <w:color w:val="000000"/>
          <w:sz w:val="24"/>
          <w:szCs w:val="24"/>
          <w:lang w:eastAsia="zh-CN"/>
        </w:rPr>
        <w:t xml:space="preserve"> 2</w:t>
      </w:r>
      <w:r w:rsidRPr="009535E7">
        <w:rPr>
          <w:rFonts w:eastAsia="標楷體"/>
          <w:color w:val="000000"/>
          <w:sz w:val="24"/>
          <w:szCs w:val="24"/>
          <w:lang w:eastAsia="zh-CN"/>
        </w:rPr>
        <w:t>）有关运作并不包括整个纳税人的运作，只包括那些产生有关利润的运作</w:t>
      </w:r>
      <w:r w:rsidR="00552DCD" w:rsidRPr="009535E7">
        <w:rPr>
          <w:rStyle w:val="aa"/>
          <w:rFonts w:eastAsia="標楷體"/>
          <w:color w:val="000000"/>
          <w:sz w:val="24"/>
          <w:szCs w:val="24"/>
        </w:rPr>
        <w:footnoteReference w:id="4"/>
      </w:r>
      <w:r w:rsidRPr="009535E7">
        <w:rPr>
          <w:rFonts w:eastAsia="標楷體"/>
          <w:color w:val="000000"/>
          <w:sz w:val="24"/>
          <w:szCs w:val="24"/>
          <w:lang w:eastAsia="zh-CN"/>
        </w:rPr>
        <w:t>；利润来源须归因纳税人的业务运作而产生利润，而非集团内其他成员公司的业务运作</w:t>
      </w:r>
      <w:r w:rsidR="00552DCD" w:rsidRPr="009535E7">
        <w:rPr>
          <w:rStyle w:val="aa"/>
          <w:rFonts w:eastAsia="標楷體"/>
          <w:color w:val="000000"/>
          <w:sz w:val="24"/>
          <w:szCs w:val="24"/>
        </w:rPr>
        <w:footnoteReference w:id="5"/>
      </w:r>
      <w:r w:rsidRPr="009535E7">
        <w:rPr>
          <w:rFonts w:eastAsia="標楷體"/>
          <w:color w:val="000000"/>
          <w:sz w:val="24"/>
          <w:szCs w:val="24"/>
          <w:lang w:eastAsia="zh-CN"/>
        </w:rPr>
        <w:t>。</w:t>
      </w:r>
    </w:p>
    <w:p w14:paraId="693989E4" w14:textId="77777777" w:rsidR="00552DCD" w:rsidRPr="009535E7" w:rsidRDefault="00552DCD" w:rsidP="00590EE5">
      <w:pPr>
        <w:pStyle w:val="ac"/>
        <w:snapToGrid w:val="0"/>
        <w:ind w:left="400"/>
        <w:jc w:val="both"/>
        <w:rPr>
          <w:rFonts w:eastAsia="標楷體"/>
          <w:color w:val="000000"/>
          <w:sz w:val="24"/>
          <w:szCs w:val="24"/>
          <w:lang w:eastAsia="zh-CN"/>
        </w:rPr>
      </w:pPr>
    </w:p>
    <w:p w14:paraId="5F6BCCAA" w14:textId="55C9B07C" w:rsidR="00552DCD" w:rsidRPr="009535E7" w:rsidRDefault="009535E7" w:rsidP="00590EE5">
      <w:pPr>
        <w:pStyle w:val="ac"/>
        <w:numPr>
          <w:ilvl w:val="0"/>
          <w:numId w:val="45"/>
        </w:numPr>
        <w:snapToGrid w:val="0"/>
        <w:ind w:leftChars="0" w:left="0" w:firstLine="0"/>
        <w:jc w:val="both"/>
        <w:textAlignment w:val="auto"/>
        <w:rPr>
          <w:rFonts w:eastAsia="標楷體"/>
          <w:color w:val="000000"/>
          <w:sz w:val="24"/>
          <w:szCs w:val="24"/>
          <w:lang w:val="en-US"/>
        </w:rPr>
      </w:pPr>
      <w:r w:rsidRPr="009535E7">
        <w:rPr>
          <w:rFonts w:eastAsia="標楷體"/>
          <w:color w:val="000000"/>
          <w:sz w:val="24"/>
          <w:szCs w:val="24"/>
          <w:lang w:eastAsia="zh-CN"/>
        </w:rPr>
        <w:t>如前所述，委员会需要处理的关键问题是，</w:t>
      </w:r>
      <w:r w:rsidRPr="009535E7">
        <w:rPr>
          <w:rFonts w:eastAsia="標楷體"/>
          <w:color w:val="000000"/>
          <w:sz w:val="24"/>
          <w:szCs w:val="24"/>
          <w:lang w:val="en-US" w:eastAsia="zh-CN"/>
        </w:rPr>
        <w:t>上诉人是否能够提供足够的证据</w:t>
      </w:r>
      <w:r w:rsidRPr="009535E7">
        <w:rPr>
          <w:rFonts w:eastAsia="標楷體"/>
          <w:color w:val="000000"/>
          <w:sz w:val="24"/>
          <w:szCs w:val="24"/>
          <w:lang w:eastAsia="zh-CN"/>
        </w:rPr>
        <w:t>，证明在有关年度部分利润源自海外，并应按</w:t>
      </w:r>
      <w:r w:rsidRPr="009535E7">
        <w:rPr>
          <w:rFonts w:eastAsia="標楷體"/>
          <w:color w:val="000000"/>
          <w:sz w:val="24"/>
          <w:szCs w:val="24"/>
          <w:lang w:eastAsia="zh-CN"/>
        </w:rPr>
        <w:t>50:50</w:t>
      </w:r>
      <w:r w:rsidRPr="009535E7">
        <w:rPr>
          <w:rFonts w:eastAsia="標楷體"/>
          <w:color w:val="000000"/>
          <w:sz w:val="24"/>
          <w:szCs w:val="24"/>
          <w:lang w:eastAsia="zh-CN"/>
        </w:rPr>
        <w:t>的比例进行分摊计算。</w:t>
      </w:r>
    </w:p>
    <w:p w14:paraId="4597719F" w14:textId="77777777" w:rsidR="00552DCD" w:rsidRPr="009535E7" w:rsidRDefault="00552DCD" w:rsidP="00590EE5">
      <w:pPr>
        <w:pStyle w:val="ac"/>
        <w:snapToGrid w:val="0"/>
        <w:ind w:left="400"/>
        <w:jc w:val="both"/>
        <w:rPr>
          <w:rFonts w:eastAsia="標楷體"/>
          <w:color w:val="000000"/>
          <w:sz w:val="24"/>
          <w:szCs w:val="24"/>
          <w:lang w:val="en-US"/>
        </w:rPr>
      </w:pPr>
    </w:p>
    <w:p w14:paraId="5DEEAEC3" w14:textId="295EF564" w:rsidR="00552DCD" w:rsidRPr="009535E7" w:rsidRDefault="009535E7" w:rsidP="00590EE5">
      <w:pPr>
        <w:pStyle w:val="ac"/>
        <w:numPr>
          <w:ilvl w:val="0"/>
          <w:numId w:val="45"/>
        </w:numPr>
        <w:snapToGrid w:val="0"/>
        <w:ind w:leftChars="0" w:left="0" w:firstLine="0"/>
        <w:jc w:val="both"/>
        <w:textAlignment w:val="auto"/>
        <w:rPr>
          <w:rFonts w:eastAsia="標楷體"/>
          <w:color w:val="000000"/>
          <w:sz w:val="24"/>
          <w:szCs w:val="24"/>
          <w:lang w:val="en-US" w:eastAsia="zh-CN"/>
        </w:rPr>
      </w:pPr>
      <w:r w:rsidRPr="009535E7">
        <w:rPr>
          <w:rFonts w:eastAsia="標楷體"/>
          <w:color w:val="000000"/>
          <w:sz w:val="24"/>
          <w:szCs w:val="24"/>
          <w:lang w:eastAsia="zh-CN"/>
        </w:rPr>
        <w:t>上诉人主要论点为他们一直从事的是来料加工业务，并不是进料加工业务。对于委员会而言，关键问题在于上诉人是否能提供足够证据以支持其论点。</w:t>
      </w:r>
    </w:p>
    <w:p w14:paraId="28B34C0D" w14:textId="77777777" w:rsidR="00552DCD" w:rsidRPr="009535E7" w:rsidRDefault="00552DCD" w:rsidP="00590EE5">
      <w:pPr>
        <w:pStyle w:val="ac"/>
        <w:snapToGrid w:val="0"/>
        <w:ind w:left="400"/>
        <w:jc w:val="both"/>
        <w:rPr>
          <w:rFonts w:eastAsia="標楷體"/>
          <w:color w:val="000000"/>
          <w:sz w:val="24"/>
          <w:szCs w:val="24"/>
          <w:lang w:eastAsia="zh-CN"/>
        </w:rPr>
      </w:pPr>
    </w:p>
    <w:p w14:paraId="01796711" w14:textId="705175C6" w:rsidR="00552DCD" w:rsidRPr="009535E7" w:rsidRDefault="009535E7" w:rsidP="00590EE5">
      <w:pPr>
        <w:pStyle w:val="ac"/>
        <w:numPr>
          <w:ilvl w:val="0"/>
          <w:numId w:val="45"/>
        </w:numPr>
        <w:snapToGrid w:val="0"/>
        <w:ind w:leftChars="0" w:left="0" w:firstLine="0"/>
        <w:jc w:val="both"/>
        <w:textAlignment w:val="auto"/>
        <w:rPr>
          <w:rFonts w:eastAsia="標楷體"/>
          <w:color w:val="000000"/>
          <w:sz w:val="24"/>
          <w:szCs w:val="24"/>
          <w:lang w:val="en-US"/>
        </w:rPr>
      </w:pPr>
      <w:r w:rsidRPr="009535E7">
        <w:rPr>
          <w:rFonts w:eastAsia="標楷體"/>
          <w:color w:val="000000"/>
          <w:sz w:val="24"/>
          <w:szCs w:val="24"/>
          <w:lang w:eastAsia="zh-CN"/>
        </w:rPr>
        <w:t>基于上诉人的说法，税务局曾多次要求上诉人提供具代表性交易文件以说明于</w:t>
      </w:r>
      <w:r w:rsidRPr="009535E7">
        <w:rPr>
          <w:rFonts w:eastAsia="標楷體"/>
          <w:sz w:val="24"/>
          <w:szCs w:val="24"/>
          <w:lang w:eastAsia="zh-CN"/>
        </w:rPr>
        <w:t xml:space="preserve">2012/13 </w:t>
      </w:r>
      <w:r w:rsidRPr="009535E7">
        <w:rPr>
          <w:rFonts w:eastAsia="標楷體"/>
          <w:sz w:val="24"/>
          <w:szCs w:val="24"/>
          <w:lang w:eastAsia="zh-CN"/>
        </w:rPr>
        <w:t>、</w:t>
      </w:r>
      <w:r w:rsidRPr="009535E7">
        <w:rPr>
          <w:rFonts w:eastAsia="標楷體"/>
          <w:sz w:val="24"/>
          <w:szCs w:val="24"/>
          <w:lang w:eastAsia="zh-CN"/>
        </w:rPr>
        <w:t xml:space="preserve">2013/14 </w:t>
      </w:r>
      <w:r w:rsidRPr="009535E7">
        <w:rPr>
          <w:rFonts w:eastAsia="標楷體"/>
          <w:sz w:val="24"/>
          <w:szCs w:val="24"/>
          <w:lang w:eastAsia="zh-CN"/>
        </w:rPr>
        <w:t>及</w:t>
      </w:r>
      <w:r w:rsidRPr="009535E7">
        <w:rPr>
          <w:rFonts w:eastAsia="標楷體"/>
          <w:sz w:val="24"/>
          <w:szCs w:val="24"/>
          <w:lang w:eastAsia="zh-CN"/>
        </w:rPr>
        <w:t>2014/15</w:t>
      </w:r>
      <w:r w:rsidRPr="009535E7">
        <w:rPr>
          <w:rFonts w:eastAsia="標楷體"/>
          <w:color w:val="000000"/>
          <w:sz w:val="24"/>
          <w:szCs w:val="24"/>
          <w:lang w:eastAsia="zh-CN"/>
        </w:rPr>
        <w:t>课税年度的业务运作。</w:t>
      </w:r>
    </w:p>
    <w:p w14:paraId="2973B093" w14:textId="77777777" w:rsidR="00552DCD" w:rsidRPr="009535E7" w:rsidRDefault="00552DCD" w:rsidP="00590EE5">
      <w:pPr>
        <w:pStyle w:val="ac"/>
        <w:snapToGrid w:val="0"/>
        <w:ind w:left="400"/>
        <w:jc w:val="both"/>
        <w:rPr>
          <w:rFonts w:eastAsia="標楷體"/>
          <w:color w:val="000000"/>
          <w:sz w:val="24"/>
          <w:szCs w:val="24"/>
        </w:rPr>
      </w:pPr>
    </w:p>
    <w:p w14:paraId="5649B020" w14:textId="2BD4EE05" w:rsidR="00552DCD" w:rsidRPr="009535E7" w:rsidRDefault="009535E7" w:rsidP="00590EE5">
      <w:pPr>
        <w:pStyle w:val="ac"/>
        <w:numPr>
          <w:ilvl w:val="0"/>
          <w:numId w:val="45"/>
        </w:numPr>
        <w:snapToGrid w:val="0"/>
        <w:ind w:leftChars="0" w:left="0" w:firstLine="0"/>
        <w:jc w:val="both"/>
        <w:textAlignment w:val="auto"/>
        <w:rPr>
          <w:rFonts w:eastAsia="標楷體"/>
          <w:color w:val="000000"/>
          <w:sz w:val="24"/>
          <w:szCs w:val="24"/>
          <w:lang w:val="en-US" w:eastAsia="zh-CN"/>
        </w:rPr>
      </w:pPr>
      <w:r w:rsidRPr="009535E7">
        <w:rPr>
          <w:rFonts w:eastAsia="標楷體"/>
          <w:color w:val="000000"/>
          <w:sz w:val="24"/>
          <w:szCs w:val="24"/>
          <w:lang w:eastAsia="zh-CN"/>
        </w:rPr>
        <w:t>虽然上诉人声称已提交了大量文件证明其</w:t>
      </w:r>
      <w:r w:rsidRPr="009535E7">
        <w:rPr>
          <w:rFonts w:eastAsia="標楷體"/>
          <w:sz w:val="24"/>
          <w:szCs w:val="24"/>
          <w:lang w:eastAsia="zh-CN"/>
        </w:rPr>
        <w:t>离岸</w:t>
      </w:r>
      <w:r w:rsidRPr="009535E7">
        <w:rPr>
          <w:rFonts w:eastAsia="標楷體"/>
          <w:color w:val="000000"/>
          <w:sz w:val="24"/>
          <w:szCs w:val="24"/>
          <w:lang w:val="en-US" w:eastAsia="zh-CN"/>
        </w:rPr>
        <w:t>申索</w:t>
      </w:r>
      <w:r w:rsidRPr="009535E7">
        <w:rPr>
          <w:rFonts w:eastAsia="標楷體"/>
          <w:color w:val="000000"/>
          <w:sz w:val="24"/>
          <w:szCs w:val="24"/>
          <w:lang w:eastAsia="zh-CN"/>
        </w:rPr>
        <w:t>，但当税务局要求更具代表性的文件时，上诉人却表示无法提供。上诉人指控税务局此项要求不公平，因税务局先前表明不需再提供文件。在决定书中，上诉人的</w:t>
      </w:r>
      <w:r w:rsidRPr="009535E7">
        <w:rPr>
          <w:rFonts w:eastAsia="標楷體"/>
          <w:sz w:val="24"/>
          <w:szCs w:val="24"/>
          <w:lang w:eastAsia="zh-CN"/>
        </w:rPr>
        <w:t>离岸</w:t>
      </w:r>
      <w:r w:rsidRPr="009535E7">
        <w:rPr>
          <w:rFonts w:eastAsia="標楷體"/>
          <w:color w:val="000000"/>
          <w:sz w:val="24"/>
          <w:szCs w:val="24"/>
          <w:lang w:val="en-US" w:eastAsia="zh-CN"/>
        </w:rPr>
        <w:t>申索</w:t>
      </w:r>
      <w:r w:rsidRPr="009535E7">
        <w:rPr>
          <w:rFonts w:eastAsia="標楷體"/>
          <w:color w:val="000000"/>
          <w:sz w:val="24"/>
          <w:szCs w:val="24"/>
          <w:lang w:eastAsia="zh-CN"/>
        </w:rPr>
        <w:t>被拒绝，原因是未能提供足够现存文件证据证明其业务运作状况。</w:t>
      </w:r>
    </w:p>
    <w:p w14:paraId="63F68DDB" w14:textId="77777777" w:rsidR="00552DCD" w:rsidRPr="009535E7" w:rsidRDefault="00552DCD" w:rsidP="00590E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jc w:val="both"/>
        <w:rPr>
          <w:rFonts w:eastAsia="標楷體"/>
          <w:color w:val="000000"/>
          <w:sz w:val="24"/>
          <w:szCs w:val="24"/>
          <w:lang w:eastAsia="zh-CN"/>
        </w:rPr>
      </w:pPr>
    </w:p>
    <w:p w14:paraId="04AD04FF" w14:textId="67F22B26" w:rsidR="00552DCD" w:rsidRPr="009535E7" w:rsidRDefault="009535E7" w:rsidP="00590EE5">
      <w:pPr>
        <w:pStyle w:val="ac"/>
        <w:numPr>
          <w:ilvl w:val="0"/>
          <w:numId w:val="45"/>
        </w:numPr>
        <w:snapToGrid w:val="0"/>
        <w:ind w:leftChars="0" w:left="0" w:firstLine="0"/>
        <w:jc w:val="both"/>
        <w:textAlignment w:val="auto"/>
        <w:rPr>
          <w:rFonts w:eastAsia="標楷體"/>
          <w:color w:val="000000"/>
          <w:sz w:val="24"/>
          <w:szCs w:val="24"/>
        </w:rPr>
      </w:pPr>
      <w:r w:rsidRPr="009535E7">
        <w:rPr>
          <w:rFonts w:eastAsia="標楷體"/>
          <w:color w:val="000000"/>
          <w:sz w:val="24"/>
          <w:szCs w:val="24"/>
          <w:lang w:eastAsia="zh-CN"/>
        </w:rPr>
        <w:t>委员会认为，上诉人及税务局同意作为本上诉的事实基础的文件均未能足以证明上诉人在</w:t>
      </w:r>
      <w:r w:rsidRPr="009535E7">
        <w:rPr>
          <w:rFonts w:eastAsia="標楷體"/>
          <w:color w:val="000000"/>
          <w:sz w:val="24"/>
          <w:szCs w:val="24"/>
          <w:lang w:eastAsia="zh-CN"/>
        </w:rPr>
        <w:t xml:space="preserve"> </w:t>
      </w:r>
      <w:r w:rsidRPr="009535E7">
        <w:rPr>
          <w:rFonts w:eastAsia="標楷體"/>
          <w:sz w:val="24"/>
          <w:szCs w:val="24"/>
          <w:lang w:eastAsia="zh-CN"/>
        </w:rPr>
        <w:t xml:space="preserve">2012/13 </w:t>
      </w:r>
      <w:r w:rsidRPr="009535E7">
        <w:rPr>
          <w:rFonts w:eastAsia="標楷體"/>
          <w:sz w:val="24"/>
          <w:szCs w:val="24"/>
          <w:lang w:eastAsia="zh-CN"/>
        </w:rPr>
        <w:t>、</w:t>
      </w:r>
      <w:r w:rsidRPr="009535E7">
        <w:rPr>
          <w:rFonts w:eastAsia="標楷體"/>
          <w:sz w:val="24"/>
          <w:szCs w:val="24"/>
          <w:lang w:eastAsia="zh-CN"/>
        </w:rPr>
        <w:t xml:space="preserve">2013/14 </w:t>
      </w:r>
      <w:r w:rsidRPr="009535E7">
        <w:rPr>
          <w:rFonts w:eastAsia="標楷體"/>
          <w:sz w:val="24"/>
          <w:szCs w:val="24"/>
          <w:lang w:eastAsia="zh-CN"/>
        </w:rPr>
        <w:t>及</w:t>
      </w:r>
      <w:r w:rsidRPr="009535E7">
        <w:rPr>
          <w:rFonts w:eastAsia="標楷體"/>
          <w:sz w:val="24"/>
          <w:szCs w:val="24"/>
          <w:lang w:eastAsia="zh-CN"/>
        </w:rPr>
        <w:t>2014/15</w:t>
      </w:r>
      <w:r w:rsidRPr="009535E7">
        <w:rPr>
          <w:rFonts w:eastAsia="標楷體"/>
          <w:color w:val="000000"/>
          <w:sz w:val="24"/>
          <w:szCs w:val="24"/>
          <w:lang w:eastAsia="zh-CN"/>
        </w:rPr>
        <w:t>课税年度赚取境外利润的实际运作情况。</w:t>
      </w:r>
    </w:p>
    <w:p w14:paraId="7CA55677" w14:textId="77777777" w:rsidR="00552DCD" w:rsidRPr="009535E7" w:rsidRDefault="00552DCD" w:rsidP="00590EE5">
      <w:pPr>
        <w:pStyle w:val="ac"/>
        <w:snapToGrid w:val="0"/>
        <w:ind w:left="400"/>
        <w:jc w:val="both"/>
        <w:rPr>
          <w:rFonts w:eastAsia="標楷體"/>
          <w:color w:val="000000"/>
          <w:sz w:val="24"/>
          <w:szCs w:val="24"/>
        </w:rPr>
      </w:pPr>
    </w:p>
    <w:p w14:paraId="6DF31D65" w14:textId="6E14EF40" w:rsidR="00552DCD" w:rsidRPr="009535E7" w:rsidRDefault="009535E7" w:rsidP="00590EE5">
      <w:pPr>
        <w:pStyle w:val="ac"/>
        <w:numPr>
          <w:ilvl w:val="0"/>
          <w:numId w:val="45"/>
        </w:numPr>
        <w:snapToGrid w:val="0"/>
        <w:ind w:leftChars="0" w:left="0" w:firstLine="0"/>
        <w:jc w:val="both"/>
        <w:textAlignment w:val="auto"/>
        <w:rPr>
          <w:rFonts w:eastAsia="標楷體"/>
          <w:color w:val="000000"/>
          <w:sz w:val="24"/>
          <w:szCs w:val="24"/>
          <w:lang w:eastAsia="zh-CN"/>
        </w:rPr>
      </w:pPr>
      <w:r w:rsidRPr="009535E7">
        <w:rPr>
          <w:rFonts w:eastAsia="標楷體"/>
          <w:color w:val="000000"/>
          <w:sz w:val="24"/>
          <w:szCs w:val="24"/>
          <w:lang w:eastAsia="zh-CN"/>
        </w:rPr>
        <w:t>委员会同意答辩人的论述，这些文件（包括决定书的附件</w:t>
      </w:r>
      <w:r w:rsidRPr="009535E7">
        <w:rPr>
          <w:rFonts w:eastAsia="標楷體"/>
          <w:color w:val="000000"/>
          <w:sz w:val="24"/>
          <w:szCs w:val="24"/>
          <w:lang w:eastAsia="zh-CN"/>
        </w:rPr>
        <w:t>G</w:t>
      </w:r>
      <w:r w:rsidRPr="009535E7">
        <w:rPr>
          <w:rFonts w:eastAsia="標楷體"/>
          <w:color w:val="000000"/>
          <w:sz w:val="24"/>
          <w:szCs w:val="24"/>
          <w:lang w:eastAsia="zh-CN"/>
        </w:rPr>
        <w:t>至</w:t>
      </w:r>
      <w:r w:rsidRPr="009535E7">
        <w:rPr>
          <w:rFonts w:eastAsia="標楷體"/>
          <w:color w:val="000000"/>
          <w:sz w:val="24"/>
          <w:szCs w:val="24"/>
          <w:lang w:eastAsia="zh-CN"/>
        </w:rPr>
        <w:t>I</w:t>
      </w:r>
      <w:r w:rsidRPr="009535E7">
        <w:rPr>
          <w:rFonts w:eastAsia="標楷體"/>
          <w:color w:val="000000"/>
          <w:sz w:val="24"/>
          <w:szCs w:val="24"/>
          <w:lang w:eastAsia="zh-CN"/>
        </w:rPr>
        <w:t>）极其量只能证明</w:t>
      </w:r>
      <w:r w:rsidRPr="009535E7">
        <w:rPr>
          <w:rFonts w:eastAsia="標楷體"/>
          <w:color w:val="000000"/>
          <w:sz w:val="24"/>
          <w:szCs w:val="24"/>
          <w:lang w:eastAsia="zh-CN"/>
        </w:rPr>
        <w:t>C</w:t>
      </w:r>
      <w:r w:rsidRPr="009535E7">
        <w:rPr>
          <w:rFonts w:eastAsia="標楷體"/>
          <w:color w:val="000000"/>
          <w:sz w:val="24"/>
          <w:szCs w:val="24"/>
          <w:lang w:eastAsia="zh-CN"/>
        </w:rPr>
        <w:t>公司可从事来料加工业务，以及</w:t>
      </w:r>
      <w:r w:rsidRPr="009535E7">
        <w:rPr>
          <w:rFonts w:eastAsia="標楷體"/>
          <w:color w:val="000000"/>
          <w:sz w:val="24"/>
          <w:szCs w:val="24"/>
          <w:lang w:eastAsia="zh-CN"/>
        </w:rPr>
        <w:t>C</w:t>
      </w:r>
      <w:r w:rsidRPr="009535E7">
        <w:rPr>
          <w:rFonts w:eastAsia="標楷體"/>
          <w:color w:val="000000"/>
          <w:sz w:val="24"/>
          <w:szCs w:val="24"/>
          <w:lang w:eastAsia="zh-CN"/>
        </w:rPr>
        <w:t>公司与上诉人有签订持续的加工合同安排。因此，上诉人无法根据这些文件展示其在</w:t>
      </w:r>
      <w:r w:rsidRPr="009535E7">
        <w:rPr>
          <w:rFonts w:eastAsia="標楷體"/>
          <w:sz w:val="24"/>
          <w:szCs w:val="24"/>
          <w:lang w:eastAsia="zh-CN"/>
        </w:rPr>
        <w:t xml:space="preserve">2012/13 </w:t>
      </w:r>
      <w:r w:rsidRPr="009535E7">
        <w:rPr>
          <w:rFonts w:eastAsia="標楷體"/>
          <w:sz w:val="24"/>
          <w:szCs w:val="24"/>
          <w:lang w:eastAsia="zh-CN"/>
        </w:rPr>
        <w:t>、</w:t>
      </w:r>
      <w:r w:rsidRPr="009535E7">
        <w:rPr>
          <w:rFonts w:eastAsia="標楷體"/>
          <w:sz w:val="24"/>
          <w:szCs w:val="24"/>
          <w:lang w:eastAsia="zh-CN"/>
        </w:rPr>
        <w:t xml:space="preserve">2013/14 </w:t>
      </w:r>
      <w:r w:rsidRPr="009535E7">
        <w:rPr>
          <w:rFonts w:eastAsia="標楷體"/>
          <w:sz w:val="24"/>
          <w:szCs w:val="24"/>
          <w:lang w:eastAsia="zh-CN"/>
        </w:rPr>
        <w:t>及</w:t>
      </w:r>
      <w:r w:rsidRPr="009535E7">
        <w:rPr>
          <w:rFonts w:eastAsia="標楷體"/>
          <w:sz w:val="24"/>
          <w:szCs w:val="24"/>
          <w:lang w:eastAsia="zh-CN"/>
        </w:rPr>
        <w:t>2014/15</w:t>
      </w:r>
      <w:r w:rsidRPr="009535E7">
        <w:rPr>
          <w:rFonts w:eastAsia="標楷體"/>
          <w:color w:val="000000"/>
          <w:sz w:val="24"/>
          <w:szCs w:val="24"/>
          <w:lang w:eastAsia="zh-CN"/>
        </w:rPr>
        <w:t>课税年度来料加工安排的整体业务运作情况和获利方式。</w:t>
      </w:r>
    </w:p>
    <w:p w14:paraId="22BBA9CC" w14:textId="77777777" w:rsidR="00552DCD" w:rsidRPr="009535E7" w:rsidRDefault="00552DCD" w:rsidP="00590EE5">
      <w:pPr>
        <w:pStyle w:val="ac"/>
        <w:snapToGrid w:val="0"/>
        <w:ind w:left="400"/>
        <w:jc w:val="both"/>
        <w:rPr>
          <w:rFonts w:eastAsia="標楷體"/>
          <w:color w:val="000000"/>
          <w:sz w:val="24"/>
          <w:szCs w:val="24"/>
          <w:lang w:eastAsia="zh-CN"/>
        </w:rPr>
      </w:pPr>
    </w:p>
    <w:p w14:paraId="146DC590" w14:textId="48E674EF" w:rsidR="00552DCD" w:rsidRPr="009535E7" w:rsidRDefault="009535E7" w:rsidP="00590EE5">
      <w:pPr>
        <w:pStyle w:val="ac"/>
        <w:numPr>
          <w:ilvl w:val="0"/>
          <w:numId w:val="45"/>
        </w:numPr>
        <w:snapToGrid w:val="0"/>
        <w:ind w:leftChars="0" w:left="0" w:firstLine="0"/>
        <w:jc w:val="both"/>
        <w:textAlignment w:val="auto"/>
        <w:rPr>
          <w:rFonts w:eastAsia="標楷體"/>
          <w:color w:val="000000"/>
          <w:sz w:val="24"/>
          <w:szCs w:val="24"/>
          <w:lang w:eastAsia="zh-CN"/>
        </w:rPr>
      </w:pPr>
      <w:r w:rsidRPr="009535E7">
        <w:rPr>
          <w:rFonts w:eastAsia="標楷體"/>
          <w:color w:val="000000"/>
          <w:sz w:val="24"/>
          <w:szCs w:val="24"/>
          <w:lang w:eastAsia="zh-CN"/>
        </w:rPr>
        <w:t>为了确定上诉人在</w:t>
      </w:r>
      <w:r w:rsidRPr="009535E7">
        <w:rPr>
          <w:rFonts w:eastAsia="標楷體"/>
          <w:sz w:val="24"/>
          <w:szCs w:val="24"/>
          <w:lang w:eastAsia="zh-CN"/>
        </w:rPr>
        <w:t xml:space="preserve">2012/13 </w:t>
      </w:r>
      <w:r w:rsidRPr="009535E7">
        <w:rPr>
          <w:rFonts w:eastAsia="標楷體"/>
          <w:sz w:val="24"/>
          <w:szCs w:val="24"/>
          <w:lang w:eastAsia="zh-CN"/>
        </w:rPr>
        <w:t>、</w:t>
      </w:r>
      <w:r w:rsidRPr="009535E7">
        <w:rPr>
          <w:rFonts w:eastAsia="標楷體"/>
          <w:sz w:val="24"/>
          <w:szCs w:val="24"/>
          <w:lang w:eastAsia="zh-CN"/>
        </w:rPr>
        <w:t xml:space="preserve">2013/14 </w:t>
      </w:r>
      <w:r w:rsidRPr="009535E7">
        <w:rPr>
          <w:rFonts w:eastAsia="標楷體"/>
          <w:sz w:val="24"/>
          <w:szCs w:val="24"/>
          <w:lang w:eastAsia="zh-CN"/>
        </w:rPr>
        <w:t>及</w:t>
      </w:r>
      <w:r w:rsidRPr="009535E7">
        <w:rPr>
          <w:rFonts w:eastAsia="標楷體"/>
          <w:sz w:val="24"/>
          <w:szCs w:val="24"/>
          <w:lang w:eastAsia="zh-CN"/>
        </w:rPr>
        <w:t>2014/15</w:t>
      </w:r>
      <w:r w:rsidRPr="009535E7">
        <w:rPr>
          <w:rFonts w:eastAsia="標楷體"/>
          <w:color w:val="000000"/>
          <w:sz w:val="24"/>
          <w:szCs w:val="24"/>
          <w:lang w:eastAsia="zh-CN"/>
        </w:rPr>
        <w:t>课税年度的实际营运模式，评税主任曾要求上诉人提供有关其参与内地工厂的详细资料，以及具有代表性的各种交易文件。尽管多次书面提醒，上诉人仍未提供这类数据。</w:t>
      </w:r>
    </w:p>
    <w:p w14:paraId="5240DF9B" w14:textId="77777777" w:rsidR="00552DCD" w:rsidRPr="009535E7" w:rsidRDefault="00552DCD" w:rsidP="00590EE5">
      <w:pPr>
        <w:pStyle w:val="ac"/>
        <w:snapToGrid w:val="0"/>
        <w:ind w:left="400"/>
        <w:jc w:val="both"/>
        <w:rPr>
          <w:rFonts w:eastAsia="標楷體"/>
          <w:color w:val="000000"/>
          <w:sz w:val="24"/>
          <w:szCs w:val="24"/>
          <w:lang w:eastAsia="zh-CN"/>
        </w:rPr>
      </w:pPr>
    </w:p>
    <w:p w14:paraId="1DCF234A" w14:textId="40583489" w:rsidR="00552DCD" w:rsidRPr="009535E7" w:rsidRDefault="009535E7" w:rsidP="00590EE5">
      <w:pPr>
        <w:pStyle w:val="ac"/>
        <w:numPr>
          <w:ilvl w:val="0"/>
          <w:numId w:val="45"/>
        </w:numPr>
        <w:snapToGrid w:val="0"/>
        <w:ind w:leftChars="0" w:left="0" w:firstLine="0"/>
        <w:jc w:val="both"/>
        <w:textAlignment w:val="auto"/>
        <w:rPr>
          <w:rFonts w:eastAsia="標楷體"/>
          <w:color w:val="000000"/>
          <w:sz w:val="24"/>
          <w:szCs w:val="24"/>
          <w:lang w:eastAsia="zh-CN"/>
        </w:rPr>
      </w:pPr>
      <w:r w:rsidRPr="009535E7">
        <w:rPr>
          <w:rFonts w:eastAsia="標楷體"/>
          <w:color w:val="000000"/>
          <w:sz w:val="24"/>
          <w:szCs w:val="24"/>
          <w:lang w:eastAsia="zh-CN"/>
        </w:rPr>
        <w:t>特别是，上诉人没有提供任何与买卖运输流程、出入境证明或内地缴税相关的证据文件。在聆讯中，上诉人的税务代表也确认，上诉人无法提供有关派遣员工到内地的资料。</w:t>
      </w:r>
    </w:p>
    <w:p w14:paraId="2E898987" w14:textId="77777777" w:rsidR="00552DCD" w:rsidRPr="009535E7" w:rsidRDefault="00552DCD" w:rsidP="00590EE5">
      <w:pPr>
        <w:pStyle w:val="ac"/>
        <w:snapToGrid w:val="0"/>
        <w:ind w:left="400"/>
        <w:jc w:val="both"/>
        <w:rPr>
          <w:rFonts w:eastAsia="標楷體"/>
          <w:color w:val="000000"/>
          <w:sz w:val="24"/>
          <w:szCs w:val="24"/>
          <w:lang w:eastAsia="zh-CN"/>
        </w:rPr>
      </w:pPr>
    </w:p>
    <w:p w14:paraId="6D6DC9FF" w14:textId="312B934E" w:rsidR="00552DCD" w:rsidRPr="009535E7" w:rsidRDefault="009535E7" w:rsidP="00590EE5">
      <w:pPr>
        <w:pStyle w:val="ac"/>
        <w:numPr>
          <w:ilvl w:val="0"/>
          <w:numId w:val="45"/>
        </w:numPr>
        <w:snapToGrid w:val="0"/>
        <w:ind w:leftChars="0" w:left="0" w:firstLine="0"/>
        <w:jc w:val="both"/>
        <w:textAlignment w:val="auto"/>
        <w:rPr>
          <w:rFonts w:eastAsia="標楷體"/>
          <w:color w:val="000000"/>
          <w:sz w:val="24"/>
          <w:szCs w:val="24"/>
          <w:lang w:eastAsia="zh-CN"/>
        </w:rPr>
      </w:pPr>
      <w:r w:rsidRPr="009535E7">
        <w:rPr>
          <w:rFonts w:eastAsia="標楷體"/>
          <w:color w:val="000000"/>
          <w:sz w:val="24"/>
          <w:szCs w:val="24"/>
          <w:lang w:eastAsia="zh-CN"/>
        </w:rPr>
        <w:t>上诉人的论点是，由于税务局在</w:t>
      </w:r>
      <w:r w:rsidRPr="009535E7">
        <w:rPr>
          <w:rFonts w:eastAsia="標楷體"/>
          <w:color w:val="000000"/>
          <w:sz w:val="24"/>
          <w:szCs w:val="24"/>
          <w:lang w:eastAsia="zh-CN"/>
        </w:rPr>
        <w:t>2004/05</w:t>
      </w:r>
      <w:r w:rsidRPr="009535E7">
        <w:rPr>
          <w:rFonts w:eastAsia="標楷體"/>
          <w:color w:val="000000"/>
          <w:sz w:val="24"/>
          <w:szCs w:val="24"/>
          <w:lang w:eastAsia="zh-CN"/>
        </w:rPr>
        <w:t>课税年度接受以</w:t>
      </w:r>
      <w:r w:rsidRPr="009535E7">
        <w:rPr>
          <w:rFonts w:eastAsia="標楷體"/>
          <w:color w:val="000000"/>
          <w:sz w:val="24"/>
          <w:szCs w:val="24"/>
          <w:lang w:eastAsia="zh-CN"/>
        </w:rPr>
        <w:t>50:50</w:t>
      </w:r>
      <w:r w:rsidRPr="009535E7">
        <w:rPr>
          <w:rFonts w:eastAsia="標楷體"/>
          <w:color w:val="000000"/>
          <w:sz w:val="24"/>
          <w:szCs w:val="24"/>
          <w:lang w:eastAsia="zh-CN"/>
        </w:rPr>
        <w:t>的比例分摊计算其应评税利润，因此在</w:t>
      </w:r>
      <w:r w:rsidRPr="009535E7">
        <w:rPr>
          <w:rFonts w:eastAsia="標楷體"/>
          <w:sz w:val="24"/>
          <w:szCs w:val="24"/>
          <w:lang w:eastAsia="zh-CN"/>
        </w:rPr>
        <w:t xml:space="preserve">2012/13 </w:t>
      </w:r>
      <w:r w:rsidRPr="009535E7">
        <w:rPr>
          <w:rFonts w:eastAsia="標楷體"/>
          <w:sz w:val="24"/>
          <w:szCs w:val="24"/>
          <w:lang w:eastAsia="zh-CN"/>
        </w:rPr>
        <w:t>、</w:t>
      </w:r>
      <w:r w:rsidRPr="009535E7">
        <w:rPr>
          <w:rFonts w:eastAsia="標楷體"/>
          <w:sz w:val="24"/>
          <w:szCs w:val="24"/>
          <w:lang w:eastAsia="zh-CN"/>
        </w:rPr>
        <w:t xml:space="preserve">2013/14 </w:t>
      </w:r>
      <w:r w:rsidRPr="009535E7">
        <w:rPr>
          <w:rFonts w:eastAsia="標楷體"/>
          <w:sz w:val="24"/>
          <w:szCs w:val="24"/>
          <w:lang w:eastAsia="zh-CN"/>
        </w:rPr>
        <w:t>及</w:t>
      </w:r>
      <w:r w:rsidRPr="009535E7">
        <w:rPr>
          <w:rFonts w:eastAsia="標楷體"/>
          <w:sz w:val="24"/>
          <w:szCs w:val="24"/>
          <w:lang w:eastAsia="zh-CN"/>
        </w:rPr>
        <w:t>2014/15</w:t>
      </w:r>
      <w:r w:rsidRPr="009535E7">
        <w:rPr>
          <w:rFonts w:eastAsia="標楷體"/>
          <w:color w:val="000000"/>
          <w:sz w:val="24"/>
          <w:szCs w:val="24"/>
          <w:lang w:eastAsia="zh-CN"/>
        </w:rPr>
        <w:t>课税年度亦应采取同样的处理方法。委员会认为这个论点是不成立的。案例已清楚述明，每个税务年度的税务事宜在本质上是不同的。即使税务局在某一课税年度接受某种税务处理方式，也不代表这处理方式在另一课税年度同样适用。这是因为每个年度都必须独立评审。因</w:t>
      </w:r>
      <w:r w:rsidRPr="009535E7">
        <w:rPr>
          <w:rFonts w:eastAsia="標楷體"/>
          <w:color w:val="000000"/>
          <w:sz w:val="24"/>
          <w:szCs w:val="24"/>
          <w:lang w:eastAsia="zh-CN"/>
        </w:rPr>
        <w:lastRenderedPageBreak/>
        <w:t>此，先前适用的任何税务处理方式，并不能适用于上诉在</w:t>
      </w:r>
      <w:r w:rsidRPr="009535E7">
        <w:rPr>
          <w:rFonts w:eastAsia="標楷體"/>
          <w:sz w:val="24"/>
          <w:szCs w:val="24"/>
          <w:lang w:eastAsia="zh-CN"/>
        </w:rPr>
        <w:t xml:space="preserve">2012/13 </w:t>
      </w:r>
      <w:r w:rsidRPr="009535E7">
        <w:rPr>
          <w:rFonts w:eastAsia="標楷體"/>
          <w:sz w:val="24"/>
          <w:szCs w:val="24"/>
          <w:lang w:eastAsia="zh-CN"/>
        </w:rPr>
        <w:t>、</w:t>
      </w:r>
      <w:r w:rsidRPr="009535E7">
        <w:rPr>
          <w:rFonts w:eastAsia="標楷體"/>
          <w:sz w:val="24"/>
          <w:szCs w:val="24"/>
          <w:lang w:eastAsia="zh-CN"/>
        </w:rPr>
        <w:t xml:space="preserve">2013/14 </w:t>
      </w:r>
      <w:r w:rsidRPr="009535E7">
        <w:rPr>
          <w:rFonts w:eastAsia="標楷體"/>
          <w:sz w:val="24"/>
          <w:szCs w:val="24"/>
          <w:lang w:eastAsia="zh-CN"/>
        </w:rPr>
        <w:t>及</w:t>
      </w:r>
      <w:r w:rsidRPr="009535E7">
        <w:rPr>
          <w:rFonts w:eastAsia="標楷體"/>
          <w:sz w:val="24"/>
          <w:szCs w:val="24"/>
          <w:lang w:eastAsia="zh-CN"/>
        </w:rPr>
        <w:t>2014/15</w:t>
      </w:r>
      <w:r w:rsidRPr="009535E7">
        <w:rPr>
          <w:rFonts w:eastAsia="標楷體"/>
          <w:color w:val="000000"/>
          <w:sz w:val="24"/>
          <w:szCs w:val="24"/>
          <w:lang w:eastAsia="zh-CN"/>
        </w:rPr>
        <w:t>课税年度的</w:t>
      </w:r>
      <w:r w:rsidRPr="009535E7">
        <w:rPr>
          <w:rFonts w:eastAsia="標楷體"/>
          <w:sz w:val="24"/>
          <w:szCs w:val="24"/>
          <w:lang w:eastAsia="zh-CN"/>
        </w:rPr>
        <w:t>离岸</w:t>
      </w:r>
      <w:r w:rsidRPr="009535E7">
        <w:rPr>
          <w:rFonts w:eastAsia="標楷體"/>
          <w:color w:val="000000"/>
          <w:sz w:val="24"/>
          <w:szCs w:val="24"/>
          <w:lang w:val="en-US" w:eastAsia="zh-CN"/>
        </w:rPr>
        <w:t>申索</w:t>
      </w:r>
      <w:r w:rsidRPr="009535E7">
        <w:rPr>
          <w:rFonts w:eastAsia="標楷體"/>
          <w:color w:val="000000"/>
          <w:sz w:val="24"/>
          <w:szCs w:val="24"/>
          <w:lang w:eastAsia="zh-CN"/>
        </w:rPr>
        <w:t>。</w:t>
      </w:r>
    </w:p>
    <w:p w14:paraId="27EB2031" w14:textId="77777777" w:rsidR="00552DCD" w:rsidRPr="009535E7" w:rsidRDefault="00552DCD" w:rsidP="00590EE5">
      <w:pPr>
        <w:pStyle w:val="ac"/>
        <w:snapToGrid w:val="0"/>
        <w:ind w:left="400"/>
        <w:jc w:val="both"/>
        <w:rPr>
          <w:rFonts w:eastAsia="標楷體"/>
          <w:color w:val="000000"/>
          <w:sz w:val="24"/>
          <w:szCs w:val="24"/>
          <w:lang w:eastAsia="zh-CN"/>
        </w:rPr>
      </w:pPr>
    </w:p>
    <w:p w14:paraId="023EC8A7" w14:textId="4283CE6E" w:rsidR="00552DCD" w:rsidRPr="009535E7" w:rsidRDefault="009535E7" w:rsidP="00590EE5">
      <w:pPr>
        <w:pStyle w:val="ac"/>
        <w:numPr>
          <w:ilvl w:val="0"/>
          <w:numId w:val="45"/>
        </w:numPr>
        <w:snapToGrid w:val="0"/>
        <w:ind w:leftChars="0" w:left="0" w:firstLine="0"/>
        <w:jc w:val="both"/>
        <w:textAlignment w:val="auto"/>
        <w:rPr>
          <w:rFonts w:eastAsia="標楷體"/>
          <w:color w:val="000000"/>
          <w:sz w:val="24"/>
          <w:szCs w:val="24"/>
        </w:rPr>
      </w:pPr>
      <w:r w:rsidRPr="009535E7">
        <w:rPr>
          <w:rFonts w:eastAsia="標楷體"/>
          <w:color w:val="000000"/>
          <w:sz w:val="24"/>
          <w:szCs w:val="24"/>
          <w:lang w:eastAsia="zh-CN"/>
        </w:rPr>
        <w:t>有关上诉人提出</w:t>
      </w:r>
      <w:r w:rsidRPr="009535E7">
        <w:rPr>
          <w:rFonts w:eastAsia="標楷體"/>
          <w:color w:val="000000"/>
          <w:sz w:val="24"/>
          <w:szCs w:val="24"/>
          <w:lang w:eastAsia="zh-CN"/>
        </w:rPr>
        <w:t>DIPN 21</w:t>
      </w:r>
      <w:r w:rsidRPr="009535E7">
        <w:rPr>
          <w:rFonts w:eastAsia="標楷體"/>
          <w:color w:val="000000"/>
          <w:sz w:val="24"/>
          <w:szCs w:val="24"/>
          <w:lang w:eastAsia="zh-CN"/>
        </w:rPr>
        <w:t>的论点而言，委员会首先同意认为</w:t>
      </w:r>
      <w:r w:rsidRPr="009535E7">
        <w:rPr>
          <w:rFonts w:eastAsia="標楷體"/>
          <w:color w:val="000000"/>
          <w:sz w:val="24"/>
          <w:szCs w:val="24"/>
          <w:lang w:eastAsia="zh-CN"/>
        </w:rPr>
        <w:t>DIPN 21</w:t>
      </w:r>
      <w:r w:rsidRPr="009535E7">
        <w:rPr>
          <w:rFonts w:eastAsia="標楷體"/>
          <w:color w:val="000000"/>
          <w:sz w:val="24"/>
          <w:szCs w:val="24"/>
          <w:lang w:eastAsia="zh-CN"/>
        </w:rPr>
        <w:t>并无法律约束力。其次，即使如上诉人所言，税务局应考虑接受上诉人的离岸申索，上诉人仍然必须提供足够文件证明其报税表中申报的交易利润确实源自香港以外地区。然而，上诉人并未能满足这一要求。</w:t>
      </w:r>
    </w:p>
    <w:p w14:paraId="3DA461C5" w14:textId="77777777" w:rsidR="00552DCD" w:rsidRPr="009535E7" w:rsidRDefault="00552DCD" w:rsidP="00590EE5">
      <w:pPr>
        <w:pStyle w:val="ac"/>
        <w:snapToGrid w:val="0"/>
        <w:ind w:left="400"/>
        <w:jc w:val="both"/>
        <w:rPr>
          <w:rFonts w:eastAsia="標楷體"/>
          <w:color w:val="000000"/>
          <w:sz w:val="24"/>
          <w:szCs w:val="24"/>
          <w:lang w:val="en-US"/>
        </w:rPr>
      </w:pPr>
    </w:p>
    <w:p w14:paraId="664797C3" w14:textId="5D726E83" w:rsidR="00552DCD" w:rsidRPr="009535E7" w:rsidRDefault="009535E7" w:rsidP="00590EE5">
      <w:pPr>
        <w:pStyle w:val="ac"/>
        <w:numPr>
          <w:ilvl w:val="0"/>
          <w:numId w:val="45"/>
        </w:numPr>
        <w:snapToGrid w:val="0"/>
        <w:ind w:leftChars="0" w:left="0" w:firstLine="0"/>
        <w:jc w:val="both"/>
        <w:textAlignment w:val="auto"/>
        <w:rPr>
          <w:rFonts w:eastAsia="標楷體"/>
          <w:color w:val="000000"/>
          <w:sz w:val="24"/>
          <w:szCs w:val="24"/>
          <w:lang w:eastAsia="zh-CN"/>
        </w:rPr>
      </w:pPr>
      <w:r w:rsidRPr="009535E7">
        <w:rPr>
          <w:rFonts w:eastAsia="標楷體"/>
          <w:color w:val="000000"/>
          <w:sz w:val="24"/>
          <w:szCs w:val="24"/>
          <w:lang w:val="en-US" w:eastAsia="zh-CN"/>
        </w:rPr>
        <w:t>就上诉人就</w:t>
      </w:r>
      <w:r w:rsidRPr="009535E7">
        <w:rPr>
          <w:rFonts w:eastAsia="標楷體"/>
          <w:color w:val="000000"/>
          <w:sz w:val="24"/>
          <w:szCs w:val="24"/>
          <w:lang w:val="en-US" w:eastAsia="zh-CN"/>
        </w:rPr>
        <w:t>2019</w:t>
      </w:r>
      <w:r w:rsidRPr="009535E7">
        <w:rPr>
          <w:rFonts w:eastAsia="標楷體"/>
          <w:color w:val="000000"/>
          <w:sz w:val="24"/>
          <w:szCs w:val="24"/>
          <w:lang w:val="en-US" w:eastAsia="zh-CN"/>
        </w:rPr>
        <w:t>年</w:t>
      </w:r>
      <w:r w:rsidRPr="009535E7">
        <w:rPr>
          <w:rFonts w:eastAsia="標楷體"/>
          <w:color w:val="000000"/>
          <w:sz w:val="24"/>
          <w:szCs w:val="24"/>
          <w:lang w:val="en-US" w:eastAsia="zh-CN"/>
        </w:rPr>
        <w:t>3</w:t>
      </w:r>
      <w:r w:rsidRPr="009535E7">
        <w:rPr>
          <w:rFonts w:eastAsia="標楷體"/>
          <w:color w:val="000000"/>
          <w:sz w:val="24"/>
          <w:szCs w:val="24"/>
          <w:lang w:val="en-US" w:eastAsia="zh-CN"/>
        </w:rPr>
        <w:t>月</w:t>
      </w:r>
      <w:r w:rsidRPr="009535E7">
        <w:rPr>
          <w:rFonts w:eastAsia="標楷體"/>
          <w:color w:val="000000"/>
          <w:sz w:val="24"/>
          <w:szCs w:val="24"/>
          <w:lang w:val="en-US" w:eastAsia="zh-CN"/>
        </w:rPr>
        <w:t>21</w:t>
      </w:r>
      <w:r w:rsidRPr="009535E7">
        <w:rPr>
          <w:rFonts w:eastAsia="標楷體"/>
          <w:color w:val="000000"/>
          <w:sz w:val="24"/>
          <w:szCs w:val="24"/>
          <w:lang w:val="en-US" w:eastAsia="zh-CN"/>
        </w:rPr>
        <w:t>日的信件的陈词，委员会同意答辩人的陈词，即上诉人未能全面理解信件的内容。信件中的评税主任之所以表明不会坚持上诉人提交</w:t>
      </w:r>
      <w:r w:rsidRPr="009535E7">
        <w:rPr>
          <w:rFonts w:eastAsia="標楷體"/>
          <w:color w:val="000000"/>
          <w:sz w:val="24"/>
          <w:szCs w:val="24"/>
          <w:lang w:val="en-US" w:eastAsia="zh-CN"/>
        </w:rPr>
        <w:t>2017</w:t>
      </w:r>
      <w:r w:rsidRPr="009535E7">
        <w:rPr>
          <w:rFonts w:eastAsia="標楷體"/>
          <w:color w:val="000000"/>
          <w:sz w:val="24"/>
          <w:szCs w:val="24"/>
          <w:lang w:val="en-US" w:eastAsia="zh-CN"/>
        </w:rPr>
        <w:t>年信件要求的所有文件及资料，是基于评税主任已经能够根据上诉人所提交的文件作出拒绝申索的决定。税务局的意思并非在处理申索过程中不需再提交。</w:t>
      </w:r>
    </w:p>
    <w:p w14:paraId="6395F279" w14:textId="77777777" w:rsidR="00552DCD" w:rsidRPr="009535E7" w:rsidRDefault="00552DCD" w:rsidP="00590EE5">
      <w:pPr>
        <w:pStyle w:val="ac"/>
        <w:snapToGrid w:val="0"/>
        <w:ind w:left="400"/>
        <w:jc w:val="both"/>
        <w:rPr>
          <w:rFonts w:eastAsia="標楷體"/>
          <w:color w:val="000000"/>
          <w:sz w:val="24"/>
          <w:szCs w:val="24"/>
          <w:lang w:eastAsia="zh-CN"/>
        </w:rPr>
      </w:pPr>
    </w:p>
    <w:p w14:paraId="0A83F59C" w14:textId="1A551693" w:rsidR="00552DCD" w:rsidRPr="009535E7" w:rsidRDefault="009535E7" w:rsidP="00590EE5">
      <w:pPr>
        <w:pStyle w:val="ac"/>
        <w:numPr>
          <w:ilvl w:val="0"/>
          <w:numId w:val="45"/>
        </w:numPr>
        <w:snapToGrid w:val="0"/>
        <w:ind w:leftChars="0" w:left="0" w:firstLine="0"/>
        <w:jc w:val="both"/>
        <w:textAlignment w:val="auto"/>
        <w:rPr>
          <w:rFonts w:eastAsia="標楷體"/>
          <w:color w:val="000000"/>
          <w:sz w:val="24"/>
          <w:szCs w:val="24"/>
          <w:lang w:eastAsia="zh-CN"/>
        </w:rPr>
      </w:pPr>
      <w:r w:rsidRPr="009535E7">
        <w:rPr>
          <w:rFonts w:eastAsia="標楷體"/>
          <w:color w:val="000000"/>
          <w:sz w:val="24"/>
          <w:szCs w:val="24"/>
          <w:lang w:eastAsia="zh-CN"/>
        </w:rPr>
        <w:t>委员会同意上诉人与</w:t>
      </w:r>
      <w:r w:rsidRPr="009535E7">
        <w:rPr>
          <w:rFonts w:eastAsia="標楷體"/>
          <w:color w:val="000000"/>
          <w:sz w:val="24"/>
          <w:szCs w:val="24"/>
          <w:lang w:eastAsia="zh-CN"/>
        </w:rPr>
        <w:t>C</w:t>
      </w:r>
      <w:r w:rsidRPr="009535E7">
        <w:rPr>
          <w:rFonts w:eastAsia="標楷體"/>
          <w:color w:val="000000"/>
          <w:sz w:val="24"/>
          <w:szCs w:val="24"/>
          <w:lang w:eastAsia="zh-CN"/>
        </w:rPr>
        <w:t>公司是两所独立的企业，两者不能混为一谈。故此委员会同意答辩人的论点，即在确立上诉人的利润来源时，不应考虑</w:t>
      </w:r>
      <w:r w:rsidRPr="009535E7">
        <w:rPr>
          <w:rFonts w:eastAsia="標楷體"/>
          <w:color w:val="000000"/>
          <w:sz w:val="24"/>
          <w:szCs w:val="24"/>
          <w:lang w:eastAsia="zh-CN"/>
        </w:rPr>
        <w:t>C</w:t>
      </w:r>
      <w:r w:rsidRPr="009535E7">
        <w:rPr>
          <w:rFonts w:eastAsia="標楷體"/>
          <w:color w:val="000000"/>
          <w:sz w:val="24"/>
          <w:szCs w:val="24"/>
          <w:lang w:eastAsia="zh-CN"/>
        </w:rPr>
        <w:t>公司在内地的运作状况。这是因为上诉人完全没有提交任何资料或文件证明</w:t>
      </w:r>
      <w:r w:rsidRPr="009535E7">
        <w:rPr>
          <w:rFonts w:eastAsia="標楷體"/>
          <w:color w:val="000000"/>
          <w:sz w:val="24"/>
          <w:szCs w:val="24"/>
          <w:lang w:eastAsia="zh-CN"/>
        </w:rPr>
        <w:t>C</w:t>
      </w:r>
      <w:r w:rsidRPr="009535E7">
        <w:rPr>
          <w:rFonts w:eastAsia="標楷體"/>
          <w:color w:val="000000"/>
          <w:sz w:val="24"/>
          <w:szCs w:val="24"/>
          <w:lang w:eastAsia="zh-CN"/>
        </w:rPr>
        <w:t>公司在内地的活动与上诉人的营业是有关连或它曾参与</w:t>
      </w:r>
      <w:r w:rsidRPr="009535E7">
        <w:rPr>
          <w:rFonts w:eastAsia="標楷體"/>
          <w:sz w:val="24"/>
          <w:szCs w:val="24"/>
          <w:lang w:val="en-US" w:eastAsia="zh-CN"/>
        </w:rPr>
        <w:t>营运</w:t>
      </w:r>
      <w:r w:rsidRPr="009535E7">
        <w:rPr>
          <w:rFonts w:eastAsia="標楷體"/>
          <w:color w:val="000000"/>
          <w:sz w:val="24"/>
          <w:szCs w:val="24"/>
          <w:lang w:eastAsia="zh-CN"/>
        </w:rPr>
        <w:t>C</w:t>
      </w:r>
      <w:r w:rsidRPr="009535E7">
        <w:rPr>
          <w:rFonts w:eastAsia="標楷體"/>
          <w:color w:val="000000"/>
          <w:sz w:val="24"/>
          <w:szCs w:val="24"/>
          <w:lang w:eastAsia="zh-CN"/>
        </w:rPr>
        <w:t>公司。由于缺乏足够的数据和文件，委员会不接纳上诉人获准在内地从事加工制造业务而产生相关利润的说法。</w:t>
      </w:r>
    </w:p>
    <w:p w14:paraId="0372197F" w14:textId="77777777" w:rsidR="003A01EA" w:rsidRPr="009535E7" w:rsidRDefault="003A01EA" w:rsidP="00590EE5">
      <w:pPr>
        <w:snapToGrid w:val="0"/>
        <w:jc w:val="both"/>
        <w:rPr>
          <w:rFonts w:eastAsia="標楷體"/>
          <w:color w:val="000000"/>
          <w:sz w:val="24"/>
          <w:szCs w:val="24"/>
          <w:lang w:eastAsia="zh-CN"/>
        </w:rPr>
      </w:pPr>
    </w:p>
    <w:p w14:paraId="4B48DCFA" w14:textId="1DA2D351" w:rsidR="00552DCD" w:rsidRPr="009535E7" w:rsidRDefault="009535E7" w:rsidP="00590EE5">
      <w:pPr>
        <w:pStyle w:val="ac"/>
        <w:numPr>
          <w:ilvl w:val="0"/>
          <w:numId w:val="45"/>
        </w:numPr>
        <w:snapToGrid w:val="0"/>
        <w:ind w:leftChars="0" w:left="0" w:firstLine="0"/>
        <w:jc w:val="both"/>
        <w:textAlignment w:val="auto"/>
        <w:rPr>
          <w:rFonts w:eastAsia="標楷體"/>
          <w:color w:val="000000"/>
          <w:sz w:val="24"/>
          <w:szCs w:val="24"/>
        </w:rPr>
      </w:pPr>
      <w:r w:rsidRPr="009535E7">
        <w:rPr>
          <w:rFonts w:eastAsia="標楷體"/>
          <w:color w:val="000000"/>
          <w:sz w:val="24"/>
          <w:szCs w:val="24"/>
          <w:lang w:eastAsia="zh-CN"/>
        </w:rPr>
        <w:t>上诉人于日期为</w:t>
      </w:r>
      <w:r w:rsidRPr="009535E7">
        <w:rPr>
          <w:rFonts w:eastAsia="標楷體"/>
          <w:color w:val="000000"/>
          <w:sz w:val="24"/>
          <w:szCs w:val="24"/>
          <w:lang w:eastAsia="zh-CN"/>
        </w:rPr>
        <w:t>2024</w:t>
      </w:r>
      <w:r w:rsidRPr="009535E7">
        <w:rPr>
          <w:rFonts w:eastAsia="標楷體"/>
          <w:color w:val="000000"/>
          <w:sz w:val="24"/>
          <w:szCs w:val="24"/>
          <w:lang w:eastAsia="zh-CN"/>
        </w:rPr>
        <w:t>年</w:t>
      </w:r>
      <w:r w:rsidRPr="009535E7">
        <w:rPr>
          <w:rFonts w:eastAsia="標楷體"/>
          <w:color w:val="000000"/>
          <w:sz w:val="24"/>
          <w:szCs w:val="24"/>
          <w:lang w:eastAsia="zh-CN"/>
        </w:rPr>
        <w:t>3</w:t>
      </w:r>
      <w:r w:rsidRPr="009535E7">
        <w:rPr>
          <w:rFonts w:eastAsia="標楷體"/>
          <w:color w:val="000000"/>
          <w:sz w:val="24"/>
          <w:szCs w:val="24"/>
          <w:lang w:eastAsia="zh-CN"/>
        </w:rPr>
        <w:t>月</w:t>
      </w:r>
      <w:r w:rsidRPr="009535E7">
        <w:rPr>
          <w:rFonts w:eastAsia="標楷體"/>
          <w:color w:val="000000"/>
          <w:sz w:val="24"/>
          <w:szCs w:val="24"/>
          <w:lang w:eastAsia="zh-CN"/>
        </w:rPr>
        <w:t>13</w:t>
      </w:r>
      <w:r w:rsidRPr="009535E7">
        <w:rPr>
          <w:rFonts w:eastAsia="標楷體"/>
          <w:color w:val="000000"/>
          <w:sz w:val="24"/>
          <w:szCs w:val="24"/>
          <w:lang w:eastAsia="zh-CN"/>
        </w:rPr>
        <w:t>日</w:t>
      </w:r>
      <w:r w:rsidRPr="009535E7">
        <w:rPr>
          <w:rFonts w:eastAsia="標楷體"/>
          <w:color w:val="000000"/>
          <w:sz w:val="24"/>
          <w:szCs w:val="24"/>
          <w:lang w:val="en-US" w:eastAsia="zh-CN"/>
        </w:rPr>
        <w:t>的书面陈词中提及</w:t>
      </w:r>
      <w:r w:rsidRPr="009535E7">
        <w:rPr>
          <w:rFonts w:eastAsia="標楷體"/>
          <w:color w:val="000000"/>
          <w:sz w:val="24"/>
          <w:szCs w:val="24"/>
          <w:lang w:eastAsia="zh-CN"/>
        </w:rPr>
        <w:t>「特权及括免权之原则」</w:t>
      </w:r>
      <w:r w:rsidRPr="009535E7">
        <w:rPr>
          <w:rFonts w:eastAsia="標楷體"/>
          <w:color w:val="000000"/>
          <w:sz w:val="24"/>
          <w:szCs w:val="24"/>
          <w:lang w:eastAsia="zh-CN"/>
        </w:rPr>
        <w:t>(Principle of Privilege and Immunities</w:t>
      </w:r>
      <w:r w:rsidRPr="009535E7">
        <w:rPr>
          <w:rFonts w:eastAsia="標楷體"/>
          <w:color w:val="000000"/>
          <w:sz w:val="24"/>
          <w:szCs w:val="24"/>
          <w:lang w:eastAsia="zh-CN"/>
        </w:rPr>
        <w:t>），其论述含混不清，委员会认为没有足够基础考虑这所谓的原则是否适用。</w:t>
      </w:r>
    </w:p>
    <w:p w14:paraId="4552335E" w14:textId="77777777" w:rsidR="00552DCD" w:rsidRPr="009535E7" w:rsidRDefault="00552DCD" w:rsidP="00590E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jc w:val="both"/>
        <w:rPr>
          <w:rFonts w:eastAsia="標楷體"/>
          <w:color w:val="000000"/>
          <w:sz w:val="28"/>
          <w:szCs w:val="28"/>
        </w:rPr>
      </w:pPr>
      <w:r w:rsidRPr="009535E7">
        <w:rPr>
          <w:rFonts w:eastAsia="標楷體"/>
          <w:color w:val="000000"/>
          <w:sz w:val="24"/>
          <w:szCs w:val="24"/>
        </w:rPr>
        <w:t xml:space="preserve"> </w:t>
      </w:r>
    </w:p>
    <w:p w14:paraId="7D898119" w14:textId="0C07C80A" w:rsidR="00552DCD" w:rsidRPr="009535E7" w:rsidRDefault="009535E7" w:rsidP="00590EE5">
      <w:pPr>
        <w:pStyle w:val="ac"/>
        <w:numPr>
          <w:ilvl w:val="0"/>
          <w:numId w:val="44"/>
        </w:numPr>
        <w:snapToGrid w:val="0"/>
        <w:ind w:leftChars="0" w:left="851" w:hanging="567"/>
        <w:jc w:val="both"/>
        <w:textAlignment w:val="auto"/>
        <w:rPr>
          <w:rFonts w:eastAsia="標楷體"/>
          <w:b/>
          <w:bCs/>
          <w:sz w:val="28"/>
          <w:szCs w:val="28"/>
          <w:lang w:val="en-US"/>
        </w:rPr>
      </w:pPr>
      <w:r w:rsidRPr="009535E7">
        <w:rPr>
          <w:rFonts w:eastAsia="標楷體"/>
          <w:b/>
          <w:bCs/>
          <w:sz w:val="28"/>
          <w:szCs w:val="28"/>
          <w:lang w:val="en-US" w:eastAsia="zh-CN"/>
        </w:rPr>
        <w:t>结论</w:t>
      </w:r>
    </w:p>
    <w:p w14:paraId="1F2AA820" w14:textId="77777777" w:rsidR="00552DCD" w:rsidRPr="009535E7" w:rsidRDefault="00552DCD" w:rsidP="00590EE5">
      <w:pPr>
        <w:pStyle w:val="ac"/>
        <w:snapToGrid w:val="0"/>
        <w:ind w:left="400"/>
        <w:jc w:val="both"/>
        <w:rPr>
          <w:rFonts w:eastAsia="標楷體"/>
          <w:b/>
          <w:bCs/>
          <w:sz w:val="24"/>
          <w:szCs w:val="24"/>
          <w:lang w:val="en-US"/>
        </w:rPr>
      </w:pPr>
    </w:p>
    <w:p w14:paraId="428099D5" w14:textId="6533A4A7" w:rsidR="00552DCD" w:rsidRPr="009535E7" w:rsidRDefault="009535E7" w:rsidP="00590EE5">
      <w:pPr>
        <w:pStyle w:val="ac"/>
        <w:numPr>
          <w:ilvl w:val="0"/>
          <w:numId w:val="45"/>
        </w:numPr>
        <w:snapToGrid w:val="0"/>
        <w:ind w:leftChars="0" w:left="0" w:firstLine="0"/>
        <w:jc w:val="both"/>
        <w:textAlignment w:val="auto"/>
        <w:rPr>
          <w:rFonts w:eastAsia="標楷體"/>
          <w:color w:val="000000"/>
          <w:sz w:val="24"/>
          <w:szCs w:val="24"/>
        </w:rPr>
      </w:pPr>
      <w:r w:rsidRPr="009535E7">
        <w:rPr>
          <w:rFonts w:eastAsia="標楷體"/>
          <w:color w:val="000000"/>
          <w:sz w:val="24"/>
          <w:szCs w:val="24"/>
          <w:lang w:eastAsia="zh-CN"/>
        </w:rPr>
        <w:t>在小心考虑</w:t>
      </w:r>
      <w:r w:rsidRPr="009535E7">
        <w:rPr>
          <w:rFonts w:eastAsia="標楷體"/>
          <w:color w:val="000000"/>
          <w:sz w:val="24"/>
          <w:szCs w:val="24"/>
          <w:lang w:val="en-US" w:eastAsia="zh-CN"/>
        </w:rPr>
        <w:t>本案的</w:t>
      </w:r>
      <w:r w:rsidRPr="009535E7">
        <w:rPr>
          <w:rFonts w:eastAsia="標楷體"/>
          <w:color w:val="000000"/>
          <w:sz w:val="24"/>
          <w:szCs w:val="24"/>
          <w:lang w:eastAsia="zh-CN"/>
        </w:rPr>
        <w:t>评税过程所得知的事实及有关的法律原则后，委员会认为上诉人提出的上诉理由及理据，均不能成立。上诉人未能履行其举证贵任，证明上诉所针对的评税额过多或不正确。</w:t>
      </w:r>
    </w:p>
    <w:p w14:paraId="5A9A61C9" w14:textId="77777777" w:rsidR="00552DCD" w:rsidRPr="009535E7" w:rsidRDefault="00552DCD" w:rsidP="00590EE5">
      <w:pPr>
        <w:pStyle w:val="ac"/>
        <w:snapToGrid w:val="0"/>
        <w:ind w:left="400"/>
        <w:jc w:val="both"/>
        <w:rPr>
          <w:rFonts w:eastAsia="標楷體"/>
          <w:color w:val="000000"/>
          <w:sz w:val="24"/>
          <w:szCs w:val="24"/>
        </w:rPr>
      </w:pPr>
    </w:p>
    <w:p w14:paraId="6FA63AF3" w14:textId="51D399E9" w:rsidR="00552DCD" w:rsidRPr="009535E7" w:rsidRDefault="009535E7" w:rsidP="00590EE5">
      <w:pPr>
        <w:pStyle w:val="ac"/>
        <w:numPr>
          <w:ilvl w:val="0"/>
          <w:numId w:val="45"/>
        </w:numPr>
        <w:snapToGrid w:val="0"/>
        <w:ind w:leftChars="0" w:left="0" w:firstLine="0"/>
        <w:jc w:val="both"/>
        <w:textAlignment w:val="auto"/>
        <w:rPr>
          <w:rFonts w:eastAsia="標楷體"/>
          <w:color w:val="000000"/>
          <w:sz w:val="24"/>
          <w:szCs w:val="24"/>
        </w:rPr>
      </w:pPr>
      <w:r w:rsidRPr="009535E7">
        <w:rPr>
          <w:rFonts w:eastAsia="標楷體"/>
          <w:color w:val="000000"/>
          <w:sz w:val="24"/>
          <w:szCs w:val="24"/>
          <w:lang w:eastAsia="zh-CN"/>
        </w:rPr>
        <w:t>因此，上诉被驳回并根据《税务条例》第</w:t>
      </w:r>
      <w:r w:rsidRPr="009535E7">
        <w:rPr>
          <w:rFonts w:eastAsia="標楷體"/>
          <w:color w:val="000000"/>
          <w:sz w:val="24"/>
          <w:szCs w:val="24"/>
          <w:lang w:eastAsia="zh-CN"/>
        </w:rPr>
        <w:t>68(8)</w:t>
      </w:r>
      <w:r w:rsidRPr="009535E7">
        <w:rPr>
          <w:rFonts w:eastAsia="標楷體"/>
          <w:color w:val="000000"/>
          <w:sz w:val="24"/>
          <w:szCs w:val="24"/>
          <w:lang w:eastAsia="zh-CN"/>
        </w:rPr>
        <w:t>条维持及确认决定书的评税。</w:t>
      </w:r>
    </w:p>
    <w:p w14:paraId="573081CC" w14:textId="77777777" w:rsidR="007B7C48" w:rsidRPr="009535E7" w:rsidRDefault="007B7C48" w:rsidP="00590EE5">
      <w:pPr>
        <w:snapToGrid w:val="0"/>
        <w:jc w:val="both"/>
        <w:rPr>
          <w:rFonts w:eastAsia="標楷體"/>
          <w:sz w:val="24"/>
          <w:szCs w:val="24"/>
        </w:rPr>
      </w:pPr>
    </w:p>
    <w:sectPr w:rsidR="007B7C48" w:rsidRPr="009535E7" w:rsidSect="00A74B10">
      <w:headerReference w:type="default" r:id="rId8"/>
      <w:footerReference w:type="default" r:id="rId9"/>
      <w:pgSz w:w="11906" w:h="16838" w:code="9"/>
      <w:pgMar w:top="1985" w:right="1588" w:bottom="1701" w:left="1588" w:header="1361" w:footer="94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6FB55" w14:textId="77777777" w:rsidR="00B51049" w:rsidRDefault="00B51049" w:rsidP="00CA6261">
      <w:r>
        <w:separator/>
      </w:r>
    </w:p>
  </w:endnote>
  <w:endnote w:type="continuationSeparator" w:id="0">
    <w:p w14:paraId="4B1664D0" w14:textId="77777777" w:rsidR="00B51049" w:rsidRDefault="00B51049" w:rsidP="00CA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6808" w14:textId="77777777" w:rsidR="00CA6261" w:rsidRPr="00CA6261" w:rsidRDefault="00CA6261" w:rsidP="00CA6261">
    <w:pPr>
      <w:pStyle w:val="a5"/>
      <w:jc w:val="center"/>
    </w:pPr>
    <w:r w:rsidRPr="00CA6261">
      <w:fldChar w:fldCharType="begin"/>
    </w:r>
    <w:r w:rsidRPr="00CA6261">
      <w:instrText>PAGE   \* MERGEFORMAT</w:instrText>
    </w:r>
    <w:r w:rsidRPr="00CA6261">
      <w:fldChar w:fldCharType="separate"/>
    </w:r>
    <w:r w:rsidR="00F431ED" w:rsidRPr="00114B93">
      <w:rPr>
        <w:noProof/>
        <w:lang w:val="en-HK"/>
      </w:rPr>
      <w:t>9</w:t>
    </w:r>
    <w:r w:rsidRPr="00CA6261">
      <w:fldChar w:fldCharType="end"/>
    </w:r>
  </w:p>
  <w:p w14:paraId="393EC89C" w14:textId="77777777" w:rsidR="00CA6261" w:rsidRDefault="00CA6261" w:rsidP="00CA6261">
    <w:pPr>
      <w:pStyle w:val="a5"/>
      <w:tabs>
        <w:tab w:val="center" w:pos="4395"/>
        <w:tab w:val="right" w:pos="8647"/>
      </w:tabs>
      <w:rPr>
        <w:sz w:val="6"/>
        <w:szCs w:val="6"/>
      </w:rPr>
    </w:pPr>
  </w:p>
  <w:p w14:paraId="38A2CA03" w14:textId="77777777" w:rsidR="00CA6261" w:rsidRDefault="00CA6261" w:rsidP="00CA6261">
    <w:pPr>
      <w:pStyle w:val="a5"/>
      <w:tabs>
        <w:tab w:val="center" w:pos="4395"/>
        <w:tab w:val="right" w:pos="8647"/>
      </w:tabs>
      <w:rPr>
        <w:sz w:val="6"/>
        <w:szCs w:val="6"/>
      </w:rPr>
    </w:pPr>
  </w:p>
  <w:p w14:paraId="582C978D" w14:textId="77777777" w:rsidR="00CA6261" w:rsidRPr="00CA6261" w:rsidRDefault="00CA6261" w:rsidP="00CA6261">
    <w:pPr>
      <w:pStyle w:val="a5"/>
      <w:tabs>
        <w:tab w:val="center" w:pos="4395"/>
        <w:tab w:val="right" w:pos="8647"/>
      </w:tabs>
      <w:rPr>
        <w:sz w:val="6"/>
        <w:szCs w:val="6"/>
      </w:rPr>
    </w:pPr>
  </w:p>
  <w:p w14:paraId="41BEDA7C" w14:textId="77777777" w:rsidR="00CA6261" w:rsidRPr="00CA6261" w:rsidRDefault="00CA6261" w:rsidP="00CA6261">
    <w:pPr>
      <w:pStyle w:val="a5"/>
      <w:tabs>
        <w:tab w:val="clear" w:pos="4153"/>
        <w:tab w:val="clear" w:pos="8306"/>
        <w:tab w:val="center" w:pos="4395"/>
        <w:tab w:val="right" w:pos="8647"/>
      </w:tabs>
    </w:pPr>
    <w:r w:rsidRPr="00CA6261">
      <w:rPr>
        <w:rFonts w:eastAsia="DengXian"/>
      </w:rPr>
      <w:tab/>
      <w:t>Verified Copy</w:t>
    </w:r>
    <w:r w:rsidRPr="00CA6261">
      <w:rPr>
        <w:rFonts w:eastAsia="DengXian"/>
      </w:rPr>
      <w:tab/>
      <w:t>Last reviewed dat</w:t>
    </w:r>
    <w:r w:rsidRPr="00C42DC3">
      <w:rPr>
        <w:rFonts w:eastAsia="DengXian"/>
      </w:rPr>
      <w:t>e:</w:t>
    </w:r>
    <w:r w:rsidRPr="00F02097">
      <w:rPr>
        <w:rFonts w:eastAsia="DengXian"/>
      </w:rPr>
      <w:t xml:space="preserve"> </w:t>
    </w:r>
    <w:r w:rsidR="00C42DC3" w:rsidRPr="00F02097">
      <w:rPr>
        <w:rFonts w:eastAsia="DengXian"/>
      </w:rPr>
      <w:t>S</w:t>
    </w:r>
    <w:r w:rsidR="00C42DC3" w:rsidRPr="00F02097">
      <w:t>eptember</w:t>
    </w:r>
    <w:r w:rsidRPr="00C42DC3">
      <w:rPr>
        <w:rFonts w:eastAsia="DengXian"/>
      </w:rPr>
      <w:t xml:space="preserve"> 20</w:t>
    </w:r>
    <w:r w:rsidR="00C42DC3" w:rsidRPr="00C42DC3">
      <w:rPr>
        <w:rFonts w:eastAsia="DengXian"/>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F366C" w14:textId="77777777" w:rsidR="00B51049" w:rsidRDefault="00B51049" w:rsidP="00CA6261">
      <w:r>
        <w:separator/>
      </w:r>
    </w:p>
  </w:footnote>
  <w:footnote w:type="continuationSeparator" w:id="0">
    <w:p w14:paraId="0319878A" w14:textId="77777777" w:rsidR="00B51049" w:rsidRDefault="00B51049" w:rsidP="00CA6261">
      <w:r>
        <w:continuationSeparator/>
      </w:r>
    </w:p>
  </w:footnote>
  <w:footnote w:id="1">
    <w:p w14:paraId="27EA65E1" w14:textId="77777777" w:rsidR="00552DCD" w:rsidRPr="007C7732" w:rsidRDefault="00552DCD" w:rsidP="00552DCD">
      <w:pPr>
        <w:pStyle w:val="a8"/>
        <w:rPr>
          <w:rFonts w:eastAsia="標楷體"/>
          <w:lang w:val="en-US"/>
        </w:rPr>
      </w:pPr>
      <w:r w:rsidRPr="007C7732">
        <w:rPr>
          <w:rStyle w:val="aa"/>
          <w:rFonts w:eastAsia="標楷體"/>
        </w:rPr>
        <w:footnoteRef/>
      </w:r>
      <w:r w:rsidRPr="007C7732">
        <w:rPr>
          <w:rFonts w:eastAsia="標楷體"/>
        </w:rPr>
        <w:t xml:space="preserve"> </w:t>
      </w:r>
      <w:r w:rsidRPr="007C7732">
        <w:rPr>
          <w:rFonts w:eastAsia="標楷體"/>
          <w:lang w:val="en-US"/>
        </w:rPr>
        <w:t>其英文判詞原文載於第</w:t>
      </w:r>
      <w:r w:rsidRPr="007C7732">
        <w:rPr>
          <w:rFonts w:eastAsia="標楷體"/>
          <w:lang w:val="en-US"/>
        </w:rPr>
        <w:t>319</w:t>
      </w:r>
      <w:r w:rsidRPr="007C7732">
        <w:rPr>
          <w:rFonts w:eastAsia="標楷體"/>
          <w:lang w:val="en-US"/>
        </w:rPr>
        <w:t>頁</w:t>
      </w:r>
      <w:r w:rsidRPr="007C7732">
        <w:rPr>
          <w:rFonts w:eastAsia="標楷體"/>
          <w:lang w:val="en-US"/>
        </w:rPr>
        <w:t>B</w:t>
      </w:r>
      <w:r w:rsidRPr="007C7732">
        <w:rPr>
          <w:rFonts w:eastAsia="標楷體"/>
          <w:lang w:val="en-US"/>
        </w:rPr>
        <w:t>段</w:t>
      </w:r>
    </w:p>
  </w:footnote>
  <w:footnote w:id="2">
    <w:p w14:paraId="66532487" w14:textId="77777777" w:rsidR="00552DCD" w:rsidRPr="007C7732" w:rsidRDefault="00552DCD" w:rsidP="00552DCD">
      <w:pPr>
        <w:pStyle w:val="a8"/>
        <w:rPr>
          <w:rFonts w:eastAsia="標楷體"/>
        </w:rPr>
      </w:pPr>
      <w:r w:rsidRPr="007C7732">
        <w:rPr>
          <w:rStyle w:val="aa"/>
          <w:rFonts w:eastAsia="標楷體"/>
        </w:rPr>
        <w:footnoteRef/>
      </w:r>
      <w:r w:rsidRPr="007C7732">
        <w:rPr>
          <w:rFonts w:eastAsia="標楷體"/>
        </w:rPr>
        <w:t xml:space="preserve"> </w:t>
      </w:r>
      <w:r w:rsidRPr="007C7732">
        <w:rPr>
          <w:rFonts w:eastAsia="標楷體"/>
          <w:lang w:val="en-US"/>
        </w:rPr>
        <w:t>其英文判詞原文載於第</w:t>
      </w:r>
      <w:r w:rsidRPr="007C7732">
        <w:rPr>
          <w:rFonts w:eastAsia="標楷體"/>
          <w:lang w:val="en-US"/>
        </w:rPr>
        <w:t>322</w:t>
      </w:r>
      <w:r w:rsidRPr="007C7732">
        <w:rPr>
          <w:rFonts w:eastAsia="標楷體"/>
          <w:lang w:val="en-US"/>
        </w:rPr>
        <w:t>頁</w:t>
      </w:r>
      <w:r w:rsidRPr="007C7732">
        <w:rPr>
          <w:rFonts w:eastAsia="標楷體"/>
          <w:lang w:val="en-US"/>
        </w:rPr>
        <w:t>H</w:t>
      </w:r>
      <w:r w:rsidRPr="007C7732">
        <w:rPr>
          <w:rFonts w:eastAsia="標楷體"/>
          <w:lang w:val="en-US"/>
        </w:rPr>
        <w:t>段及</w:t>
      </w:r>
      <w:r w:rsidRPr="007C7732">
        <w:rPr>
          <w:rFonts w:eastAsia="標楷體"/>
          <w:lang w:val="en-US"/>
        </w:rPr>
        <w:t>A</w:t>
      </w:r>
      <w:r w:rsidRPr="007C7732">
        <w:rPr>
          <w:rFonts w:eastAsia="標楷體"/>
          <w:lang w:val="en-US"/>
        </w:rPr>
        <w:t>段</w:t>
      </w:r>
    </w:p>
  </w:footnote>
  <w:footnote w:id="3">
    <w:p w14:paraId="1EAD4D4D" w14:textId="77777777" w:rsidR="00552DCD" w:rsidRPr="007C7732" w:rsidRDefault="00552DCD" w:rsidP="00552DCD">
      <w:pPr>
        <w:pStyle w:val="a8"/>
        <w:rPr>
          <w:rFonts w:eastAsia="標楷體"/>
        </w:rPr>
      </w:pPr>
      <w:r w:rsidRPr="007C7732">
        <w:rPr>
          <w:rStyle w:val="aa"/>
          <w:rFonts w:eastAsia="標楷體"/>
        </w:rPr>
        <w:footnoteRef/>
      </w:r>
      <w:r w:rsidRPr="007C7732">
        <w:rPr>
          <w:rFonts w:eastAsia="標楷體"/>
        </w:rPr>
        <w:t xml:space="preserve"> </w:t>
      </w:r>
      <w:r w:rsidRPr="007C7732">
        <w:rPr>
          <w:rFonts w:eastAsia="標楷體"/>
          <w:lang w:val="en-US"/>
        </w:rPr>
        <w:t>其英文判詞原文載於第</w:t>
      </w:r>
      <w:r w:rsidRPr="007C7732">
        <w:rPr>
          <w:rFonts w:eastAsia="標楷體"/>
          <w:lang w:val="en-US"/>
        </w:rPr>
        <w:t>459</w:t>
      </w:r>
      <w:r w:rsidRPr="007C7732">
        <w:rPr>
          <w:rFonts w:eastAsia="標楷體"/>
          <w:lang w:val="en-US"/>
        </w:rPr>
        <w:t>頁</w:t>
      </w:r>
      <w:r w:rsidRPr="007C7732">
        <w:rPr>
          <w:rFonts w:eastAsia="標楷體"/>
          <w:lang w:val="en-US"/>
        </w:rPr>
        <w:t>133</w:t>
      </w:r>
      <w:r w:rsidRPr="007C7732">
        <w:rPr>
          <w:rFonts w:eastAsia="標楷體"/>
          <w:lang w:val="en-US"/>
        </w:rPr>
        <w:t>段</w:t>
      </w:r>
    </w:p>
  </w:footnote>
  <w:footnote w:id="4">
    <w:p w14:paraId="797B38EB" w14:textId="77777777" w:rsidR="00552DCD" w:rsidRPr="007C7732" w:rsidRDefault="00552DCD" w:rsidP="00552DCD">
      <w:pPr>
        <w:pStyle w:val="a8"/>
        <w:rPr>
          <w:rFonts w:eastAsia="標楷體"/>
        </w:rPr>
      </w:pPr>
      <w:r w:rsidRPr="007C7732">
        <w:rPr>
          <w:rStyle w:val="aa"/>
          <w:rFonts w:eastAsia="標楷體"/>
        </w:rPr>
        <w:footnoteRef/>
      </w:r>
      <w:r w:rsidRPr="007C7732">
        <w:rPr>
          <w:rFonts w:eastAsia="標楷體"/>
        </w:rPr>
        <w:t xml:space="preserve"> </w:t>
      </w:r>
      <w:r w:rsidRPr="007C7732">
        <w:rPr>
          <w:rFonts w:eastAsia="標楷體"/>
          <w:lang w:val="en-US"/>
        </w:rPr>
        <w:t>其英文判詞原文載於第</w:t>
      </w:r>
      <w:r w:rsidRPr="007C7732">
        <w:rPr>
          <w:rFonts w:eastAsia="標楷體"/>
          <w:lang w:val="en-US"/>
        </w:rPr>
        <w:t>458</w:t>
      </w:r>
      <w:r w:rsidRPr="007C7732">
        <w:rPr>
          <w:rFonts w:eastAsia="標楷體"/>
          <w:lang w:val="en-US"/>
        </w:rPr>
        <w:t>頁</w:t>
      </w:r>
      <w:r w:rsidRPr="007C7732">
        <w:rPr>
          <w:rFonts w:eastAsia="標楷體"/>
          <w:lang w:val="en-US"/>
        </w:rPr>
        <w:t>129</w:t>
      </w:r>
      <w:r w:rsidRPr="007C7732">
        <w:rPr>
          <w:rFonts w:eastAsia="標楷體"/>
          <w:lang w:val="en-US"/>
        </w:rPr>
        <w:t>段</w:t>
      </w:r>
    </w:p>
  </w:footnote>
  <w:footnote w:id="5">
    <w:p w14:paraId="0743872F" w14:textId="77777777" w:rsidR="00552DCD" w:rsidRDefault="00552DCD" w:rsidP="00552DCD">
      <w:pPr>
        <w:pStyle w:val="a8"/>
      </w:pPr>
      <w:r w:rsidRPr="007C7732">
        <w:rPr>
          <w:rStyle w:val="aa"/>
          <w:rFonts w:eastAsia="標楷體"/>
        </w:rPr>
        <w:footnoteRef/>
      </w:r>
      <w:r w:rsidRPr="007C7732">
        <w:rPr>
          <w:rFonts w:eastAsia="標楷體"/>
        </w:rPr>
        <w:t xml:space="preserve"> </w:t>
      </w:r>
      <w:r w:rsidRPr="007C7732">
        <w:rPr>
          <w:rFonts w:eastAsia="標楷體"/>
          <w:lang w:val="en-US"/>
        </w:rPr>
        <w:t>其英文判詞原文載於第</w:t>
      </w:r>
      <w:r w:rsidRPr="007C7732">
        <w:rPr>
          <w:rFonts w:eastAsia="標楷體"/>
          <w:lang w:val="en-US"/>
        </w:rPr>
        <w:t>459</w:t>
      </w:r>
      <w:r w:rsidRPr="007C7732">
        <w:rPr>
          <w:rFonts w:eastAsia="標楷體"/>
          <w:lang w:val="en-US"/>
        </w:rPr>
        <w:t>頁</w:t>
      </w:r>
      <w:r w:rsidRPr="007C7732">
        <w:rPr>
          <w:rFonts w:eastAsia="標楷體"/>
          <w:lang w:val="en-US"/>
        </w:rPr>
        <w:t>134</w:t>
      </w:r>
      <w:r w:rsidRPr="007C7732">
        <w:rPr>
          <w:rFonts w:eastAsia="標楷體"/>
          <w:lang w:val="en-US"/>
        </w:rPr>
        <w:t>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72315" w14:textId="77777777" w:rsidR="00CA6261" w:rsidRPr="00F02097" w:rsidRDefault="00CA6261" w:rsidP="00CA6261">
    <w:pPr>
      <w:tabs>
        <w:tab w:val="center" w:pos="4153"/>
        <w:tab w:val="right" w:pos="8306"/>
      </w:tabs>
      <w:jc w:val="center"/>
      <w:rPr>
        <w:sz w:val="24"/>
      </w:rPr>
    </w:pPr>
    <w:r w:rsidRPr="00F02097">
      <w:rPr>
        <w:sz w:val="24"/>
      </w:rPr>
      <w:t>(20</w:t>
    </w:r>
    <w:r w:rsidR="00C42DC3" w:rsidRPr="00F02097">
      <w:rPr>
        <w:sz w:val="24"/>
      </w:rPr>
      <w:t>24-25</w:t>
    </w:r>
    <w:r w:rsidRPr="00F02097">
      <w:rPr>
        <w:sz w:val="24"/>
      </w:rPr>
      <w:t xml:space="preserve">) VOLUME </w:t>
    </w:r>
    <w:r w:rsidR="00C42DC3" w:rsidRPr="00F02097">
      <w:rPr>
        <w:sz w:val="24"/>
        <w:lang w:eastAsia="zh-HK"/>
      </w:rPr>
      <w:t>39</w:t>
    </w:r>
    <w:r w:rsidRPr="00F02097">
      <w:rPr>
        <w:sz w:val="24"/>
      </w:rPr>
      <w:t xml:space="preserve"> INLAND REVENUE BOARD OF REVIEW DECISIONS</w:t>
    </w:r>
  </w:p>
  <w:p w14:paraId="6A3997AC" w14:textId="77777777" w:rsidR="00CA6261" w:rsidRPr="00A74B10" w:rsidRDefault="00CA6261">
    <w:pPr>
      <w:pStyle w:val="a3"/>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03C"/>
    <w:multiLevelType w:val="hybridMultilevel"/>
    <w:tmpl w:val="32B0DB48"/>
    <w:lvl w:ilvl="0" w:tplc="7D14DE98">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201015B"/>
    <w:multiLevelType w:val="hybridMultilevel"/>
    <w:tmpl w:val="738672D8"/>
    <w:lvl w:ilvl="0" w:tplc="C812E68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1618F0"/>
    <w:multiLevelType w:val="hybridMultilevel"/>
    <w:tmpl w:val="F9920EB4"/>
    <w:lvl w:ilvl="0" w:tplc="8862AB02">
      <w:start w:val="1"/>
      <w:numFmt w:val="upperLetter"/>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 w15:restartNumberingAfterBreak="0">
    <w:nsid w:val="046423C1"/>
    <w:multiLevelType w:val="hybridMultilevel"/>
    <w:tmpl w:val="9208C56A"/>
    <w:lvl w:ilvl="0" w:tplc="B9BAAEC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E622BA"/>
    <w:multiLevelType w:val="hybridMultilevel"/>
    <w:tmpl w:val="A402520A"/>
    <w:lvl w:ilvl="0" w:tplc="888600C4">
      <w:start w:val="1"/>
      <w:numFmt w:val="lowerRoman"/>
      <w:lvlText w:val="(%1)"/>
      <w:lvlJc w:val="left"/>
      <w:pPr>
        <w:ind w:left="3696" w:hanging="720"/>
      </w:pPr>
      <w:rPr>
        <w:rFonts w:hint="default"/>
      </w:rPr>
    </w:lvl>
    <w:lvl w:ilvl="1" w:tplc="04090019" w:tentative="1">
      <w:start w:val="1"/>
      <w:numFmt w:val="ideographTraditional"/>
      <w:lvlText w:val="%2、"/>
      <w:lvlJc w:val="left"/>
      <w:pPr>
        <w:ind w:left="3936" w:hanging="480"/>
      </w:pPr>
    </w:lvl>
    <w:lvl w:ilvl="2" w:tplc="0409001B" w:tentative="1">
      <w:start w:val="1"/>
      <w:numFmt w:val="lowerRoman"/>
      <w:lvlText w:val="%3."/>
      <w:lvlJc w:val="right"/>
      <w:pPr>
        <w:ind w:left="4416" w:hanging="480"/>
      </w:pPr>
    </w:lvl>
    <w:lvl w:ilvl="3" w:tplc="0409000F" w:tentative="1">
      <w:start w:val="1"/>
      <w:numFmt w:val="decimal"/>
      <w:lvlText w:val="%4."/>
      <w:lvlJc w:val="left"/>
      <w:pPr>
        <w:ind w:left="4896" w:hanging="480"/>
      </w:pPr>
    </w:lvl>
    <w:lvl w:ilvl="4" w:tplc="04090019" w:tentative="1">
      <w:start w:val="1"/>
      <w:numFmt w:val="ideographTraditional"/>
      <w:lvlText w:val="%5、"/>
      <w:lvlJc w:val="left"/>
      <w:pPr>
        <w:ind w:left="5376" w:hanging="480"/>
      </w:pPr>
    </w:lvl>
    <w:lvl w:ilvl="5" w:tplc="0409001B" w:tentative="1">
      <w:start w:val="1"/>
      <w:numFmt w:val="lowerRoman"/>
      <w:lvlText w:val="%6."/>
      <w:lvlJc w:val="right"/>
      <w:pPr>
        <w:ind w:left="5856" w:hanging="480"/>
      </w:pPr>
    </w:lvl>
    <w:lvl w:ilvl="6" w:tplc="0409000F" w:tentative="1">
      <w:start w:val="1"/>
      <w:numFmt w:val="decimal"/>
      <w:lvlText w:val="%7."/>
      <w:lvlJc w:val="left"/>
      <w:pPr>
        <w:ind w:left="6336" w:hanging="480"/>
      </w:pPr>
    </w:lvl>
    <w:lvl w:ilvl="7" w:tplc="04090019" w:tentative="1">
      <w:start w:val="1"/>
      <w:numFmt w:val="ideographTraditional"/>
      <w:lvlText w:val="%8、"/>
      <w:lvlJc w:val="left"/>
      <w:pPr>
        <w:ind w:left="6816" w:hanging="480"/>
      </w:pPr>
    </w:lvl>
    <w:lvl w:ilvl="8" w:tplc="0409001B" w:tentative="1">
      <w:start w:val="1"/>
      <w:numFmt w:val="lowerRoman"/>
      <w:lvlText w:val="%9."/>
      <w:lvlJc w:val="right"/>
      <w:pPr>
        <w:ind w:left="7296" w:hanging="480"/>
      </w:pPr>
    </w:lvl>
  </w:abstractNum>
  <w:abstractNum w:abstractNumId="5" w15:restartNumberingAfterBreak="0">
    <w:nsid w:val="05A10FF3"/>
    <w:multiLevelType w:val="multilevel"/>
    <w:tmpl w:val="362CBE2A"/>
    <w:lvl w:ilvl="0">
      <w:start w:val="2"/>
      <w:numFmt w:val="decimal"/>
      <w:lvlText w:val="%1"/>
      <w:lvlJc w:val="left"/>
      <w:pPr>
        <w:ind w:left="660" w:hanging="660"/>
      </w:pPr>
      <w:rPr>
        <w:rFonts w:hint="default"/>
      </w:rPr>
    </w:lvl>
    <w:lvl w:ilvl="1">
      <w:start w:val="7"/>
      <w:numFmt w:val="decimal"/>
      <w:lvlText w:val="%1.%2"/>
      <w:lvlJc w:val="left"/>
      <w:pPr>
        <w:ind w:left="1013" w:hanging="660"/>
      </w:pPr>
      <w:rPr>
        <w:rFonts w:hint="default"/>
      </w:rPr>
    </w:lvl>
    <w:lvl w:ilvl="2">
      <w:start w:val="1"/>
      <w:numFmt w:val="decimal"/>
      <w:lvlText w:val="%1.%2.%3"/>
      <w:lvlJc w:val="left"/>
      <w:pPr>
        <w:ind w:left="1426" w:hanging="720"/>
      </w:pPr>
      <w:rPr>
        <w:rFonts w:hint="default"/>
      </w:rPr>
    </w:lvl>
    <w:lvl w:ilvl="3">
      <w:start w:val="2"/>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6" w15:restartNumberingAfterBreak="0">
    <w:nsid w:val="0A99405E"/>
    <w:multiLevelType w:val="hybridMultilevel"/>
    <w:tmpl w:val="4976B874"/>
    <w:lvl w:ilvl="0" w:tplc="E85A62A2">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0DD01092"/>
    <w:multiLevelType w:val="hybridMultilevel"/>
    <w:tmpl w:val="709C816C"/>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D12DEA"/>
    <w:multiLevelType w:val="hybridMultilevel"/>
    <w:tmpl w:val="5C2C9134"/>
    <w:lvl w:ilvl="0" w:tplc="A81EF422">
      <w:start w:val="1"/>
      <w:numFmt w:val="lowerLetter"/>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0EC6634D"/>
    <w:multiLevelType w:val="hybridMultilevel"/>
    <w:tmpl w:val="2AEADA08"/>
    <w:lvl w:ilvl="0" w:tplc="E90286F0">
      <w:start w:val="1"/>
      <w:numFmt w:val="lowerLetter"/>
      <w:lvlText w:val="(%1)"/>
      <w:lvlJc w:val="left"/>
      <w:pPr>
        <w:ind w:left="2059" w:hanging="360"/>
      </w:pPr>
      <w:rPr>
        <w:rFonts w:hint="default"/>
      </w:r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10" w15:restartNumberingAfterBreak="0">
    <w:nsid w:val="0FAC6E32"/>
    <w:multiLevelType w:val="hybridMultilevel"/>
    <w:tmpl w:val="4344D23A"/>
    <w:lvl w:ilvl="0" w:tplc="9DF41F72">
      <w:start w:val="1"/>
      <w:numFmt w:val="decimal"/>
      <w:lvlText w:val="%1."/>
      <w:lvlJc w:val="left"/>
      <w:pPr>
        <w:ind w:left="360" w:hanging="360"/>
      </w:pPr>
      <w:rPr>
        <w:rFonts w:ascii="Times New Roman" w:hAnsi="Times New Roman" w:cs="Times New Roman" w:hint="default"/>
        <w:b w:val="0"/>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3B778D7"/>
    <w:multiLevelType w:val="hybridMultilevel"/>
    <w:tmpl w:val="2E48D1AA"/>
    <w:lvl w:ilvl="0" w:tplc="EE640F1C">
      <w:start w:val="1"/>
      <w:numFmt w:val="decimal"/>
      <w:pStyle w:val="T-Draft"/>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666FC"/>
    <w:multiLevelType w:val="multilevel"/>
    <w:tmpl w:val="341A4C92"/>
    <w:lvl w:ilvl="0">
      <w:start w:val="2"/>
      <w:numFmt w:val="decimal"/>
      <w:lvlText w:val="%1"/>
      <w:lvlJc w:val="left"/>
      <w:pPr>
        <w:ind w:left="660" w:hanging="660"/>
      </w:pPr>
      <w:rPr>
        <w:rFonts w:hint="default"/>
      </w:rPr>
    </w:lvl>
    <w:lvl w:ilvl="1">
      <w:start w:val="7"/>
      <w:numFmt w:val="decimal"/>
      <w:lvlText w:val="%1.%2"/>
      <w:lvlJc w:val="left"/>
      <w:pPr>
        <w:ind w:left="1013" w:hanging="660"/>
      </w:pPr>
      <w:rPr>
        <w:rFonts w:hint="default"/>
      </w:rPr>
    </w:lvl>
    <w:lvl w:ilvl="2">
      <w:start w:val="2"/>
      <w:numFmt w:val="decimal"/>
      <w:lvlText w:val="%1.%2.%3"/>
      <w:lvlJc w:val="left"/>
      <w:pPr>
        <w:ind w:left="1426" w:hanging="720"/>
      </w:pPr>
      <w:rPr>
        <w:rFonts w:hint="default"/>
      </w:rPr>
    </w:lvl>
    <w:lvl w:ilvl="3">
      <w:start w:val="2"/>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13" w15:restartNumberingAfterBreak="0">
    <w:nsid w:val="26FD6F90"/>
    <w:multiLevelType w:val="hybridMultilevel"/>
    <w:tmpl w:val="3C8632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BF3441"/>
    <w:multiLevelType w:val="hybridMultilevel"/>
    <w:tmpl w:val="3C8EA554"/>
    <w:lvl w:ilvl="0" w:tplc="4BA6708C">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2F5F7F74"/>
    <w:multiLevelType w:val="hybridMultilevel"/>
    <w:tmpl w:val="DA94ED84"/>
    <w:lvl w:ilvl="0" w:tplc="97A63FDA">
      <w:start w:val="1"/>
      <w:numFmt w:val="lowerLetter"/>
      <w:lvlText w:val="(%1)"/>
      <w:lvlJc w:val="left"/>
      <w:pPr>
        <w:ind w:left="2367" w:hanging="360"/>
      </w:pPr>
      <w:rPr>
        <w:rFonts w:hint="default"/>
      </w:rPr>
    </w:lvl>
    <w:lvl w:ilvl="1" w:tplc="04090019">
      <w:start w:val="1"/>
      <w:numFmt w:val="ideographTraditional"/>
      <w:lvlText w:val="%2、"/>
      <w:lvlJc w:val="left"/>
      <w:pPr>
        <w:ind w:left="2967" w:hanging="480"/>
      </w:pPr>
    </w:lvl>
    <w:lvl w:ilvl="2" w:tplc="0409001B">
      <w:start w:val="1"/>
      <w:numFmt w:val="lowerRoman"/>
      <w:lvlText w:val="%3."/>
      <w:lvlJc w:val="right"/>
      <w:pPr>
        <w:ind w:left="3447" w:hanging="480"/>
      </w:pPr>
    </w:lvl>
    <w:lvl w:ilvl="3" w:tplc="0409000F" w:tentative="1">
      <w:start w:val="1"/>
      <w:numFmt w:val="decimal"/>
      <w:lvlText w:val="%4."/>
      <w:lvlJc w:val="left"/>
      <w:pPr>
        <w:ind w:left="3927" w:hanging="480"/>
      </w:pPr>
    </w:lvl>
    <w:lvl w:ilvl="4" w:tplc="04090019" w:tentative="1">
      <w:start w:val="1"/>
      <w:numFmt w:val="ideographTraditional"/>
      <w:lvlText w:val="%5、"/>
      <w:lvlJc w:val="left"/>
      <w:pPr>
        <w:ind w:left="4407" w:hanging="480"/>
      </w:pPr>
    </w:lvl>
    <w:lvl w:ilvl="5" w:tplc="0409001B" w:tentative="1">
      <w:start w:val="1"/>
      <w:numFmt w:val="lowerRoman"/>
      <w:lvlText w:val="%6."/>
      <w:lvlJc w:val="right"/>
      <w:pPr>
        <w:ind w:left="4887" w:hanging="480"/>
      </w:pPr>
    </w:lvl>
    <w:lvl w:ilvl="6" w:tplc="0409000F" w:tentative="1">
      <w:start w:val="1"/>
      <w:numFmt w:val="decimal"/>
      <w:lvlText w:val="%7."/>
      <w:lvlJc w:val="left"/>
      <w:pPr>
        <w:ind w:left="5367" w:hanging="480"/>
      </w:pPr>
    </w:lvl>
    <w:lvl w:ilvl="7" w:tplc="04090019" w:tentative="1">
      <w:start w:val="1"/>
      <w:numFmt w:val="ideographTraditional"/>
      <w:lvlText w:val="%8、"/>
      <w:lvlJc w:val="left"/>
      <w:pPr>
        <w:ind w:left="5847" w:hanging="480"/>
      </w:pPr>
    </w:lvl>
    <w:lvl w:ilvl="8" w:tplc="0409001B" w:tentative="1">
      <w:start w:val="1"/>
      <w:numFmt w:val="lowerRoman"/>
      <w:lvlText w:val="%9."/>
      <w:lvlJc w:val="right"/>
      <w:pPr>
        <w:ind w:left="6327" w:hanging="480"/>
      </w:pPr>
    </w:lvl>
  </w:abstractNum>
  <w:abstractNum w:abstractNumId="16" w15:restartNumberingAfterBreak="0">
    <w:nsid w:val="318168E9"/>
    <w:multiLevelType w:val="hybridMultilevel"/>
    <w:tmpl w:val="4976B874"/>
    <w:lvl w:ilvl="0" w:tplc="E85A62A2">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33741E01"/>
    <w:multiLevelType w:val="hybridMultilevel"/>
    <w:tmpl w:val="0AC6CB40"/>
    <w:lvl w:ilvl="0" w:tplc="178234E2">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42C4016"/>
    <w:multiLevelType w:val="hybridMultilevel"/>
    <w:tmpl w:val="32B0DB48"/>
    <w:lvl w:ilvl="0" w:tplc="7D14DE98">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35634D2B"/>
    <w:multiLevelType w:val="hybridMultilevel"/>
    <w:tmpl w:val="2ED0614E"/>
    <w:lvl w:ilvl="0" w:tplc="82BCFC98">
      <w:start w:val="1"/>
      <w:numFmt w:val="decimal"/>
      <w:lvlText w:val="(%1)"/>
      <w:lvlJc w:val="left"/>
      <w:pPr>
        <w:ind w:left="705" w:hanging="705"/>
      </w:pPr>
      <w:rPr>
        <w:rFonts w:hint="default"/>
      </w:rPr>
    </w:lvl>
    <w:lvl w:ilvl="1" w:tplc="04090019" w:tentative="1">
      <w:start w:val="1"/>
      <w:numFmt w:val="ideographTraditional"/>
      <w:lvlText w:val="%2、"/>
      <w:lvlJc w:val="left"/>
      <w:pPr>
        <w:ind w:left="960" w:hanging="480"/>
      </w:pPr>
    </w:lvl>
    <w:lvl w:ilvl="2" w:tplc="98022874">
      <w:start w:val="1"/>
      <w:numFmt w:val="lowerLetter"/>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6BB6788"/>
    <w:multiLevelType w:val="multilevel"/>
    <w:tmpl w:val="7C64A4D4"/>
    <w:styleLink w:val="1a"/>
    <w:lvl w:ilvl="0">
      <w:start w:val="1"/>
      <w:numFmt w:val="decimal"/>
      <w:lvlText w:val="(%1)"/>
      <w:lvlJc w:val="right"/>
      <w:pPr>
        <w:tabs>
          <w:tab w:val="num" w:pos="1440"/>
        </w:tabs>
        <w:ind w:left="1440" w:hanging="432"/>
      </w:pPr>
      <w:rPr>
        <w:rFonts w:hint="eastAsia"/>
      </w:rPr>
    </w:lvl>
    <w:lvl w:ilvl="1">
      <w:start w:val="1"/>
      <w:numFmt w:val="lowerLetter"/>
      <w:lvlText w:val="(%2)"/>
      <w:lvlJc w:val="right"/>
      <w:pPr>
        <w:tabs>
          <w:tab w:val="num" w:pos="2160"/>
        </w:tabs>
        <w:ind w:left="2160" w:hanging="288"/>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1" w15:restartNumberingAfterBreak="0">
    <w:nsid w:val="38EE41AD"/>
    <w:multiLevelType w:val="hybridMultilevel"/>
    <w:tmpl w:val="8064E740"/>
    <w:lvl w:ilvl="0" w:tplc="CF66384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97C0467"/>
    <w:multiLevelType w:val="hybridMultilevel"/>
    <w:tmpl w:val="C31CBCE2"/>
    <w:lvl w:ilvl="0" w:tplc="BE4052E0">
      <w:start w:val="1"/>
      <w:numFmt w:val="decimal"/>
      <w:lvlText w:val="(%1)"/>
      <w:lvlJc w:val="left"/>
      <w:pPr>
        <w:ind w:left="2203" w:hanging="36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23" w15:restartNumberingAfterBreak="0">
    <w:nsid w:val="3ADE2705"/>
    <w:multiLevelType w:val="hybridMultilevel"/>
    <w:tmpl w:val="54440BB6"/>
    <w:lvl w:ilvl="0" w:tplc="8220A09E">
      <w:start w:val="3"/>
      <w:numFmt w:val="decimal"/>
      <w:lvlText w:val="(%1)"/>
      <w:lvlJc w:val="left"/>
      <w:pPr>
        <w:ind w:left="1287" w:hanging="360"/>
      </w:pPr>
      <w:rPr>
        <w:rFonts w:ascii="Times New Roman" w:hAnsi="Times New Roman" w:cs="Times New Roman" w:hint="default"/>
        <w:i w:val="0"/>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24" w15:restartNumberingAfterBreak="0">
    <w:nsid w:val="3B21158A"/>
    <w:multiLevelType w:val="hybridMultilevel"/>
    <w:tmpl w:val="15CCA1BE"/>
    <w:lvl w:ilvl="0" w:tplc="08090013">
      <w:start w:val="1"/>
      <w:numFmt w:val="upperRoman"/>
      <w:lvlText w:val="%1."/>
      <w:lvlJc w:val="right"/>
      <w:pPr>
        <w:ind w:left="-915" w:hanging="360"/>
      </w:pPr>
      <w:rPr>
        <w:rFonts w:hint="default"/>
      </w:rPr>
    </w:lvl>
    <w:lvl w:ilvl="1" w:tplc="08090019" w:tentative="1">
      <w:start w:val="1"/>
      <w:numFmt w:val="lowerLetter"/>
      <w:lvlText w:val="%2."/>
      <w:lvlJc w:val="left"/>
      <w:pPr>
        <w:ind w:left="-195" w:hanging="360"/>
      </w:pPr>
    </w:lvl>
    <w:lvl w:ilvl="2" w:tplc="0809001B" w:tentative="1">
      <w:start w:val="1"/>
      <w:numFmt w:val="lowerRoman"/>
      <w:lvlText w:val="%3."/>
      <w:lvlJc w:val="right"/>
      <w:pPr>
        <w:ind w:left="525" w:hanging="180"/>
      </w:pPr>
    </w:lvl>
    <w:lvl w:ilvl="3" w:tplc="0809000F" w:tentative="1">
      <w:start w:val="1"/>
      <w:numFmt w:val="decimal"/>
      <w:lvlText w:val="%4."/>
      <w:lvlJc w:val="left"/>
      <w:pPr>
        <w:ind w:left="1245" w:hanging="360"/>
      </w:pPr>
    </w:lvl>
    <w:lvl w:ilvl="4" w:tplc="08090019" w:tentative="1">
      <w:start w:val="1"/>
      <w:numFmt w:val="lowerLetter"/>
      <w:lvlText w:val="%5."/>
      <w:lvlJc w:val="left"/>
      <w:pPr>
        <w:ind w:left="1965" w:hanging="360"/>
      </w:pPr>
    </w:lvl>
    <w:lvl w:ilvl="5" w:tplc="0809001B" w:tentative="1">
      <w:start w:val="1"/>
      <w:numFmt w:val="lowerRoman"/>
      <w:lvlText w:val="%6."/>
      <w:lvlJc w:val="right"/>
      <w:pPr>
        <w:ind w:left="2685" w:hanging="180"/>
      </w:pPr>
    </w:lvl>
    <w:lvl w:ilvl="6" w:tplc="0809000F" w:tentative="1">
      <w:start w:val="1"/>
      <w:numFmt w:val="decimal"/>
      <w:lvlText w:val="%7."/>
      <w:lvlJc w:val="left"/>
      <w:pPr>
        <w:ind w:left="3405" w:hanging="360"/>
      </w:pPr>
    </w:lvl>
    <w:lvl w:ilvl="7" w:tplc="08090019" w:tentative="1">
      <w:start w:val="1"/>
      <w:numFmt w:val="lowerLetter"/>
      <w:lvlText w:val="%8."/>
      <w:lvlJc w:val="left"/>
      <w:pPr>
        <w:ind w:left="4125" w:hanging="360"/>
      </w:pPr>
    </w:lvl>
    <w:lvl w:ilvl="8" w:tplc="0809001B" w:tentative="1">
      <w:start w:val="1"/>
      <w:numFmt w:val="lowerRoman"/>
      <w:lvlText w:val="%9."/>
      <w:lvlJc w:val="right"/>
      <w:pPr>
        <w:ind w:left="4845" w:hanging="180"/>
      </w:pPr>
    </w:lvl>
  </w:abstractNum>
  <w:abstractNum w:abstractNumId="25" w15:restartNumberingAfterBreak="0">
    <w:nsid w:val="439900A6"/>
    <w:multiLevelType w:val="hybridMultilevel"/>
    <w:tmpl w:val="40A455DC"/>
    <w:lvl w:ilvl="0" w:tplc="256A9E38">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6" w15:restartNumberingAfterBreak="0">
    <w:nsid w:val="43B94A59"/>
    <w:multiLevelType w:val="hybridMultilevel"/>
    <w:tmpl w:val="D736CEAE"/>
    <w:lvl w:ilvl="0" w:tplc="B4DCCE60">
      <w:start w:val="1"/>
      <w:numFmt w:val="decimal"/>
      <w:lvlText w:val="(%1)"/>
      <w:lvlJc w:val="left"/>
      <w:pPr>
        <w:ind w:left="1320" w:hanging="36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467B29CE"/>
    <w:multiLevelType w:val="hybridMultilevel"/>
    <w:tmpl w:val="89307546"/>
    <w:lvl w:ilvl="0" w:tplc="E8C21464">
      <w:start w:val="2"/>
      <w:numFmt w:val="decimal"/>
      <w:lvlText w:val="(%1)"/>
      <w:lvlJc w:val="left"/>
      <w:pPr>
        <w:ind w:left="2203" w:hanging="36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28" w15:restartNumberingAfterBreak="0">
    <w:nsid w:val="4B4D14E9"/>
    <w:multiLevelType w:val="multilevel"/>
    <w:tmpl w:val="73560382"/>
    <w:lvl w:ilvl="0">
      <w:start w:val="1"/>
      <w:numFmt w:val="decimal"/>
      <w:lvlText w:val="%1."/>
      <w:lvlJc w:val="left"/>
      <w:pPr>
        <w:ind w:left="705" w:hanging="705"/>
      </w:pPr>
      <w:rPr>
        <w:rFonts w:hint="default"/>
        <w:b/>
        <w:i w:val="0"/>
        <w:color w:val="auto"/>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b w:val="0"/>
        <w:u w:val="none"/>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D323C79"/>
    <w:multiLevelType w:val="singleLevel"/>
    <w:tmpl w:val="B8D2C7CA"/>
    <w:lvl w:ilvl="0">
      <w:start w:val="1"/>
      <w:numFmt w:val="decimal"/>
      <w:lvlText w:val="(%1)"/>
      <w:lvlJc w:val="left"/>
      <w:pPr>
        <w:tabs>
          <w:tab w:val="num" w:pos="1440"/>
        </w:tabs>
        <w:ind w:left="1440" w:hanging="432"/>
      </w:pPr>
      <w:rPr>
        <w:rFonts w:hint="default"/>
      </w:rPr>
    </w:lvl>
  </w:abstractNum>
  <w:abstractNum w:abstractNumId="30" w15:restartNumberingAfterBreak="0">
    <w:nsid w:val="4D6E3FEE"/>
    <w:multiLevelType w:val="multilevel"/>
    <w:tmpl w:val="10A635A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28E45C9"/>
    <w:multiLevelType w:val="hybridMultilevel"/>
    <w:tmpl w:val="FDB6D188"/>
    <w:lvl w:ilvl="0" w:tplc="919468E8">
      <w:start w:val="1"/>
      <w:numFmt w:val="decimal"/>
      <w:lvlText w:val="（%1）"/>
      <w:lvlJc w:val="left"/>
      <w:pPr>
        <w:ind w:left="1918" w:hanging="780"/>
      </w:pPr>
      <w:rPr>
        <w:rFonts w:hint="default"/>
      </w:rPr>
    </w:lvl>
    <w:lvl w:ilvl="1" w:tplc="08090019" w:tentative="1">
      <w:start w:val="1"/>
      <w:numFmt w:val="lowerLetter"/>
      <w:lvlText w:val="%2."/>
      <w:lvlJc w:val="left"/>
      <w:pPr>
        <w:ind w:left="2218" w:hanging="360"/>
      </w:pPr>
    </w:lvl>
    <w:lvl w:ilvl="2" w:tplc="0809001B" w:tentative="1">
      <w:start w:val="1"/>
      <w:numFmt w:val="lowerRoman"/>
      <w:lvlText w:val="%3."/>
      <w:lvlJc w:val="right"/>
      <w:pPr>
        <w:ind w:left="2938" w:hanging="180"/>
      </w:pPr>
    </w:lvl>
    <w:lvl w:ilvl="3" w:tplc="0809000F" w:tentative="1">
      <w:start w:val="1"/>
      <w:numFmt w:val="decimal"/>
      <w:lvlText w:val="%4."/>
      <w:lvlJc w:val="left"/>
      <w:pPr>
        <w:ind w:left="3658" w:hanging="360"/>
      </w:pPr>
    </w:lvl>
    <w:lvl w:ilvl="4" w:tplc="08090019" w:tentative="1">
      <w:start w:val="1"/>
      <w:numFmt w:val="lowerLetter"/>
      <w:lvlText w:val="%5."/>
      <w:lvlJc w:val="left"/>
      <w:pPr>
        <w:ind w:left="4378" w:hanging="360"/>
      </w:pPr>
    </w:lvl>
    <w:lvl w:ilvl="5" w:tplc="0809001B" w:tentative="1">
      <w:start w:val="1"/>
      <w:numFmt w:val="lowerRoman"/>
      <w:lvlText w:val="%6."/>
      <w:lvlJc w:val="right"/>
      <w:pPr>
        <w:ind w:left="5098" w:hanging="180"/>
      </w:pPr>
    </w:lvl>
    <w:lvl w:ilvl="6" w:tplc="0809000F" w:tentative="1">
      <w:start w:val="1"/>
      <w:numFmt w:val="decimal"/>
      <w:lvlText w:val="%7."/>
      <w:lvlJc w:val="left"/>
      <w:pPr>
        <w:ind w:left="5818" w:hanging="360"/>
      </w:pPr>
    </w:lvl>
    <w:lvl w:ilvl="7" w:tplc="08090019" w:tentative="1">
      <w:start w:val="1"/>
      <w:numFmt w:val="lowerLetter"/>
      <w:lvlText w:val="%8."/>
      <w:lvlJc w:val="left"/>
      <w:pPr>
        <w:ind w:left="6538" w:hanging="360"/>
      </w:pPr>
    </w:lvl>
    <w:lvl w:ilvl="8" w:tplc="0809001B" w:tentative="1">
      <w:start w:val="1"/>
      <w:numFmt w:val="lowerRoman"/>
      <w:lvlText w:val="%9."/>
      <w:lvlJc w:val="right"/>
      <w:pPr>
        <w:ind w:left="7258" w:hanging="180"/>
      </w:pPr>
    </w:lvl>
  </w:abstractNum>
  <w:abstractNum w:abstractNumId="32" w15:restartNumberingAfterBreak="0">
    <w:nsid w:val="5D362355"/>
    <w:multiLevelType w:val="hybridMultilevel"/>
    <w:tmpl w:val="9E860C1E"/>
    <w:lvl w:ilvl="0" w:tplc="87AEACDA">
      <w:start w:val="1"/>
      <w:numFmt w:val="lowerLetter"/>
      <w:lvlText w:val="(%1)"/>
      <w:lvlJc w:val="left"/>
      <w:pPr>
        <w:ind w:left="2057" w:hanging="360"/>
      </w:pPr>
      <w:rPr>
        <w:rFonts w:hint="default"/>
      </w:rPr>
    </w:lvl>
    <w:lvl w:ilvl="1" w:tplc="04090019" w:tentative="1">
      <w:start w:val="1"/>
      <w:numFmt w:val="ideographTraditional"/>
      <w:lvlText w:val="%2、"/>
      <w:lvlJc w:val="left"/>
      <w:pPr>
        <w:ind w:left="2657" w:hanging="480"/>
      </w:pPr>
    </w:lvl>
    <w:lvl w:ilvl="2" w:tplc="0409001B" w:tentative="1">
      <w:start w:val="1"/>
      <w:numFmt w:val="lowerRoman"/>
      <w:lvlText w:val="%3."/>
      <w:lvlJc w:val="right"/>
      <w:pPr>
        <w:ind w:left="3137" w:hanging="480"/>
      </w:pPr>
    </w:lvl>
    <w:lvl w:ilvl="3" w:tplc="0409000F" w:tentative="1">
      <w:start w:val="1"/>
      <w:numFmt w:val="decimal"/>
      <w:lvlText w:val="%4."/>
      <w:lvlJc w:val="left"/>
      <w:pPr>
        <w:ind w:left="3617" w:hanging="480"/>
      </w:pPr>
    </w:lvl>
    <w:lvl w:ilvl="4" w:tplc="04090019" w:tentative="1">
      <w:start w:val="1"/>
      <w:numFmt w:val="ideographTraditional"/>
      <w:lvlText w:val="%5、"/>
      <w:lvlJc w:val="left"/>
      <w:pPr>
        <w:ind w:left="4097" w:hanging="480"/>
      </w:pPr>
    </w:lvl>
    <w:lvl w:ilvl="5" w:tplc="0409001B" w:tentative="1">
      <w:start w:val="1"/>
      <w:numFmt w:val="lowerRoman"/>
      <w:lvlText w:val="%6."/>
      <w:lvlJc w:val="right"/>
      <w:pPr>
        <w:ind w:left="4577" w:hanging="480"/>
      </w:pPr>
    </w:lvl>
    <w:lvl w:ilvl="6" w:tplc="0409000F" w:tentative="1">
      <w:start w:val="1"/>
      <w:numFmt w:val="decimal"/>
      <w:lvlText w:val="%7."/>
      <w:lvlJc w:val="left"/>
      <w:pPr>
        <w:ind w:left="5057" w:hanging="480"/>
      </w:pPr>
    </w:lvl>
    <w:lvl w:ilvl="7" w:tplc="04090019" w:tentative="1">
      <w:start w:val="1"/>
      <w:numFmt w:val="ideographTraditional"/>
      <w:lvlText w:val="%8、"/>
      <w:lvlJc w:val="left"/>
      <w:pPr>
        <w:ind w:left="5537" w:hanging="480"/>
      </w:pPr>
    </w:lvl>
    <w:lvl w:ilvl="8" w:tplc="0409001B" w:tentative="1">
      <w:start w:val="1"/>
      <w:numFmt w:val="lowerRoman"/>
      <w:lvlText w:val="%9."/>
      <w:lvlJc w:val="right"/>
      <w:pPr>
        <w:ind w:left="6017" w:hanging="480"/>
      </w:pPr>
    </w:lvl>
  </w:abstractNum>
  <w:abstractNum w:abstractNumId="33" w15:restartNumberingAfterBreak="0">
    <w:nsid w:val="5D641005"/>
    <w:multiLevelType w:val="multilevel"/>
    <w:tmpl w:val="1E38B724"/>
    <w:lvl w:ilvl="0">
      <w:start w:val="1"/>
      <w:numFmt w:val="decimal"/>
      <w:lvlText w:val="(%1)"/>
      <w:lvlJc w:val="right"/>
      <w:pPr>
        <w:tabs>
          <w:tab w:val="num" w:pos="1440"/>
        </w:tabs>
        <w:ind w:left="1440" w:hanging="360"/>
      </w:pPr>
      <w:rPr>
        <w:rFonts w:hint="eastAsia"/>
      </w:rPr>
    </w:lvl>
    <w:lvl w:ilvl="1">
      <w:start w:val="1"/>
      <w:numFmt w:val="lowerLetter"/>
      <w:lvlText w:val="(%2)"/>
      <w:lvlJc w:val="right"/>
      <w:pPr>
        <w:tabs>
          <w:tab w:val="num" w:pos="2160"/>
        </w:tabs>
        <w:ind w:left="2160" w:hanging="144"/>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4" w15:restartNumberingAfterBreak="0">
    <w:nsid w:val="5E5120B8"/>
    <w:multiLevelType w:val="hybridMultilevel"/>
    <w:tmpl w:val="FC3890E8"/>
    <w:lvl w:ilvl="0" w:tplc="D47E63B2">
      <w:start w:val="1"/>
      <w:numFmt w:val="lowerLetter"/>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5" w15:restartNumberingAfterBreak="0">
    <w:nsid w:val="5F7311B4"/>
    <w:multiLevelType w:val="hybridMultilevel"/>
    <w:tmpl w:val="A2541DBA"/>
    <w:lvl w:ilvl="0" w:tplc="2E4ED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F8D661B"/>
    <w:multiLevelType w:val="hybridMultilevel"/>
    <w:tmpl w:val="C3E6CF98"/>
    <w:lvl w:ilvl="0" w:tplc="7D20B576">
      <w:start w:val="1"/>
      <w:numFmt w:val="decimal"/>
      <w:lvlText w:val="(%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7D20B576">
      <w:start w:val="1"/>
      <w:numFmt w:val="decimal"/>
      <w:lvlText w:val="(%4)"/>
      <w:lvlJc w:val="left"/>
      <w:pPr>
        <w:ind w:left="3600" w:hanging="360"/>
      </w:pPr>
      <w:rPr>
        <w:rFonts w:hint="eastAsia"/>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0637C61"/>
    <w:multiLevelType w:val="hybridMultilevel"/>
    <w:tmpl w:val="8BF2401C"/>
    <w:lvl w:ilvl="0" w:tplc="FB06E068">
      <w:start w:val="1"/>
      <w:numFmt w:val="decimal"/>
      <w:lvlText w:val="%1."/>
      <w:lvlJc w:val="left"/>
      <w:pPr>
        <w:ind w:left="1778" w:hanging="360"/>
      </w:pPr>
      <w:rPr>
        <w:rFonts w:ascii="Times New Roman" w:hAnsi="Times New Roman" w:cs="Times New Roman" w:hint="default"/>
        <w:sz w:val="24"/>
        <w:szCs w:val="24"/>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8" w15:restartNumberingAfterBreak="0">
    <w:nsid w:val="61042201"/>
    <w:multiLevelType w:val="hybridMultilevel"/>
    <w:tmpl w:val="C28885CC"/>
    <w:lvl w:ilvl="0" w:tplc="A8D8FDFE">
      <w:start w:val="1"/>
      <w:numFmt w:val="lowerLetter"/>
      <w:lvlText w:val="(%1)"/>
      <w:lvlJc w:val="left"/>
      <w:pPr>
        <w:ind w:left="1776" w:hanging="36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9" w15:restartNumberingAfterBreak="0">
    <w:nsid w:val="63F32775"/>
    <w:multiLevelType w:val="hybridMultilevel"/>
    <w:tmpl w:val="BC2EA000"/>
    <w:lvl w:ilvl="0" w:tplc="CB724CE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0" w15:restartNumberingAfterBreak="0">
    <w:nsid w:val="66E52CA0"/>
    <w:multiLevelType w:val="hybridMultilevel"/>
    <w:tmpl w:val="E6141FC0"/>
    <w:lvl w:ilvl="0" w:tplc="BFD61C60">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1" w15:restartNumberingAfterBreak="0">
    <w:nsid w:val="672B22AC"/>
    <w:multiLevelType w:val="hybridMultilevel"/>
    <w:tmpl w:val="C82A8486"/>
    <w:lvl w:ilvl="0" w:tplc="5644FA02">
      <w:start w:val="1"/>
      <w:numFmt w:val="upperLetter"/>
      <w:lvlText w:val="(%1)"/>
      <w:lvlJc w:val="left"/>
      <w:pPr>
        <w:ind w:left="2058" w:hanging="360"/>
      </w:pPr>
      <w:rPr>
        <w:rFonts w:hint="default"/>
      </w:rPr>
    </w:lvl>
    <w:lvl w:ilvl="1" w:tplc="04090019" w:tentative="1">
      <w:start w:val="1"/>
      <w:numFmt w:val="ideographTraditional"/>
      <w:lvlText w:val="%2、"/>
      <w:lvlJc w:val="left"/>
      <w:pPr>
        <w:ind w:left="2658" w:hanging="480"/>
      </w:pPr>
    </w:lvl>
    <w:lvl w:ilvl="2" w:tplc="0409001B" w:tentative="1">
      <w:start w:val="1"/>
      <w:numFmt w:val="lowerRoman"/>
      <w:lvlText w:val="%3."/>
      <w:lvlJc w:val="right"/>
      <w:pPr>
        <w:ind w:left="3138" w:hanging="480"/>
      </w:pPr>
    </w:lvl>
    <w:lvl w:ilvl="3" w:tplc="0409000F" w:tentative="1">
      <w:start w:val="1"/>
      <w:numFmt w:val="decimal"/>
      <w:lvlText w:val="%4."/>
      <w:lvlJc w:val="left"/>
      <w:pPr>
        <w:ind w:left="3618" w:hanging="480"/>
      </w:pPr>
    </w:lvl>
    <w:lvl w:ilvl="4" w:tplc="04090019" w:tentative="1">
      <w:start w:val="1"/>
      <w:numFmt w:val="ideographTraditional"/>
      <w:lvlText w:val="%5、"/>
      <w:lvlJc w:val="left"/>
      <w:pPr>
        <w:ind w:left="4098" w:hanging="480"/>
      </w:pPr>
    </w:lvl>
    <w:lvl w:ilvl="5" w:tplc="0409001B" w:tentative="1">
      <w:start w:val="1"/>
      <w:numFmt w:val="lowerRoman"/>
      <w:lvlText w:val="%6."/>
      <w:lvlJc w:val="right"/>
      <w:pPr>
        <w:ind w:left="4578" w:hanging="480"/>
      </w:pPr>
    </w:lvl>
    <w:lvl w:ilvl="6" w:tplc="0409000F" w:tentative="1">
      <w:start w:val="1"/>
      <w:numFmt w:val="decimal"/>
      <w:lvlText w:val="%7."/>
      <w:lvlJc w:val="left"/>
      <w:pPr>
        <w:ind w:left="5058" w:hanging="480"/>
      </w:pPr>
    </w:lvl>
    <w:lvl w:ilvl="7" w:tplc="04090019" w:tentative="1">
      <w:start w:val="1"/>
      <w:numFmt w:val="ideographTraditional"/>
      <w:lvlText w:val="%8、"/>
      <w:lvlJc w:val="left"/>
      <w:pPr>
        <w:ind w:left="5538" w:hanging="480"/>
      </w:pPr>
    </w:lvl>
    <w:lvl w:ilvl="8" w:tplc="0409001B" w:tentative="1">
      <w:start w:val="1"/>
      <w:numFmt w:val="lowerRoman"/>
      <w:lvlText w:val="%9."/>
      <w:lvlJc w:val="right"/>
      <w:pPr>
        <w:ind w:left="6018" w:hanging="480"/>
      </w:pPr>
    </w:lvl>
  </w:abstractNum>
  <w:abstractNum w:abstractNumId="42" w15:restartNumberingAfterBreak="0">
    <w:nsid w:val="6C107D32"/>
    <w:multiLevelType w:val="hybridMultilevel"/>
    <w:tmpl w:val="D83E4216"/>
    <w:lvl w:ilvl="0" w:tplc="47004A38">
      <w:start w:val="23"/>
      <w:numFmt w:val="decimal"/>
      <w:lvlText w:val="(%1)"/>
      <w:lvlJc w:val="left"/>
      <w:pPr>
        <w:ind w:left="2533" w:hanging="384"/>
      </w:pPr>
      <w:rPr>
        <w:rFonts w:hint="default"/>
      </w:rPr>
    </w:lvl>
    <w:lvl w:ilvl="1" w:tplc="04090019" w:tentative="1">
      <w:start w:val="1"/>
      <w:numFmt w:val="ideographTraditional"/>
      <w:lvlText w:val="%2、"/>
      <w:lvlJc w:val="left"/>
      <w:pPr>
        <w:ind w:left="3109" w:hanging="480"/>
      </w:pPr>
    </w:lvl>
    <w:lvl w:ilvl="2" w:tplc="0409001B">
      <w:start w:val="1"/>
      <w:numFmt w:val="lowerRoman"/>
      <w:lvlText w:val="%3."/>
      <w:lvlJc w:val="right"/>
      <w:pPr>
        <w:ind w:left="3589" w:hanging="480"/>
      </w:pPr>
    </w:lvl>
    <w:lvl w:ilvl="3" w:tplc="0409000F">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43" w15:restartNumberingAfterBreak="0">
    <w:nsid w:val="742455F7"/>
    <w:multiLevelType w:val="hybridMultilevel"/>
    <w:tmpl w:val="974A8F72"/>
    <w:lvl w:ilvl="0" w:tplc="4998D582">
      <w:start w:val="1"/>
      <w:numFmt w:val="decimal"/>
      <w:lvlText w:val="(%1)"/>
      <w:lvlJc w:val="left"/>
      <w:pPr>
        <w:ind w:left="927" w:hanging="360"/>
      </w:pPr>
      <w:rPr>
        <w:rFonts w:ascii="Times New Roman" w:hAnsi="Times New Roman" w:cs="Times New Roman" w:hint="default"/>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4" w15:restartNumberingAfterBreak="0">
    <w:nsid w:val="74FD4D78"/>
    <w:multiLevelType w:val="hybridMultilevel"/>
    <w:tmpl w:val="1EE23234"/>
    <w:lvl w:ilvl="0" w:tplc="69A0A36E">
      <w:start w:val="1"/>
      <w:numFmt w:val="decimal"/>
      <w:lvlText w:val="(%1)"/>
      <w:lvlJc w:val="left"/>
      <w:pPr>
        <w:ind w:left="927" w:hanging="360"/>
      </w:pPr>
      <w:rPr>
        <w:rFonts w:ascii="Times New Roman" w:hAnsi="Times New Roman" w:cs="Times New Roman" w:hint="default"/>
        <w:sz w:val="28"/>
        <w:szCs w:val="28"/>
      </w:rPr>
    </w:lvl>
    <w:lvl w:ilvl="1" w:tplc="04090019" w:tentative="1">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5" w15:restartNumberingAfterBreak="0">
    <w:nsid w:val="76706571"/>
    <w:multiLevelType w:val="hybridMultilevel"/>
    <w:tmpl w:val="1EE23234"/>
    <w:lvl w:ilvl="0" w:tplc="69A0A36E">
      <w:start w:val="1"/>
      <w:numFmt w:val="decimal"/>
      <w:lvlText w:val="(%1)"/>
      <w:lvlJc w:val="left"/>
      <w:pPr>
        <w:ind w:left="927" w:hanging="360"/>
      </w:pPr>
      <w:rPr>
        <w:rFonts w:ascii="Times New Roman" w:hAnsi="Times New Roman" w:cs="Times New Roman" w:hint="default"/>
        <w:sz w:val="28"/>
        <w:szCs w:val="28"/>
      </w:rPr>
    </w:lvl>
    <w:lvl w:ilvl="1" w:tplc="04090019" w:tentative="1">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6" w15:restartNumberingAfterBreak="0">
    <w:nsid w:val="7D1B491A"/>
    <w:multiLevelType w:val="hybridMultilevel"/>
    <w:tmpl w:val="F23C852E"/>
    <w:lvl w:ilvl="0" w:tplc="693EFE72">
      <w:start w:val="1"/>
      <w:numFmt w:val="lowerLetter"/>
      <w:lvlText w:val="(%1)"/>
      <w:lvlJc w:val="left"/>
      <w:pPr>
        <w:ind w:left="3591" w:hanging="360"/>
      </w:pPr>
      <w:rPr>
        <w:rFonts w:hint="default"/>
      </w:rPr>
    </w:lvl>
    <w:lvl w:ilvl="1" w:tplc="04090019" w:tentative="1">
      <w:start w:val="1"/>
      <w:numFmt w:val="ideographTraditional"/>
      <w:lvlText w:val="%2、"/>
      <w:lvlJc w:val="left"/>
      <w:pPr>
        <w:ind w:left="4191" w:hanging="480"/>
      </w:pPr>
    </w:lvl>
    <w:lvl w:ilvl="2" w:tplc="0409001B">
      <w:start w:val="1"/>
      <w:numFmt w:val="lowerRoman"/>
      <w:lvlText w:val="%3."/>
      <w:lvlJc w:val="right"/>
      <w:pPr>
        <w:ind w:left="4671" w:hanging="480"/>
      </w:pPr>
    </w:lvl>
    <w:lvl w:ilvl="3" w:tplc="0409000F" w:tentative="1">
      <w:start w:val="1"/>
      <w:numFmt w:val="decimal"/>
      <w:lvlText w:val="%4."/>
      <w:lvlJc w:val="left"/>
      <w:pPr>
        <w:ind w:left="5151" w:hanging="480"/>
      </w:pPr>
    </w:lvl>
    <w:lvl w:ilvl="4" w:tplc="04090019" w:tentative="1">
      <w:start w:val="1"/>
      <w:numFmt w:val="ideographTraditional"/>
      <w:lvlText w:val="%5、"/>
      <w:lvlJc w:val="left"/>
      <w:pPr>
        <w:ind w:left="5631" w:hanging="480"/>
      </w:pPr>
    </w:lvl>
    <w:lvl w:ilvl="5" w:tplc="0409001B" w:tentative="1">
      <w:start w:val="1"/>
      <w:numFmt w:val="lowerRoman"/>
      <w:lvlText w:val="%6."/>
      <w:lvlJc w:val="right"/>
      <w:pPr>
        <w:ind w:left="6111" w:hanging="480"/>
      </w:pPr>
    </w:lvl>
    <w:lvl w:ilvl="6" w:tplc="0409000F" w:tentative="1">
      <w:start w:val="1"/>
      <w:numFmt w:val="decimal"/>
      <w:lvlText w:val="%7."/>
      <w:lvlJc w:val="left"/>
      <w:pPr>
        <w:ind w:left="6591" w:hanging="480"/>
      </w:pPr>
    </w:lvl>
    <w:lvl w:ilvl="7" w:tplc="04090019" w:tentative="1">
      <w:start w:val="1"/>
      <w:numFmt w:val="ideographTraditional"/>
      <w:lvlText w:val="%8、"/>
      <w:lvlJc w:val="left"/>
      <w:pPr>
        <w:ind w:left="7071" w:hanging="480"/>
      </w:pPr>
    </w:lvl>
    <w:lvl w:ilvl="8" w:tplc="0409001B" w:tentative="1">
      <w:start w:val="1"/>
      <w:numFmt w:val="lowerRoman"/>
      <w:lvlText w:val="%9."/>
      <w:lvlJc w:val="right"/>
      <w:pPr>
        <w:ind w:left="7551" w:hanging="480"/>
      </w:pPr>
    </w:lvl>
  </w:abstractNum>
  <w:abstractNum w:abstractNumId="47" w15:restartNumberingAfterBreak="0">
    <w:nsid w:val="7DE053EC"/>
    <w:multiLevelType w:val="hybridMultilevel"/>
    <w:tmpl w:val="5560BA78"/>
    <w:lvl w:ilvl="0" w:tplc="9DC2ABCC">
      <w:start w:val="1"/>
      <w:numFmt w:val="decimal"/>
      <w:lvlText w:val="(%1)"/>
      <w:lvlJc w:val="left"/>
      <w:pPr>
        <w:ind w:left="1068" w:hanging="360"/>
      </w:pPr>
      <w:rPr>
        <w:rFonts w:hint="default"/>
        <w:i w:val="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16cid:durableId="1135371992">
    <w:abstractNumId w:val="11"/>
  </w:num>
  <w:num w:numId="2" w16cid:durableId="1609580037">
    <w:abstractNumId w:val="20"/>
  </w:num>
  <w:num w:numId="3" w16cid:durableId="625280714">
    <w:abstractNumId w:val="29"/>
  </w:num>
  <w:num w:numId="4" w16cid:durableId="746338774">
    <w:abstractNumId w:val="33"/>
  </w:num>
  <w:num w:numId="5" w16cid:durableId="1483237451">
    <w:abstractNumId w:val="36"/>
  </w:num>
  <w:num w:numId="6" w16cid:durableId="1767187583">
    <w:abstractNumId w:val="35"/>
  </w:num>
  <w:num w:numId="7" w16cid:durableId="2075735729">
    <w:abstractNumId w:val="10"/>
  </w:num>
  <w:num w:numId="8" w16cid:durableId="1007485045">
    <w:abstractNumId w:val="8"/>
  </w:num>
  <w:num w:numId="9" w16cid:durableId="822545549">
    <w:abstractNumId w:val="34"/>
  </w:num>
  <w:num w:numId="10" w16cid:durableId="1661498540">
    <w:abstractNumId w:val="21"/>
  </w:num>
  <w:num w:numId="11" w16cid:durableId="527260423">
    <w:abstractNumId w:val="0"/>
  </w:num>
  <w:num w:numId="12" w16cid:durableId="350452171">
    <w:abstractNumId w:val="16"/>
  </w:num>
  <w:num w:numId="13" w16cid:durableId="350838275">
    <w:abstractNumId w:val="6"/>
  </w:num>
  <w:num w:numId="14" w16cid:durableId="656810053">
    <w:abstractNumId w:val="3"/>
  </w:num>
  <w:num w:numId="15" w16cid:durableId="1708287674">
    <w:abstractNumId w:val="18"/>
  </w:num>
  <w:num w:numId="16" w16cid:durableId="407849793">
    <w:abstractNumId w:val="19"/>
  </w:num>
  <w:num w:numId="17" w16cid:durableId="1568302503">
    <w:abstractNumId w:val="44"/>
  </w:num>
  <w:num w:numId="18" w16cid:durableId="550846341">
    <w:abstractNumId w:val="46"/>
  </w:num>
  <w:num w:numId="19" w16cid:durableId="41171888">
    <w:abstractNumId w:val="15"/>
  </w:num>
  <w:num w:numId="20" w16cid:durableId="442921451">
    <w:abstractNumId w:val="28"/>
  </w:num>
  <w:num w:numId="21" w16cid:durableId="576403384">
    <w:abstractNumId w:val="4"/>
  </w:num>
  <w:num w:numId="22" w16cid:durableId="2137916174">
    <w:abstractNumId w:val="1"/>
  </w:num>
  <w:num w:numId="23" w16cid:durableId="2056389437">
    <w:abstractNumId w:val="14"/>
  </w:num>
  <w:num w:numId="24" w16cid:durableId="325980131">
    <w:abstractNumId w:val="41"/>
  </w:num>
  <w:num w:numId="25" w16cid:durableId="959262939">
    <w:abstractNumId w:val="2"/>
  </w:num>
  <w:num w:numId="26" w16cid:durableId="970788919">
    <w:abstractNumId w:val="17"/>
  </w:num>
  <w:num w:numId="27" w16cid:durableId="1882791053">
    <w:abstractNumId w:val="32"/>
  </w:num>
  <w:num w:numId="28" w16cid:durableId="1337031472">
    <w:abstractNumId w:val="9"/>
  </w:num>
  <w:num w:numId="29" w16cid:durableId="699475906">
    <w:abstractNumId w:val="26"/>
  </w:num>
  <w:num w:numId="30" w16cid:durableId="1022241005">
    <w:abstractNumId w:val="39"/>
  </w:num>
  <w:num w:numId="31" w16cid:durableId="503009038">
    <w:abstractNumId w:val="47"/>
  </w:num>
  <w:num w:numId="32" w16cid:durableId="357051179">
    <w:abstractNumId w:val="30"/>
  </w:num>
  <w:num w:numId="33" w16cid:durableId="8795344">
    <w:abstractNumId w:val="12"/>
  </w:num>
  <w:num w:numId="34" w16cid:durableId="1159492356">
    <w:abstractNumId w:val="5"/>
  </w:num>
  <w:num w:numId="35" w16cid:durableId="907888652">
    <w:abstractNumId w:val="27"/>
  </w:num>
  <w:num w:numId="36" w16cid:durableId="1371219878">
    <w:abstractNumId w:val="40"/>
  </w:num>
  <w:num w:numId="37" w16cid:durableId="1447121009">
    <w:abstractNumId w:val="42"/>
  </w:num>
  <w:num w:numId="38" w16cid:durableId="413937144">
    <w:abstractNumId w:val="22"/>
  </w:num>
  <w:num w:numId="39" w16cid:durableId="1458988994">
    <w:abstractNumId w:val="45"/>
  </w:num>
  <w:num w:numId="40" w16cid:durableId="1690255545">
    <w:abstractNumId w:val="38"/>
  </w:num>
  <w:num w:numId="41" w16cid:durableId="569195733">
    <w:abstractNumId w:val="43"/>
  </w:num>
  <w:num w:numId="42" w16cid:durableId="2047171082">
    <w:abstractNumId w:val="23"/>
  </w:num>
  <w:num w:numId="43" w16cid:durableId="827744483">
    <w:abstractNumId w:val="13"/>
  </w:num>
  <w:num w:numId="44" w16cid:durableId="2632335">
    <w:abstractNumId w:val="24"/>
  </w:num>
  <w:num w:numId="45" w16cid:durableId="2053724679">
    <w:abstractNumId w:val="7"/>
  </w:num>
  <w:num w:numId="46" w16cid:durableId="751702211">
    <w:abstractNumId w:val="31"/>
  </w:num>
  <w:num w:numId="47" w16cid:durableId="869689309">
    <w:abstractNumId w:val="25"/>
  </w:num>
  <w:num w:numId="48" w16cid:durableId="144738780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ocumentProtection w:edit="readOnly" w:formatting="1" w:enforcement="1" w:cryptProviderType="rsaAES" w:cryptAlgorithmClass="hash" w:cryptAlgorithmType="typeAny" w:cryptAlgorithmSid="14" w:cryptSpinCount="100000" w:hash="kH0smJNAt8+0vU9FdaVlNTgEyxeOCsdeUwMl5j32CzSuvlp2k9cGgJS28EworjWNqiS4G58cYylkwvoZd7P6oA==" w:salt="H+nbfdWgJlQP0L6Ld+e3+w=="/>
  <w:defaultTabStop w:val="1531"/>
  <w:displayHorizontalDrawingGridEvery w:val="0"/>
  <w:displayVerticalDrawingGridEvery w:val="2"/>
  <w:characterSpacingControl w:val="compressPunctuation"/>
  <w:hdrShapeDefaults>
    <o:shapedefaults v:ext="edit" spidmax="573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049"/>
    <w:rsid w:val="00000EB5"/>
    <w:rsid w:val="00005661"/>
    <w:rsid w:val="00010BB3"/>
    <w:rsid w:val="0005093F"/>
    <w:rsid w:val="0007135D"/>
    <w:rsid w:val="000A0EDC"/>
    <w:rsid w:val="000A3857"/>
    <w:rsid w:val="000C035C"/>
    <w:rsid w:val="000E63ED"/>
    <w:rsid w:val="00100873"/>
    <w:rsid w:val="001047B2"/>
    <w:rsid w:val="00114B93"/>
    <w:rsid w:val="001228EB"/>
    <w:rsid w:val="00125EBE"/>
    <w:rsid w:val="0014269A"/>
    <w:rsid w:val="00151D69"/>
    <w:rsid w:val="001569E4"/>
    <w:rsid w:val="001655E3"/>
    <w:rsid w:val="0016646F"/>
    <w:rsid w:val="00177E64"/>
    <w:rsid w:val="00190337"/>
    <w:rsid w:val="001E3333"/>
    <w:rsid w:val="00211222"/>
    <w:rsid w:val="00253A20"/>
    <w:rsid w:val="00255F85"/>
    <w:rsid w:val="00255FC7"/>
    <w:rsid w:val="00261742"/>
    <w:rsid w:val="00275A8E"/>
    <w:rsid w:val="002869B5"/>
    <w:rsid w:val="0029645D"/>
    <w:rsid w:val="002B02FB"/>
    <w:rsid w:val="002B6141"/>
    <w:rsid w:val="002B79F8"/>
    <w:rsid w:val="002C34C6"/>
    <w:rsid w:val="002F0CEC"/>
    <w:rsid w:val="002F112B"/>
    <w:rsid w:val="002F22A5"/>
    <w:rsid w:val="002F50C2"/>
    <w:rsid w:val="002F77AF"/>
    <w:rsid w:val="0031601D"/>
    <w:rsid w:val="00360095"/>
    <w:rsid w:val="00371052"/>
    <w:rsid w:val="003721CE"/>
    <w:rsid w:val="00385EB6"/>
    <w:rsid w:val="003A01EA"/>
    <w:rsid w:val="003A19FE"/>
    <w:rsid w:val="003B2F11"/>
    <w:rsid w:val="003C623A"/>
    <w:rsid w:val="003E4F84"/>
    <w:rsid w:val="00417284"/>
    <w:rsid w:val="00440030"/>
    <w:rsid w:val="00467138"/>
    <w:rsid w:val="00474300"/>
    <w:rsid w:val="00476344"/>
    <w:rsid w:val="00494C40"/>
    <w:rsid w:val="004B075C"/>
    <w:rsid w:val="004E2860"/>
    <w:rsid w:val="004E6030"/>
    <w:rsid w:val="004E6032"/>
    <w:rsid w:val="00505108"/>
    <w:rsid w:val="00530250"/>
    <w:rsid w:val="00530CDB"/>
    <w:rsid w:val="005331A1"/>
    <w:rsid w:val="00536932"/>
    <w:rsid w:val="00552DCD"/>
    <w:rsid w:val="0055504D"/>
    <w:rsid w:val="00556BED"/>
    <w:rsid w:val="005570C6"/>
    <w:rsid w:val="00571FEB"/>
    <w:rsid w:val="0058568E"/>
    <w:rsid w:val="00590EE5"/>
    <w:rsid w:val="00594924"/>
    <w:rsid w:val="005A72E6"/>
    <w:rsid w:val="005B3063"/>
    <w:rsid w:val="005B4C1C"/>
    <w:rsid w:val="005C18AE"/>
    <w:rsid w:val="005C52DD"/>
    <w:rsid w:val="005E2D04"/>
    <w:rsid w:val="00626338"/>
    <w:rsid w:val="0063538C"/>
    <w:rsid w:val="00640F82"/>
    <w:rsid w:val="006452BC"/>
    <w:rsid w:val="00654DFE"/>
    <w:rsid w:val="0067672D"/>
    <w:rsid w:val="006873D6"/>
    <w:rsid w:val="0069110A"/>
    <w:rsid w:val="00695727"/>
    <w:rsid w:val="006B61F9"/>
    <w:rsid w:val="006C6786"/>
    <w:rsid w:val="006C77C1"/>
    <w:rsid w:val="006D0BFE"/>
    <w:rsid w:val="006D3491"/>
    <w:rsid w:val="006D4878"/>
    <w:rsid w:val="006E017E"/>
    <w:rsid w:val="00703607"/>
    <w:rsid w:val="00707032"/>
    <w:rsid w:val="007171F1"/>
    <w:rsid w:val="0079151B"/>
    <w:rsid w:val="007A2014"/>
    <w:rsid w:val="007B291B"/>
    <w:rsid w:val="007B7C48"/>
    <w:rsid w:val="007D04FA"/>
    <w:rsid w:val="007E2B73"/>
    <w:rsid w:val="00820776"/>
    <w:rsid w:val="0082396B"/>
    <w:rsid w:val="0083055E"/>
    <w:rsid w:val="00831317"/>
    <w:rsid w:val="008635D5"/>
    <w:rsid w:val="0086418C"/>
    <w:rsid w:val="008749FF"/>
    <w:rsid w:val="008755E7"/>
    <w:rsid w:val="00876A33"/>
    <w:rsid w:val="008833AA"/>
    <w:rsid w:val="00887FC3"/>
    <w:rsid w:val="008A1475"/>
    <w:rsid w:val="008A6200"/>
    <w:rsid w:val="008A6C61"/>
    <w:rsid w:val="008D62A7"/>
    <w:rsid w:val="008F3CEB"/>
    <w:rsid w:val="00910564"/>
    <w:rsid w:val="00923529"/>
    <w:rsid w:val="0092638D"/>
    <w:rsid w:val="00941E77"/>
    <w:rsid w:val="00952241"/>
    <w:rsid w:val="009535E7"/>
    <w:rsid w:val="00977262"/>
    <w:rsid w:val="009A5D9B"/>
    <w:rsid w:val="009A70B1"/>
    <w:rsid w:val="009A72D1"/>
    <w:rsid w:val="00A201A3"/>
    <w:rsid w:val="00A21005"/>
    <w:rsid w:val="00A53259"/>
    <w:rsid w:val="00A61C8B"/>
    <w:rsid w:val="00A63644"/>
    <w:rsid w:val="00A64722"/>
    <w:rsid w:val="00A678B5"/>
    <w:rsid w:val="00A749D7"/>
    <w:rsid w:val="00A74B10"/>
    <w:rsid w:val="00A958E6"/>
    <w:rsid w:val="00A96CD4"/>
    <w:rsid w:val="00A96F0C"/>
    <w:rsid w:val="00AA23ED"/>
    <w:rsid w:val="00AA2E5C"/>
    <w:rsid w:val="00AA5686"/>
    <w:rsid w:val="00AB5BC4"/>
    <w:rsid w:val="00AC3CB6"/>
    <w:rsid w:val="00AD27BD"/>
    <w:rsid w:val="00AE0298"/>
    <w:rsid w:val="00B02823"/>
    <w:rsid w:val="00B060A1"/>
    <w:rsid w:val="00B12D73"/>
    <w:rsid w:val="00B232A8"/>
    <w:rsid w:val="00B3352D"/>
    <w:rsid w:val="00B51049"/>
    <w:rsid w:val="00B52BAF"/>
    <w:rsid w:val="00B7011F"/>
    <w:rsid w:val="00BA38EE"/>
    <w:rsid w:val="00BA3A4C"/>
    <w:rsid w:val="00BA5662"/>
    <w:rsid w:val="00BA7D85"/>
    <w:rsid w:val="00BC22AC"/>
    <w:rsid w:val="00BC3B2F"/>
    <w:rsid w:val="00BF35CA"/>
    <w:rsid w:val="00C04D3B"/>
    <w:rsid w:val="00C07B27"/>
    <w:rsid w:val="00C228B4"/>
    <w:rsid w:val="00C22B93"/>
    <w:rsid w:val="00C3100B"/>
    <w:rsid w:val="00C354CE"/>
    <w:rsid w:val="00C42DC3"/>
    <w:rsid w:val="00C56C28"/>
    <w:rsid w:val="00C70DDC"/>
    <w:rsid w:val="00C71095"/>
    <w:rsid w:val="00C76009"/>
    <w:rsid w:val="00CA05D5"/>
    <w:rsid w:val="00CA0E7C"/>
    <w:rsid w:val="00CA47BC"/>
    <w:rsid w:val="00CA6261"/>
    <w:rsid w:val="00CB4FDC"/>
    <w:rsid w:val="00CC0372"/>
    <w:rsid w:val="00CC0764"/>
    <w:rsid w:val="00CD386F"/>
    <w:rsid w:val="00CF289C"/>
    <w:rsid w:val="00D93F3F"/>
    <w:rsid w:val="00D95040"/>
    <w:rsid w:val="00D95B53"/>
    <w:rsid w:val="00DB2B2C"/>
    <w:rsid w:val="00DB4718"/>
    <w:rsid w:val="00DB7BFF"/>
    <w:rsid w:val="00DC16BC"/>
    <w:rsid w:val="00E024EC"/>
    <w:rsid w:val="00E10430"/>
    <w:rsid w:val="00E112B1"/>
    <w:rsid w:val="00E1192D"/>
    <w:rsid w:val="00E136C2"/>
    <w:rsid w:val="00E333D4"/>
    <w:rsid w:val="00E34211"/>
    <w:rsid w:val="00E41307"/>
    <w:rsid w:val="00E557BA"/>
    <w:rsid w:val="00E96F87"/>
    <w:rsid w:val="00EA125C"/>
    <w:rsid w:val="00EA68D9"/>
    <w:rsid w:val="00EC7AAB"/>
    <w:rsid w:val="00EF3B23"/>
    <w:rsid w:val="00F02097"/>
    <w:rsid w:val="00F06EDD"/>
    <w:rsid w:val="00F149BE"/>
    <w:rsid w:val="00F1743D"/>
    <w:rsid w:val="00F2458A"/>
    <w:rsid w:val="00F272A4"/>
    <w:rsid w:val="00F3374E"/>
    <w:rsid w:val="00F42CDD"/>
    <w:rsid w:val="00F431ED"/>
    <w:rsid w:val="00F43ED8"/>
    <w:rsid w:val="00F6141A"/>
    <w:rsid w:val="00F757BA"/>
    <w:rsid w:val="00F76B39"/>
    <w:rsid w:val="00F802A7"/>
    <w:rsid w:val="00FB656C"/>
    <w:rsid w:val="00FC0E12"/>
    <w:rsid w:val="00FD79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9B634A6"/>
  <w15:chartTrackingRefBased/>
  <w15:docId w15:val="{44C02085-C917-45C6-B2AE-9944CC8C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661"/>
    <w:pPr>
      <w:overflowPunct w:val="0"/>
      <w:autoSpaceDE w:val="0"/>
      <w:autoSpaceDN w:val="0"/>
      <w:adjustRightInd w:val="0"/>
      <w:textAlignment w:val="baseline"/>
    </w:pPr>
    <w:rPr>
      <w:rFonts w:ascii="Times New Roman" w:eastAsia="細明體" w:hAnsi="Times New Roman" w:cs="Times New Roman"/>
      <w:kern w:val="0"/>
      <w:sz w:val="20"/>
      <w:szCs w:val="20"/>
      <w:lang w:val="en-GB"/>
    </w:rPr>
  </w:style>
  <w:style w:type="paragraph" w:styleId="4">
    <w:name w:val="heading 4"/>
    <w:basedOn w:val="a"/>
    <w:next w:val="a"/>
    <w:link w:val="40"/>
    <w:uiPriority w:val="9"/>
    <w:semiHidden/>
    <w:unhideWhenUsed/>
    <w:qFormat/>
    <w:rsid w:val="002F0CEC"/>
    <w:pPr>
      <w:keepNext/>
      <w:spacing w:line="720" w:lineRule="auto"/>
      <w:outlineLvl w:val="3"/>
    </w:pPr>
    <w:rPr>
      <w:rFonts w:asciiTheme="majorHAnsi" w:eastAsiaTheme="majorEastAsia" w:hAnsiTheme="majorHAnsi" w:cstheme="majorBidi"/>
      <w:sz w:val="36"/>
      <w:szCs w:val="36"/>
    </w:rPr>
  </w:style>
  <w:style w:type="paragraph" w:styleId="6">
    <w:name w:val="heading 6"/>
    <w:basedOn w:val="a"/>
    <w:next w:val="a"/>
    <w:link w:val="60"/>
    <w:qFormat/>
    <w:rsid w:val="002F0CEC"/>
    <w:pPr>
      <w:keepNext/>
      <w:kinsoku w:val="0"/>
      <w:snapToGrid w:val="0"/>
      <w:jc w:val="both"/>
      <w:outlineLvl w:val="5"/>
    </w:pPr>
    <w:rPr>
      <w:b/>
      <w:snapToGrid w:val="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6261"/>
    <w:pPr>
      <w:tabs>
        <w:tab w:val="center" w:pos="4153"/>
        <w:tab w:val="right" w:pos="8306"/>
      </w:tabs>
      <w:snapToGrid w:val="0"/>
    </w:pPr>
  </w:style>
  <w:style w:type="character" w:customStyle="1" w:styleId="a4">
    <w:name w:val="頁首 字元"/>
    <w:basedOn w:val="a0"/>
    <w:link w:val="a3"/>
    <w:uiPriority w:val="99"/>
    <w:rsid w:val="00CA6261"/>
    <w:rPr>
      <w:sz w:val="20"/>
      <w:szCs w:val="20"/>
    </w:rPr>
  </w:style>
  <w:style w:type="paragraph" w:styleId="a5">
    <w:name w:val="footer"/>
    <w:basedOn w:val="a"/>
    <w:link w:val="a6"/>
    <w:uiPriority w:val="99"/>
    <w:unhideWhenUsed/>
    <w:rsid w:val="00CA6261"/>
    <w:pPr>
      <w:tabs>
        <w:tab w:val="center" w:pos="4153"/>
        <w:tab w:val="right" w:pos="8306"/>
      </w:tabs>
      <w:snapToGrid w:val="0"/>
    </w:pPr>
  </w:style>
  <w:style w:type="character" w:customStyle="1" w:styleId="a6">
    <w:name w:val="頁尾 字元"/>
    <w:basedOn w:val="a0"/>
    <w:link w:val="a5"/>
    <w:uiPriority w:val="99"/>
    <w:rsid w:val="00CA6261"/>
    <w:rPr>
      <w:sz w:val="20"/>
      <w:szCs w:val="20"/>
    </w:rPr>
  </w:style>
  <w:style w:type="character" w:customStyle="1" w:styleId="60">
    <w:name w:val="標題 6 字元"/>
    <w:basedOn w:val="a0"/>
    <w:link w:val="6"/>
    <w:rsid w:val="002F0CEC"/>
    <w:rPr>
      <w:rFonts w:ascii="Times New Roman" w:eastAsia="細明體" w:hAnsi="Times New Roman" w:cs="Times New Roman"/>
      <w:b/>
      <w:snapToGrid w:val="0"/>
      <w:kern w:val="0"/>
      <w:sz w:val="20"/>
      <w:szCs w:val="20"/>
      <w:lang w:val="en-GB" w:eastAsia="zh-CN"/>
    </w:rPr>
  </w:style>
  <w:style w:type="paragraph" w:customStyle="1" w:styleId="normal1">
    <w:name w:val="normal1"/>
    <w:basedOn w:val="a"/>
    <w:rsid w:val="002F0CEC"/>
    <w:pPr>
      <w:tabs>
        <w:tab w:val="left" w:pos="1411"/>
      </w:tabs>
      <w:kinsoku w:val="0"/>
      <w:snapToGrid w:val="0"/>
      <w:jc w:val="center"/>
    </w:pPr>
    <w:rPr>
      <w:snapToGrid w:val="0"/>
      <w:sz w:val="28"/>
      <w:lang w:eastAsia="zh-CN"/>
    </w:rPr>
  </w:style>
  <w:style w:type="paragraph" w:customStyle="1" w:styleId="normal2">
    <w:name w:val="normal2"/>
    <w:rsid w:val="002F0CEC"/>
    <w:pPr>
      <w:kinsoku w:val="0"/>
      <w:overflowPunct w:val="0"/>
      <w:autoSpaceDE w:val="0"/>
      <w:autoSpaceDN w:val="0"/>
      <w:adjustRightInd w:val="0"/>
      <w:snapToGrid w:val="0"/>
      <w:jc w:val="center"/>
    </w:pPr>
    <w:rPr>
      <w:rFonts w:ascii="Times New Roman" w:eastAsia="SimSun" w:hAnsi="Times New Roman" w:cs="Times New Roman"/>
      <w:caps/>
      <w:kern w:val="28"/>
      <w:sz w:val="28"/>
      <w:szCs w:val="28"/>
      <w:lang w:val="en-GB" w:eastAsia="en-US"/>
    </w:rPr>
  </w:style>
  <w:style w:type="paragraph" w:customStyle="1" w:styleId="normal3">
    <w:name w:val="normal3"/>
    <w:rsid w:val="002F0CEC"/>
    <w:pPr>
      <w:tabs>
        <w:tab w:val="center" w:pos="4500"/>
        <w:tab w:val="right" w:pos="9000"/>
      </w:tabs>
      <w:kinsoku w:val="0"/>
      <w:overflowPunct w:val="0"/>
      <w:autoSpaceDE w:val="0"/>
      <w:autoSpaceDN w:val="0"/>
      <w:adjustRightInd w:val="0"/>
      <w:spacing w:after="60"/>
      <w:jc w:val="center"/>
    </w:pPr>
    <w:rPr>
      <w:rFonts w:ascii="Times New Roman" w:eastAsia="細明體" w:hAnsi="Times New Roman" w:cs="Times New Roman"/>
      <w:b/>
      <w:caps/>
      <w:kern w:val="0"/>
      <w:sz w:val="28"/>
      <w:szCs w:val="20"/>
      <w:lang w:val="en-GB" w:eastAsia="en-US"/>
    </w:rPr>
  </w:style>
  <w:style w:type="paragraph" w:customStyle="1" w:styleId="j-heading">
    <w:name w:val="j-heading"/>
    <w:basedOn w:val="4"/>
    <w:next w:val="a"/>
    <w:rsid w:val="002F0CEC"/>
    <w:pPr>
      <w:kinsoku w:val="0"/>
      <w:snapToGrid w:val="0"/>
      <w:spacing w:before="360" w:line="360" w:lineRule="auto"/>
    </w:pPr>
    <w:rPr>
      <w:rFonts w:ascii="Times New Roman" w:eastAsia="SimSun" w:hAnsi="Times New Roman" w:cs="Times New Roman"/>
      <w:i/>
      <w:snapToGrid w:val="0"/>
      <w:sz w:val="28"/>
      <w:szCs w:val="20"/>
      <w:lang w:eastAsia="zh-CN"/>
    </w:rPr>
  </w:style>
  <w:style w:type="paragraph" w:customStyle="1" w:styleId="j-quotation">
    <w:name w:val="j-quotation"/>
    <w:next w:val="a7"/>
    <w:rsid w:val="002F0CEC"/>
    <w:pPr>
      <w:tabs>
        <w:tab w:val="left" w:pos="1418"/>
      </w:tabs>
      <w:kinsoku w:val="0"/>
      <w:overflowPunct w:val="0"/>
      <w:autoSpaceDE w:val="0"/>
      <w:autoSpaceDN w:val="0"/>
      <w:adjustRightInd w:val="0"/>
      <w:snapToGrid w:val="0"/>
      <w:spacing w:before="180" w:after="60"/>
      <w:ind w:left="1418" w:right="737"/>
      <w:jc w:val="both"/>
    </w:pPr>
    <w:rPr>
      <w:rFonts w:ascii="Times New Roman" w:eastAsia="SimSun" w:hAnsi="Times New Roman" w:cs="Times New Roman"/>
      <w:kern w:val="0"/>
      <w:szCs w:val="20"/>
      <w:lang w:val="en-GB" w:eastAsia="en-US"/>
    </w:rPr>
  </w:style>
  <w:style w:type="paragraph" w:styleId="a8">
    <w:name w:val="footnote text"/>
    <w:basedOn w:val="a"/>
    <w:link w:val="a9"/>
    <w:uiPriority w:val="99"/>
    <w:unhideWhenUsed/>
    <w:rsid w:val="002F0CEC"/>
    <w:pPr>
      <w:tabs>
        <w:tab w:val="left" w:pos="274"/>
      </w:tabs>
    </w:pPr>
    <w:rPr>
      <w:rFonts w:eastAsia="SimSun"/>
      <w:lang w:eastAsia="zh-CN"/>
    </w:rPr>
  </w:style>
  <w:style w:type="character" w:customStyle="1" w:styleId="a9">
    <w:name w:val="註腳文字 字元"/>
    <w:basedOn w:val="a0"/>
    <w:link w:val="a8"/>
    <w:uiPriority w:val="99"/>
    <w:rsid w:val="002F0CEC"/>
    <w:rPr>
      <w:rFonts w:ascii="Times New Roman" w:eastAsia="SimSun" w:hAnsi="Times New Roman" w:cs="Times New Roman"/>
      <w:kern w:val="0"/>
      <w:sz w:val="20"/>
      <w:szCs w:val="20"/>
      <w:lang w:val="en-GB" w:eastAsia="zh-CN"/>
    </w:rPr>
  </w:style>
  <w:style w:type="character" w:styleId="aa">
    <w:name w:val="footnote reference"/>
    <w:uiPriority w:val="99"/>
    <w:unhideWhenUsed/>
    <w:rsid w:val="002F0CEC"/>
    <w:rPr>
      <w:vertAlign w:val="superscript"/>
    </w:rPr>
  </w:style>
  <w:style w:type="paragraph" w:customStyle="1" w:styleId="sh">
    <w:name w:val="sh"/>
    <w:basedOn w:val="a"/>
    <w:rsid w:val="002F0CEC"/>
    <w:pPr>
      <w:tabs>
        <w:tab w:val="left" w:pos="720"/>
        <w:tab w:val="left" w:pos="1440"/>
        <w:tab w:val="center" w:pos="4320"/>
        <w:tab w:val="right" w:pos="9072"/>
      </w:tabs>
    </w:pPr>
    <w:rPr>
      <w:rFonts w:eastAsia="SimSun"/>
      <w:sz w:val="28"/>
      <w:lang w:eastAsia="zh-CN"/>
    </w:rPr>
  </w:style>
  <w:style w:type="paragraph" w:customStyle="1" w:styleId="T-Draft">
    <w:name w:val="T-Draft"/>
    <w:basedOn w:val="a"/>
    <w:rsid w:val="002F0CEC"/>
    <w:pPr>
      <w:numPr>
        <w:numId w:val="1"/>
      </w:numPr>
      <w:tabs>
        <w:tab w:val="left" w:pos="1440"/>
      </w:tabs>
      <w:snapToGrid w:val="0"/>
      <w:spacing w:before="360" w:line="360" w:lineRule="auto"/>
      <w:ind w:left="0" w:firstLine="0"/>
      <w:jc w:val="both"/>
    </w:pPr>
    <w:rPr>
      <w:rFonts w:eastAsia="SimSun"/>
      <w:sz w:val="28"/>
      <w:lang w:eastAsia="zh-CN"/>
    </w:rPr>
  </w:style>
  <w:style w:type="numbering" w:customStyle="1" w:styleId="1a">
    <w:name w:val="(1)(a)"/>
    <w:uiPriority w:val="99"/>
    <w:rsid w:val="002F0CEC"/>
    <w:pPr>
      <w:numPr>
        <w:numId w:val="2"/>
      </w:numPr>
    </w:pPr>
  </w:style>
  <w:style w:type="character" w:customStyle="1" w:styleId="40">
    <w:name w:val="標題 4 字元"/>
    <w:basedOn w:val="a0"/>
    <w:link w:val="4"/>
    <w:uiPriority w:val="9"/>
    <w:semiHidden/>
    <w:rsid w:val="002F0CEC"/>
    <w:rPr>
      <w:rFonts w:asciiTheme="majorHAnsi" w:eastAsiaTheme="majorEastAsia" w:hAnsiTheme="majorHAnsi" w:cstheme="majorBidi"/>
      <w:sz w:val="36"/>
      <w:szCs w:val="36"/>
    </w:rPr>
  </w:style>
  <w:style w:type="paragraph" w:styleId="a7">
    <w:name w:val="Body Text"/>
    <w:basedOn w:val="a"/>
    <w:link w:val="ab"/>
    <w:uiPriority w:val="99"/>
    <w:semiHidden/>
    <w:unhideWhenUsed/>
    <w:rsid w:val="002F0CEC"/>
    <w:pPr>
      <w:spacing w:after="120"/>
    </w:pPr>
  </w:style>
  <w:style w:type="character" w:customStyle="1" w:styleId="ab">
    <w:name w:val="本文 字元"/>
    <w:basedOn w:val="a0"/>
    <w:link w:val="a7"/>
    <w:uiPriority w:val="99"/>
    <w:semiHidden/>
    <w:rsid w:val="002F0CEC"/>
  </w:style>
  <w:style w:type="paragraph" w:styleId="ac">
    <w:name w:val="List Paragraph"/>
    <w:basedOn w:val="a"/>
    <w:uiPriority w:val="34"/>
    <w:qFormat/>
    <w:rsid w:val="002F0CEC"/>
    <w:pPr>
      <w:ind w:leftChars="200" w:left="480"/>
    </w:pPr>
  </w:style>
  <w:style w:type="table" w:styleId="ad">
    <w:name w:val="Table Grid"/>
    <w:basedOn w:val="a1"/>
    <w:uiPriority w:val="59"/>
    <w:rsid w:val="00695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95727"/>
    <w:rPr>
      <w:sz w:val="18"/>
      <w:szCs w:val="18"/>
    </w:rPr>
  </w:style>
  <w:style w:type="paragraph" w:styleId="af">
    <w:name w:val="annotation text"/>
    <w:basedOn w:val="a"/>
    <w:link w:val="af0"/>
    <w:uiPriority w:val="99"/>
    <w:semiHidden/>
    <w:unhideWhenUsed/>
    <w:rsid w:val="00695727"/>
  </w:style>
  <w:style w:type="character" w:customStyle="1" w:styleId="af0">
    <w:name w:val="註解文字 字元"/>
    <w:basedOn w:val="a0"/>
    <w:link w:val="af"/>
    <w:uiPriority w:val="99"/>
    <w:semiHidden/>
    <w:rsid w:val="00695727"/>
    <w:rPr>
      <w:lang w:val="en-GB"/>
    </w:rPr>
  </w:style>
  <w:style w:type="paragraph" w:styleId="af1">
    <w:name w:val="annotation subject"/>
    <w:basedOn w:val="af"/>
    <w:next w:val="af"/>
    <w:link w:val="af2"/>
    <w:uiPriority w:val="99"/>
    <w:semiHidden/>
    <w:unhideWhenUsed/>
    <w:rsid w:val="00695727"/>
    <w:rPr>
      <w:b/>
      <w:bCs/>
    </w:rPr>
  </w:style>
  <w:style w:type="character" w:customStyle="1" w:styleId="af2">
    <w:name w:val="註解主旨 字元"/>
    <w:basedOn w:val="af0"/>
    <w:link w:val="af1"/>
    <w:uiPriority w:val="99"/>
    <w:semiHidden/>
    <w:rsid w:val="00695727"/>
    <w:rPr>
      <w:b/>
      <w:bCs/>
      <w:lang w:val="en-GB"/>
    </w:rPr>
  </w:style>
  <w:style w:type="paragraph" w:styleId="af3">
    <w:name w:val="Revision"/>
    <w:hidden/>
    <w:uiPriority w:val="99"/>
    <w:semiHidden/>
    <w:rsid w:val="00695727"/>
    <w:rPr>
      <w:lang w:val="en-GB"/>
    </w:rPr>
  </w:style>
  <w:style w:type="paragraph" w:styleId="af4">
    <w:name w:val="Balloon Text"/>
    <w:basedOn w:val="a"/>
    <w:link w:val="af5"/>
    <w:uiPriority w:val="99"/>
    <w:semiHidden/>
    <w:unhideWhenUsed/>
    <w:rsid w:val="00695727"/>
    <w:rPr>
      <w:rFonts w:asciiTheme="majorHAnsi" w:eastAsiaTheme="majorEastAsia" w:hAnsiTheme="majorHAnsi" w:cstheme="majorBidi"/>
      <w:sz w:val="18"/>
      <w:szCs w:val="18"/>
    </w:rPr>
  </w:style>
  <w:style w:type="character" w:customStyle="1" w:styleId="af5">
    <w:name w:val="註解方塊文字 字元"/>
    <w:basedOn w:val="a0"/>
    <w:link w:val="af4"/>
    <w:uiPriority w:val="99"/>
    <w:semiHidden/>
    <w:rsid w:val="00695727"/>
    <w:rPr>
      <w:rFonts w:asciiTheme="majorHAnsi" w:eastAsiaTheme="majorEastAsia" w:hAnsiTheme="majorHAnsi" w:cstheme="majorBidi"/>
      <w:sz w:val="18"/>
      <w:szCs w:val="18"/>
      <w:lang w:val="en-GB"/>
    </w:rPr>
  </w:style>
  <w:style w:type="paragraph" w:styleId="af6">
    <w:name w:val="Body Text Indent"/>
    <w:basedOn w:val="a"/>
    <w:link w:val="af7"/>
    <w:semiHidden/>
    <w:rsid w:val="00695727"/>
    <w:pPr>
      <w:ind w:left="720" w:hangingChars="300" w:hanging="720"/>
      <w:jc w:val="both"/>
    </w:pPr>
    <w:rPr>
      <w:rFonts w:ascii="CG Times" w:eastAsia="新細明體" w:hAnsi="CG Times"/>
    </w:rPr>
  </w:style>
  <w:style w:type="character" w:customStyle="1" w:styleId="af7">
    <w:name w:val="本文縮排 字元"/>
    <w:basedOn w:val="a0"/>
    <w:link w:val="af6"/>
    <w:semiHidden/>
    <w:rsid w:val="00695727"/>
    <w:rPr>
      <w:rFonts w:ascii="CG Times" w:eastAsia="新細明體" w:hAnsi="CG Times" w:cs="Times New Roman"/>
      <w:kern w:val="0"/>
      <w:szCs w:val="20"/>
      <w:lang w:val="en-GB"/>
    </w:rPr>
  </w:style>
  <w:style w:type="character" w:customStyle="1" w:styleId="nowrap">
    <w:name w:val="nowrap"/>
    <w:basedOn w:val="a0"/>
    <w:rsid w:val="00695727"/>
  </w:style>
  <w:style w:type="paragraph" w:styleId="af8">
    <w:name w:val="Title"/>
    <w:basedOn w:val="a"/>
    <w:link w:val="af9"/>
    <w:qFormat/>
    <w:rsid w:val="00F272A4"/>
    <w:pPr>
      <w:jc w:val="center"/>
    </w:pPr>
    <w:rPr>
      <w:rFonts w:ascii="CG Times (W1)" w:hAnsi="CG Times (W1)"/>
      <w:b/>
      <w:sz w:val="24"/>
    </w:rPr>
  </w:style>
  <w:style w:type="character" w:customStyle="1" w:styleId="af9">
    <w:name w:val="標題 字元"/>
    <w:basedOn w:val="a0"/>
    <w:link w:val="af8"/>
    <w:rsid w:val="00F272A4"/>
    <w:rPr>
      <w:rFonts w:ascii="CG Times (W1)" w:eastAsia="細明體" w:hAnsi="CG Times (W1)" w:cs="Times New Roman"/>
      <w:b/>
      <w:kern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IRBRD\&#31684;&#26412;.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6BFA4-A06A-4DE8-A9CB-D3EEDE464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範本.dotx</Template>
  <TotalTime>1</TotalTime>
  <Pages>12</Pages>
  <Words>1931</Words>
  <Characters>11007</Characters>
  <Application>Microsoft Office Word</Application>
  <DocSecurity>8</DocSecurity>
  <Lines>91</Lines>
  <Paragraphs>25</Paragraphs>
  <ScaleCrop>false</ScaleCrop>
  <Company>HKSARG</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HS CHAN [CA[G]2_BOR]</dc:creator>
  <cp:keywords/>
  <dc:description/>
  <cp:lastModifiedBy>Beryl PT WONG</cp:lastModifiedBy>
  <cp:revision>3</cp:revision>
  <cp:lastPrinted>2025-11-24T09:58:00Z</cp:lastPrinted>
  <dcterms:created xsi:type="dcterms:W3CDTF">2025-11-24T09:58:00Z</dcterms:created>
  <dcterms:modified xsi:type="dcterms:W3CDTF">2025-11-24T09:59:00Z</dcterms:modified>
  <cp:contentStatus>完稿</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