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28" w:rsidRPr="00031A5E" w:rsidRDefault="00273A28" w:rsidP="00031A5E">
      <w:pPr>
        <w:pStyle w:val="ad"/>
        <w:tabs>
          <w:tab w:val="left" w:pos="1276"/>
        </w:tabs>
        <w:rPr>
          <w:rFonts w:ascii="Times New Roman" w:eastAsia="華康楷書體W5" w:hAnsi="Times New Roman"/>
          <w:szCs w:val="24"/>
        </w:rPr>
      </w:pPr>
      <w:r w:rsidRPr="00031A5E">
        <w:rPr>
          <w:rFonts w:ascii="Times New Roman" w:eastAsia="華康楷書體W5" w:hAnsi="Times New Roman"/>
          <w:szCs w:val="24"/>
        </w:rPr>
        <w:t>Case No. D19</w:t>
      </w:r>
      <w:r w:rsidRPr="00031A5E">
        <w:rPr>
          <w:rFonts w:ascii="Times New Roman" w:eastAsia="華康楷書體W5" w:hAnsi="Times New Roman"/>
          <w:szCs w:val="24"/>
          <w:lang w:eastAsia="zh-HK"/>
        </w:rPr>
        <w:t>/20</w:t>
      </w:r>
    </w:p>
    <w:p w:rsidR="00273A28" w:rsidRPr="00031A5E" w:rsidRDefault="00273A28" w:rsidP="00031A5E">
      <w:pPr>
        <w:tabs>
          <w:tab w:val="left" w:pos="1276"/>
        </w:tabs>
        <w:overflowPunct w:val="0"/>
        <w:autoSpaceDE w:val="0"/>
        <w:autoSpaceDN w:val="0"/>
        <w:jc w:val="both"/>
        <w:rPr>
          <w:rFonts w:eastAsia="華康楷書體W5"/>
        </w:rPr>
      </w:pPr>
    </w:p>
    <w:p w:rsidR="00273A28" w:rsidRPr="00031A5E" w:rsidRDefault="00273A28" w:rsidP="00031A5E">
      <w:pPr>
        <w:tabs>
          <w:tab w:val="left" w:pos="1276"/>
        </w:tabs>
        <w:overflowPunct w:val="0"/>
        <w:autoSpaceDE w:val="0"/>
        <w:autoSpaceDN w:val="0"/>
        <w:jc w:val="both"/>
        <w:rPr>
          <w:rFonts w:eastAsia="華康楷書體W5"/>
        </w:rPr>
      </w:pPr>
    </w:p>
    <w:p w:rsidR="00273A28" w:rsidRDefault="00273A28" w:rsidP="00031A5E">
      <w:pPr>
        <w:tabs>
          <w:tab w:val="left" w:pos="1276"/>
        </w:tabs>
        <w:overflowPunct w:val="0"/>
        <w:autoSpaceDE w:val="0"/>
        <w:autoSpaceDN w:val="0"/>
        <w:jc w:val="both"/>
        <w:rPr>
          <w:rFonts w:eastAsia="華康楷書體W5"/>
        </w:rPr>
      </w:pPr>
    </w:p>
    <w:p w:rsidR="00D90D51" w:rsidRPr="00031A5E" w:rsidRDefault="00D90D51" w:rsidP="00031A5E">
      <w:pPr>
        <w:tabs>
          <w:tab w:val="left" w:pos="1276"/>
        </w:tabs>
        <w:overflowPunct w:val="0"/>
        <w:autoSpaceDE w:val="0"/>
        <w:autoSpaceDN w:val="0"/>
        <w:jc w:val="both"/>
        <w:rPr>
          <w:rFonts w:eastAsia="華康楷書體W5"/>
        </w:rPr>
      </w:pPr>
    </w:p>
    <w:p w:rsidR="00D90D51" w:rsidRPr="009132B9" w:rsidRDefault="00D90D51" w:rsidP="00D90D51">
      <w:pPr>
        <w:jc w:val="both"/>
      </w:pPr>
      <w:r>
        <w:rPr>
          <w:b/>
        </w:rPr>
        <w:t xml:space="preserve">Procedure </w:t>
      </w:r>
      <w:r w:rsidRPr="009132B9">
        <w:t xml:space="preserve">– </w:t>
      </w:r>
      <w:r>
        <w:t>a</w:t>
      </w:r>
      <w:r w:rsidRPr="009132B9">
        <w:t>ppeal out of time – whether extension of time should be granted – whether the Taxpayer was prevented from giving notice of appeal within one month – section 66 of the Ordinance</w:t>
      </w:r>
    </w:p>
    <w:p w:rsidR="00273A28" w:rsidRPr="00D90D51" w:rsidRDefault="00273A28" w:rsidP="00031A5E">
      <w:pPr>
        <w:tabs>
          <w:tab w:val="left" w:pos="1276"/>
        </w:tabs>
        <w:overflowPunct w:val="0"/>
        <w:autoSpaceDE w:val="0"/>
        <w:autoSpaceDN w:val="0"/>
        <w:jc w:val="both"/>
        <w:rPr>
          <w:rFonts w:eastAsia="華康楷書體W5"/>
        </w:rPr>
      </w:pPr>
    </w:p>
    <w:p w:rsidR="00273A28" w:rsidRPr="00031A5E" w:rsidRDefault="00273A28" w:rsidP="00031A5E">
      <w:pPr>
        <w:tabs>
          <w:tab w:val="left" w:pos="840"/>
          <w:tab w:val="left" w:pos="1276"/>
        </w:tabs>
        <w:overflowPunct w:val="0"/>
        <w:autoSpaceDE w:val="0"/>
        <w:autoSpaceDN w:val="0"/>
        <w:ind w:left="756" w:hangingChars="300" w:hanging="756"/>
        <w:jc w:val="both"/>
        <w:rPr>
          <w:rFonts w:eastAsia="華康楷書體W5"/>
        </w:rPr>
      </w:pPr>
      <w:r w:rsidRPr="00031A5E">
        <w:rPr>
          <w:rFonts w:eastAsia="華康楷書體W5"/>
        </w:rPr>
        <w:t xml:space="preserve">Panel: </w:t>
      </w:r>
      <w:r w:rsidRPr="00031A5E">
        <w:rPr>
          <w:rFonts w:eastAsia="華康楷書體W5"/>
          <w:lang w:eastAsia="zh-HK"/>
        </w:rPr>
        <w:t>William M F Wong SC</w:t>
      </w:r>
      <w:r w:rsidRPr="00031A5E">
        <w:rPr>
          <w:rFonts w:eastAsia="華康楷書體W5"/>
        </w:rPr>
        <w:t xml:space="preserve"> (chairm</w:t>
      </w:r>
      <w:r w:rsidRPr="00031A5E">
        <w:rPr>
          <w:rFonts w:eastAsia="華康楷書體W5"/>
          <w:lang w:eastAsia="zh-HK"/>
        </w:rPr>
        <w:t>an), Lai Ka Ho Alan and Lau Wan Ching.</w:t>
      </w:r>
    </w:p>
    <w:p w:rsidR="00273A28" w:rsidRPr="00031A5E" w:rsidRDefault="00273A28" w:rsidP="00031A5E">
      <w:pPr>
        <w:tabs>
          <w:tab w:val="left" w:pos="840"/>
          <w:tab w:val="left" w:pos="1276"/>
        </w:tabs>
        <w:overflowPunct w:val="0"/>
        <w:autoSpaceDE w:val="0"/>
        <w:autoSpaceDN w:val="0"/>
        <w:jc w:val="both"/>
        <w:rPr>
          <w:rFonts w:eastAsia="華康楷書體W5"/>
        </w:rPr>
      </w:pPr>
    </w:p>
    <w:p w:rsidR="00273A28" w:rsidRPr="00031A5E" w:rsidRDefault="00273A28" w:rsidP="00031A5E">
      <w:pPr>
        <w:tabs>
          <w:tab w:val="left" w:pos="840"/>
          <w:tab w:val="left" w:pos="1276"/>
        </w:tabs>
        <w:overflowPunct w:val="0"/>
        <w:autoSpaceDE w:val="0"/>
        <w:autoSpaceDN w:val="0"/>
        <w:jc w:val="both"/>
        <w:rPr>
          <w:rFonts w:eastAsia="華康楷書體W5"/>
        </w:rPr>
      </w:pPr>
      <w:r w:rsidRPr="00031A5E">
        <w:rPr>
          <w:rFonts w:eastAsia="華康楷書體W5"/>
        </w:rPr>
        <w:t>Date of hearing: 14 January 2021</w:t>
      </w:r>
      <w:r w:rsidRPr="00031A5E">
        <w:t>.</w:t>
      </w:r>
    </w:p>
    <w:p w:rsidR="00273A28" w:rsidRPr="00031A5E" w:rsidRDefault="00273A28" w:rsidP="00031A5E">
      <w:pPr>
        <w:tabs>
          <w:tab w:val="left" w:pos="840"/>
          <w:tab w:val="left" w:pos="1276"/>
        </w:tabs>
        <w:overflowPunct w:val="0"/>
        <w:autoSpaceDE w:val="0"/>
        <w:autoSpaceDN w:val="0"/>
        <w:jc w:val="both"/>
        <w:rPr>
          <w:rFonts w:eastAsia="華康楷書體W5"/>
        </w:rPr>
      </w:pPr>
      <w:r w:rsidRPr="00031A5E">
        <w:rPr>
          <w:rFonts w:eastAsia="華康楷書體W5"/>
        </w:rPr>
        <w:t>Date of decision: 19 March 2021</w:t>
      </w:r>
      <w:r w:rsidRPr="00031A5E">
        <w:t>.</w:t>
      </w:r>
    </w:p>
    <w:p w:rsidR="00273A28" w:rsidRPr="00031A5E" w:rsidRDefault="00273A28" w:rsidP="00031A5E">
      <w:pPr>
        <w:tabs>
          <w:tab w:val="left" w:pos="840"/>
          <w:tab w:val="left" w:pos="1276"/>
        </w:tabs>
        <w:overflowPunct w:val="0"/>
        <w:autoSpaceDE w:val="0"/>
        <w:autoSpaceDN w:val="0"/>
        <w:jc w:val="both"/>
        <w:rPr>
          <w:rFonts w:eastAsia="華康楷書體W5"/>
          <w:lang w:eastAsia="zh-HK"/>
        </w:rPr>
      </w:pPr>
    </w:p>
    <w:p w:rsidR="00273A28" w:rsidRPr="00031A5E" w:rsidRDefault="00273A28" w:rsidP="00031A5E">
      <w:pPr>
        <w:tabs>
          <w:tab w:val="left" w:pos="840"/>
          <w:tab w:val="left" w:pos="1276"/>
        </w:tabs>
        <w:overflowPunct w:val="0"/>
        <w:autoSpaceDE w:val="0"/>
        <w:autoSpaceDN w:val="0"/>
        <w:jc w:val="both"/>
        <w:rPr>
          <w:rFonts w:eastAsia="華康楷書體W5"/>
          <w:lang w:eastAsia="zh-HK"/>
        </w:rPr>
      </w:pPr>
    </w:p>
    <w:p w:rsidR="00D90D51" w:rsidRDefault="00D90D51" w:rsidP="00D90D51">
      <w:pPr>
        <w:ind w:firstLineChars="450" w:firstLine="1080"/>
        <w:jc w:val="both"/>
      </w:pPr>
      <w:r>
        <w:t xml:space="preserve">The Taxpayer objected to the assessment of profits tax for the 2014/15 and 2015/16 years of assessment.  The Deputy Commissioner issued a determination rejecting the Taxpayer’s objection, and sent it to the Taxpayer and its tax representative on 3 March 2020 by registered mail.  The tax representative acknowledged receipt of the determination on 5 March 2020, and wrote to the Inland Revenue Department (‘the Revenue’) on 9 March 2020 about its previous reply to the Revenue’s letter.  The Revenue replied on 22 May 2020 that the Taxpayer had the right to appeal against the determination to the Board, the notice of which must be given in writing to the Clerk of the Board within one month of the issue of the determination.  </w:t>
      </w:r>
    </w:p>
    <w:p w:rsidR="00D90D51" w:rsidRDefault="00D90D51" w:rsidP="00D90D51">
      <w:pPr>
        <w:ind w:firstLineChars="450" w:firstLine="1080"/>
        <w:jc w:val="both"/>
      </w:pPr>
    </w:p>
    <w:p w:rsidR="00D90D51" w:rsidRDefault="00D90D51" w:rsidP="00D90D51">
      <w:pPr>
        <w:ind w:firstLineChars="450" w:firstLine="1080"/>
        <w:jc w:val="both"/>
      </w:pPr>
      <w:r>
        <w:t xml:space="preserve">The tax representative sent a letter to the Revenue on 26 May 2020 stating its intention to appeal against the determination, which was copied to the Board on 29 June 2020.  The Board replied on 30 June 2020 that it was an independent statutory body not under the purview of the Revenue, and any notice of appeal should be addressed to the Clerk of the Board.  The Board only received a letter from the Taxpayer on 14 September 2020 (which was dated 11 September 2020) purporting to give notice of appeal.  </w:t>
      </w:r>
    </w:p>
    <w:p w:rsidR="00D90D51" w:rsidRDefault="00D90D51" w:rsidP="00D90D51">
      <w:pPr>
        <w:ind w:firstLineChars="450" w:firstLine="1080"/>
        <w:jc w:val="both"/>
      </w:pPr>
    </w:p>
    <w:p w:rsidR="00D90D51" w:rsidRDefault="00D90D51" w:rsidP="00D90D51">
      <w:pPr>
        <w:ind w:firstLineChars="450" w:firstLine="1080"/>
        <w:jc w:val="both"/>
      </w:pPr>
      <w:r>
        <w:t>The tax representative stated that the Taxpayer was not equipped to function after March 2020 because of COVID-19.  It further submitted that the Taxpayer’s intention was to deal with the Revenue directly, and had no intention to delay the lodging of any appeal.</w:t>
      </w:r>
    </w:p>
    <w:p w:rsidR="00D90D51" w:rsidRDefault="00D90D51" w:rsidP="00D90D51">
      <w:pPr>
        <w:jc w:val="both"/>
      </w:pPr>
    </w:p>
    <w:p w:rsidR="00D90D51" w:rsidRDefault="00D90D51" w:rsidP="00D90D51">
      <w:pPr>
        <w:jc w:val="both"/>
        <w:rPr>
          <w:lang w:eastAsia="zh-HK"/>
        </w:rPr>
      </w:pPr>
    </w:p>
    <w:p w:rsidR="00D90D51" w:rsidRPr="00B4642C" w:rsidRDefault="00D90D51" w:rsidP="00D90D51">
      <w:pPr>
        <w:ind w:leftChars="450" w:left="1080"/>
        <w:jc w:val="both"/>
        <w:rPr>
          <w:b/>
          <w:lang w:eastAsia="zh-HK"/>
        </w:rPr>
      </w:pPr>
      <w:r w:rsidRPr="00B4642C">
        <w:rPr>
          <w:b/>
          <w:lang w:eastAsia="zh-HK"/>
        </w:rPr>
        <w:t>Held:</w:t>
      </w:r>
    </w:p>
    <w:p w:rsidR="00D90D51" w:rsidRDefault="00D90D51" w:rsidP="00D90D51">
      <w:pPr>
        <w:jc w:val="both"/>
        <w:rPr>
          <w:lang w:eastAsia="zh-HK"/>
        </w:rPr>
      </w:pPr>
    </w:p>
    <w:p w:rsidR="00D90D51" w:rsidRDefault="00D90D51" w:rsidP="00D90D51">
      <w:pPr>
        <w:pStyle w:val="a3"/>
        <w:widowControl/>
        <w:numPr>
          <w:ilvl w:val="0"/>
          <w:numId w:val="4"/>
        </w:numPr>
        <w:ind w:leftChars="450" w:left="1560" w:hangingChars="200" w:hanging="480"/>
        <w:jc w:val="both"/>
        <w:rPr>
          <w:lang w:eastAsia="zh-HK"/>
        </w:rPr>
      </w:pPr>
      <w:r>
        <w:rPr>
          <w:lang w:eastAsia="zh-HK"/>
        </w:rPr>
        <w:t>No extension of time should be granted for a d</w:t>
      </w:r>
      <w:bookmarkStart w:id="0" w:name="_GoBack"/>
      <w:bookmarkEnd w:id="0"/>
      <w:r>
        <w:rPr>
          <w:lang w:eastAsia="zh-HK"/>
        </w:rPr>
        <w:t xml:space="preserve">elay of 5 months and 8 days, and the appeal must be dismissed.  The tax representative could not be taken to be unaware of the time limit to lodge an appeal.  Any mistake was made solely on the Taxpayer’s part, and it was not prevented from </w:t>
      </w:r>
      <w:r w:rsidRPr="00FF0BC6">
        <w:rPr>
          <w:lang w:eastAsia="zh-HK"/>
        </w:rPr>
        <w:t>filing a notice of appeal within time</w:t>
      </w:r>
      <w:r>
        <w:rPr>
          <w:lang w:eastAsia="zh-HK"/>
        </w:rPr>
        <w:t>, within the meaning of section 66(1A) of the Ordinance</w:t>
      </w:r>
      <w:r w:rsidRPr="00FF0BC6">
        <w:rPr>
          <w:lang w:eastAsia="zh-HK"/>
        </w:rPr>
        <w:t xml:space="preserve"> (</w:t>
      </w:r>
      <w:r w:rsidRPr="00D030D3">
        <w:rPr>
          <w:u w:val="single"/>
          <w:lang w:eastAsia="zh-HK"/>
        </w:rPr>
        <w:t>Chow Kwong Fai v CIR</w:t>
      </w:r>
      <w:r w:rsidRPr="00FF0BC6">
        <w:rPr>
          <w:lang w:eastAsia="zh-HK"/>
        </w:rPr>
        <w:t xml:space="preserve"> [2005]</w:t>
      </w:r>
      <w:r>
        <w:rPr>
          <w:lang w:eastAsia="zh-HK"/>
        </w:rPr>
        <w:t xml:space="preserve"> 4 HKLRD 687 applied; </w:t>
      </w:r>
      <w:r w:rsidRPr="00D030D3">
        <w:rPr>
          <w:u w:val="single"/>
          <w:lang w:eastAsia="zh-HK"/>
        </w:rPr>
        <w:t>D1/15</w:t>
      </w:r>
      <w:r>
        <w:rPr>
          <w:lang w:eastAsia="zh-HK"/>
        </w:rPr>
        <w:t xml:space="preserve">, (2015-16) IRBRD, vol 30, 272 considered).  The statutory time limit must </w:t>
      </w:r>
      <w:r>
        <w:rPr>
          <w:lang w:eastAsia="zh-HK"/>
        </w:rPr>
        <w:lastRenderedPageBreak/>
        <w:t>be observed (</w:t>
      </w:r>
      <w:r w:rsidRPr="00D030D3">
        <w:rPr>
          <w:u w:val="single"/>
          <w:lang w:eastAsia="zh-HK"/>
        </w:rPr>
        <w:t>D3/91</w:t>
      </w:r>
      <w:r>
        <w:rPr>
          <w:lang w:eastAsia="zh-HK"/>
        </w:rPr>
        <w:t xml:space="preserve">, IRBRD, vol 5, 537; </w:t>
      </w:r>
      <w:r w:rsidRPr="00D030D3">
        <w:rPr>
          <w:u w:val="single"/>
          <w:lang w:eastAsia="zh-HK"/>
        </w:rPr>
        <w:t>D6/15</w:t>
      </w:r>
      <w:r>
        <w:rPr>
          <w:lang w:eastAsia="zh-HK"/>
        </w:rPr>
        <w:t>, (2015-16) IRBRD, vol 30, 426 considered).</w:t>
      </w:r>
    </w:p>
    <w:p w:rsidR="00D90D51" w:rsidRDefault="00D90D51" w:rsidP="00D90D51">
      <w:pPr>
        <w:pStyle w:val="a3"/>
        <w:ind w:leftChars="450" w:left="1560" w:hangingChars="200" w:hanging="480"/>
        <w:jc w:val="both"/>
        <w:rPr>
          <w:lang w:eastAsia="zh-HK"/>
        </w:rPr>
      </w:pPr>
    </w:p>
    <w:p w:rsidR="00D90D51" w:rsidRDefault="00D90D51" w:rsidP="00D90D51">
      <w:pPr>
        <w:pStyle w:val="a3"/>
        <w:widowControl/>
        <w:numPr>
          <w:ilvl w:val="0"/>
          <w:numId w:val="4"/>
        </w:numPr>
        <w:ind w:leftChars="450" w:left="1560" w:hangingChars="200" w:hanging="480"/>
        <w:jc w:val="both"/>
        <w:rPr>
          <w:lang w:eastAsia="zh-HK"/>
        </w:rPr>
      </w:pPr>
      <w:r w:rsidRPr="00FF0BC6">
        <w:rPr>
          <w:lang w:eastAsia="zh-HK"/>
        </w:rPr>
        <w:t>The Taxpayer consciously decided to ignore the advice given by the Revenue and the Clerk of the Board</w:t>
      </w:r>
      <w:r>
        <w:rPr>
          <w:lang w:eastAsia="zh-HK"/>
        </w:rPr>
        <w:t>.  There was no obligation on the Revenue’s part to perform extra tasks to facilitate the Taxpayer (</w:t>
      </w:r>
      <w:r w:rsidRPr="00D030D3">
        <w:rPr>
          <w:u w:val="single"/>
          <w:lang w:eastAsia="zh-HK"/>
        </w:rPr>
        <w:t>D9/79</w:t>
      </w:r>
      <w:r>
        <w:rPr>
          <w:lang w:eastAsia="zh-HK"/>
        </w:rPr>
        <w:t xml:space="preserve">, IRBRD, vol 1, 354; </w:t>
      </w:r>
      <w:r w:rsidRPr="00D030D3">
        <w:rPr>
          <w:u w:val="single"/>
          <w:lang w:eastAsia="zh-HK"/>
        </w:rPr>
        <w:t>D139/00</w:t>
      </w:r>
      <w:r>
        <w:rPr>
          <w:lang w:eastAsia="zh-HK"/>
        </w:rPr>
        <w:t xml:space="preserve">, IRBRD, vol 16, 24; </w:t>
      </w:r>
      <w:r w:rsidRPr="00D030D3">
        <w:rPr>
          <w:u w:val="single"/>
          <w:lang w:eastAsia="zh-HK"/>
        </w:rPr>
        <w:t>D2/03</w:t>
      </w:r>
      <w:r>
        <w:rPr>
          <w:lang w:eastAsia="zh-HK"/>
        </w:rPr>
        <w:t xml:space="preserve">, IRBRD, vol 18, 301; </w:t>
      </w:r>
      <w:r w:rsidRPr="00D030D3">
        <w:rPr>
          <w:u w:val="single"/>
          <w:lang w:eastAsia="zh-HK"/>
        </w:rPr>
        <w:t>D55/09</w:t>
      </w:r>
      <w:r>
        <w:rPr>
          <w:lang w:eastAsia="zh-HK"/>
        </w:rPr>
        <w:t>, (2009-10) IRBRD, vol 24, 993 considered).</w:t>
      </w:r>
    </w:p>
    <w:p w:rsidR="00D90D51" w:rsidRPr="00CF765B" w:rsidRDefault="00D90D51" w:rsidP="00D90D51">
      <w:pPr>
        <w:pStyle w:val="a3"/>
        <w:ind w:left="0"/>
        <w:jc w:val="both"/>
        <w:rPr>
          <w:lang w:eastAsia="zh-HK"/>
        </w:rPr>
      </w:pPr>
    </w:p>
    <w:p w:rsidR="00D90D51" w:rsidRPr="003F1758" w:rsidRDefault="00D90D51" w:rsidP="003D2D78">
      <w:pPr>
        <w:pStyle w:val="a3"/>
        <w:ind w:leftChars="450" w:left="1080"/>
        <w:jc w:val="both"/>
      </w:pPr>
      <w:r w:rsidRPr="009132B9">
        <w:rPr>
          <w:lang w:eastAsia="zh-HK"/>
        </w:rPr>
        <w:t>The Taxpayer and/or its tax representative were not prevented by COVID-19 from submitting its notice of appeal within time, as the tax representative was able to acknowledge the receipt of the determination within a short time, and was able to write to the Revenue stating its intention to lodge an appeal around 2 months after the issue of the determination (</w:t>
      </w:r>
      <w:r w:rsidRPr="009132B9">
        <w:rPr>
          <w:u w:val="single"/>
          <w:lang w:eastAsia="zh-HK"/>
        </w:rPr>
        <w:t>D63/04</w:t>
      </w:r>
      <w:r w:rsidRPr="009132B9">
        <w:rPr>
          <w:lang w:eastAsia="zh-HK"/>
        </w:rPr>
        <w:t>, IRBRD, vol 19, 512 considered).</w:t>
      </w:r>
    </w:p>
    <w:p w:rsidR="00273A28" w:rsidRDefault="00273A28" w:rsidP="00031A5E">
      <w:pPr>
        <w:tabs>
          <w:tab w:val="left" w:pos="840"/>
          <w:tab w:val="left" w:pos="1276"/>
        </w:tabs>
        <w:overflowPunct w:val="0"/>
        <w:autoSpaceDE w:val="0"/>
        <w:autoSpaceDN w:val="0"/>
        <w:jc w:val="both"/>
        <w:rPr>
          <w:rFonts w:eastAsia="華康楷書體W5"/>
          <w:lang w:eastAsia="zh-HK"/>
        </w:rPr>
      </w:pPr>
    </w:p>
    <w:p w:rsidR="00D90D51" w:rsidRPr="00D90D51" w:rsidRDefault="00D90D51" w:rsidP="00031A5E">
      <w:pPr>
        <w:tabs>
          <w:tab w:val="left" w:pos="840"/>
          <w:tab w:val="left" w:pos="1276"/>
        </w:tabs>
        <w:overflowPunct w:val="0"/>
        <w:autoSpaceDE w:val="0"/>
        <w:autoSpaceDN w:val="0"/>
        <w:jc w:val="both"/>
        <w:rPr>
          <w:rFonts w:eastAsia="華康楷書體W5"/>
          <w:lang w:eastAsia="zh-HK"/>
        </w:rPr>
      </w:pPr>
    </w:p>
    <w:p w:rsidR="00273A28" w:rsidRPr="00031A5E" w:rsidRDefault="00273A28" w:rsidP="00031A5E">
      <w:pPr>
        <w:tabs>
          <w:tab w:val="left" w:pos="1276"/>
        </w:tabs>
        <w:overflowPunct w:val="0"/>
        <w:autoSpaceDE w:val="0"/>
        <w:autoSpaceDN w:val="0"/>
        <w:jc w:val="both"/>
        <w:rPr>
          <w:rFonts w:eastAsia="華康楷書體W5"/>
          <w:b/>
          <w:lang w:eastAsia="zh-HK"/>
        </w:rPr>
      </w:pPr>
      <w:r w:rsidRPr="00031A5E">
        <w:rPr>
          <w:rFonts w:eastAsia="華康楷書體W5"/>
          <w:b/>
          <w:lang w:eastAsia="zh-HK"/>
        </w:rPr>
        <w:t>Appeal dismissed.</w:t>
      </w:r>
    </w:p>
    <w:p w:rsidR="00273A28" w:rsidRPr="00031A5E" w:rsidRDefault="00273A28" w:rsidP="00031A5E">
      <w:pPr>
        <w:tabs>
          <w:tab w:val="left" w:pos="1276"/>
        </w:tabs>
        <w:overflowPunct w:val="0"/>
        <w:autoSpaceDE w:val="0"/>
        <w:autoSpaceDN w:val="0"/>
        <w:jc w:val="both"/>
        <w:rPr>
          <w:rFonts w:eastAsia="華康楷書體W5"/>
          <w:lang w:eastAsia="zh-HK"/>
        </w:rPr>
      </w:pPr>
    </w:p>
    <w:p w:rsidR="00273A28" w:rsidRPr="00031A5E" w:rsidRDefault="00273A28" w:rsidP="00031A5E">
      <w:pPr>
        <w:tabs>
          <w:tab w:val="left" w:pos="1276"/>
        </w:tabs>
        <w:overflowPunct w:val="0"/>
        <w:autoSpaceDE w:val="0"/>
        <w:autoSpaceDN w:val="0"/>
        <w:jc w:val="both"/>
        <w:rPr>
          <w:rFonts w:eastAsia="華康楷書體W5"/>
          <w:lang w:eastAsia="zh-HK"/>
        </w:rPr>
      </w:pPr>
      <w:r w:rsidRPr="00031A5E">
        <w:rPr>
          <w:rFonts w:eastAsia="華康楷書體W5"/>
          <w:lang w:eastAsia="zh-HK"/>
        </w:rPr>
        <w:t>Cases referred to:</w:t>
      </w:r>
    </w:p>
    <w:p w:rsidR="00273A28" w:rsidRPr="00031A5E" w:rsidRDefault="00273A28" w:rsidP="00031A5E">
      <w:pPr>
        <w:tabs>
          <w:tab w:val="left" w:pos="1276"/>
        </w:tabs>
        <w:overflowPunct w:val="0"/>
        <w:autoSpaceDE w:val="0"/>
        <w:autoSpaceDN w:val="0"/>
        <w:jc w:val="both"/>
        <w:rPr>
          <w:rFonts w:eastAsia="華康楷書體W5"/>
          <w:lang w:eastAsia="zh-HK"/>
        </w:rPr>
      </w:pPr>
    </w:p>
    <w:p w:rsidR="00273A28" w:rsidRPr="00031A5E" w:rsidRDefault="00273A28" w:rsidP="00031A5E">
      <w:pPr>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Chow Kwong Fai v Commissioner of Inland Revenue [2005] 4 HKLRD 687</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D9/79, IRBRD, vol 1, 354</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D139/00, IRBRD, vol 16, 24</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D2/03, IRBRD, vol 18, 301</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D63/04, IRBRD, vol 19, 512</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D1/15, (2015-16) IRBRD, vol 30, 272</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D55/09, (2009-10) IRBRD, vol 24, 993</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D3/91, IRBRD, vol 5, 537</w:t>
      </w:r>
    </w:p>
    <w:p w:rsidR="00273A28" w:rsidRPr="00031A5E" w:rsidRDefault="00273A28" w:rsidP="00031A5E">
      <w:pPr>
        <w:tabs>
          <w:tab w:val="left" w:pos="1276"/>
        </w:tabs>
        <w:overflowPunct w:val="0"/>
        <w:autoSpaceDE w:val="0"/>
        <w:autoSpaceDN w:val="0"/>
        <w:ind w:leftChars="355" w:left="1230" w:hangingChars="150" w:hanging="378"/>
        <w:jc w:val="both"/>
        <w:rPr>
          <w:rFonts w:eastAsia="華康楷書體W5"/>
          <w:lang w:eastAsia="zh-HK"/>
        </w:rPr>
      </w:pPr>
      <w:r w:rsidRPr="00031A5E">
        <w:rPr>
          <w:rFonts w:eastAsia="華康楷書體W5"/>
          <w:lang w:eastAsia="zh-HK"/>
        </w:rPr>
        <w:t>D6/15, (2015-16) IRBRD, vol 30, 426</w:t>
      </w:r>
    </w:p>
    <w:p w:rsidR="00273A28" w:rsidRPr="00031A5E" w:rsidRDefault="00273A28" w:rsidP="00031A5E">
      <w:pPr>
        <w:tabs>
          <w:tab w:val="left" w:pos="1276"/>
        </w:tabs>
        <w:overflowPunct w:val="0"/>
        <w:autoSpaceDE w:val="0"/>
        <w:autoSpaceDN w:val="0"/>
        <w:ind w:leftChars="425" w:left="1398" w:hangingChars="150" w:hanging="378"/>
        <w:jc w:val="both"/>
        <w:rPr>
          <w:rFonts w:eastAsia="華康楷書體W5"/>
          <w:lang w:eastAsia="zh-HK"/>
        </w:rPr>
      </w:pPr>
    </w:p>
    <w:p w:rsidR="00273A28" w:rsidRPr="00031A5E" w:rsidRDefault="00273A28" w:rsidP="00031A5E">
      <w:pPr>
        <w:tabs>
          <w:tab w:val="left" w:pos="1276"/>
        </w:tabs>
        <w:overflowPunct w:val="0"/>
        <w:autoSpaceDE w:val="0"/>
        <w:autoSpaceDN w:val="0"/>
        <w:ind w:left="378" w:hangingChars="150" w:hanging="378"/>
        <w:jc w:val="both"/>
        <w:rPr>
          <w:rFonts w:eastAsia="華康楷書體W5"/>
          <w:lang w:eastAsia="zh-HK"/>
        </w:rPr>
      </w:pPr>
      <w:r w:rsidRPr="00031A5E">
        <w:rPr>
          <w:rFonts w:eastAsia="華康楷書體W5"/>
          <w:lang w:eastAsia="zh-HK"/>
        </w:rPr>
        <w:t>Sharma Manish Narain of Akin Professionals Limited, for the Appellant.</w:t>
      </w:r>
    </w:p>
    <w:p w:rsidR="00273A28" w:rsidRPr="00031A5E" w:rsidRDefault="00273A28" w:rsidP="00031A5E">
      <w:pPr>
        <w:overflowPunct w:val="0"/>
        <w:autoSpaceDE w:val="0"/>
        <w:autoSpaceDN w:val="0"/>
        <w:ind w:left="378" w:hangingChars="150" w:hanging="378"/>
        <w:jc w:val="both"/>
        <w:rPr>
          <w:rFonts w:eastAsia="華康楷書體W5"/>
          <w:lang w:eastAsia="zh-HK"/>
        </w:rPr>
      </w:pPr>
      <w:r w:rsidRPr="00031A5E">
        <w:rPr>
          <w:rFonts w:eastAsia="華康楷書體W5"/>
          <w:lang w:eastAsia="zh-HK"/>
        </w:rPr>
        <w:t>Ng Sui Ling Louisa, Fung Chi Keung and Chan Lok Ning Loraine, for the Commissioner of Inland Revenue.</w:t>
      </w:r>
    </w:p>
    <w:p w:rsidR="00031A5E" w:rsidRPr="00031A5E" w:rsidRDefault="00031A5E" w:rsidP="00031A5E">
      <w:pPr>
        <w:tabs>
          <w:tab w:val="left" w:pos="1276"/>
        </w:tabs>
        <w:overflowPunct w:val="0"/>
        <w:autoSpaceDE w:val="0"/>
        <w:autoSpaceDN w:val="0"/>
        <w:jc w:val="both"/>
        <w:rPr>
          <w:rFonts w:eastAsia="標楷體"/>
          <w:lang w:eastAsia="zh-HK"/>
        </w:rPr>
      </w:pPr>
    </w:p>
    <w:p w:rsidR="004A5878" w:rsidRPr="00031A5E" w:rsidRDefault="004A5878" w:rsidP="00D90D51">
      <w:pPr>
        <w:overflowPunct w:val="0"/>
        <w:autoSpaceDE w:val="0"/>
        <w:autoSpaceDN w:val="0"/>
      </w:pPr>
    </w:p>
    <w:p w:rsidR="00925B03" w:rsidRPr="00031A5E" w:rsidRDefault="00031A5E" w:rsidP="00031A5E">
      <w:pPr>
        <w:overflowPunct w:val="0"/>
        <w:autoSpaceDE w:val="0"/>
        <w:autoSpaceDN w:val="0"/>
        <w:rPr>
          <w:b/>
        </w:rPr>
      </w:pPr>
      <w:r w:rsidRPr="00031A5E">
        <w:rPr>
          <w:b/>
        </w:rPr>
        <w:t>Decision</w:t>
      </w:r>
      <w:r>
        <w:rPr>
          <w:b/>
        </w:rPr>
        <w:t>:</w:t>
      </w:r>
    </w:p>
    <w:p w:rsidR="00925B03" w:rsidRDefault="00925B03" w:rsidP="00031A5E">
      <w:pPr>
        <w:overflowPunct w:val="0"/>
        <w:autoSpaceDE w:val="0"/>
        <w:autoSpaceDN w:val="0"/>
      </w:pPr>
    </w:p>
    <w:p w:rsidR="00031A5E" w:rsidRPr="00031A5E" w:rsidRDefault="00031A5E" w:rsidP="00031A5E">
      <w:pPr>
        <w:overflowPunct w:val="0"/>
        <w:autoSpaceDE w:val="0"/>
        <w:autoSpaceDN w:val="0"/>
      </w:pPr>
    </w:p>
    <w:p w:rsidR="003F35FF" w:rsidRPr="00031A5E" w:rsidRDefault="003F35FF" w:rsidP="00031A5E">
      <w:pPr>
        <w:overflowPunct w:val="0"/>
        <w:autoSpaceDE w:val="0"/>
        <w:autoSpaceDN w:val="0"/>
        <w:jc w:val="both"/>
        <w:rPr>
          <w:b/>
        </w:rPr>
      </w:pPr>
      <w:r w:rsidRPr="00031A5E">
        <w:rPr>
          <w:b/>
        </w:rPr>
        <w:t>Appeal</w:t>
      </w:r>
    </w:p>
    <w:p w:rsidR="007B6516" w:rsidRPr="00031A5E" w:rsidRDefault="007B6516" w:rsidP="00031A5E">
      <w:pPr>
        <w:overflowPunct w:val="0"/>
        <w:autoSpaceDE w:val="0"/>
        <w:autoSpaceDN w:val="0"/>
        <w:jc w:val="both"/>
      </w:pPr>
    </w:p>
    <w:p w:rsidR="003F35FF" w:rsidRPr="00031A5E" w:rsidRDefault="003F35FF" w:rsidP="00031A5E">
      <w:pPr>
        <w:pStyle w:val="a3"/>
        <w:numPr>
          <w:ilvl w:val="0"/>
          <w:numId w:val="1"/>
        </w:numPr>
        <w:overflowPunct w:val="0"/>
        <w:autoSpaceDE w:val="0"/>
        <w:autoSpaceDN w:val="0"/>
        <w:ind w:left="0" w:firstLine="0"/>
        <w:jc w:val="both"/>
      </w:pPr>
      <w:r w:rsidRPr="00031A5E">
        <w:t xml:space="preserve">This is the appeal of </w:t>
      </w:r>
      <w:r w:rsidR="00031A5E">
        <w:t>Company A</w:t>
      </w:r>
      <w:r w:rsidRPr="00031A5E">
        <w:t xml:space="preserve"> (</w:t>
      </w:r>
      <w:r w:rsidR="00031A5E">
        <w:t>‘</w:t>
      </w:r>
      <w:r w:rsidRPr="00031A5E">
        <w:t>the Taxpayer</w:t>
      </w:r>
      <w:r w:rsidR="00031A5E">
        <w:t>’</w:t>
      </w:r>
      <w:r w:rsidR="00C2534F">
        <w:t>/ ‘the Appellant’</w:t>
      </w:r>
      <w:r w:rsidRPr="00031A5E">
        <w:t xml:space="preserve">) against the Commissioner’s Determination dated 3 March 2020 (the </w:t>
      </w:r>
      <w:r w:rsidR="00031A5E">
        <w:t>‘</w:t>
      </w:r>
      <w:r w:rsidRPr="00031A5E">
        <w:t>Determination</w:t>
      </w:r>
      <w:r w:rsidR="00031A5E">
        <w:t>’</w:t>
      </w:r>
      <w:r w:rsidRPr="00031A5E">
        <w:t>) under which the Commissioner determined that for the year of assessments 2014/15 and 201</w:t>
      </w:r>
      <w:r w:rsidR="007B6516" w:rsidRPr="00031A5E">
        <w:t xml:space="preserve">5/16, the Taxpayer did carry out business in Hong Kong and should be taxed under section 14 of the Inland Revenue Ordinance (the </w:t>
      </w:r>
      <w:r w:rsidR="00031A5E">
        <w:t>‘</w:t>
      </w:r>
      <w:r w:rsidR="007B6516" w:rsidRPr="00031A5E">
        <w:t>Ordinance</w:t>
      </w:r>
      <w:r w:rsidR="00031A5E">
        <w:t>’</w:t>
      </w:r>
      <w:r w:rsidR="007B6516" w:rsidRPr="00031A5E">
        <w:t>).</w:t>
      </w:r>
    </w:p>
    <w:p w:rsidR="007B6516" w:rsidRPr="00031A5E" w:rsidRDefault="007B6516" w:rsidP="00031A5E">
      <w:pPr>
        <w:pStyle w:val="a3"/>
        <w:overflowPunct w:val="0"/>
        <w:autoSpaceDE w:val="0"/>
        <w:autoSpaceDN w:val="0"/>
        <w:ind w:left="0"/>
        <w:jc w:val="both"/>
      </w:pPr>
    </w:p>
    <w:p w:rsidR="007B6516" w:rsidRPr="00031A5E" w:rsidRDefault="007B6516" w:rsidP="00031A5E">
      <w:pPr>
        <w:pStyle w:val="a3"/>
        <w:numPr>
          <w:ilvl w:val="0"/>
          <w:numId w:val="1"/>
        </w:numPr>
        <w:overflowPunct w:val="0"/>
        <w:autoSpaceDE w:val="0"/>
        <w:autoSpaceDN w:val="0"/>
        <w:ind w:left="0" w:firstLine="0"/>
        <w:jc w:val="both"/>
      </w:pPr>
      <w:r w:rsidRPr="00031A5E">
        <w:lastRenderedPageBreak/>
        <w:t xml:space="preserve">The Taxpayer disagrees with the Determination but only filed its notice and statement of the grounds of appeal to the Board of Review on 11 September 2020. </w:t>
      </w:r>
      <w:r w:rsidR="006D30EB" w:rsidRPr="00031A5E">
        <w:t xml:space="preserve">The Inland Revenue Department (the </w:t>
      </w:r>
      <w:r w:rsidR="00031A5E">
        <w:t>‘</w:t>
      </w:r>
      <w:r w:rsidR="006D30EB" w:rsidRPr="00031A5E">
        <w:t>Revenue</w:t>
      </w:r>
      <w:r w:rsidR="00031A5E">
        <w:t>’</w:t>
      </w:r>
      <w:r w:rsidR="006D30EB" w:rsidRPr="00031A5E">
        <w:t xml:space="preserve">) unsurprisingly takes the preliminary objection that the present appeal is out of time and should not be entertained. </w:t>
      </w:r>
    </w:p>
    <w:p w:rsidR="006D30EB" w:rsidRPr="00031A5E" w:rsidRDefault="006D30EB" w:rsidP="00031A5E">
      <w:pPr>
        <w:pStyle w:val="a3"/>
        <w:overflowPunct w:val="0"/>
        <w:autoSpaceDE w:val="0"/>
        <w:autoSpaceDN w:val="0"/>
        <w:ind w:left="0"/>
      </w:pPr>
    </w:p>
    <w:p w:rsidR="006D30EB" w:rsidRPr="00031A5E" w:rsidRDefault="006D30EB" w:rsidP="00031A5E">
      <w:pPr>
        <w:pStyle w:val="a3"/>
        <w:numPr>
          <w:ilvl w:val="0"/>
          <w:numId w:val="1"/>
        </w:numPr>
        <w:overflowPunct w:val="0"/>
        <w:autoSpaceDE w:val="0"/>
        <w:autoSpaceDN w:val="0"/>
        <w:ind w:left="0" w:firstLine="0"/>
        <w:jc w:val="both"/>
      </w:pPr>
      <w:r w:rsidRPr="00031A5E">
        <w:t>There is no dispute that the Determination was sent to the Taxpayer by registered post on 5 March 2020. However, the Taxpayer’s notice of appeal was only received by the Board of Review on 14 September 2020, after the expiry of the statutory one-month appeal period.</w:t>
      </w:r>
    </w:p>
    <w:p w:rsidR="006D30EB" w:rsidRPr="00031A5E" w:rsidRDefault="006D30EB" w:rsidP="00031A5E">
      <w:pPr>
        <w:pStyle w:val="a3"/>
        <w:overflowPunct w:val="0"/>
        <w:autoSpaceDE w:val="0"/>
        <w:autoSpaceDN w:val="0"/>
        <w:ind w:left="0"/>
      </w:pPr>
    </w:p>
    <w:p w:rsidR="006D30EB" w:rsidRPr="00031A5E" w:rsidRDefault="006D30EB" w:rsidP="00031A5E">
      <w:pPr>
        <w:pStyle w:val="a3"/>
        <w:numPr>
          <w:ilvl w:val="0"/>
          <w:numId w:val="1"/>
        </w:numPr>
        <w:overflowPunct w:val="0"/>
        <w:autoSpaceDE w:val="0"/>
        <w:autoSpaceDN w:val="0"/>
        <w:ind w:left="0" w:firstLine="0"/>
        <w:jc w:val="both"/>
      </w:pPr>
      <w:r w:rsidRPr="00031A5E">
        <w:t xml:space="preserve">This Board agrees that we should determine the preliminary issue first because if the appeal is out of time, then there is no need for the Board to consider the substantive merits of the appeal. </w:t>
      </w:r>
    </w:p>
    <w:p w:rsidR="006D30EB" w:rsidRPr="00031A5E" w:rsidRDefault="006D30EB" w:rsidP="00031A5E">
      <w:pPr>
        <w:overflowPunct w:val="0"/>
        <w:autoSpaceDE w:val="0"/>
        <w:autoSpaceDN w:val="0"/>
        <w:jc w:val="both"/>
      </w:pPr>
    </w:p>
    <w:p w:rsidR="003F35FF" w:rsidRPr="00031A5E" w:rsidRDefault="00D8050E" w:rsidP="00031A5E">
      <w:pPr>
        <w:overflowPunct w:val="0"/>
        <w:autoSpaceDE w:val="0"/>
        <w:autoSpaceDN w:val="0"/>
        <w:jc w:val="both"/>
        <w:rPr>
          <w:b/>
        </w:rPr>
      </w:pPr>
      <w:r w:rsidRPr="00031A5E">
        <w:rPr>
          <w:b/>
        </w:rPr>
        <w:t xml:space="preserve">Relevant Legal Principles </w:t>
      </w:r>
    </w:p>
    <w:p w:rsidR="00D62406" w:rsidRPr="00031A5E" w:rsidRDefault="00D62406" w:rsidP="00031A5E">
      <w:pPr>
        <w:overflowPunct w:val="0"/>
        <w:autoSpaceDE w:val="0"/>
        <w:autoSpaceDN w:val="0"/>
        <w:jc w:val="both"/>
      </w:pPr>
    </w:p>
    <w:p w:rsidR="00D8050E" w:rsidRPr="00031A5E" w:rsidRDefault="00D8050E" w:rsidP="00031A5E">
      <w:pPr>
        <w:pStyle w:val="a3"/>
        <w:numPr>
          <w:ilvl w:val="0"/>
          <w:numId w:val="1"/>
        </w:numPr>
        <w:overflowPunct w:val="0"/>
        <w:autoSpaceDE w:val="0"/>
        <w:autoSpaceDN w:val="0"/>
        <w:ind w:left="0" w:firstLine="0"/>
        <w:jc w:val="both"/>
      </w:pPr>
      <w:r w:rsidRPr="00031A5E">
        <w:t xml:space="preserve">Section 66(1) of </w:t>
      </w:r>
      <w:r w:rsidRPr="00031A5E">
        <w:rPr>
          <w:bCs/>
        </w:rPr>
        <w:t>the Ordinance provides that:</w:t>
      </w:r>
    </w:p>
    <w:p w:rsidR="00D8050E" w:rsidRPr="00031A5E" w:rsidRDefault="00D8050E" w:rsidP="00031A5E">
      <w:pPr>
        <w:pStyle w:val="a3"/>
        <w:tabs>
          <w:tab w:val="num" w:pos="720"/>
        </w:tabs>
        <w:overflowPunct w:val="0"/>
        <w:autoSpaceDE w:val="0"/>
        <w:autoSpaceDN w:val="0"/>
        <w:jc w:val="both"/>
      </w:pPr>
    </w:p>
    <w:p w:rsidR="00D8050E" w:rsidRPr="00031A5E" w:rsidRDefault="00031A5E" w:rsidP="00031A5E">
      <w:pPr>
        <w:pStyle w:val="a3"/>
        <w:overflowPunct w:val="0"/>
        <w:autoSpaceDE w:val="0"/>
        <w:autoSpaceDN w:val="0"/>
        <w:ind w:leftChars="638" w:left="1531"/>
        <w:jc w:val="both"/>
      </w:pPr>
      <w:r>
        <w:t>‘</w:t>
      </w:r>
      <w:r w:rsidR="00D8050E" w:rsidRPr="00031A5E">
        <w:rPr>
          <w:i/>
        </w:rPr>
        <w:t>Any person (hereinafter referred to as the appellant) who has validly objected to an assessment but with whom the Commissioner in considering the objection has failed to agree may within-</w:t>
      </w:r>
    </w:p>
    <w:p w:rsidR="00D8050E" w:rsidRPr="00031A5E" w:rsidRDefault="00D8050E" w:rsidP="00031A5E">
      <w:pPr>
        <w:pStyle w:val="a3"/>
        <w:tabs>
          <w:tab w:val="num" w:pos="720"/>
        </w:tabs>
        <w:overflowPunct w:val="0"/>
        <w:autoSpaceDE w:val="0"/>
        <w:autoSpaceDN w:val="0"/>
        <w:ind w:left="1440"/>
        <w:jc w:val="both"/>
        <w:rPr>
          <w:i/>
        </w:rPr>
      </w:pPr>
    </w:p>
    <w:p w:rsidR="00D8050E" w:rsidRPr="00031A5E" w:rsidRDefault="00D8050E" w:rsidP="00031A5E">
      <w:pPr>
        <w:pStyle w:val="a3"/>
        <w:tabs>
          <w:tab w:val="num" w:pos="2107"/>
        </w:tabs>
        <w:overflowPunct w:val="0"/>
        <w:autoSpaceDE w:val="0"/>
        <w:autoSpaceDN w:val="0"/>
        <w:ind w:leftChars="638" w:left="2107" w:hangingChars="240" w:hanging="576"/>
        <w:jc w:val="both"/>
        <w:rPr>
          <w:i/>
        </w:rPr>
      </w:pPr>
      <w:r w:rsidRPr="00031A5E">
        <w:rPr>
          <w:i/>
        </w:rPr>
        <w:t>(a)</w:t>
      </w:r>
      <w:r w:rsidRPr="00031A5E">
        <w:rPr>
          <w:i/>
        </w:rPr>
        <w:tab/>
        <w:t>1 month after the transmission to him under section 64(4) of the Commissioner’s written determination together with the reasons therefor and the statement of facts; or</w:t>
      </w:r>
    </w:p>
    <w:p w:rsidR="00031A5E" w:rsidRDefault="00031A5E" w:rsidP="00031A5E">
      <w:pPr>
        <w:pStyle w:val="a3"/>
        <w:tabs>
          <w:tab w:val="num" w:pos="2107"/>
        </w:tabs>
        <w:overflowPunct w:val="0"/>
        <w:autoSpaceDE w:val="0"/>
        <w:autoSpaceDN w:val="0"/>
        <w:ind w:leftChars="638" w:left="2107" w:hangingChars="240" w:hanging="576"/>
        <w:jc w:val="both"/>
        <w:rPr>
          <w:i/>
          <w:lang w:eastAsia="zh-HK"/>
        </w:rPr>
      </w:pPr>
    </w:p>
    <w:p w:rsidR="00D8050E" w:rsidRPr="00031A5E" w:rsidRDefault="00D8050E" w:rsidP="00031A5E">
      <w:pPr>
        <w:pStyle w:val="a3"/>
        <w:tabs>
          <w:tab w:val="num" w:pos="2107"/>
        </w:tabs>
        <w:overflowPunct w:val="0"/>
        <w:autoSpaceDE w:val="0"/>
        <w:autoSpaceDN w:val="0"/>
        <w:ind w:leftChars="638" w:left="2107" w:hangingChars="240" w:hanging="576"/>
        <w:jc w:val="both"/>
        <w:rPr>
          <w:i/>
        </w:rPr>
      </w:pPr>
      <w:r w:rsidRPr="00031A5E">
        <w:rPr>
          <w:i/>
        </w:rPr>
        <w:t>(b)</w:t>
      </w:r>
      <w:r w:rsidRPr="00031A5E">
        <w:rPr>
          <w:i/>
        </w:rPr>
        <w:tab/>
        <w:t>such further period as the Board … may allow under subsection (1A),</w:t>
      </w:r>
    </w:p>
    <w:p w:rsidR="00D8050E" w:rsidRPr="00031A5E" w:rsidRDefault="00D8050E" w:rsidP="00031A5E">
      <w:pPr>
        <w:pStyle w:val="a3"/>
        <w:tabs>
          <w:tab w:val="num" w:pos="720"/>
          <w:tab w:val="left" w:pos="900"/>
        </w:tabs>
        <w:overflowPunct w:val="0"/>
        <w:autoSpaceDE w:val="0"/>
        <w:autoSpaceDN w:val="0"/>
        <w:ind w:left="1440"/>
        <w:jc w:val="both"/>
        <w:rPr>
          <w:i/>
        </w:rPr>
      </w:pPr>
    </w:p>
    <w:p w:rsidR="00D8050E" w:rsidRPr="00031A5E" w:rsidRDefault="00D8050E" w:rsidP="00031A5E">
      <w:pPr>
        <w:pStyle w:val="a3"/>
        <w:overflowPunct w:val="0"/>
        <w:autoSpaceDE w:val="0"/>
        <w:autoSpaceDN w:val="0"/>
        <w:ind w:leftChars="638" w:left="1531"/>
        <w:jc w:val="both"/>
        <w:rPr>
          <w:i/>
        </w:rPr>
      </w:pPr>
      <w:r w:rsidRPr="00031A5E">
        <w:rPr>
          <w:i/>
        </w:rPr>
        <w:t>either himself or by his authorized representative give notice of appeal to the Board; but no such notice shall be entertained unless it is given in writing to the clerk to the Board and is accompanied by a copy of the Commissioner’s written determination together with a copy of the reasons therefor and of the statement of facts and a statement of the grounds of appeal.</w:t>
      </w:r>
      <w:r w:rsidR="00031A5E">
        <w:t>’</w:t>
      </w:r>
    </w:p>
    <w:p w:rsidR="00D62406" w:rsidRPr="00031A5E" w:rsidRDefault="00D62406" w:rsidP="00031A5E">
      <w:pPr>
        <w:pStyle w:val="a3"/>
        <w:tabs>
          <w:tab w:val="num" w:pos="720"/>
        </w:tabs>
        <w:overflowPunct w:val="0"/>
        <w:autoSpaceDE w:val="0"/>
        <w:autoSpaceDN w:val="0"/>
        <w:jc w:val="both"/>
        <w:rPr>
          <w:i/>
        </w:rPr>
      </w:pPr>
    </w:p>
    <w:p w:rsidR="00D8050E" w:rsidRPr="00031A5E" w:rsidRDefault="00D8050E" w:rsidP="00031A5E">
      <w:pPr>
        <w:pStyle w:val="a3"/>
        <w:numPr>
          <w:ilvl w:val="0"/>
          <w:numId w:val="1"/>
        </w:numPr>
        <w:overflowPunct w:val="0"/>
        <w:autoSpaceDE w:val="0"/>
        <w:autoSpaceDN w:val="0"/>
        <w:ind w:left="0" w:firstLine="0"/>
        <w:jc w:val="both"/>
        <w:rPr>
          <w:bCs/>
        </w:rPr>
      </w:pPr>
      <w:r w:rsidRPr="00031A5E">
        <w:t xml:space="preserve">Section 66(1A) of </w:t>
      </w:r>
      <w:r w:rsidRPr="00031A5E">
        <w:rPr>
          <w:bCs/>
        </w:rPr>
        <w:t>the Ordinance provides that:</w:t>
      </w:r>
    </w:p>
    <w:p w:rsidR="00D8050E" w:rsidRPr="00031A5E" w:rsidRDefault="00D8050E" w:rsidP="00031A5E">
      <w:pPr>
        <w:pStyle w:val="a3"/>
        <w:tabs>
          <w:tab w:val="num" w:pos="720"/>
        </w:tabs>
        <w:overflowPunct w:val="0"/>
        <w:autoSpaceDE w:val="0"/>
        <w:autoSpaceDN w:val="0"/>
        <w:jc w:val="both"/>
        <w:rPr>
          <w:i/>
        </w:rPr>
      </w:pPr>
    </w:p>
    <w:p w:rsidR="00D8050E" w:rsidRPr="00031A5E" w:rsidRDefault="00031A5E" w:rsidP="00031A5E">
      <w:pPr>
        <w:pStyle w:val="a3"/>
        <w:overflowPunct w:val="0"/>
        <w:autoSpaceDE w:val="0"/>
        <w:autoSpaceDN w:val="0"/>
        <w:ind w:leftChars="638" w:left="1531"/>
        <w:jc w:val="both"/>
        <w:rPr>
          <w:i/>
        </w:rPr>
      </w:pPr>
      <w:r>
        <w:t>‘</w:t>
      </w:r>
      <w:r w:rsidR="00D8050E" w:rsidRPr="00031A5E">
        <w:rPr>
          <w:i/>
        </w:rPr>
        <w:t>If the Board is satisfied that an appellant was prevented by illness or absence from Hong Kong or other reasonable cause from giving notice of appeal in accordance with subsection (1)(a), the Board may extend for such period as it thinks fit the time within which notice of appeal may be given under subsection (1).</w:t>
      </w:r>
      <w:r>
        <w:t>’</w:t>
      </w:r>
    </w:p>
    <w:p w:rsidR="00D8050E" w:rsidRPr="00031A5E" w:rsidRDefault="00D8050E" w:rsidP="00031A5E">
      <w:pPr>
        <w:pStyle w:val="a3"/>
        <w:overflowPunct w:val="0"/>
        <w:autoSpaceDE w:val="0"/>
        <w:autoSpaceDN w:val="0"/>
        <w:jc w:val="both"/>
      </w:pPr>
    </w:p>
    <w:p w:rsidR="00D8050E" w:rsidRPr="00031A5E" w:rsidRDefault="0006019D" w:rsidP="00031A5E">
      <w:pPr>
        <w:pStyle w:val="a3"/>
        <w:numPr>
          <w:ilvl w:val="0"/>
          <w:numId w:val="1"/>
        </w:numPr>
        <w:overflowPunct w:val="0"/>
        <w:autoSpaceDE w:val="0"/>
        <w:autoSpaceDN w:val="0"/>
        <w:ind w:left="0" w:firstLine="0"/>
        <w:jc w:val="both"/>
        <w:rPr>
          <w:lang w:eastAsia="zh-HK"/>
        </w:rPr>
      </w:pPr>
      <w:r w:rsidRPr="00031A5E">
        <w:rPr>
          <w:lang w:eastAsia="zh-HK"/>
        </w:rPr>
        <w:t>T</w:t>
      </w:r>
      <w:r w:rsidR="00D8050E" w:rsidRPr="00031A5E">
        <w:rPr>
          <w:lang w:eastAsia="zh-HK"/>
        </w:rPr>
        <w:t>he provisions of section 66(1A)</w:t>
      </w:r>
      <w:r w:rsidR="00A623F7">
        <w:rPr>
          <w:rFonts w:hint="eastAsia"/>
        </w:rPr>
        <w:t xml:space="preserve"> of the Ordinance</w:t>
      </w:r>
      <w:r w:rsidR="00D8050E" w:rsidRPr="00031A5E">
        <w:rPr>
          <w:lang w:eastAsia="zh-HK"/>
        </w:rPr>
        <w:t xml:space="preserve"> are </w:t>
      </w:r>
      <w:r w:rsidRPr="00031A5E">
        <w:rPr>
          <w:lang w:eastAsia="zh-HK"/>
        </w:rPr>
        <w:t xml:space="preserve">fairly </w:t>
      </w:r>
      <w:r w:rsidR="00D8050E" w:rsidRPr="00031A5E">
        <w:rPr>
          <w:lang w:eastAsia="zh-HK"/>
        </w:rPr>
        <w:t xml:space="preserve">clear and restrictive.  An extension of time could only be granted where the appellant had been </w:t>
      </w:r>
      <w:r w:rsidR="00031A5E">
        <w:rPr>
          <w:lang w:eastAsia="zh-HK"/>
        </w:rPr>
        <w:t>‘</w:t>
      </w:r>
      <w:r w:rsidR="00D8050E" w:rsidRPr="00031A5E">
        <w:rPr>
          <w:lang w:eastAsia="zh-HK"/>
        </w:rPr>
        <w:t>prevented</w:t>
      </w:r>
      <w:r w:rsidR="00031A5E">
        <w:rPr>
          <w:lang w:eastAsia="zh-HK"/>
        </w:rPr>
        <w:t>’</w:t>
      </w:r>
      <w:r w:rsidR="00D8050E" w:rsidRPr="00031A5E">
        <w:rPr>
          <w:lang w:eastAsia="zh-HK"/>
        </w:rPr>
        <w:t xml:space="preserve"> by one of the specified causes from giving notice of appeal within the prescribed period of one month.  </w:t>
      </w:r>
      <w:r w:rsidRPr="00031A5E">
        <w:rPr>
          <w:lang w:eastAsia="zh-HK"/>
        </w:rPr>
        <w:t>We agree that t</w:t>
      </w:r>
      <w:r w:rsidR="00D8050E" w:rsidRPr="00031A5E">
        <w:rPr>
          <w:lang w:eastAsia="zh-HK"/>
        </w:rPr>
        <w:t xml:space="preserve">he word </w:t>
      </w:r>
      <w:r w:rsidR="00031A5E">
        <w:rPr>
          <w:lang w:eastAsia="zh-HK"/>
        </w:rPr>
        <w:t>‘</w:t>
      </w:r>
      <w:r w:rsidR="00D8050E" w:rsidRPr="00031A5E">
        <w:rPr>
          <w:lang w:eastAsia="zh-HK"/>
        </w:rPr>
        <w:t>prevented</w:t>
      </w:r>
      <w:r w:rsidR="00031A5E">
        <w:rPr>
          <w:lang w:eastAsia="zh-HK"/>
        </w:rPr>
        <w:t>’</w:t>
      </w:r>
      <w:r w:rsidR="00D8050E" w:rsidRPr="00031A5E">
        <w:rPr>
          <w:lang w:eastAsia="zh-HK"/>
        </w:rPr>
        <w:t xml:space="preserve"> cannot appropriately be used in a </w:t>
      </w:r>
      <w:r w:rsidR="00D8050E" w:rsidRPr="00031A5E">
        <w:rPr>
          <w:lang w:eastAsia="zh-HK"/>
        </w:rPr>
        <w:lastRenderedPageBreak/>
        <w:t xml:space="preserve">situation where a taxpayer is able to give notice, but has failed to </w:t>
      </w:r>
      <w:r w:rsidR="00D8050E" w:rsidRPr="00031A5E">
        <w:rPr>
          <w:color w:val="000000"/>
          <w:lang w:eastAsia="zh-HK"/>
        </w:rPr>
        <w:t>do so.</w:t>
      </w:r>
      <w:r w:rsidR="00D8050E" w:rsidRPr="00031A5E">
        <w:rPr>
          <w:color w:val="FF0000"/>
          <w:lang w:eastAsia="zh-HK"/>
        </w:rPr>
        <w:t xml:space="preserve">  </w:t>
      </w:r>
    </w:p>
    <w:p w:rsidR="00D8050E" w:rsidRPr="00031A5E" w:rsidRDefault="00D8050E" w:rsidP="00031A5E">
      <w:pPr>
        <w:pStyle w:val="a3"/>
        <w:overflowPunct w:val="0"/>
        <w:autoSpaceDE w:val="0"/>
        <w:autoSpaceDN w:val="0"/>
        <w:ind w:left="0"/>
        <w:jc w:val="both"/>
        <w:rPr>
          <w:color w:val="FF0000"/>
          <w:lang w:eastAsia="zh-HK"/>
        </w:rPr>
      </w:pPr>
    </w:p>
    <w:p w:rsidR="00D8050E" w:rsidRPr="00031A5E" w:rsidRDefault="00D8050E" w:rsidP="00031A5E">
      <w:pPr>
        <w:pStyle w:val="a3"/>
        <w:numPr>
          <w:ilvl w:val="0"/>
          <w:numId w:val="1"/>
        </w:numPr>
        <w:overflowPunct w:val="0"/>
        <w:autoSpaceDE w:val="0"/>
        <w:autoSpaceDN w:val="0"/>
        <w:ind w:left="0" w:firstLine="0"/>
        <w:jc w:val="both"/>
      </w:pPr>
      <w:r w:rsidRPr="00031A5E">
        <w:t xml:space="preserve">In </w:t>
      </w:r>
      <w:r w:rsidRPr="00031A5E">
        <w:rPr>
          <w:bCs/>
          <w:u w:val="single"/>
        </w:rPr>
        <w:t>Chow Kwong Fai v CIR</w:t>
      </w:r>
      <w:r w:rsidRPr="00031A5E">
        <w:rPr>
          <w:bCs/>
          <w:i/>
        </w:rPr>
        <w:t xml:space="preserve"> </w:t>
      </w:r>
      <w:r w:rsidRPr="00031A5E">
        <w:rPr>
          <w:bCs/>
          <w:lang w:eastAsia="zh-HK"/>
        </w:rPr>
        <w:t>[</w:t>
      </w:r>
      <w:r w:rsidRPr="00031A5E">
        <w:t>2005</w:t>
      </w:r>
      <w:r w:rsidRPr="00031A5E">
        <w:rPr>
          <w:lang w:eastAsia="zh-HK"/>
        </w:rPr>
        <w:t>] 4 HKLRD 687</w:t>
      </w:r>
      <w:r w:rsidRPr="00031A5E">
        <w:t xml:space="preserve">, the </w:t>
      </w:r>
      <w:r w:rsidRPr="00031A5E">
        <w:rPr>
          <w:lang w:eastAsia="zh-HK"/>
        </w:rPr>
        <w:t>taxpayer claimed</w:t>
      </w:r>
      <w:r w:rsidRPr="00031A5E">
        <w:t xml:space="preserve"> that he was late </w:t>
      </w:r>
      <w:r w:rsidRPr="00031A5E">
        <w:rPr>
          <w:lang w:eastAsia="zh-HK"/>
        </w:rPr>
        <w:t xml:space="preserve">(for three months) </w:t>
      </w:r>
      <w:r w:rsidRPr="00031A5E">
        <w:t>in filing an appeal to the Board because he misunderstood the meaning of section 66(1)</w:t>
      </w:r>
      <w:r w:rsidR="00A623F7">
        <w:t xml:space="preserve"> of the Ordinance</w:t>
      </w:r>
      <w:r w:rsidRPr="00031A5E">
        <w:rPr>
          <w:lang w:eastAsia="zh-HK"/>
        </w:rPr>
        <w:t xml:space="preserve"> in that he had to prepare a statement of facts himself and file it together with the statement of grounds of appeal</w:t>
      </w:r>
      <w:r w:rsidRPr="00031A5E">
        <w:t>.  The Court of Appeal held that</w:t>
      </w:r>
      <w:r w:rsidRPr="00031A5E">
        <w:rPr>
          <w:lang w:eastAsia="zh-HK"/>
        </w:rPr>
        <w:t xml:space="preserve"> t</w:t>
      </w:r>
      <w:r w:rsidRPr="00031A5E">
        <w:t xml:space="preserve">he word </w:t>
      </w:r>
      <w:r w:rsidR="00031A5E">
        <w:t>‘</w:t>
      </w:r>
      <w:r w:rsidRPr="00031A5E">
        <w:t>prevented</w:t>
      </w:r>
      <w:r w:rsidR="00031A5E">
        <w:t>’</w:t>
      </w:r>
      <w:r w:rsidRPr="00031A5E">
        <w:t xml:space="preserve"> used in section 66(1A)</w:t>
      </w:r>
      <w:r w:rsidR="00A623F7">
        <w:t xml:space="preserve"> of the Ordinance</w:t>
      </w:r>
      <w:r w:rsidRPr="00031A5E">
        <w:t xml:space="preserve"> was best understood to bear the meaning of </w:t>
      </w:r>
      <w:r w:rsidR="00031A5E">
        <w:t>‘</w:t>
      </w:r>
      <w:r w:rsidRPr="00031A5E">
        <w:t>unable to</w:t>
      </w:r>
      <w:r w:rsidR="00031A5E">
        <w:t>’</w:t>
      </w:r>
      <w:r w:rsidRPr="00031A5E">
        <w:t xml:space="preserve"> and, although </w:t>
      </w:r>
      <w:r w:rsidRPr="00031A5E">
        <w:rPr>
          <w:lang w:eastAsia="zh-HK"/>
        </w:rPr>
        <w:t xml:space="preserve">it </w:t>
      </w:r>
      <w:r w:rsidRPr="00031A5E">
        <w:t>provid</w:t>
      </w:r>
      <w:r w:rsidRPr="00031A5E">
        <w:rPr>
          <w:lang w:eastAsia="zh-HK"/>
        </w:rPr>
        <w:t>ed</w:t>
      </w:r>
      <w:r w:rsidRPr="00031A5E">
        <w:t xml:space="preserve"> a less stringent test than the word </w:t>
      </w:r>
      <w:r w:rsidR="00031A5E">
        <w:t>‘</w:t>
      </w:r>
      <w:r w:rsidRPr="00031A5E">
        <w:t>prevent</w:t>
      </w:r>
      <w:r w:rsidR="00031A5E">
        <w:t>’</w:t>
      </w:r>
      <w:r w:rsidRPr="00031A5E">
        <w:t xml:space="preserve">, </w:t>
      </w:r>
      <w:r w:rsidRPr="00031A5E">
        <w:rPr>
          <w:lang w:eastAsia="zh-HK"/>
        </w:rPr>
        <w:t xml:space="preserve">it </w:t>
      </w:r>
      <w:r w:rsidRPr="00031A5E">
        <w:t>impose</w:t>
      </w:r>
      <w:r w:rsidRPr="00031A5E">
        <w:rPr>
          <w:lang w:eastAsia="zh-HK"/>
        </w:rPr>
        <w:t>d</w:t>
      </w:r>
      <w:r w:rsidRPr="00031A5E">
        <w:t xml:space="preserve"> a higher threshold than a mere excuse.  Woo VP</w:t>
      </w:r>
      <w:r w:rsidR="0006019D" w:rsidRPr="00031A5E">
        <w:t xml:space="preserve"> at </w:t>
      </w:r>
      <w:r w:rsidR="00031A5E">
        <w:t xml:space="preserve">paragraph </w:t>
      </w:r>
      <w:r w:rsidR="0006019D" w:rsidRPr="00031A5E">
        <w:t>20 said:</w:t>
      </w:r>
      <w:r w:rsidRPr="00031A5E">
        <w:t xml:space="preserve">  </w:t>
      </w:r>
    </w:p>
    <w:p w:rsidR="00D8050E" w:rsidRPr="00031A5E" w:rsidRDefault="00D8050E" w:rsidP="00031A5E">
      <w:pPr>
        <w:pStyle w:val="a3"/>
        <w:overflowPunct w:val="0"/>
        <w:autoSpaceDE w:val="0"/>
        <w:autoSpaceDN w:val="0"/>
        <w:jc w:val="both"/>
        <w:rPr>
          <w:lang w:eastAsia="zh-HK"/>
        </w:rPr>
      </w:pPr>
    </w:p>
    <w:p w:rsidR="00D8050E" w:rsidRPr="00031A5E" w:rsidRDefault="00031A5E" w:rsidP="00031A5E">
      <w:pPr>
        <w:pStyle w:val="a3"/>
        <w:tabs>
          <w:tab w:val="num" w:pos="2107"/>
        </w:tabs>
        <w:overflowPunct w:val="0"/>
        <w:autoSpaceDE w:val="0"/>
        <w:autoSpaceDN w:val="0"/>
        <w:ind w:leftChars="638" w:left="2107" w:hangingChars="240" w:hanging="576"/>
        <w:jc w:val="both"/>
        <w:rPr>
          <w:i/>
          <w:iCs/>
          <w:lang w:eastAsia="zh-HK"/>
        </w:rPr>
      </w:pPr>
      <w:r>
        <w:rPr>
          <w:iCs/>
        </w:rPr>
        <w:t>‘</w:t>
      </w:r>
      <w:r w:rsidR="00D8050E" w:rsidRPr="00031A5E">
        <w:rPr>
          <w:i/>
          <w:iCs/>
          <w:lang w:eastAsia="zh-HK"/>
        </w:rPr>
        <w:t>20.</w:t>
      </w:r>
      <w:r>
        <w:rPr>
          <w:i/>
          <w:iCs/>
          <w:lang w:eastAsia="zh-HK"/>
        </w:rPr>
        <w:tab/>
      </w:r>
      <w:r w:rsidR="00D8050E" w:rsidRPr="00031A5E">
        <w:rPr>
          <w:i/>
          <w:iCs/>
          <w:lang w:eastAsia="zh-HK"/>
        </w:rPr>
        <w:t>... while a liberal interpretation must be given to the word “prevented” used in s.66(1A), it should best be understood to bear the meaning of the term “</w:t>
      </w:r>
      <w:r w:rsidR="00D8050E" w:rsidRPr="00416332">
        <w:rPr>
          <w:rFonts w:ascii="標楷體" w:eastAsia="標楷體" w:hAnsi="標楷體"/>
          <w:i/>
          <w:iCs/>
        </w:rPr>
        <w:t>未能</w:t>
      </w:r>
      <w:r w:rsidR="00D8050E" w:rsidRPr="00031A5E">
        <w:rPr>
          <w:i/>
          <w:iCs/>
        </w:rPr>
        <w:t>” in the Chinese language version of the subsection… The term means “unable to”.  The choice of this meaning not only has the advantage of reconciling the versions in the two languages, if any reconciliation is needed, but also provides a less stringent test than the word “prevent”.  On the other hand, “unable to” imposes a higher threshold than a mere excuse and would appear to give proper effect to the rigour of time limit imposed by a taxation statute.</w:t>
      </w:r>
      <w:r>
        <w:rPr>
          <w:iCs/>
          <w:lang w:eastAsia="zh-HK"/>
        </w:rPr>
        <w:t>’</w:t>
      </w:r>
    </w:p>
    <w:p w:rsidR="00D8050E" w:rsidRPr="00031A5E" w:rsidRDefault="00D8050E" w:rsidP="00031A5E">
      <w:pPr>
        <w:pStyle w:val="a3"/>
        <w:overflowPunct w:val="0"/>
        <w:autoSpaceDE w:val="0"/>
        <w:autoSpaceDN w:val="0"/>
        <w:jc w:val="both"/>
        <w:rPr>
          <w:lang w:eastAsia="zh-HK"/>
        </w:rPr>
      </w:pPr>
    </w:p>
    <w:p w:rsidR="00D8050E" w:rsidRPr="00031A5E" w:rsidRDefault="00D8050E" w:rsidP="00031A5E">
      <w:pPr>
        <w:pStyle w:val="a3"/>
        <w:numPr>
          <w:ilvl w:val="0"/>
          <w:numId w:val="1"/>
        </w:numPr>
        <w:overflowPunct w:val="0"/>
        <w:autoSpaceDE w:val="0"/>
        <w:autoSpaceDN w:val="0"/>
        <w:ind w:left="0" w:firstLine="0"/>
        <w:jc w:val="both"/>
        <w:rPr>
          <w:lang w:eastAsia="zh-HK"/>
        </w:rPr>
      </w:pPr>
      <w:r w:rsidRPr="00031A5E">
        <w:rPr>
          <w:lang w:eastAsia="zh-HK"/>
        </w:rPr>
        <w:t xml:space="preserve">In </w:t>
      </w:r>
      <w:r w:rsidR="00F23600" w:rsidRPr="00031A5E">
        <w:rPr>
          <w:lang w:eastAsia="zh-HK"/>
        </w:rPr>
        <w:t xml:space="preserve">determining </w:t>
      </w:r>
      <w:r w:rsidRPr="00031A5E">
        <w:rPr>
          <w:lang w:eastAsia="zh-HK"/>
        </w:rPr>
        <w:t xml:space="preserve">whether a taxpayer is </w:t>
      </w:r>
      <w:r w:rsidR="00031A5E">
        <w:rPr>
          <w:lang w:eastAsia="zh-HK"/>
        </w:rPr>
        <w:t>‘</w:t>
      </w:r>
      <w:r w:rsidRPr="00031A5E">
        <w:rPr>
          <w:lang w:eastAsia="zh-HK"/>
        </w:rPr>
        <w:t>prevented</w:t>
      </w:r>
      <w:r w:rsidR="00031A5E">
        <w:rPr>
          <w:lang w:eastAsia="zh-HK"/>
        </w:rPr>
        <w:t>’</w:t>
      </w:r>
      <w:r w:rsidRPr="00031A5E">
        <w:rPr>
          <w:lang w:eastAsia="zh-HK"/>
        </w:rPr>
        <w:t xml:space="preserve"> from giving notice of appeal within the statutory time limit by other reasonable cause, the following decisions are relevant:</w:t>
      </w:r>
    </w:p>
    <w:p w:rsidR="00D62406" w:rsidRPr="00EF273F" w:rsidRDefault="00D62406" w:rsidP="00031A5E">
      <w:pPr>
        <w:pStyle w:val="a3"/>
        <w:overflowPunct w:val="0"/>
        <w:autoSpaceDE w:val="0"/>
        <w:autoSpaceDN w:val="0"/>
        <w:jc w:val="both"/>
        <w:rPr>
          <w:lang w:eastAsia="zh-HK"/>
        </w:rPr>
      </w:pPr>
    </w:p>
    <w:p w:rsidR="00150CEF" w:rsidRPr="00031A5E" w:rsidRDefault="00150CEF" w:rsidP="00031A5E">
      <w:pPr>
        <w:pStyle w:val="a3"/>
        <w:numPr>
          <w:ilvl w:val="0"/>
          <w:numId w:val="2"/>
        </w:numPr>
        <w:tabs>
          <w:tab w:val="left" w:pos="2107"/>
        </w:tabs>
        <w:overflowPunct w:val="0"/>
        <w:autoSpaceDE w:val="0"/>
        <w:autoSpaceDN w:val="0"/>
        <w:ind w:leftChars="638" w:left="2107" w:hangingChars="240" w:hanging="576"/>
        <w:jc w:val="both"/>
        <w:rPr>
          <w:iCs/>
        </w:rPr>
      </w:pPr>
      <w:r w:rsidRPr="00031A5E">
        <w:rPr>
          <w:iCs/>
        </w:rPr>
        <w:t>A</w:t>
      </w:r>
      <w:r w:rsidR="00D8050E" w:rsidRPr="00031A5E">
        <w:rPr>
          <w:iCs/>
        </w:rPr>
        <w:t xml:space="preserve"> unilateral mistake caused by the taxpayer’s misunderstanding could not properly be described as a reasonable cause which prevented him from lodging the notice of appeal within time: see </w:t>
      </w:r>
      <w:r w:rsidR="00D8050E" w:rsidRPr="00031A5E">
        <w:rPr>
          <w:iCs/>
          <w:u w:val="single"/>
        </w:rPr>
        <w:t>Chow Kwong Fai</w:t>
      </w:r>
      <w:r w:rsidRPr="00031A5E">
        <w:rPr>
          <w:iCs/>
        </w:rPr>
        <w:t>, Cheung JA in paragraph 45</w:t>
      </w:r>
      <w:r w:rsidR="00D8050E" w:rsidRPr="00031A5E">
        <w:rPr>
          <w:iCs/>
        </w:rPr>
        <w:t xml:space="preserve">. </w:t>
      </w:r>
    </w:p>
    <w:p w:rsidR="00150CEF" w:rsidRPr="00031A5E" w:rsidRDefault="00150CEF" w:rsidP="00031A5E">
      <w:pPr>
        <w:pStyle w:val="a3"/>
        <w:tabs>
          <w:tab w:val="left" w:pos="2107"/>
        </w:tabs>
        <w:overflowPunct w:val="0"/>
        <w:autoSpaceDE w:val="0"/>
        <w:autoSpaceDN w:val="0"/>
        <w:ind w:leftChars="638" w:left="2107" w:hangingChars="240" w:hanging="576"/>
        <w:jc w:val="both"/>
        <w:rPr>
          <w:iCs/>
        </w:rPr>
      </w:pPr>
    </w:p>
    <w:p w:rsidR="00D8050E" w:rsidRPr="00031A5E" w:rsidRDefault="00D8050E" w:rsidP="00031A5E">
      <w:pPr>
        <w:pStyle w:val="a3"/>
        <w:numPr>
          <w:ilvl w:val="0"/>
          <w:numId w:val="2"/>
        </w:numPr>
        <w:tabs>
          <w:tab w:val="left" w:pos="2107"/>
        </w:tabs>
        <w:overflowPunct w:val="0"/>
        <w:autoSpaceDE w:val="0"/>
        <w:autoSpaceDN w:val="0"/>
        <w:ind w:leftChars="638" w:left="2107" w:hangingChars="240" w:hanging="576"/>
        <w:jc w:val="both"/>
        <w:rPr>
          <w:iCs/>
        </w:rPr>
      </w:pPr>
      <w:r w:rsidRPr="00031A5E">
        <w:rPr>
          <w:lang w:eastAsia="zh-HK"/>
        </w:rPr>
        <w:t xml:space="preserve">Neither laches nor ignorance of one’s right or the steps constitutes a reasonable cause.  In </w:t>
      </w:r>
      <w:r w:rsidRPr="00031A5E">
        <w:rPr>
          <w:u w:val="single"/>
          <w:lang w:eastAsia="zh-HK"/>
        </w:rPr>
        <w:t>D9/79</w:t>
      </w:r>
      <w:r w:rsidR="00031A5E">
        <w:rPr>
          <w:lang w:eastAsia="zh-HK"/>
        </w:rPr>
        <w:t>,</w:t>
      </w:r>
      <w:r w:rsidRPr="00031A5E">
        <w:rPr>
          <w:i/>
          <w:lang w:eastAsia="zh-HK"/>
        </w:rPr>
        <w:t xml:space="preserve"> </w:t>
      </w:r>
      <w:r w:rsidR="00031A5E" w:rsidRPr="00031A5E">
        <w:rPr>
          <w:lang w:eastAsia="zh-HK"/>
        </w:rPr>
        <w:t>IRBRD</w:t>
      </w:r>
      <w:r w:rsidR="00031A5E">
        <w:rPr>
          <w:lang w:eastAsia="zh-HK"/>
        </w:rPr>
        <w:t>, vol</w:t>
      </w:r>
      <w:r w:rsidR="00031A5E" w:rsidRPr="00031A5E">
        <w:rPr>
          <w:lang w:eastAsia="zh-HK"/>
        </w:rPr>
        <w:t xml:space="preserve"> </w:t>
      </w:r>
      <w:r w:rsidRPr="00031A5E">
        <w:rPr>
          <w:lang w:eastAsia="zh-HK"/>
        </w:rPr>
        <w:t>1</w:t>
      </w:r>
      <w:r w:rsidR="00031A5E">
        <w:rPr>
          <w:lang w:eastAsia="zh-HK"/>
        </w:rPr>
        <w:t>,</w:t>
      </w:r>
      <w:r w:rsidRPr="00031A5E">
        <w:rPr>
          <w:lang w:eastAsia="zh-HK"/>
        </w:rPr>
        <w:t xml:space="preserve"> 354, the following was said:</w:t>
      </w:r>
    </w:p>
    <w:p w:rsidR="00D8050E" w:rsidRPr="00031A5E" w:rsidRDefault="00D8050E" w:rsidP="00031A5E">
      <w:pPr>
        <w:pStyle w:val="a3"/>
        <w:overflowPunct w:val="0"/>
        <w:autoSpaceDE w:val="0"/>
        <w:autoSpaceDN w:val="0"/>
        <w:jc w:val="both"/>
        <w:rPr>
          <w:iCs/>
        </w:rPr>
      </w:pPr>
    </w:p>
    <w:p w:rsidR="00D8050E" w:rsidRPr="00031A5E" w:rsidRDefault="00031A5E" w:rsidP="00EF273F">
      <w:pPr>
        <w:pStyle w:val="a3"/>
        <w:overflowPunct w:val="0"/>
        <w:autoSpaceDE w:val="0"/>
        <w:autoSpaceDN w:val="0"/>
        <w:ind w:leftChars="878" w:left="2107"/>
        <w:jc w:val="both"/>
        <w:rPr>
          <w:i/>
          <w:iCs/>
        </w:rPr>
      </w:pPr>
      <w:r>
        <w:rPr>
          <w:iCs/>
        </w:rPr>
        <w:t>‘</w:t>
      </w:r>
      <w:r w:rsidR="00D8050E" w:rsidRPr="00031A5E">
        <w:rPr>
          <w:i/>
          <w:iCs/>
        </w:rPr>
        <w:t xml:space="preserve">The word </w:t>
      </w:r>
      <w:r w:rsidR="00EF273F">
        <w:rPr>
          <w:i/>
          <w:iCs/>
        </w:rPr>
        <w:t>“</w:t>
      </w:r>
      <w:r w:rsidR="00D8050E" w:rsidRPr="00031A5E">
        <w:rPr>
          <w:i/>
          <w:iCs/>
        </w:rPr>
        <w:t>prevented</w:t>
      </w:r>
      <w:r w:rsidR="00EF273F">
        <w:rPr>
          <w:i/>
          <w:iCs/>
        </w:rPr>
        <w:t>”</w:t>
      </w:r>
      <w:r w:rsidR="00D8050E" w:rsidRPr="00031A5E">
        <w:rPr>
          <w:i/>
          <w:iCs/>
        </w:rPr>
        <w:t xml:space="preserve"> … is opposed to a situation when an appellant is able to give notice but failed to do so.  In our view, therefore, neither laches nor ignorance of one’s right or of the steps to be taken is a ground upon which an extension may be granted.</w:t>
      </w:r>
      <w:r w:rsidR="00EF273F">
        <w:rPr>
          <w:iCs/>
        </w:rPr>
        <w:t>’</w:t>
      </w:r>
      <w:r w:rsidR="00150CEF" w:rsidRPr="00031A5E">
        <w:rPr>
          <w:i/>
          <w:iCs/>
        </w:rPr>
        <w:t xml:space="preserve"> </w:t>
      </w:r>
    </w:p>
    <w:p w:rsidR="00D8050E" w:rsidRPr="00031A5E" w:rsidRDefault="00D8050E" w:rsidP="00031A5E">
      <w:pPr>
        <w:pStyle w:val="a3"/>
        <w:overflowPunct w:val="0"/>
        <w:autoSpaceDE w:val="0"/>
        <w:autoSpaceDN w:val="0"/>
        <w:jc w:val="both"/>
      </w:pPr>
    </w:p>
    <w:p w:rsidR="00D8050E" w:rsidRPr="00031A5E" w:rsidRDefault="00D8050E" w:rsidP="00EF273F">
      <w:pPr>
        <w:pStyle w:val="a3"/>
        <w:numPr>
          <w:ilvl w:val="0"/>
          <w:numId w:val="2"/>
        </w:numPr>
        <w:tabs>
          <w:tab w:val="left" w:pos="2107"/>
        </w:tabs>
        <w:overflowPunct w:val="0"/>
        <w:autoSpaceDE w:val="0"/>
        <w:autoSpaceDN w:val="0"/>
        <w:ind w:leftChars="638" w:left="2107" w:hangingChars="240" w:hanging="576"/>
        <w:jc w:val="both"/>
        <w:rPr>
          <w:iCs/>
        </w:rPr>
      </w:pPr>
      <w:r w:rsidRPr="00031A5E">
        <w:rPr>
          <w:iCs/>
        </w:rPr>
        <w:t xml:space="preserve">Where the proper procedure and the address of the Clerk to the Board for filing a notice of appeal were given to the taxpayer in the Commissioner’s letter attached with the determination, the mistake made by the taxpayer, in sending notice of appeal to the Revenue, was caused by the taxpayer’s failure to exercise due care.  The Revenue, having discharged its duties prescribed by law, was under no obligation to perform extra tasks to facilitate each individual taxpayer </w:t>
      </w:r>
      <w:r w:rsidRPr="00031A5E">
        <w:rPr>
          <w:iCs/>
        </w:rPr>
        <w:lastRenderedPageBreak/>
        <w:t xml:space="preserve">or its case: </w:t>
      </w:r>
      <w:r w:rsidRPr="00EF273F">
        <w:rPr>
          <w:iCs/>
        </w:rPr>
        <w:t>see paragraph 15</w:t>
      </w:r>
      <w:r w:rsidRPr="00031A5E">
        <w:rPr>
          <w:i/>
          <w:iCs/>
        </w:rPr>
        <w:t xml:space="preserve"> </w:t>
      </w:r>
      <w:r w:rsidRPr="00031A5E">
        <w:rPr>
          <w:iCs/>
        </w:rPr>
        <w:t xml:space="preserve">in </w:t>
      </w:r>
      <w:r w:rsidRPr="00EF273F">
        <w:rPr>
          <w:iCs/>
          <w:u w:val="single"/>
        </w:rPr>
        <w:t>D139/00</w:t>
      </w:r>
      <w:r w:rsidR="00EF273F">
        <w:rPr>
          <w:iCs/>
        </w:rPr>
        <w:t>,</w:t>
      </w:r>
      <w:r w:rsidRPr="00031A5E">
        <w:rPr>
          <w:i/>
          <w:iCs/>
        </w:rPr>
        <w:t xml:space="preserve"> </w:t>
      </w:r>
      <w:r w:rsidR="00EF273F" w:rsidRPr="00031A5E">
        <w:rPr>
          <w:iCs/>
        </w:rPr>
        <w:t>IRBRD</w:t>
      </w:r>
      <w:r w:rsidR="00EF273F">
        <w:rPr>
          <w:iCs/>
        </w:rPr>
        <w:t>, vol</w:t>
      </w:r>
      <w:r w:rsidR="00EF273F" w:rsidRPr="00031A5E">
        <w:rPr>
          <w:iCs/>
        </w:rPr>
        <w:t xml:space="preserve"> </w:t>
      </w:r>
      <w:r w:rsidRPr="00031A5E">
        <w:rPr>
          <w:iCs/>
        </w:rPr>
        <w:t>16</w:t>
      </w:r>
      <w:r w:rsidR="00EF273F">
        <w:rPr>
          <w:iCs/>
        </w:rPr>
        <w:t>,</w:t>
      </w:r>
      <w:r w:rsidRPr="00031A5E">
        <w:rPr>
          <w:iCs/>
        </w:rPr>
        <w:t xml:space="preserve"> 24</w:t>
      </w:r>
      <w:r w:rsidRPr="00031A5E">
        <w:rPr>
          <w:i/>
          <w:iCs/>
        </w:rPr>
        <w:t>.</w:t>
      </w:r>
    </w:p>
    <w:p w:rsidR="00D8050E" w:rsidRPr="00031A5E" w:rsidRDefault="00D8050E" w:rsidP="00031A5E">
      <w:pPr>
        <w:pStyle w:val="a3"/>
        <w:overflowPunct w:val="0"/>
        <w:autoSpaceDE w:val="0"/>
        <w:autoSpaceDN w:val="0"/>
        <w:jc w:val="both"/>
        <w:rPr>
          <w:iCs/>
        </w:rPr>
      </w:pPr>
    </w:p>
    <w:p w:rsidR="00D8050E" w:rsidRPr="00031A5E" w:rsidRDefault="00D8050E" w:rsidP="00EF273F">
      <w:pPr>
        <w:pStyle w:val="a3"/>
        <w:numPr>
          <w:ilvl w:val="0"/>
          <w:numId w:val="2"/>
        </w:numPr>
        <w:tabs>
          <w:tab w:val="left" w:pos="2107"/>
        </w:tabs>
        <w:overflowPunct w:val="0"/>
        <w:autoSpaceDE w:val="0"/>
        <w:autoSpaceDN w:val="0"/>
        <w:ind w:leftChars="638" w:left="2107" w:hangingChars="240" w:hanging="576"/>
        <w:jc w:val="both"/>
        <w:rPr>
          <w:iCs/>
        </w:rPr>
      </w:pPr>
      <w:r w:rsidRPr="00031A5E">
        <w:rPr>
          <w:iCs/>
        </w:rPr>
        <w:t xml:space="preserve">Similarly, in </w:t>
      </w:r>
      <w:r w:rsidRPr="00EF273F">
        <w:rPr>
          <w:iCs/>
          <w:u w:val="single"/>
        </w:rPr>
        <w:t>D2/03</w:t>
      </w:r>
      <w:r w:rsidR="00EF273F">
        <w:rPr>
          <w:iCs/>
        </w:rPr>
        <w:t>,</w:t>
      </w:r>
      <w:r w:rsidRPr="00031A5E">
        <w:rPr>
          <w:i/>
          <w:iCs/>
        </w:rPr>
        <w:t xml:space="preserve"> </w:t>
      </w:r>
      <w:r w:rsidR="00EF273F" w:rsidRPr="00031A5E">
        <w:rPr>
          <w:iCs/>
        </w:rPr>
        <w:t>IRBRD</w:t>
      </w:r>
      <w:r w:rsidR="00EF273F">
        <w:rPr>
          <w:iCs/>
        </w:rPr>
        <w:t>, vol</w:t>
      </w:r>
      <w:r w:rsidR="00EF273F" w:rsidRPr="00031A5E">
        <w:rPr>
          <w:iCs/>
        </w:rPr>
        <w:t xml:space="preserve"> </w:t>
      </w:r>
      <w:r w:rsidRPr="00031A5E">
        <w:rPr>
          <w:iCs/>
        </w:rPr>
        <w:t>18</w:t>
      </w:r>
      <w:r w:rsidR="00EF273F">
        <w:rPr>
          <w:iCs/>
        </w:rPr>
        <w:t>,</w:t>
      </w:r>
      <w:r w:rsidRPr="00031A5E">
        <w:rPr>
          <w:iCs/>
        </w:rPr>
        <w:t xml:space="preserve"> 301</w:t>
      </w:r>
      <w:r w:rsidR="00F56984" w:rsidRPr="00031A5E">
        <w:rPr>
          <w:iCs/>
        </w:rPr>
        <w:t>,</w:t>
      </w:r>
      <w:r w:rsidRPr="00031A5E">
        <w:rPr>
          <w:iCs/>
        </w:rPr>
        <w:t xml:space="preserve"> the taxpayer had no difficulty in sending his letter of challenge to the Revenue within the period of filing an appeal, and his delay was attributable solely to his failure to read the letter that accompanied the determination properly.  The Board refused the extension sought by the taxpayer [</w:t>
      </w:r>
      <w:r w:rsidR="00F56984" w:rsidRPr="00031A5E">
        <w:rPr>
          <w:iCs/>
        </w:rPr>
        <w:t xml:space="preserve">see </w:t>
      </w:r>
      <w:r w:rsidRPr="00031A5E">
        <w:rPr>
          <w:iCs/>
        </w:rPr>
        <w:t>paragraphs 9 and 10].</w:t>
      </w:r>
    </w:p>
    <w:p w:rsidR="00D8050E" w:rsidRPr="00031A5E" w:rsidRDefault="00D8050E" w:rsidP="00031A5E">
      <w:pPr>
        <w:pStyle w:val="a3"/>
        <w:overflowPunct w:val="0"/>
        <w:autoSpaceDE w:val="0"/>
        <w:autoSpaceDN w:val="0"/>
        <w:ind w:left="1080"/>
        <w:jc w:val="both"/>
        <w:rPr>
          <w:iCs/>
        </w:rPr>
      </w:pPr>
    </w:p>
    <w:p w:rsidR="00D8050E" w:rsidRPr="00031A5E" w:rsidRDefault="00F56984" w:rsidP="00EF273F">
      <w:pPr>
        <w:pStyle w:val="a3"/>
        <w:numPr>
          <w:ilvl w:val="0"/>
          <w:numId w:val="2"/>
        </w:numPr>
        <w:tabs>
          <w:tab w:val="left" w:pos="2107"/>
        </w:tabs>
        <w:overflowPunct w:val="0"/>
        <w:autoSpaceDE w:val="0"/>
        <w:autoSpaceDN w:val="0"/>
        <w:ind w:leftChars="638" w:left="2107" w:hangingChars="240" w:hanging="576"/>
        <w:jc w:val="both"/>
        <w:rPr>
          <w:iCs/>
        </w:rPr>
      </w:pPr>
      <w:r w:rsidRPr="00031A5E">
        <w:rPr>
          <w:iCs/>
        </w:rPr>
        <w:t>I</w:t>
      </w:r>
      <w:r w:rsidR="00D8050E" w:rsidRPr="00031A5E">
        <w:rPr>
          <w:iCs/>
        </w:rPr>
        <w:t xml:space="preserve">n </w:t>
      </w:r>
      <w:r w:rsidR="00D8050E" w:rsidRPr="00EF273F">
        <w:rPr>
          <w:iCs/>
          <w:u w:val="single"/>
        </w:rPr>
        <w:t>D63/04</w:t>
      </w:r>
      <w:r w:rsidR="00EF273F">
        <w:rPr>
          <w:iCs/>
        </w:rPr>
        <w:t>,</w:t>
      </w:r>
      <w:r w:rsidRPr="00031A5E">
        <w:rPr>
          <w:iCs/>
        </w:rPr>
        <w:t xml:space="preserve"> </w:t>
      </w:r>
      <w:r w:rsidR="00EF273F" w:rsidRPr="00031A5E">
        <w:rPr>
          <w:iCs/>
        </w:rPr>
        <w:t>IRBRD</w:t>
      </w:r>
      <w:r w:rsidR="00EF273F">
        <w:rPr>
          <w:iCs/>
        </w:rPr>
        <w:t>, vol</w:t>
      </w:r>
      <w:r w:rsidR="00EF273F" w:rsidRPr="00031A5E">
        <w:rPr>
          <w:iCs/>
        </w:rPr>
        <w:t xml:space="preserve"> </w:t>
      </w:r>
      <w:r w:rsidRPr="00031A5E">
        <w:rPr>
          <w:iCs/>
        </w:rPr>
        <w:t>19</w:t>
      </w:r>
      <w:r w:rsidR="00EF273F">
        <w:rPr>
          <w:iCs/>
        </w:rPr>
        <w:t>,</w:t>
      </w:r>
      <w:r w:rsidRPr="00031A5E">
        <w:rPr>
          <w:iCs/>
        </w:rPr>
        <w:t xml:space="preserve"> 512</w:t>
      </w:r>
      <w:r w:rsidR="00D8050E" w:rsidRPr="00031A5E">
        <w:rPr>
          <w:iCs/>
        </w:rPr>
        <w:t>, the taxpayer only made general reference to the difficulties arising from the SARS crisis.  The Board was not persuaded that the SARS crisis had any material impact on the taxpayer’s preparation of its accounts.  It was held that the default was attributable to the taxpayer’s general failure to pay due regard to its obligations under the Ordinance [see paragraph 6].</w:t>
      </w:r>
    </w:p>
    <w:p w:rsidR="00D8050E" w:rsidRPr="00031A5E" w:rsidRDefault="00D8050E" w:rsidP="00031A5E">
      <w:pPr>
        <w:pStyle w:val="a3"/>
        <w:overflowPunct w:val="0"/>
        <w:autoSpaceDE w:val="0"/>
        <w:autoSpaceDN w:val="0"/>
        <w:ind w:left="1080"/>
        <w:jc w:val="both"/>
        <w:rPr>
          <w:iCs/>
        </w:rPr>
      </w:pPr>
    </w:p>
    <w:p w:rsidR="00D8050E" w:rsidRPr="00031A5E" w:rsidRDefault="00D8050E" w:rsidP="00EF273F">
      <w:pPr>
        <w:pStyle w:val="a3"/>
        <w:numPr>
          <w:ilvl w:val="0"/>
          <w:numId w:val="2"/>
        </w:numPr>
        <w:tabs>
          <w:tab w:val="left" w:pos="2107"/>
        </w:tabs>
        <w:overflowPunct w:val="0"/>
        <w:autoSpaceDE w:val="0"/>
        <w:autoSpaceDN w:val="0"/>
        <w:ind w:leftChars="638" w:left="2107" w:hangingChars="240" w:hanging="576"/>
        <w:jc w:val="both"/>
        <w:rPr>
          <w:iCs/>
        </w:rPr>
      </w:pPr>
      <w:r w:rsidRPr="00031A5E">
        <w:rPr>
          <w:iCs/>
        </w:rPr>
        <w:t xml:space="preserve">Where a tax representative was engaged by the taxpayer, the mistake, if any, as to the party with which to file the notice of appeal was unilateral and made solely on the taxpayer’s part.  It did not amount to a reasonable cause.  As details of time limit and procedures for an appeal were set out in the Commissioner’s letter attached with the determination, there was no obligation on the Commissioner’s part to remind the taxpayer the same again: see paragraphs 31-33 in </w:t>
      </w:r>
      <w:r w:rsidRPr="00EF273F">
        <w:rPr>
          <w:iCs/>
          <w:u w:val="single"/>
        </w:rPr>
        <w:t>D1/15</w:t>
      </w:r>
      <w:r w:rsidR="00EF273F">
        <w:rPr>
          <w:iCs/>
        </w:rPr>
        <w:t>,</w:t>
      </w:r>
      <w:r w:rsidRPr="00031A5E">
        <w:rPr>
          <w:iCs/>
        </w:rPr>
        <w:t xml:space="preserve"> (2015-16) </w:t>
      </w:r>
      <w:r w:rsidR="00EF273F" w:rsidRPr="00031A5E">
        <w:rPr>
          <w:iCs/>
        </w:rPr>
        <w:t>IRBRD</w:t>
      </w:r>
      <w:r w:rsidR="00EF273F">
        <w:rPr>
          <w:iCs/>
        </w:rPr>
        <w:t>, vol</w:t>
      </w:r>
      <w:r w:rsidR="00EF273F" w:rsidRPr="00031A5E">
        <w:rPr>
          <w:iCs/>
        </w:rPr>
        <w:t xml:space="preserve"> </w:t>
      </w:r>
      <w:r w:rsidRPr="00031A5E">
        <w:rPr>
          <w:iCs/>
        </w:rPr>
        <w:t>30</w:t>
      </w:r>
      <w:r w:rsidR="00EF273F">
        <w:rPr>
          <w:iCs/>
        </w:rPr>
        <w:t>,</w:t>
      </w:r>
      <w:r w:rsidRPr="00031A5E">
        <w:rPr>
          <w:iCs/>
        </w:rPr>
        <w:t xml:space="preserve"> 272</w:t>
      </w:r>
      <w:r w:rsidRPr="00031A5E">
        <w:rPr>
          <w:i/>
          <w:iCs/>
        </w:rPr>
        <w:t>.</w:t>
      </w:r>
      <w:r w:rsidRPr="00031A5E">
        <w:rPr>
          <w:iCs/>
        </w:rPr>
        <w:t xml:space="preserve">   </w:t>
      </w:r>
    </w:p>
    <w:p w:rsidR="00D8050E" w:rsidRPr="00031A5E" w:rsidRDefault="00D8050E" w:rsidP="00031A5E">
      <w:pPr>
        <w:pStyle w:val="a3"/>
        <w:overflowPunct w:val="0"/>
        <w:autoSpaceDE w:val="0"/>
        <w:autoSpaceDN w:val="0"/>
        <w:ind w:left="1080"/>
        <w:jc w:val="both"/>
        <w:rPr>
          <w:iCs/>
        </w:rPr>
      </w:pPr>
    </w:p>
    <w:p w:rsidR="00D8050E" w:rsidRPr="00031A5E" w:rsidRDefault="00D8050E" w:rsidP="00EF273F">
      <w:pPr>
        <w:pStyle w:val="a3"/>
        <w:numPr>
          <w:ilvl w:val="0"/>
          <w:numId w:val="2"/>
        </w:numPr>
        <w:tabs>
          <w:tab w:val="left" w:pos="2107"/>
        </w:tabs>
        <w:overflowPunct w:val="0"/>
        <w:autoSpaceDE w:val="0"/>
        <w:autoSpaceDN w:val="0"/>
        <w:ind w:leftChars="638" w:left="2107" w:hangingChars="240" w:hanging="576"/>
        <w:jc w:val="both"/>
        <w:rPr>
          <w:iCs/>
        </w:rPr>
      </w:pPr>
      <w:r w:rsidRPr="00031A5E">
        <w:rPr>
          <w:iCs/>
        </w:rPr>
        <w:t>Not familiar with Hong Kong tax laws and the necessity to sort out certain issues and receive clarification from the Revenue before filing the notice of appeal were not accepted as reasons to allow further time for him to file an appeal: see paragraphs 17 and 19 in</w:t>
      </w:r>
      <w:r w:rsidRPr="00EF273F">
        <w:rPr>
          <w:iCs/>
        </w:rPr>
        <w:t xml:space="preserve"> </w:t>
      </w:r>
      <w:r w:rsidRPr="00EF273F">
        <w:rPr>
          <w:iCs/>
          <w:u w:val="single"/>
        </w:rPr>
        <w:t>D55/09</w:t>
      </w:r>
      <w:r w:rsidR="00EF273F">
        <w:rPr>
          <w:iCs/>
        </w:rPr>
        <w:t>,</w:t>
      </w:r>
      <w:r w:rsidRPr="00031A5E">
        <w:rPr>
          <w:iCs/>
        </w:rPr>
        <w:t xml:space="preserve"> (2009-10) </w:t>
      </w:r>
      <w:r w:rsidR="00EF273F" w:rsidRPr="00031A5E">
        <w:rPr>
          <w:iCs/>
        </w:rPr>
        <w:t>IRBRD</w:t>
      </w:r>
      <w:r w:rsidR="00EF273F">
        <w:rPr>
          <w:iCs/>
        </w:rPr>
        <w:t>, vol</w:t>
      </w:r>
      <w:r w:rsidR="00EF273F" w:rsidRPr="00031A5E">
        <w:rPr>
          <w:iCs/>
        </w:rPr>
        <w:t xml:space="preserve"> </w:t>
      </w:r>
      <w:r w:rsidRPr="00031A5E">
        <w:rPr>
          <w:iCs/>
        </w:rPr>
        <w:t>24</w:t>
      </w:r>
      <w:r w:rsidR="00EF273F">
        <w:rPr>
          <w:iCs/>
        </w:rPr>
        <w:t>,</w:t>
      </w:r>
      <w:r w:rsidRPr="00031A5E">
        <w:rPr>
          <w:iCs/>
        </w:rPr>
        <w:t xml:space="preserve"> 993.  </w:t>
      </w:r>
    </w:p>
    <w:p w:rsidR="00D8050E" w:rsidRDefault="00D8050E" w:rsidP="00031A5E">
      <w:pPr>
        <w:pStyle w:val="a3"/>
        <w:tabs>
          <w:tab w:val="left" w:pos="2250"/>
        </w:tabs>
        <w:overflowPunct w:val="0"/>
        <w:autoSpaceDE w:val="0"/>
        <w:autoSpaceDN w:val="0"/>
        <w:ind w:left="1080"/>
        <w:jc w:val="both"/>
        <w:rPr>
          <w:i/>
          <w:iCs/>
        </w:rPr>
      </w:pPr>
    </w:p>
    <w:p w:rsidR="00D8050E" w:rsidRPr="00031A5E" w:rsidRDefault="00D8050E" w:rsidP="00EF273F">
      <w:pPr>
        <w:pStyle w:val="a3"/>
        <w:numPr>
          <w:ilvl w:val="0"/>
          <w:numId w:val="1"/>
        </w:numPr>
        <w:overflowPunct w:val="0"/>
        <w:autoSpaceDE w:val="0"/>
        <w:autoSpaceDN w:val="0"/>
        <w:ind w:left="0" w:firstLine="0"/>
        <w:jc w:val="both"/>
      </w:pPr>
      <w:r w:rsidRPr="00031A5E">
        <w:t xml:space="preserve">In </w:t>
      </w:r>
      <w:r w:rsidRPr="00EF273F">
        <w:rPr>
          <w:bCs/>
          <w:u w:val="single"/>
        </w:rPr>
        <w:t>D3/91</w:t>
      </w:r>
      <w:r w:rsidR="00EF273F">
        <w:rPr>
          <w:bCs/>
        </w:rPr>
        <w:t>,</w:t>
      </w:r>
      <w:r w:rsidRPr="00031A5E">
        <w:rPr>
          <w:bCs/>
          <w:lang w:eastAsia="zh-HK"/>
        </w:rPr>
        <w:t xml:space="preserve"> </w:t>
      </w:r>
      <w:r w:rsidR="00EF273F" w:rsidRPr="00031A5E">
        <w:t>IRBRD</w:t>
      </w:r>
      <w:r w:rsidR="00EF273F">
        <w:t>, vol</w:t>
      </w:r>
      <w:r w:rsidR="00EF273F" w:rsidRPr="00031A5E">
        <w:rPr>
          <w:bCs/>
          <w:lang w:eastAsia="zh-HK"/>
        </w:rPr>
        <w:t xml:space="preserve"> </w:t>
      </w:r>
      <w:r w:rsidRPr="00031A5E">
        <w:rPr>
          <w:bCs/>
          <w:lang w:eastAsia="zh-HK"/>
        </w:rPr>
        <w:t>5</w:t>
      </w:r>
      <w:r w:rsidR="00EF273F">
        <w:rPr>
          <w:bCs/>
          <w:lang w:eastAsia="zh-HK"/>
        </w:rPr>
        <w:t>,</w:t>
      </w:r>
      <w:r w:rsidRPr="00031A5E">
        <w:rPr>
          <w:bCs/>
          <w:lang w:eastAsia="zh-HK"/>
        </w:rPr>
        <w:t xml:space="preserve"> </w:t>
      </w:r>
      <w:r w:rsidR="005F3316" w:rsidRPr="00031A5E">
        <w:t>537</w:t>
      </w:r>
      <w:r w:rsidRPr="00031A5E">
        <w:t xml:space="preserve">, the notice of appeal was late for </w:t>
      </w:r>
      <w:r w:rsidRPr="00031A5E">
        <w:rPr>
          <w:lang w:eastAsia="zh-HK"/>
        </w:rPr>
        <w:t>one</w:t>
      </w:r>
      <w:r w:rsidRPr="00031A5E">
        <w:t xml:space="preserve"> day only.  In rejecting </w:t>
      </w:r>
      <w:r w:rsidRPr="00031A5E">
        <w:rPr>
          <w:lang w:eastAsia="zh-HK"/>
        </w:rPr>
        <w:t>the taxpayer’s</w:t>
      </w:r>
      <w:r w:rsidRPr="00031A5E">
        <w:t xml:space="preserve"> application for extension of time, the Board said at page 541 that </w:t>
      </w:r>
      <w:r w:rsidR="00EF273F">
        <w:t>‘</w:t>
      </w:r>
      <w:r w:rsidRPr="00031A5E">
        <w:rPr>
          <w:i/>
        </w:rPr>
        <w:t>Time limits are imposed and must be observed.</w:t>
      </w:r>
      <w:r w:rsidR="00EF273F">
        <w:t>’</w:t>
      </w:r>
      <w:r w:rsidRPr="00031A5E">
        <w:rPr>
          <w:iCs/>
        </w:rPr>
        <w:t xml:space="preserve"> </w:t>
      </w:r>
      <w:r w:rsidRPr="00031A5E">
        <w:t xml:space="preserve">In </w:t>
      </w:r>
      <w:r w:rsidRPr="00EF273F">
        <w:rPr>
          <w:u w:val="single"/>
        </w:rPr>
        <w:t>D6/15</w:t>
      </w:r>
      <w:r w:rsidR="0077588F" w:rsidRPr="00031A5E">
        <w:rPr>
          <w:rFonts w:eastAsia="華康楷書體W5"/>
          <w:lang w:eastAsia="zh-HK"/>
        </w:rPr>
        <w:t>, (2015-16) IRBRD, vol 30, 426</w:t>
      </w:r>
      <w:r w:rsidR="0077588F">
        <w:rPr>
          <w:rFonts w:hint="eastAsia"/>
          <w:iCs/>
          <w:lang w:eastAsia="zh-HK"/>
        </w:rPr>
        <w:t>，</w:t>
      </w:r>
      <w:r w:rsidR="0077588F">
        <w:rPr>
          <w:rFonts w:hint="eastAsia"/>
          <w:iCs/>
        </w:rPr>
        <w:t>(DOJ</w:t>
      </w:r>
      <w:r w:rsidR="0077588F">
        <w:rPr>
          <w:iCs/>
        </w:rPr>
        <w:t>:D</w:t>
      </w:r>
      <w:r w:rsidR="0077588F">
        <w:rPr>
          <w:rFonts w:hint="eastAsia"/>
          <w:iCs/>
        </w:rPr>
        <w:t>6/15 first appears.</w:t>
      </w:r>
      <w:r w:rsidR="0077588F">
        <w:rPr>
          <w:iCs/>
        </w:rPr>
        <w:t xml:space="preserve"> Full citation should be listed out)</w:t>
      </w:r>
      <w:r w:rsidRPr="00031A5E">
        <w:rPr>
          <w:i/>
          <w:iCs/>
        </w:rPr>
        <w:t xml:space="preserve"> </w:t>
      </w:r>
      <w:r w:rsidRPr="00031A5E">
        <w:rPr>
          <w:iCs/>
        </w:rPr>
        <w:t xml:space="preserve">the Board takes the view that </w:t>
      </w:r>
      <w:r w:rsidR="00EF273F">
        <w:rPr>
          <w:iCs/>
        </w:rPr>
        <w:t>‘</w:t>
      </w:r>
      <w:r w:rsidRPr="00031A5E">
        <w:rPr>
          <w:i/>
          <w:iCs/>
        </w:rPr>
        <w:t>More than 1 month delay is unduly and unreasonably long.</w:t>
      </w:r>
      <w:r w:rsidR="00EF273F">
        <w:rPr>
          <w:iCs/>
        </w:rPr>
        <w:t>’</w:t>
      </w:r>
      <w:r w:rsidRPr="00031A5E">
        <w:rPr>
          <w:i/>
          <w:iCs/>
        </w:rPr>
        <w:t xml:space="preserve"> </w:t>
      </w:r>
      <w:r w:rsidRPr="00031A5E">
        <w:rPr>
          <w:iCs/>
        </w:rPr>
        <w:t>[</w:t>
      </w:r>
      <w:r w:rsidR="00EF273F">
        <w:rPr>
          <w:iCs/>
        </w:rPr>
        <w:t xml:space="preserve">paragraph </w:t>
      </w:r>
      <w:r w:rsidRPr="00031A5E">
        <w:rPr>
          <w:iCs/>
        </w:rPr>
        <w:t>13]</w:t>
      </w:r>
      <w:r w:rsidRPr="00031A5E">
        <w:rPr>
          <w:i/>
          <w:iCs/>
        </w:rPr>
        <w:t>.</w:t>
      </w:r>
      <w:r w:rsidRPr="00031A5E">
        <w:t xml:space="preserve">  </w:t>
      </w:r>
    </w:p>
    <w:p w:rsidR="00D62406" w:rsidRDefault="00D62406"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Default="003D2D78" w:rsidP="00031A5E">
      <w:pPr>
        <w:overflowPunct w:val="0"/>
        <w:autoSpaceDE w:val="0"/>
        <w:autoSpaceDN w:val="0"/>
        <w:jc w:val="both"/>
        <w:rPr>
          <w:lang w:eastAsia="zh-HK"/>
        </w:rPr>
      </w:pPr>
    </w:p>
    <w:p w:rsidR="003D2D78" w:rsidRPr="00031A5E" w:rsidRDefault="003D2D78" w:rsidP="00031A5E">
      <w:pPr>
        <w:overflowPunct w:val="0"/>
        <w:autoSpaceDE w:val="0"/>
        <w:autoSpaceDN w:val="0"/>
        <w:jc w:val="both"/>
        <w:rPr>
          <w:lang w:eastAsia="zh-HK"/>
        </w:rPr>
      </w:pPr>
    </w:p>
    <w:p w:rsidR="00D8050E" w:rsidRPr="00EF273F" w:rsidRDefault="00D75683" w:rsidP="00031A5E">
      <w:pPr>
        <w:overflowPunct w:val="0"/>
        <w:autoSpaceDE w:val="0"/>
        <w:autoSpaceDN w:val="0"/>
        <w:jc w:val="both"/>
        <w:rPr>
          <w:b/>
        </w:rPr>
      </w:pPr>
      <w:r w:rsidRPr="00EF273F">
        <w:rPr>
          <w:b/>
          <w:lang w:eastAsia="zh-HK"/>
        </w:rPr>
        <w:lastRenderedPageBreak/>
        <w:t xml:space="preserve">Material Facts </w:t>
      </w:r>
    </w:p>
    <w:p w:rsidR="00D62406" w:rsidRPr="00031A5E" w:rsidRDefault="00D62406" w:rsidP="00EF273F">
      <w:pPr>
        <w:pStyle w:val="a4"/>
        <w:overflowPunct w:val="0"/>
        <w:autoSpaceDE w:val="0"/>
        <w:autoSpaceDN w:val="0"/>
      </w:pPr>
    </w:p>
    <w:p w:rsidR="00D8050E" w:rsidRPr="00031A5E" w:rsidRDefault="00D8050E" w:rsidP="00EF273F">
      <w:pPr>
        <w:pStyle w:val="a3"/>
        <w:numPr>
          <w:ilvl w:val="0"/>
          <w:numId w:val="1"/>
        </w:numPr>
        <w:overflowPunct w:val="0"/>
        <w:autoSpaceDE w:val="0"/>
        <w:autoSpaceDN w:val="0"/>
        <w:ind w:left="0" w:firstLine="0"/>
        <w:jc w:val="both"/>
      </w:pPr>
      <w:r w:rsidRPr="00031A5E">
        <w:t>The</w:t>
      </w:r>
      <w:r w:rsidRPr="00031A5E">
        <w:rPr>
          <w:lang w:eastAsia="zh-HK"/>
        </w:rPr>
        <w:t xml:space="preserve"> </w:t>
      </w:r>
      <w:r w:rsidR="00D75683" w:rsidRPr="00031A5E">
        <w:t>following</w:t>
      </w:r>
      <w:r w:rsidR="00D75683" w:rsidRPr="00031A5E">
        <w:rPr>
          <w:lang w:eastAsia="zh-HK"/>
        </w:rPr>
        <w:t xml:space="preserve"> </w:t>
      </w:r>
      <w:r w:rsidRPr="00031A5E">
        <w:rPr>
          <w:lang w:eastAsia="zh-HK"/>
        </w:rPr>
        <w:t xml:space="preserve">chronology of events in the year 2020 </w:t>
      </w:r>
      <w:r w:rsidR="00D75683" w:rsidRPr="00031A5E">
        <w:rPr>
          <w:lang w:eastAsia="zh-HK"/>
        </w:rPr>
        <w:t xml:space="preserve">is undisputed: </w:t>
      </w:r>
    </w:p>
    <w:p w:rsidR="00D8050E" w:rsidRPr="00031A5E" w:rsidRDefault="00D8050E" w:rsidP="00031A5E">
      <w:pPr>
        <w:pStyle w:val="a4"/>
        <w:tabs>
          <w:tab w:val="left" w:pos="600"/>
        </w:tabs>
        <w:overflowPunct w:val="0"/>
        <w:autoSpaceDE w:val="0"/>
        <w:autoSpaceDN w:val="0"/>
        <w:ind w:left="720"/>
        <w:rPr>
          <w:lang w:eastAsia="zh-HK"/>
        </w:rPr>
      </w:pPr>
    </w:p>
    <w:tbl>
      <w:tblPr>
        <w:tblW w:w="7371" w:type="dxa"/>
        <w:tblInd w:w="1418" w:type="dxa"/>
        <w:tblCellMar>
          <w:left w:w="28" w:type="dxa"/>
          <w:right w:w="28" w:type="dxa"/>
        </w:tblCellMar>
        <w:tblLook w:val="0000" w:firstRow="0" w:lastRow="0" w:firstColumn="0" w:lastColumn="0" w:noHBand="0" w:noVBand="0"/>
      </w:tblPr>
      <w:tblGrid>
        <w:gridCol w:w="992"/>
        <w:gridCol w:w="6379"/>
      </w:tblGrid>
      <w:tr w:rsidR="00EF273F" w:rsidRPr="00031A5E" w:rsidTr="000F21E7">
        <w:trPr>
          <w:cantSplit/>
        </w:trPr>
        <w:tc>
          <w:tcPr>
            <w:tcW w:w="992" w:type="dxa"/>
          </w:tcPr>
          <w:p w:rsidR="00EF273F" w:rsidRPr="00031A5E" w:rsidRDefault="00EF273F" w:rsidP="00EF273F">
            <w:pPr>
              <w:pStyle w:val="a4"/>
              <w:overflowPunct w:val="0"/>
              <w:autoSpaceDE w:val="0"/>
              <w:autoSpaceDN w:val="0"/>
              <w:ind w:leftChars="36" w:left="86"/>
              <w:rPr>
                <w:lang w:eastAsia="zh-HK"/>
              </w:rPr>
            </w:pPr>
            <w:r w:rsidRPr="00031A5E">
              <w:rPr>
                <w:lang w:eastAsia="zh-HK"/>
              </w:rPr>
              <w:t>3 Mar</w:t>
            </w:r>
          </w:p>
        </w:tc>
        <w:tc>
          <w:tcPr>
            <w:tcW w:w="6379" w:type="dxa"/>
          </w:tcPr>
          <w:p w:rsidR="00EF273F" w:rsidRPr="00031A5E" w:rsidRDefault="00EF273F" w:rsidP="00EF273F">
            <w:pPr>
              <w:pStyle w:val="a4"/>
              <w:tabs>
                <w:tab w:val="left" w:pos="600"/>
              </w:tabs>
              <w:overflowPunct w:val="0"/>
              <w:autoSpaceDE w:val="0"/>
              <w:autoSpaceDN w:val="0"/>
              <w:ind w:rightChars="13" w:right="31"/>
            </w:pPr>
            <w:r w:rsidRPr="00031A5E">
              <w:t xml:space="preserve">The </w:t>
            </w:r>
            <w:r w:rsidRPr="00031A5E">
              <w:rPr>
                <w:lang w:eastAsia="zh-HK"/>
              </w:rPr>
              <w:t>Deputy Commissioner issued a letter</w:t>
            </w:r>
            <w:r w:rsidRPr="00031A5E">
              <w:rPr>
                <w:rStyle w:val="a8"/>
                <w:lang w:eastAsia="zh-HK"/>
              </w:rPr>
              <w:footnoteReference w:id="1"/>
            </w:r>
            <w:r w:rsidRPr="00031A5E">
              <w:rPr>
                <w:lang w:eastAsia="zh-HK"/>
              </w:rPr>
              <w:t xml:space="preserve"> enclosing the D</w:t>
            </w:r>
            <w:r w:rsidRPr="00031A5E">
              <w:t>etermination</w:t>
            </w:r>
            <w:r w:rsidRPr="00031A5E">
              <w:rPr>
                <w:lang w:eastAsia="zh-HK"/>
              </w:rPr>
              <w:t xml:space="preserve"> (</w:t>
            </w:r>
            <w:r>
              <w:rPr>
                <w:lang w:eastAsia="zh-HK"/>
              </w:rPr>
              <w:t>‘</w:t>
            </w:r>
            <w:r w:rsidRPr="00031A5E">
              <w:rPr>
                <w:lang w:eastAsia="zh-HK"/>
              </w:rPr>
              <w:t>the Packet</w:t>
            </w:r>
            <w:r>
              <w:rPr>
                <w:lang w:eastAsia="zh-HK"/>
              </w:rPr>
              <w:t>’</w:t>
            </w:r>
            <w:r w:rsidRPr="00031A5E">
              <w:rPr>
                <w:lang w:eastAsia="zh-HK"/>
              </w:rPr>
              <w:t xml:space="preserve">) </w:t>
            </w:r>
            <w:r w:rsidRPr="00031A5E">
              <w:t xml:space="preserve">to the Taxpayer at </w:t>
            </w:r>
            <w:r>
              <w:t>Address B</w:t>
            </w:r>
            <w:r w:rsidRPr="00031A5E">
              <w:t xml:space="preserve"> (</w:t>
            </w:r>
            <w:r>
              <w:t>‘</w:t>
            </w:r>
            <w:r w:rsidRPr="00031A5E">
              <w:t>the Address</w:t>
            </w:r>
            <w:r>
              <w:t>’</w:t>
            </w:r>
            <w:r w:rsidRPr="00031A5E">
              <w:t xml:space="preserve">) by registered mail. </w:t>
            </w:r>
            <w:r w:rsidRPr="00031A5E">
              <w:rPr>
                <w:lang w:eastAsia="zh-HK"/>
              </w:rPr>
              <w:t xml:space="preserve"> </w:t>
            </w:r>
            <w:r w:rsidRPr="00031A5E">
              <w:t>On the same day, a copy of the covering letter and its enclosures (</w:t>
            </w:r>
            <w:r>
              <w:t>‘</w:t>
            </w:r>
            <w:r w:rsidRPr="00031A5E">
              <w:t>the TR Packet</w:t>
            </w:r>
            <w:r>
              <w:t>’</w:t>
            </w:r>
            <w:r w:rsidRPr="00031A5E">
              <w:t>) were also sent to Akin Professionals Limited (</w:t>
            </w:r>
            <w:r>
              <w:t>‘</w:t>
            </w:r>
            <w:r w:rsidRPr="00031A5E">
              <w:t>the Representative</w:t>
            </w:r>
            <w:r>
              <w:t>’</w:t>
            </w:r>
            <w:r w:rsidRPr="00031A5E">
              <w:t>) at the Address.</w:t>
            </w:r>
          </w:p>
        </w:tc>
      </w:tr>
      <w:tr w:rsidR="00EF273F" w:rsidRPr="00031A5E" w:rsidTr="00EF273F">
        <w:tc>
          <w:tcPr>
            <w:tcW w:w="992" w:type="dxa"/>
          </w:tcPr>
          <w:p w:rsidR="00EF273F" w:rsidRPr="00031A5E" w:rsidRDefault="00EF273F" w:rsidP="00EF273F">
            <w:pPr>
              <w:pStyle w:val="a4"/>
              <w:overflowPunct w:val="0"/>
              <w:autoSpaceDE w:val="0"/>
              <w:autoSpaceDN w:val="0"/>
              <w:ind w:leftChars="36" w:left="86"/>
            </w:pPr>
          </w:p>
        </w:tc>
        <w:tc>
          <w:tcPr>
            <w:tcW w:w="6379" w:type="dxa"/>
          </w:tcPr>
          <w:p w:rsidR="00EF273F" w:rsidRPr="00031A5E" w:rsidRDefault="00EF273F" w:rsidP="00EF273F">
            <w:pPr>
              <w:pStyle w:val="a4"/>
              <w:tabs>
                <w:tab w:val="left" w:pos="600"/>
              </w:tabs>
              <w:overflowPunct w:val="0"/>
              <w:autoSpaceDE w:val="0"/>
              <w:autoSpaceDN w:val="0"/>
              <w:ind w:rightChars="13" w:right="31"/>
            </w:pPr>
          </w:p>
        </w:tc>
      </w:tr>
      <w:tr w:rsidR="00EF273F" w:rsidRPr="00031A5E" w:rsidTr="00EF273F">
        <w:tc>
          <w:tcPr>
            <w:tcW w:w="992" w:type="dxa"/>
          </w:tcPr>
          <w:p w:rsidR="00EF273F" w:rsidRPr="00031A5E" w:rsidRDefault="00EF273F" w:rsidP="00EF273F">
            <w:pPr>
              <w:pStyle w:val="a4"/>
              <w:overflowPunct w:val="0"/>
              <w:autoSpaceDE w:val="0"/>
              <w:autoSpaceDN w:val="0"/>
              <w:ind w:leftChars="36" w:left="86"/>
              <w:rPr>
                <w:lang w:eastAsia="zh-HK"/>
              </w:rPr>
            </w:pPr>
            <w:r w:rsidRPr="00031A5E">
              <w:rPr>
                <w:lang w:eastAsia="zh-HK"/>
              </w:rPr>
              <w:t>5 Mar</w:t>
            </w:r>
          </w:p>
        </w:tc>
        <w:tc>
          <w:tcPr>
            <w:tcW w:w="6379" w:type="dxa"/>
          </w:tcPr>
          <w:p w:rsidR="00EF273F" w:rsidRPr="00031A5E" w:rsidRDefault="00EF273F" w:rsidP="00EF273F">
            <w:pPr>
              <w:pStyle w:val="a4"/>
              <w:tabs>
                <w:tab w:val="left" w:pos="600"/>
              </w:tabs>
              <w:overflowPunct w:val="0"/>
              <w:autoSpaceDE w:val="0"/>
              <w:autoSpaceDN w:val="0"/>
              <w:ind w:rightChars="13" w:right="31"/>
            </w:pPr>
            <w:r w:rsidRPr="00031A5E">
              <w:t>The Packet and the TR Packet were duly delivered and were acknowledged receipt by the Taxpayer and the Representative respectively.</w:t>
            </w:r>
          </w:p>
        </w:tc>
      </w:tr>
      <w:tr w:rsidR="00EF273F" w:rsidRPr="00031A5E" w:rsidTr="00EF273F">
        <w:tc>
          <w:tcPr>
            <w:tcW w:w="992" w:type="dxa"/>
          </w:tcPr>
          <w:p w:rsidR="00EF273F" w:rsidRPr="00031A5E" w:rsidRDefault="00EF273F" w:rsidP="00EF273F">
            <w:pPr>
              <w:pStyle w:val="a4"/>
              <w:overflowPunct w:val="0"/>
              <w:autoSpaceDE w:val="0"/>
              <w:autoSpaceDN w:val="0"/>
              <w:ind w:leftChars="36" w:left="86"/>
            </w:pPr>
          </w:p>
        </w:tc>
        <w:tc>
          <w:tcPr>
            <w:tcW w:w="6379" w:type="dxa"/>
          </w:tcPr>
          <w:p w:rsidR="00EF273F" w:rsidRPr="00031A5E" w:rsidRDefault="00EF273F" w:rsidP="00EF273F">
            <w:pPr>
              <w:pStyle w:val="a4"/>
              <w:tabs>
                <w:tab w:val="left" w:pos="600"/>
              </w:tabs>
              <w:overflowPunct w:val="0"/>
              <w:autoSpaceDE w:val="0"/>
              <w:autoSpaceDN w:val="0"/>
              <w:ind w:rightChars="13" w:right="31"/>
            </w:pP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t>9 Mar</w:t>
            </w: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r w:rsidRPr="00031A5E">
              <w:rPr>
                <w:lang w:eastAsia="zh-HK"/>
              </w:rPr>
              <w:t>The Representative sent a letter to the Revenue acknowledging the receipt of the Determination and informing that the reply to the Revenue’s letter of 12 July 2019 had been furnished to the Revenue on 11 February 2020</w:t>
            </w:r>
            <w:r w:rsidRPr="00031A5E">
              <w:rPr>
                <w:rStyle w:val="a8"/>
                <w:lang w:eastAsia="zh-HK"/>
              </w:rPr>
              <w:footnoteReference w:id="2"/>
            </w:r>
            <w:r w:rsidRPr="00031A5E">
              <w:rPr>
                <w:lang w:eastAsia="zh-HK"/>
              </w:rPr>
              <w:t xml:space="preserve"> the latest.</w:t>
            </w: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r w:rsidRPr="00031A5E">
              <w:rPr>
                <w:lang w:eastAsia="zh-HK"/>
              </w:rPr>
              <w:t>21 May</w:t>
            </w:r>
          </w:p>
          <w:p w:rsidR="00EF273F" w:rsidRPr="00031A5E" w:rsidRDefault="00EF273F" w:rsidP="00EF273F">
            <w:pPr>
              <w:overflowPunct w:val="0"/>
              <w:autoSpaceDE w:val="0"/>
              <w:autoSpaceDN w:val="0"/>
              <w:ind w:leftChars="36" w:left="86"/>
              <w:rPr>
                <w:lang w:eastAsia="zh-HK"/>
              </w:rPr>
            </w:pP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p>
          <w:p w:rsidR="00EF273F" w:rsidRPr="00031A5E" w:rsidRDefault="00EF273F" w:rsidP="00EF273F">
            <w:pPr>
              <w:pStyle w:val="a4"/>
              <w:tabs>
                <w:tab w:val="left" w:pos="600"/>
              </w:tabs>
              <w:overflowPunct w:val="0"/>
              <w:autoSpaceDE w:val="0"/>
              <w:autoSpaceDN w:val="0"/>
              <w:ind w:rightChars="13" w:right="31"/>
              <w:rPr>
                <w:lang w:eastAsia="zh-HK"/>
              </w:rPr>
            </w:pPr>
            <w:r w:rsidRPr="00031A5E">
              <w:rPr>
                <w:lang w:eastAsia="zh-HK"/>
              </w:rPr>
              <w:t>The Representative’s letters of 4 February 2020 and 9 March 2020 were passed to the Assessor of the Revenue.</w:t>
            </w:r>
          </w:p>
          <w:p w:rsidR="00EF273F" w:rsidRPr="00031A5E" w:rsidRDefault="00EF273F" w:rsidP="00EF273F">
            <w:pPr>
              <w:pStyle w:val="a4"/>
              <w:tabs>
                <w:tab w:val="left" w:pos="600"/>
              </w:tabs>
              <w:overflowPunct w:val="0"/>
              <w:autoSpaceDE w:val="0"/>
              <w:autoSpaceDN w:val="0"/>
              <w:ind w:rightChars="13" w:right="31"/>
              <w:rPr>
                <w:lang w:eastAsia="zh-HK"/>
              </w:rPr>
            </w:pP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t>22 May</w:t>
            </w:r>
          </w:p>
        </w:tc>
        <w:tc>
          <w:tcPr>
            <w:tcW w:w="6379" w:type="dxa"/>
          </w:tcPr>
          <w:p w:rsidR="00EF273F" w:rsidRPr="00031A5E" w:rsidRDefault="00EF273F" w:rsidP="00EF273F">
            <w:pPr>
              <w:pStyle w:val="a4"/>
              <w:overflowPunct w:val="0"/>
              <w:autoSpaceDE w:val="0"/>
              <w:autoSpaceDN w:val="0"/>
              <w:ind w:rightChars="13" w:right="31"/>
              <w:rPr>
                <w:lang w:eastAsia="zh-HK"/>
              </w:rPr>
            </w:pPr>
            <w:r w:rsidRPr="00031A5E">
              <w:rPr>
                <w:lang w:eastAsia="zh-HK"/>
              </w:rPr>
              <w:t xml:space="preserve">The Revenue sent a letter to the Representative advising that the Deputy Commissioner had fully considered the facts of the case and reached the decision by issuing the Determination.  The Revenue further advised the Appellant that, according to section 66 of the Ordinance, it had the right to appeal to the Board, an independent statutory body.  The Revenue also drew the Taxpayer’s attention that an appeal to the Board must be given in writing to the Clerk to the Board within one month after the date of issue of the Determination.  For avoidance of doubt, the Revenue stressed that the Taxpayer’s letter of 9 </w:t>
            </w:r>
            <w:r w:rsidRPr="00031A5E">
              <w:t>March 2020 had not been treated as an appeal to the Board.</w:t>
            </w:r>
            <w:r w:rsidRPr="00031A5E">
              <w:rPr>
                <w:lang w:eastAsia="zh-HK"/>
              </w:rPr>
              <w:t xml:space="preserve">    </w:t>
            </w: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t>26 May</w:t>
            </w:r>
          </w:p>
        </w:tc>
        <w:tc>
          <w:tcPr>
            <w:tcW w:w="6379" w:type="dxa"/>
          </w:tcPr>
          <w:p w:rsidR="00EF273F" w:rsidRPr="00EF273F" w:rsidRDefault="00EF273F" w:rsidP="00EF273F">
            <w:pPr>
              <w:pStyle w:val="a4"/>
              <w:tabs>
                <w:tab w:val="left" w:pos="600"/>
              </w:tabs>
              <w:overflowPunct w:val="0"/>
              <w:autoSpaceDE w:val="0"/>
              <w:autoSpaceDN w:val="0"/>
              <w:ind w:rightChars="13" w:right="31"/>
              <w:rPr>
                <w:lang w:eastAsia="zh-HK"/>
              </w:rPr>
            </w:pPr>
            <w:r w:rsidRPr="00EF273F">
              <w:rPr>
                <w:lang w:eastAsia="zh-HK"/>
              </w:rPr>
              <w:t xml:space="preserve">The </w:t>
            </w:r>
            <w:r w:rsidRPr="00EF273F">
              <w:t>Representative</w:t>
            </w:r>
            <w:r w:rsidRPr="00EF273F">
              <w:rPr>
                <w:lang w:eastAsia="zh-HK"/>
              </w:rPr>
              <w:t xml:space="preserve"> sent a letter to the Revenue stating that the Appellant would like to appeal to the Board. </w:t>
            </w: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t>23 Jun</w:t>
            </w: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r w:rsidRPr="00031A5E">
              <w:rPr>
                <w:lang w:eastAsia="zh-HK"/>
              </w:rPr>
              <w:t>The Revenue sent a letter to the Representative advising the address and contact details of the Clerk to the Board.</w:t>
            </w: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lastRenderedPageBreak/>
              <w:t>29 Jun</w:t>
            </w: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r w:rsidRPr="00031A5E">
              <w:rPr>
                <w:lang w:eastAsia="zh-HK"/>
              </w:rPr>
              <w:t>The Representative sent a copy of its letter of 26 May 2020 to the Board.</w:t>
            </w: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p>
        </w:tc>
      </w:tr>
      <w:tr w:rsidR="00EF273F" w:rsidRPr="00031A5E" w:rsidTr="000F21E7">
        <w:trPr>
          <w:cantSplit/>
        </w:trPr>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t>30 Jun</w:t>
            </w: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r w:rsidRPr="00EF273F">
              <w:rPr>
                <w:lang w:eastAsia="zh-HK"/>
              </w:rPr>
              <w:t xml:space="preserve">The Clerk to the Board sent a letter to the Taxpayer advising that the Board was an independent statutory body for hearing and not under the purview of the Inland Revenue Department.  </w:t>
            </w:r>
            <w:r w:rsidRPr="00031A5E">
              <w:rPr>
                <w:lang w:eastAsia="zh-HK"/>
              </w:rPr>
              <w:t>The Clerk further advised the requirement under section 66(1) of the Ordinance to lodge appeal, in particular that the notice of appeal should be addressed to the Clerk to the Board.</w:t>
            </w: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p>
        </w:tc>
      </w:tr>
      <w:tr w:rsidR="00EF273F" w:rsidRPr="00031A5E" w:rsidTr="00EF273F">
        <w:tc>
          <w:tcPr>
            <w:tcW w:w="992" w:type="dxa"/>
          </w:tcPr>
          <w:p w:rsidR="00EF273F" w:rsidRPr="00031A5E" w:rsidRDefault="00EF273F" w:rsidP="00EF273F">
            <w:pPr>
              <w:overflowPunct w:val="0"/>
              <w:autoSpaceDE w:val="0"/>
              <w:autoSpaceDN w:val="0"/>
              <w:ind w:leftChars="36" w:left="86"/>
              <w:rPr>
                <w:lang w:eastAsia="zh-HK"/>
              </w:rPr>
            </w:pPr>
            <w:r w:rsidRPr="00031A5E">
              <w:rPr>
                <w:lang w:eastAsia="zh-HK"/>
              </w:rPr>
              <w:t>14 Sep</w:t>
            </w: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r w:rsidRPr="00031A5E">
              <w:rPr>
                <w:lang w:eastAsia="zh-HK"/>
              </w:rPr>
              <w:t>15 Sep</w:t>
            </w: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p>
          <w:p w:rsidR="00EF273F" w:rsidRPr="00031A5E" w:rsidRDefault="00EF273F" w:rsidP="00EF273F">
            <w:pPr>
              <w:overflowPunct w:val="0"/>
              <w:autoSpaceDE w:val="0"/>
              <w:autoSpaceDN w:val="0"/>
              <w:ind w:leftChars="36" w:left="86"/>
              <w:rPr>
                <w:lang w:eastAsia="zh-HK"/>
              </w:rPr>
            </w:pPr>
            <w:r w:rsidRPr="00031A5E">
              <w:rPr>
                <w:lang w:eastAsia="zh-HK"/>
              </w:rPr>
              <w:t>18 Nov</w:t>
            </w:r>
          </w:p>
        </w:tc>
        <w:tc>
          <w:tcPr>
            <w:tcW w:w="6379" w:type="dxa"/>
          </w:tcPr>
          <w:p w:rsidR="00EF273F" w:rsidRPr="00031A5E" w:rsidRDefault="00EF273F" w:rsidP="00EF273F">
            <w:pPr>
              <w:pStyle w:val="a4"/>
              <w:tabs>
                <w:tab w:val="left" w:pos="600"/>
              </w:tabs>
              <w:overflowPunct w:val="0"/>
              <w:autoSpaceDE w:val="0"/>
              <w:autoSpaceDN w:val="0"/>
              <w:ind w:rightChars="13" w:right="31"/>
              <w:rPr>
                <w:lang w:eastAsia="zh-HK"/>
              </w:rPr>
            </w:pPr>
            <w:r w:rsidRPr="00031A5E">
              <w:rPr>
                <w:lang w:eastAsia="zh-HK"/>
              </w:rPr>
              <w:t>The Board received a letter of 11 September 2020 (with the same content as that of 26 May 2020)</w:t>
            </w:r>
            <w:r w:rsidRPr="00031A5E">
              <w:rPr>
                <w:color w:val="FF0000"/>
                <w:lang w:eastAsia="zh-HK"/>
              </w:rPr>
              <w:t xml:space="preserve"> </w:t>
            </w:r>
            <w:r w:rsidRPr="00031A5E">
              <w:rPr>
                <w:lang w:eastAsia="zh-HK"/>
              </w:rPr>
              <w:t xml:space="preserve">sent by the Taxpayer purporting to give notice of appeal. </w:t>
            </w:r>
          </w:p>
          <w:p w:rsidR="00EF273F" w:rsidRPr="00031A5E" w:rsidRDefault="00EF273F" w:rsidP="00EF273F">
            <w:pPr>
              <w:pStyle w:val="a4"/>
              <w:tabs>
                <w:tab w:val="left" w:pos="600"/>
              </w:tabs>
              <w:overflowPunct w:val="0"/>
              <w:autoSpaceDE w:val="0"/>
              <w:autoSpaceDN w:val="0"/>
              <w:ind w:rightChars="13" w:right="31"/>
              <w:rPr>
                <w:lang w:eastAsia="zh-HK"/>
              </w:rPr>
            </w:pPr>
          </w:p>
          <w:p w:rsidR="00EF273F" w:rsidRPr="00031A5E" w:rsidRDefault="00EF273F" w:rsidP="00EF273F">
            <w:pPr>
              <w:pStyle w:val="a4"/>
              <w:tabs>
                <w:tab w:val="left" w:pos="600"/>
              </w:tabs>
              <w:overflowPunct w:val="0"/>
              <w:autoSpaceDE w:val="0"/>
              <w:autoSpaceDN w:val="0"/>
              <w:ind w:rightChars="13" w:right="31"/>
              <w:rPr>
                <w:color w:val="FF0000"/>
                <w:lang w:eastAsia="zh-HK"/>
              </w:rPr>
            </w:pPr>
            <w:r w:rsidRPr="00031A5E">
              <w:rPr>
                <w:lang w:eastAsia="zh-HK"/>
              </w:rPr>
              <w:t xml:space="preserve">The Clerk to the Board sent a letter to the Appellant advising that its notice of appeal of 11 September 2020 was prima facie invalid because it was lodged after the statutory period of one month as required under section 66(1)(a) of the Ordinance and it may wish to consider invoking the jurisdiction of the Board to grant an extension of time under section 66(1A) of the Ordinance.  The Clerk further advised the Taxpayer that it would be notified to attend a hearing in due course, and that if the Board accepted its reasons for being late in lodging an appeal, it would proceed to hear the appeal in the usual way.  </w:t>
            </w:r>
          </w:p>
          <w:p w:rsidR="00EF273F" w:rsidRPr="00031A5E" w:rsidRDefault="00EF273F" w:rsidP="00EF273F">
            <w:pPr>
              <w:pStyle w:val="a4"/>
              <w:tabs>
                <w:tab w:val="left" w:pos="600"/>
              </w:tabs>
              <w:overflowPunct w:val="0"/>
              <w:autoSpaceDE w:val="0"/>
              <w:autoSpaceDN w:val="0"/>
              <w:ind w:rightChars="13" w:right="31"/>
              <w:rPr>
                <w:lang w:eastAsia="zh-HK"/>
              </w:rPr>
            </w:pPr>
          </w:p>
          <w:p w:rsidR="00EF273F" w:rsidRPr="00031A5E" w:rsidRDefault="00EF273F" w:rsidP="00EF273F">
            <w:pPr>
              <w:pStyle w:val="a4"/>
              <w:tabs>
                <w:tab w:val="left" w:pos="600"/>
              </w:tabs>
              <w:overflowPunct w:val="0"/>
              <w:autoSpaceDE w:val="0"/>
              <w:autoSpaceDN w:val="0"/>
              <w:ind w:rightChars="13" w:right="31"/>
              <w:rPr>
                <w:lang w:eastAsia="zh-HK"/>
              </w:rPr>
            </w:pPr>
            <w:r w:rsidRPr="00031A5E">
              <w:rPr>
                <w:lang w:eastAsia="zh-HK"/>
              </w:rPr>
              <w:t>The Representative sent a letter to the Revenue stating the reason for submitting the notice to appeal to the Board only on 14 September 2020, after receiving the letter of 23 June 2020 from the Revenue.</w:t>
            </w:r>
          </w:p>
        </w:tc>
      </w:tr>
    </w:tbl>
    <w:p w:rsidR="00D8050E" w:rsidRPr="00031A5E" w:rsidRDefault="00D8050E" w:rsidP="00EF273F">
      <w:pPr>
        <w:tabs>
          <w:tab w:val="left" w:pos="1480"/>
        </w:tabs>
        <w:overflowPunct w:val="0"/>
        <w:autoSpaceDE w:val="0"/>
        <w:autoSpaceDN w:val="0"/>
        <w:jc w:val="both"/>
      </w:pPr>
    </w:p>
    <w:p w:rsidR="00D8050E" w:rsidRPr="00EF273F" w:rsidRDefault="00D8050E" w:rsidP="00031A5E">
      <w:pPr>
        <w:tabs>
          <w:tab w:val="left" w:pos="709"/>
        </w:tabs>
        <w:overflowPunct w:val="0"/>
        <w:autoSpaceDE w:val="0"/>
        <w:autoSpaceDN w:val="0"/>
        <w:jc w:val="both"/>
        <w:rPr>
          <w:b/>
          <w:lang w:eastAsia="zh-HK"/>
        </w:rPr>
      </w:pPr>
      <w:r w:rsidRPr="00EF273F">
        <w:rPr>
          <w:b/>
          <w:bCs/>
          <w:lang w:eastAsia="zh-HK"/>
        </w:rPr>
        <w:t>Reasons for Late Appeal</w:t>
      </w:r>
    </w:p>
    <w:p w:rsidR="00D8050E" w:rsidRPr="00031A5E" w:rsidRDefault="00D8050E" w:rsidP="00031A5E">
      <w:pPr>
        <w:pStyle w:val="a3"/>
        <w:tabs>
          <w:tab w:val="left" w:pos="600"/>
        </w:tabs>
        <w:overflowPunct w:val="0"/>
        <w:autoSpaceDE w:val="0"/>
        <w:autoSpaceDN w:val="0"/>
        <w:jc w:val="both"/>
      </w:pPr>
    </w:p>
    <w:p w:rsidR="00D8050E" w:rsidRPr="00031A5E" w:rsidRDefault="00D8050E" w:rsidP="00EF273F">
      <w:pPr>
        <w:pStyle w:val="a3"/>
        <w:numPr>
          <w:ilvl w:val="0"/>
          <w:numId w:val="1"/>
        </w:numPr>
        <w:overflowPunct w:val="0"/>
        <w:autoSpaceDE w:val="0"/>
        <w:autoSpaceDN w:val="0"/>
        <w:ind w:left="0" w:firstLine="0"/>
        <w:jc w:val="both"/>
        <w:rPr>
          <w:lang w:eastAsia="zh-HK"/>
        </w:rPr>
      </w:pPr>
      <w:r w:rsidRPr="00031A5E">
        <w:t xml:space="preserve">In </w:t>
      </w:r>
      <w:r w:rsidRPr="00031A5E">
        <w:rPr>
          <w:lang w:eastAsia="zh-HK"/>
        </w:rPr>
        <w:t xml:space="preserve">the notice of appeal of 11 September </w:t>
      </w:r>
      <w:r w:rsidR="0054334A" w:rsidRPr="00031A5E">
        <w:rPr>
          <w:lang w:eastAsia="zh-HK"/>
        </w:rPr>
        <w:t>2020</w:t>
      </w:r>
      <w:r w:rsidRPr="00031A5E">
        <w:rPr>
          <w:lang w:eastAsia="zh-HK"/>
        </w:rPr>
        <w:t>, the Representative did not state why it filed the appeal after the one-month appeal period.</w:t>
      </w:r>
    </w:p>
    <w:p w:rsidR="00D8050E" w:rsidRPr="00031A5E" w:rsidRDefault="00D8050E" w:rsidP="00EF273F">
      <w:pPr>
        <w:pStyle w:val="a3"/>
        <w:overflowPunct w:val="0"/>
        <w:autoSpaceDE w:val="0"/>
        <w:autoSpaceDN w:val="0"/>
        <w:ind w:left="0"/>
        <w:jc w:val="both"/>
        <w:rPr>
          <w:lang w:eastAsia="zh-HK"/>
        </w:rPr>
      </w:pPr>
    </w:p>
    <w:p w:rsidR="00D8050E" w:rsidRPr="00031A5E" w:rsidRDefault="0054334A" w:rsidP="00EF273F">
      <w:pPr>
        <w:pStyle w:val="a3"/>
        <w:numPr>
          <w:ilvl w:val="0"/>
          <w:numId w:val="1"/>
        </w:numPr>
        <w:overflowPunct w:val="0"/>
        <w:autoSpaceDE w:val="0"/>
        <w:autoSpaceDN w:val="0"/>
        <w:ind w:left="0" w:firstLine="0"/>
        <w:jc w:val="both"/>
        <w:rPr>
          <w:lang w:eastAsia="zh-HK"/>
        </w:rPr>
      </w:pPr>
      <w:r w:rsidRPr="00031A5E">
        <w:rPr>
          <w:lang w:eastAsia="zh-HK"/>
        </w:rPr>
        <w:t>I</w:t>
      </w:r>
      <w:r w:rsidR="00D8050E" w:rsidRPr="00031A5E">
        <w:rPr>
          <w:lang w:eastAsia="zh-HK"/>
        </w:rPr>
        <w:t xml:space="preserve">n its letter of 18 November 2020, the Representative stated that the Appellant was not equipped to function in times of COVID-19 after March 2020, thus adding the response time and procedure to appeal.  </w:t>
      </w:r>
    </w:p>
    <w:p w:rsidR="00D8050E" w:rsidRPr="00031A5E" w:rsidRDefault="00D8050E" w:rsidP="00EF273F">
      <w:pPr>
        <w:pStyle w:val="a3"/>
        <w:overflowPunct w:val="0"/>
        <w:autoSpaceDE w:val="0"/>
        <w:autoSpaceDN w:val="0"/>
        <w:ind w:left="0"/>
        <w:jc w:val="both"/>
        <w:rPr>
          <w:lang w:eastAsia="zh-HK"/>
        </w:rPr>
      </w:pPr>
    </w:p>
    <w:p w:rsidR="00D8050E" w:rsidRPr="00031A5E" w:rsidRDefault="0054334A" w:rsidP="00EF273F">
      <w:pPr>
        <w:pStyle w:val="a3"/>
        <w:numPr>
          <w:ilvl w:val="0"/>
          <w:numId w:val="1"/>
        </w:numPr>
        <w:overflowPunct w:val="0"/>
        <w:autoSpaceDE w:val="0"/>
        <w:autoSpaceDN w:val="0"/>
        <w:ind w:left="0" w:firstLine="0"/>
        <w:jc w:val="both"/>
        <w:rPr>
          <w:lang w:eastAsia="zh-HK"/>
        </w:rPr>
      </w:pPr>
      <w:r w:rsidRPr="00031A5E">
        <w:rPr>
          <w:lang w:eastAsia="zh-HK"/>
        </w:rPr>
        <w:t>During the oral hearing, the Representative submitted that it was the Taxpayer’s intention to deal with the Revenue directly as it is the department which deals with tax matters and the Taxpayer has no intention to cause any delay in lodging the appeal</w:t>
      </w:r>
      <w:r w:rsidR="00F91B79" w:rsidRPr="00031A5E">
        <w:rPr>
          <w:lang w:eastAsia="zh-HK"/>
        </w:rPr>
        <w:t>.</w:t>
      </w:r>
    </w:p>
    <w:p w:rsidR="00D62406" w:rsidRPr="00031A5E" w:rsidRDefault="00D62406" w:rsidP="00031A5E">
      <w:pPr>
        <w:tabs>
          <w:tab w:val="left" w:pos="709"/>
        </w:tabs>
        <w:overflowPunct w:val="0"/>
        <w:autoSpaceDE w:val="0"/>
        <w:autoSpaceDN w:val="0"/>
        <w:jc w:val="both"/>
        <w:rPr>
          <w:b/>
          <w:bCs/>
          <w:u w:val="single"/>
        </w:rPr>
      </w:pPr>
    </w:p>
    <w:p w:rsidR="00D8050E" w:rsidRPr="004135F1" w:rsidRDefault="00812C43" w:rsidP="00031A5E">
      <w:pPr>
        <w:tabs>
          <w:tab w:val="left" w:pos="709"/>
        </w:tabs>
        <w:overflowPunct w:val="0"/>
        <w:autoSpaceDE w:val="0"/>
        <w:autoSpaceDN w:val="0"/>
        <w:jc w:val="both"/>
        <w:rPr>
          <w:b/>
          <w:bCs/>
        </w:rPr>
      </w:pPr>
      <w:r w:rsidRPr="004135F1">
        <w:rPr>
          <w:b/>
          <w:bCs/>
        </w:rPr>
        <w:t xml:space="preserve">Analysis </w:t>
      </w:r>
    </w:p>
    <w:p w:rsidR="00D8050E" w:rsidRPr="00031A5E" w:rsidRDefault="00D8050E" w:rsidP="00031A5E">
      <w:pPr>
        <w:pStyle w:val="a3"/>
        <w:overflowPunct w:val="0"/>
        <w:autoSpaceDE w:val="0"/>
        <w:autoSpaceDN w:val="0"/>
        <w:jc w:val="both"/>
        <w:rPr>
          <w:u w:val="single"/>
          <w:lang w:eastAsia="zh-HK"/>
        </w:rPr>
      </w:pPr>
      <w:r w:rsidRPr="00031A5E">
        <w:rPr>
          <w:lang w:eastAsia="zh-HK"/>
        </w:rPr>
        <w:tab/>
      </w:r>
    </w:p>
    <w:p w:rsidR="005A07F4" w:rsidRPr="00031A5E" w:rsidRDefault="005A07F4" w:rsidP="004135F1">
      <w:pPr>
        <w:pStyle w:val="a3"/>
        <w:numPr>
          <w:ilvl w:val="0"/>
          <w:numId w:val="1"/>
        </w:numPr>
        <w:overflowPunct w:val="0"/>
        <w:autoSpaceDE w:val="0"/>
        <w:autoSpaceDN w:val="0"/>
        <w:ind w:left="0" w:firstLine="0"/>
        <w:jc w:val="both"/>
        <w:rPr>
          <w:lang w:eastAsia="zh-HK"/>
        </w:rPr>
      </w:pPr>
      <w:r w:rsidRPr="00031A5E">
        <w:rPr>
          <w:lang w:eastAsia="zh-HK"/>
        </w:rPr>
        <w:t xml:space="preserve">The Determination of 3 March 2020 was duly served to the Appellant on 5 March 2020.  The one-month appeal period under section 66(1)(a) of the Ordinance </w:t>
      </w:r>
      <w:r w:rsidRPr="00031A5E">
        <w:rPr>
          <w:lang w:eastAsia="zh-HK"/>
        </w:rPr>
        <w:lastRenderedPageBreak/>
        <w:t>commenced to run on 6 March 2020 (i.e. after the transmission of the Determination to the Appellant on 5 March 2020) and expired on 6 April 2020.  The Board received the Appellant’s notice of appeal on 14 September 2020, i.e. 5 months and 8 days after 6 April 2020.  The Appellant’s notice of appeal was clearly out of time under section 66(1)</w:t>
      </w:r>
      <w:r w:rsidR="00522DA1">
        <w:rPr>
          <w:lang w:eastAsia="zh-HK"/>
        </w:rPr>
        <w:t xml:space="preserve"> of the Ordinance</w:t>
      </w:r>
      <w:r w:rsidRPr="00031A5E">
        <w:rPr>
          <w:lang w:eastAsia="zh-HK"/>
        </w:rPr>
        <w:t>.</w:t>
      </w:r>
    </w:p>
    <w:p w:rsidR="00003E89" w:rsidRPr="00031A5E" w:rsidRDefault="00003E89" w:rsidP="004135F1">
      <w:pPr>
        <w:pStyle w:val="a3"/>
        <w:overflowPunct w:val="0"/>
        <w:autoSpaceDE w:val="0"/>
        <w:autoSpaceDN w:val="0"/>
        <w:ind w:left="0"/>
        <w:jc w:val="both"/>
        <w:rPr>
          <w:lang w:eastAsia="zh-HK"/>
        </w:rPr>
      </w:pPr>
    </w:p>
    <w:p w:rsidR="00003E89" w:rsidRPr="00031A5E" w:rsidRDefault="00003E89" w:rsidP="004135F1">
      <w:pPr>
        <w:pStyle w:val="a3"/>
        <w:numPr>
          <w:ilvl w:val="0"/>
          <w:numId w:val="1"/>
        </w:numPr>
        <w:overflowPunct w:val="0"/>
        <w:autoSpaceDE w:val="0"/>
        <w:autoSpaceDN w:val="0"/>
        <w:ind w:left="0" w:firstLine="0"/>
        <w:jc w:val="both"/>
        <w:rPr>
          <w:lang w:eastAsia="zh-HK"/>
        </w:rPr>
      </w:pPr>
      <w:r w:rsidRPr="00031A5E">
        <w:rPr>
          <w:lang w:eastAsia="zh-HK"/>
        </w:rPr>
        <w:t xml:space="preserve">The Board may grant the extension if it is satisfied that the Appellant was prevented by (a) illness or (b) absence from Hong Kong or (c) other reasonable cause from giving notice of appeal within the prescribed period of one month.  According to </w:t>
      </w:r>
      <w:r w:rsidRPr="004135F1">
        <w:rPr>
          <w:u w:val="single"/>
          <w:lang w:eastAsia="zh-HK"/>
        </w:rPr>
        <w:t>Chow Kwong Fai</w:t>
      </w:r>
      <w:r w:rsidRPr="00031A5E">
        <w:rPr>
          <w:lang w:eastAsia="zh-HK"/>
        </w:rPr>
        <w:t xml:space="preserve"> [</w:t>
      </w:r>
      <w:r w:rsidR="004135F1">
        <w:rPr>
          <w:lang w:eastAsia="zh-HK"/>
        </w:rPr>
        <w:t xml:space="preserve">paragraph </w:t>
      </w:r>
      <w:r w:rsidRPr="00031A5E">
        <w:rPr>
          <w:lang w:eastAsia="zh-HK"/>
        </w:rPr>
        <w:t xml:space="preserve">C.2], the word </w:t>
      </w:r>
      <w:r w:rsidR="004135F1">
        <w:rPr>
          <w:lang w:eastAsia="zh-HK"/>
        </w:rPr>
        <w:t>‘</w:t>
      </w:r>
      <w:r w:rsidRPr="00031A5E">
        <w:rPr>
          <w:lang w:eastAsia="zh-HK"/>
        </w:rPr>
        <w:t>prevented</w:t>
      </w:r>
      <w:r w:rsidR="004135F1">
        <w:rPr>
          <w:lang w:eastAsia="zh-HK"/>
        </w:rPr>
        <w:t>’</w:t>
      </w:r>
      <w:r w:rsidRPr="00031A5E">
        <w:rPr>
          <w:lang w:eastAsia="zh-HK"/>
        </w:rPr>
        <w:t xml:space="preserve"> in section 66(1A)</w:t>
      </w:r>
      <w:r w:rsidR="00522DA1">
        <w:rPr>
          <w:lang w:eastAsia="zh-HK"/>
        </w:rPr>
        <w:t xml:space="preserve"> of the Ordinance</w:t>
      </w:r>
      <w:r w:rsidRPr="00031A5E">
        <w:rPr>
          <w:lang w:eastAsia="zh-HK"/>
        </w:rPr>
        <w:t xml:space="preserve"> means </w:t>
      </w:r>
      <w:r w:rsidR="004135F1">
        <w:rPr>
          <w:lang w:eastAsia="zh-HK"/>
        </w:rPr>
        <w:t>‘</w:t>
      </w:r>
      <w:r w:rsidRPr="00031A5E">
        <w:rPr>
          <w:lang w:eastAsia="zh-HK"/>
        </w:rPr>
        <w:t>unable to</w:t>
      </w:r>
      <w:r w:rsidR="004135F1">
        <w:rPr>
          <w:lang w:eastAsia="zh-HK"/>
        </w:rPr>
        <w:t>’</w:t>
      </w:r>
      <w:r w:rsidRPr="00031A5E">
        <w:rPr>
          <w:lang w:eastAsia="zh-HK"/>
        </w:rPr>
        <w:t xml:space="preserve">. </w:t>
      </w:r>
    </w:p>
    <w:p w:rsidR="00003E89" w:rsidRPr="00031A5E" w:rsidRDefault="00003E89" w:rsidP="004135F1">
      <w:pPr>
        <w:pStyle w:val="a3"/>
        <w:overflowPunct w:val="0"/>
        <w:autoSpaceDE w:val="0"/>
        <w:autoSpaceDN w:val="0"/>
        <w:ind w:left="0"/>
        <w:jc w:val="both"/>
        <w:rPr>
          <w:lang w:eastAsia="zh-HK"/>
        </w:rPr>
      </w:pPr>
    </w:p>
    <w:p w:rsidR="00812C43" w:rsidRPr="00031A5E" w:rsidRDefault="00812C43" w:rsidP="004135F1">
      <w:pPr>
        <w:pStyle w:val="a3"/>
        <w:numPr>
          <w:ilvl w:val="0"/>
          <w:numId w:val="1"/>
        </w:numPr>
        <w:overflowPunct w:val="0"/>
        <w:autoSpaceDE w:val="0"/>
        <w:autoSpaceDN w:val="0"/>
        <w:ind w:left="0" w:firstLine="0"/>
        <w:jc w:val="both"/>
      </w:pPr>
      <w:r w:rsidRPr="00031A5E">
        <w:t xml:space="preserve">This Board unanimously considers that no extension of time should be granted because the Representative cannot be taken to be unaware of the one month appeal period. </w:t>
      </w:r>
    </w:p>
    <w:p w:rsidR="00812C43" w:rsidRPr="00031A5E" w:rsidRDefault="00812C43" w:rsidP="004135F1">
      <w:pPr>
        <w:pStyle w:val="a3"/>
        <w:overflowPunct w:val="0"/>
        <w:autoSpaceDE w:val="0"/>
        <w:autoSpaceDN w:val="0"/>
        <w:ind w:left="0"/>
        <w:jc w:val="both"/>
      </w:pPr>
    </w:p>
    <w:p w:rsidR="004719E4" w:rsidRPr="00031A5E" w:rsidRDefault="00812C43" w:rsidP="004135F1">
      <w:pPr>
        <w:pStyle w:val="a3"/>
        <w:numPr>
          <w:ilvl w:val="0"/>
          <w:numId w:val="1"/>
        </w:numPr>
        <w:overflowPunct w:val="0"/>
        <w:autoSpaceDE w:val="0"/>
        <w:autoSpaceDN w:val="0"/>
        <w:ind w:left="0" w:firstLine="0"/>
        <w:jc w:val="both"/>
      </w:pPr>
      <w:r w:rsidRPr="00031A5E">
        <w:t xml:space="preserve">More importantly, both the Revenue and the Clerk </w:t>
      </w:r>
      <w:r w:rsidR="00522DA1">
        <w:t>to the Board</w:t>
      </w:r>
      <w:r w:rsidRPr="00031A5E">
        <w:t xml:space="preserve"> had informed the Taxpayer and the Representative about the proper avenue of appeal but the Taxpayer and the Representative chose to ignore such advices. </w:t>
      </w:r>
      <w:r w:rsidR="004719E4" w:rsidRPr="00031A5E">
        <w:t>Th</w:t>
      </w:r>
      <w:r w:rsidR="003E6221">
        <w:t>is</w:t>
      </w:r>
      <w:r w:rsidR="004719E4" w:rsidRPr="00031A5E">
        <w:t xml:space="preserve"> was a conscious decision and not the result of any </w:t>
      </w:r>
      <w:r w:rsidR="004135F1">
        <w:t>‘</w:t>
      </w:r>
      <w:r w:rsidR="004719E4" w:rsidRPr="00031A5E">
        <w:t>prevention</w:t>
      </w:r>
      <w:r w:rsidR="004135F1">
        <w:t>’</w:t>
      </w:r>
      <w:r w:rsidR="004719E4" w:rsidRPr="00031A5E">
        <w:t xml:space="preserve"> which rendered the Taxpayer and/or its Representative not able to file a notice of appeal within time. </w:t>
      </w:r>
    </w:p>
    <w:p w:rsidR="004719E4" w:rsidRPr="00031A5E" w:rsidRDefault="004719E4" w:rsidP="004135F1">
      <w:pPr>
        <w:pStyle w:val="a3"/>
        <w:overflowPunct w:val="0"/>
        <w:autoSpaceDE w:val="0"/>
        <w:autoSpaceDN w:val="0"/>
        <w:ind w:left="0"/>
      </w:pPr>
    </w:p>
    <w:p w:rsidR="004719E4" w:rsidRPr="00031A5E" w:rsidRDefault="004719E4" w:rsidP="004135F1">
      <w:pPr>
        <w:pStyle w:val="a3"/>
        <w:numPr>
          <w:ilvl w:val="0"/>
          <w:numId w:val="1"/>
        </w:numPr>
        <w:overflowPunct w:val="0"/>
        <w:autoSpaceDE w:val="0"/>
        <w:autoSpaceDN w:val="0"/>
        <w:ind w:left="0" w:firstLine="0"/>
        <w:jc w:val="both"/>
      </w:pPr>
      <w:r w:rsidRPr="00031A5E">
        <w:t>This Board takes the firm view that the relevant statutory period is to be observed and not breached. This is particularly the case when the Taxpayer is represented and the relevant appeal period and avenue were specifically drawn to the attention of the Taxpayer.</w:t>
      </w:r>
    </w:p>
    <w:p w:rsidR="004719E4" w:rsidRPr="00031A5E" w:rsidRDefault="004719E4" w:rsidP="004135F1">
      <w:pPr>
        <w:pStyle w:val="a3"/>
        <w:overflowPunct w:val="0"/>
        <w:autoSpaceDE w:val="0"/>
        <w:autoSpaceDN w:val="0"/>
        <w:ind w:left="0"/>
      </w:pPr>
    </w:p>
    <w:p w:rsidR="005A07F4" w:rsidRPr="00031A5E" w:rsidRDefault="00164DD3" w:rsidP="004135F1">
      <w:pPr>
        <w:pStyle w:val="a3"/>
        <w:numPr>
          <w:ilvl w:val="0"/>
          <w:numId w:val="1"/>
        </w:numPr>
        <w:overflowPunct w:val="0"/>
        <w:autoSpaceDE w:val="0"/>
        <w:autoSpaceDN w:val="0"/>
        <w:ind w:left="0" w:firstLine="0"/>
        <w:jc w:val="both"/>
      </w:pPr>
      <w:r w:rsidRPr="00031A5E">
        <w:t xml:space="preserve">Secondly, this Board does not accept that the Taxpayer or the Representation was in any way prevented by COVID-19 pandemic from submitting its notice of appeal. On 9 March 2020, the Representative was able to send out a letter to the Revenue to acknowledge receipt of the </w:t>
      </w:r>
      <w:r w:rsidR="005A07F4" w:rsidRPr="00031A5E">
        <w:t xml:space="preserve">Determination. On 26 May 2020, the Representative was able to send a letter to the Revenue stating that the Taxpayer would like to appeal to the Board. </w:t>
      </w:r>
    </w:p>
    <w:p w:rsidR="00D62406" w:rsidRPr="00031A5E" w:rsidRDefault="00D62406" w:rsidP="004135F1">
      <w:pPr>
        <w:pStyle w:val="a3"/>
        <w:overflowPunct w:val="0"/>
        <w:autoSpaceDE w:val="0"/>
        <w:autoSpaceDN w:val="0"/>
        <w:ind w:left="0"/>
      </w:pPr>
    </w:p>
    <w:p w:rsidR="00003E89" w:rsidRPr="00031A5E" w:rsidRDefault="00003E89" w:rsidP="004135F1">
      <w:pPr>
        <w:pStyle w:val="a3"/>
        <w:numPr>
          <w:ilvl w:val="0"/>
          <w:numId w:val="1"/>
        </w:numPr>
        <w:overflowPunct w:val="0"/>
        <w:autoSpaceDE w:val="0"/>
        <w:autoSpaceDN w:val="0"/>
        <w:ind w:left="0" w:firstLine="0"/>
        <w:jc w:val="both"/>
        <w:rPr>
          <w:lang w:eastAsia="zh-HK"/>
        </w:rPr>
      </w:pPr>
      <w:r w:rsidRPr="00031A5E">
        <w:rPr>
          <w:lang w:eastAsia="zh-HK"/>
        </w:rPr>
        <w:t>Thirdly, i</w:t>
      </w:r>
      <w:r w:rsidR="00D8050E" w:rsidRPr="00031A5E">
        <w:rPr>
          <w:lang w:eastAsia="zh-HK"/>
        </w:rPr>
        <w:t xml:space="preserve">n the present case, the </w:t>
      </w:r>
      <w:r w:rsidRPr="00031A5E">
        <w:rPr>
          <w:lang w:eastAsia="zh-HK"/>
        </w:rPr>
        <w:t xml:space="preserve">Taxpayer </w:t>
      </w:r>
      <w:r w:rsidR="00D8050E" w:rsidRPr="00031A5E">
        <w:rPr>
          <w:lang w:eastAsia="zh-HK"/>
        </w:rPr>
        <w:t xml:space="preserve">does not argue that it was prevented by illness or absence from Hong Kong in lodging the appeal. </w:t>
      </w:r>
      <w:r w:rsidR="00D8050E" w:rsidRPr="00031A5E">
        <w:rPr>
          <w:color w:val="FF0000"/>
          <w:lang w:eastAsia="zh-HK"/>
        </w:rPr>
        <w:t xml:space="preserve"> </w:t>
      </w:r>
    </w:p>
    <w:p w:rsidR="00003E89" w:rsidRPr="00031A5E" w:rsidRDefault="00003E89" w:rsidP="004135F1">
      <w:pPr>
        <w:pStyle w:val="a3"/>
        <w:overflowPunct w:val="0"/>
        <w:autoSpaceDE w:val="0"/>
        <w:autoSpaceDN w:val="0"/>
        <w:ind w:left="0"/>
        <w:rPr>
          <w:lang w:eastAsia="zh-HK"/>
        </w:rPr>
      </w:pPr>
    </w:p>
    <w:p w:rsidR="00D8050E" w:rsidRPr="00031A5E" w:rsidRDefault="000D55FD" w:rsidP="004135F1">
      <w:pPr>
        <w:pStyle w:val="a3"/>
        <w:numPr>
          <w:ilvl w:val="0"/>
          <w:numId w:val="1"/>
        </w:numPr>
        <w:overflowPunct w:val="0"/>
        <w:autoSpaceDE w:val="0"/>
        <w:autoSpaceDN w:val="0"/>
        <w:ind w:left="0" w:firstLine="0"/>
        <w:jc w:val="both"/>
        <w:rPr>
          <w:lang w:eastAsia="zh-HK"/>
        </w:rPr>
      </w:pPr>
      <w:r w:rsidRPr="00031A5E">
        <w:rPr>
          <w:lang w:eastAsia="zh-HK"/>
        </w:rPr>
        <w:t xml:space="preserve">Fourthly, this Board agrees with the </w:t>
      </w:r>
      <w:r w:rsidR="00D8050E" w:rsidRPr="00031A5E">
        <w:rPr>
          <w:lang w:eastAsia="zh-HK"/>
        </w:rPr>
        <w:t xml:space="preserve">Revenue’s submission that there were no reasonable causes which prevented the </w:t>
      </w:r>
      <w:r w:rsidRPr="00031A5E">
        <w:rPr>
          <w:lang w:eastAsia="zh-HK"/>
        </w:rPr>
        <w:t xml:space="preserve">Taxpayer </w:t>
      </w:r>
      <w:r w:rsidR="00D8050E" w:rsidRPr="00031A5E">
        <w:rPr>
          <w:lang w:eastAsia="zh-HK"/>
        </w:rPr>
        <w:t xml:space="preserve">from lodging an appeal within the prescribed time period.  </w:t>
      </w:r>
    </w:p>
    <w:p w:rsidR="00D8050E" w:rsidRPr="00031A5E" w:rsidRDefault="00D8050E" w:rsidP="00031A5E">
      <w:pPr>
        <w:pStyle w:val="a3"/>
        <w:overflowPunct w:val="0"/>
        <w:autoSpaceDE w:val="0"/>
        <w:autoSpaceDN w:val="0"/>
        <w:jc w:val="both"/>
        <w:rPr>
          <w:lang w:eastAsia="zh-HK"/>
        </w:rPr>
      </w:pPr>
    </w:p>
    <w:p w:rsidR="00D8050E" w:rsidRPr="00031A5E" w:rsidRDefault="00D8050E" w:rsidP="004135F1">
      <w:pPr>
        <w:pStyle w:val="a3"/>
        <w:numPr>
          <w:ilvl w:val="0"/>
          <w:numId w:val="3"/>
        </w:numPr>
        <w:tabs>
          <w:tab w:val="left" w:pos="2107"/>
        </w:tabs>
        <w:overflowPunct w:val="0"/>
        <w:autoSpaceDE w:val="0"/>
        <w:autoSpaceDN w:val="0"/>
        <w:ind w:leftChars="638" w:left="2107" w:hangingChars="240" w:hanging="576"/>
        <w:jc w:val="both"/>
        <w:rPr>
          <w:i/>
          <w:lang w:eastAsia="zh-HK"/>
        </w:rPr>
      </w:pPr>
      <w:r w:rsidRPr="00031A5E">
        <w:rPr>
          <w:lang w:eastAsia="zh-HK"/>
        </w:rPr>
        <w:t>In the Revenue’s letter of 3 March 2020</w:t>
      </w:r>
      <w:r w:rsidRPr="00031A5E">
        <w:rPr>
          <w:i/>
          <w:lang w:eastAsia="zh-HK"/>
        </w:rPr>
        <w:t xml:space="preserve">, </w:t>
      </w:r>
      <w:r w:rsidRPr="00031A5E">
        <w:rPr>
          <w:lang w:eastAsia="zh-HK"/>
        </w:rPr>
        <w:t xml:space="preserve">the Revenue had advised the </w:t>
      </w:r>
      <w:r w:rsidR="000D55FD" w:rsidRPr="00031A5E">
        <w:rPr>
          <w:lang w:eastAsia="zh-HK"/>
        </w:rPr>
        <w:t xml:space="preserve">Taxpayer </w:t>
      </w:r>
      <w:r w:rsidRPr="00031A5E">
        <w:rPr>
          <w:lang w:eastAsia="zh-HK"/>
        </w:rPr>
        <w:t>of its rights, the procedures and time limit in lodging an appeal to the Board.  As</w:t>
      </w:r>
      <w:r w:rsidRPr="00031A5E">
        <w:rPr>
          <w:i/>
          <w:lang w:eastAsia="zh-HK"/>
        </w:rPr>
        <w:t xml:space="preserve"> </w:t>
      </w:r>
      <w:r w:rsidRPr="00031A5E">
        <w:rPr>
          <w:lang w:eastAsia="zh-HK"/>
        </w:rPr>
        <w:t xml:space="preserve">the Revenue had discharged its duties prescribed by law, there was no obligation on the Revenue’s part to perform extra tasks to facilitate the </w:t>
      </w:r>
      <w:r w:rsidR="000D55FD" w:rsidRPr="00031A5E">
        <w:rPr>
          <w:lang w:eastAsia="zh-HK"/>
        </w:rPr>
        <w:t xml:space="preserve">Taxpayer </w:t>
      </w:r>
      <w:r w:rsidRPr="00031A5E">
        <w:rPr>
          <w:lang w:eastAsia="zh-HK"/>
        </w:rPr>
        <w:t>or its case</w:t>
      </w:r>
      <w:r w:rsidR="000D55FD" w:rsidRPr="00031A5E">
        <w:rPr>
          <w:lang w:eastAsia="zh-HK"/>
        </w:rPr>
        <w:t xml:space="preserve">. </w:t>
      </w:r>
      <w:r w:rsidRPr="00031A5E">
        <w:rPr>
          <w:i/>
          <w:lang w:eastAsia="zh-HK"/>
        </w:rPr>
        <w:t xml:space="preserve"> </w:t>
      </w:r>
    </w:p>
    <w:p w:rsidR="00D8050E" w:rsidRPr="00031A5E" w:rsidRDefault="00D8050E" w:rsidP="004135F1">
      <w:pPr>
        <w:pStyle w:val="a3"/>
        <w:tabs>
          <w:tab w:val="left" w:pos="2107"/>
        </w:tabs>
        <w:overflowPunct w:val="0"/>
        <w:autoSpaceDE w:val="0"/>
        <w:autoSpaceDN w:val="0"/>
        <w:ind w:leftChars="638" w:left="2107" w:hangingChars="240" w:hanging="576"/>
        <w:jc w:val="both"/>
        <w:rPr>
          <w:lang w:eastAsia="zh-HK"/>
        </w:rPr>
      </w:pPr>
    </w:p>
    <w:p w:rsidR="00706A33" w:rsidRPr="00031A5E" w:rsidRDefault="00D8050E" w:rsidP="004135F1">
      <w:pPr>
        <w:pStyle w:val="a3"/>
        <w:numPr>
          <w:ilvl w:val="0"/>
          <w:numId w:val="3"/>
        </w:numPr>
        <w:tabs>
          <w:tab w:val="left" w:pos="2107"/>
        </w:tabs>
        <w:overflowPunct w:val="0"/>
        <w:autoSpaceDE w:val="0"/>
        <w:autoSpaceDN w:val="0"/>
        <w:ind w:leftChars="638" w:left="2107" w:hangingChars="240" w:hanging="576"/>
        <w:jc w:val="both"/>
        <w:rPr>
          <w:lang w:eastAsia="zh-HK"/>
        </w:rPr>
      </w:pPr>
      <w:r w:rsidRPr="00031A5E">
        <w:rPr>
          <w:lang w:eastAsia="zh-HK"/>
        </w:rPr>
        <w:t xml:space="preserve">The Representative mentioned that it took a longer time to lodge </w:t>
      </w:r>
      <w:r w:rsidRPr="00031A5E">
        <w:rPr>
          <w:lang w:eastAsia="zh-HK"/>
        </w:rPr>
        <w:lastRenderedPageBreak/>
        <w:t xml:space="preserve">appeal in times of COVID-19.  </w:t>
      </w:r>
      <w:r w:rsidR="000D55FD" w:rsidRPr="00031A5E">
        <w:rPr>
          <w:lang w:eastAsia="zh-HK"/>
        </w:rPr>
        <w:t>As mentioned above, n</w:t>
      </w:r>
      <w:r w:rsidRPr="00031A5E">
        <w:rPr>
          <w:lang w:eastAsia="zh-HK"/>
        </w:rPr>
        <w:t xml:space="preserve">otwithstanding the effect of COVID-19, the Representative was able and did send a letter of 9 March 2020 (i.e. within the appeal period) to the Revenue confirming that it had received the Determination.  The Appellant was therefore able to give notice of appeal within the appeal period despite the COVID-19 pandemic situation.  </w:t>
      </w:r>
    </w:p>
    <w:p w:rsidR="00706A33" w:rsidRPr="00031A5E" w:rsidRDefault="00706A33" w:rsidP="004135F1">
      <w:pPr>
        <w:pStyle w:val="a3"/>
        <w:tabs>
          <w:tab w:val="left" w:pos="2107"/>
        </w:tabs>
        <w:overflowPunct w:val="0"/>
        <w:autoSpaceDE w:val="0"/>
        <w:autoSpaceDN w:val="0"/>
        <w:ind w:leftChars="638" w:left="2107" w:hangingChars="240" w:hanging="576"/>
        <w:rPr>
          <w:lang w:eastAsia="zh-HK"/>
        </w:rPr>
      </w:pPr>
    </w:p>
    <w:p w:rsidR="00D8050E" w:rsidRPr="00031A5E" w:rsidRDefault="00D8050E" w:rsidP="004135F1">
      <w:pPr>
        <w:pStyle w:val="a3"/>
        <w:numPr>
          <w:ilvl w:val="0"/>
          <w:numId w:val="3"/>
        </w:numPr>
        <w:tabs>
          <w:tab w:val="left" w:pos="2107"/>
        </w:tabs>
        <w:overflowPunct w:val="0"/>
        <w:autoSpaceDE w:val="0"/>
        <w:autoSpaceDN w:val="0"/>
        <w:ind w:leftChars="638" w:left="2107" w:hangingChars="240" w:hanging="576"/>
        <w:jc w:val="both"/>
        <w:rPr>
          <w:lang w:eastAsia="zh-HK"/>
        </w:rPr>
      </w:pPr>
      <w:r w:rsidRPr="00031A5E">
        <w:rPr>
          <w:lang w:eastAsia="zh-HK"/>
        </w:rPr>
        <w:t xml:space="preserve">The Representative </w:t>
      </w:r>
      <w:r w:rsidR="00706A33" w:rsidRPr="00031A5E">
        <w:rPr>
          <w:lang w:eastAsia="zh-HK"/>
        </w:rPr>
        <w:t xml:space="preserve">also </w:t>
      </w:r>
      <w:r w:rsidRPr="00031A5E">
        <w:rPr>
          <w:lang w:eastAsia="zh-HK"/>
        </w:rPr>
        <w:t xml:space="preserve">sent a </w:t>
      </w:r>
      <w:r w:rsidR="00706A33" w:rsidRPr="00031A5E">
        <w:rPr>
          <w:lang w:eastAsia="zh-HK"/>
        </w:rPr>
        <w:t xml:space="preserve">notice of </w:t>
      </w:r>
      <w:r w:rsidRPr="00031A5E">
        <w:rPr>
          <w:lang w:eastAsia="zh-HK"/>
        </w:rPr>
        <w:t xml:space="preserve">appeal to the Revenue on 26 May 2020.  As the Representative was engaged by the Appellant, </w:t>
      </w:r>
      <w:r w:rsidR="00706A33" w:rsidRPr="00031A5E">
        <w:rPr>
          <w:lang w:eastAsia="zh-HK"/>
        </w:rPr>
        <w:t xml:space="preserve">this Board agrees that </w:t>
      </w:r>
      <w:r w:rsidRPr="00031A5E">
        <w:rPr>
          <w:lang w:eastAsia="zh-HK"/>
        </w:rPr>
        <w:t xml:space="preserve">the mistake in filing the notice of appeal to the Revenue, rather than to the Board, was unilateral and made solely on the </w:t>
      </w:r>
      <w:r w:rsidR="00706A33" w:rsidRPr="00031A5E">
        <w:rPr>
          <w:lang w:eastAsia="zh-HK"/>
        </w:rPr>
        <w:t>Taxpayer’s</w:t>
      </w:r>
      <w:r w:rsidR="00C101C9">
        <w:rPr>
          <w:lang w:eastAsia="zh-HK"/>
        </w:rPr>
        <w:t xml:space="preserve"> part</w:t>
      </w:r>
      <w:r w:rsidRPr="00031A5E">
        <w:rPr>
          <w:i/>
          <w:lang w:eastAsia="zh-HK"/>
        </w:rPr>
        <w:t>.</w:t>
      </w:r>
      <w:r w:rsidRPr="00031A5E">
        <w:rPr>
          <w:lang w:eastAsia="zh-HK"/>
        </w:rPr>
        <w:t xml:space="preserve">  </w:t>
      </w:r>
    </w:p>
    <w:p w:rsidR="00D8050E" w:rsidRPr="009365EC" w:rsidRDefault="00D8050E" w:rsidP="00031A5E">
      <w:pPr>
        <w:pStyle w:val="a3"/>
        <w:overflowPunct w:val="0"/>
        <w:autoSpaceDE w:val="0"/>
        <w:autoSpaceDN w:val="0"/>
        <w:ind w:left="1080"/>
        <w:jc w:val="both"/>
        <w:rPr>
          <w:lang w:eastAsia="zh-HK"/>
        </w:rPr>
      </w:pPr>
    </w:p>
    <w:p w:rsidR="0006552C" w:rsidRPr="00031A5E" w:rsidRDefault="00D8050E" w:rsidP="004135F1">
      <w:pPr>
        <w:pStyle w:val="a3"/>
        <w:numPr>
          <w:ilvl w:val="0"/>
          <w:numId w:val="1"/>
        </w:numPr>
        <w:overflowPunct w:val="0"/>
        <w:autoSpaceDE w:val="0"/>
        <w:autoSpaceDN w:val="0"/>
        <w:ind w:left="0" w:firstLine="0"/>
        <w:jc w:val="both"/>
        <w:rPr>
          <w:lang w:eastAsia="zh-HK"/>
        </w:rPr>
      </w:pPr>
      <w:r w:rsidRPr="00031A5E">
        <w:rPr>
          <w:lang w:eastAsia="zh-HK"/>
        </w:rPr>
        <w:t>Time limits laid down by the Ordinance must be observed</w:t>
      </w:r>
      <w:r w:rsidR="00706A33" w:rsidRPr="00031A5E">
        <w:rPr>
          <w:lang w:eastAsia="zh-HK"/>
        </w:rPr>
        <w:t xml:space="preserve">. In the present case, the delay was </w:t>
      </w:r>
      <w:r w:rsidRPr="00031A5E">
        <w:rPr>
          <w:lang w:eastAsia="zh-HK"/>
        </w:rPr>
        <w:t>5 months and 8 days.  The Determination was transmitted to the Appellant on 5 March 2020</w:t>
      </w:r>
      <w:r w:rsidR="0006552C" w:rsidRPr="00031A5E">
        <w:rPr>
          <w:lang w:eastAsia="zh-HK"/>
        </w:rPr>
        <w:t xml:space="preserve">. </w:t>
      </w:r>
    </w:p>
    <w:p w:rsidR="0006552C" w:rsidRPr="00031A5E" w:rsidRDefault="0006552C" w:rsidP="004135F1">
      <w:pPr>
        <w:pStyle w:val="a3"/>
        <w:overflowPunct w:val="0"/>
        <w:autoSpaceDE w:val="0"/>
        <w:autoSpaceDN w:val="0"/>
        <w:ind w:left="0"/>
        <w:jc w:val="both"/>
        <w:rPr>
          <w:lang w:eastAsia="zh-HK"/>
        </w:rPr>
      </w:pPr>
    </w:p>
    <w:p w:rsidR="00D8050E" w:rsidRPr="00031A5E" w:rsidRDefault="0006552C" w:rsidP="004135F1">
      <w:pPr>
        <w:pStyle w:val="a3"/>
        <w:numPr>
          <w:ilvl w:val="0"/>
          <w:numId w:val="1"/>
        </w:numPr>
        <w:overflowPunct w:val="0"/>
        <w:autoSpaceDE w:val="0"/>
        <w:autoSpaceDN w:val="0"/>
        <w:ind w:left="0" w:firstLine="0"/>
        <w:jc w:val="both"/>
        <w:rPr>
          <w:lang w:eastAsia="zh-HK"/>
        </w:rPr>
      </w:pPr>
      <w:r w:rsidRPr="00031A5E">
        <w:rPr>
          <w:lang w:eastAsia="zh-HK"/>
        </w:rPr>
        <w:t>This Board is satisfied that t</w:t>
      </w:r>
      <w:r w:rsidR="00D8050E" w:rsidRPr="00031A5E">
        <w:rPr>
          <w:lang w:eastAsia="zh-HK"/>
        </w:rPr>
        <w:t xml:space="preserve">he </w:t>
      </w:r>
      <w:r w:rsidRPr="00031A5E">
        <w:rPr>
          <w:lang w:eastAsia="zh-HK"/>
        </w:rPr>
        <w:t xml:space="preserve">Taxpayer </w:t>
      </w:r>
      <w:r w:rsidR="00D8050E" w:rsidRPr="00031A5E">
        <w:rPr>
          <w:lang w:eastAsia="zh-HK"/>
        </w:rPr>
        <w:t xml:space="preserve">is able to file the notice of appeal itself or instruct an authorized representative to do so for it.  There was no reasonable cause which prevented the </w:t>
      </w:r>
      <w:r w:rsidRPr="00031A5E">
        <w:rPr>
          <w:lang w:eastAsia="zh-HK"/>
        </w:rPr>
        <w:t xml:space="preserve">Taxpayer </w:t>
      </w:r>
      <w:r w:rsidR="00D8050E" w:rsidRPr="00031A5E">
        <w:rPr>
          <w:lang w:eastAsia="zh-HK"/>
        </w:rPr>
        <w:t>from lodging an appeal within the prescribed time limit.</w:t>
      </w:r>
    </w:p>
    <w:p w:rsidR="00D8050E" w:rsidRPr="00031A5E" w:rsidRDefault="00D8050E" w:rsidP="004135F1">
      <w:pPr>
        <w:pStyle w:val="a3"/>
        <w:overflowPunct w:val="0"/>
        <w:autoSpaceDE w:val="0"/>
        <w:autoSpaceDN w:val="0"/>
        <w:ind w:left="0"/>
        <w:jc w:val="both"/>
        <w:rPr>
          <w:lang w:eastAsia="zh-HK"/>
        </w:rPr>
      </w:pPr>
    </w:p>
    <w:p w:rsidR="00D8050E" w:rsidRPr="004135F1" w:rsidRDefault="0006552C" w:rsidP="004135F1">
      <w:pPr>
        <w:overflowPunct w:val="0"/>
        <w:autoSpaceDE w:val="0"/>
        <w:autoSpaceDN w:val="0"/>
        <w:jc w:val="both"/>
        <w:rPr>
          <w:b/>
          <w:lang w:eastAsia="zh-HK"/>
        </w:rPr>
      </w:pPr>
      <w:r w:rsidRPr="004135F1">
        <w:rPr>
          <w:b/>
        </w:rPr>
        <w:t xml:space="preserve">Disposition </w:t>
      </w:r>
    </w:p>
    <w:p w:rsidR="00871D72" w:rsidRPr="00031A5E" w:rsidRDefault="00871D72" w:rsidP="004135F1">
      <w:pPr>
        <w:overflowPunct w:val="0"/>
        <w:autoSpaceDE w:val="0"/>
        <w:autoSpaceDN w:val="0"/>
        <w:jc w:val="both"/>
      </w:pPr>
    </w:p>
    <w:p w:rsidR="00D8050E" w:rsidRPr="00031A5E" w:rsidRDefault="00871D72" w:rsidP="004135F1">
      <w:pPr>
        <w:pStyle w:val="a3"/>
        <w:numPr>
          <w:ilvl w:val="0"/>
          <w:numId w:val="1"/>
        </w:numPr>
        <w:overflowPunct w:val="0"/>
        <w:autoSpaceDE w:val="0"/>
        <w:autoSpaceDN w:val="0"/>
        <w:ind w:left="0" w:firstLine="0"/>
        <w:jc w:val="both"/>
      </w:pPr>
      <w:r w:rsidRPr="00031A5E">
        <w:t xml:space="preserve">For all the reasons stated above, this Board concludes that </w:t>
      </w:r>
      <w:r w:rsidR="00D8050E" w:rsidRPr="00031A5E">
        <w:t xml:space="preserve">the </w:t>
      </w:r>
      <w:r w:rsidRPr="00031A5E">
        <w:t xml:space="preserve">Taxpayer’s </w:t>
      </w:r>
      <w:r w:rsidR="00D8050E" w:rsidRPr="00031A5E">
        <w:t xml:space="preserve">notice of appeal </w:t>
      </w:r>
      <w:r w:rsidRPr="00031A5E">
        <w:t>is o</w:t>
      </w:r>
      <w:r w:rsidR="00D8050E" w:rsidRPr="00031A5E">
        <w:t>ut of time under section 66(1) of the Ordinance</w:t>
      </w:r>
      <w:r w:rsidRPr="00031A5E">
        <w:t xml:space="preserve"> and the Board sees no good reason to exercise its discretion to extend the time </w:t>
      </w:r>
      <w:r w:rsidR="00D8050E" w:rsidRPr="00031A5E">
        <w:t>for giving notice of appeal under section 66(1</w:t>
      </w:r>
      <w:r w:rsidR="00D8050E" w:rsidRPr="00031A5E">
        <w:rPr>
          <w:lang w:eastAsia="zh-HK"/>
        </w:rPr>
        <w:t>A</w:t>
      </w:r>
      <w:r w:rsidR="00D8050E" w:rsidRPr="00031A5E">
        <w:t>) of the Ordinance</w:t>
      </w:r>
      <w:r w:rsidRPr="00031A5E">
        <w:t xml:space="preserve">. </w:t>
      </w:r>
    </w:p>
    <w:p w:rsidR="00D8050E" w:rsidRPr="00031A5E" w:rsidRDefault="00D8050E" w:rsidP="004135F1">
      <w:pPr>
        <w:pStyle w:val="a3"/>
        <w:overflowPunct w:val="0"/>
        <w:autoSpaceDE w:val="0"/>
        <w:autoSpaceDN w:val="0"/>
        <w:ind w:left="0"/>
        <w:jc w:val="both"/>
      </w:pPr>
    </w:p>
    <w:p w:rsidR="00D8050E" w:rsidRPr="00031A5E" w:rsidRDefault="00871D72" w:rsidP="004135F1">
      <w:pPr>
        <w:pStyle w:val="a3"/>
        <w:numPr>
          <w:ilvl w:val="0"/>
          <w:numId w:val="1"/>
        </w:numPr>
        <w:overflowPunct w:val="0"/>
        <w:autoSpaceDE w:val="0"/>
        <w:autoSpaceDN w:val="0"/>
        <w:ind w:left="0" w:firstLine="0"/>
        <w:jc w:val="both"/>
      </w:pPr>
      <w:r w:rsidRPr="00031A5E">
        <w:t>According, t</w:t>
      </w:r>
      <w:r w:rsidR="004135F1">
        <w:t>he present appeal is dismissed.</w:t>
      </w:r>
    </w:p>
    <w:sectPr w:rsidR="00D8050E" w:rsidRPr="00031A5E" w:rsidSect="000F21E7">
      <w:headerReference w:type="default" r:id="rId8"/>
      <w:footerReference w:type="default" r:id="rId9"/>
      <w:pgSz w:w="11907" w:h="16840" w:code="9"/>
      <w:pgMar w:top="1985" w:right="1588" w:bottom="1701" w:left="1588" w:header="1361" w:footer="1134" w:gutter="0"/>
      <w:pgNumType w:start="2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BC" w:rsidRDefault="00AD4CBC" w:rsidP="00D8050E">
      <w:r>
        <w:separator/>
      </w:r>
    </w:p>
  </w:endnote>
  <w:endnote w:type="continuationSeparator" w:id="0">
    <w:p w:rsidR="00AD4CBC" w:rsidRDefault="00AD4CBC" w:rsidP="00D8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楷書體W5">
    <w:altName w:val="Malgun Gothic Semilight"/>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309002"/>
      <w:docPartObj>
        <w:docPartGallery w:val="Page Numbers (Bottom of Page)"/>
        <w:docPartUnique/>
      </w:docPartObj>
    </w:sdtPr>
    <w:sdtEndPr>
      <w:rPr>
        <w:sz w:val="20"/>
        <w:szCs w:val="20"/>
      </w:rPr>
    </w:sdtEndPr>
    <w:sdtContent>
      <w:p w:rsidR="000F21E7" w:rsidRPr="000F21E7" w:rsidRDefault="000F21E7">
        <w:pPr>
          <w:pStyle w:val="ab"/>
          <w:jc w:val="center"/>
          <w:rPr>
            <w:sz w:val="20"/>
            <w:szCs w:val="20"/>
          </w:rPr>
        </w:pPr>
        <w:r w:rsidRPr="000F21E7">
          <w:rPr>
            <w:sz w:val="20"/>
            <w:szCs w:val="20"/>
          </w:rPr>
          <w:fldChar w:fldCharType="begin"/>
        </w:r>
        <w:r w:rsidRPr="000F21E7">
          <w:rPr>
            <w:sz w:val="20"/>
            <w:szCs w:val="20"/>
          </w:rPr>
          <w:instrText>PAGE   \* MERGEFORMAT</w:instrText>
        </w:r>
        <w:r w:rsidRPr="000F21E7">
          <w:rPr>
            <w:sz w:val="20"/>
            <w:szCs w:val="20"/>
          </w:rPr>
          <w:fldChar w:fldCharType="separate"/>
        </w:r>
        <w:r w:rsidR="00ED2B41" w:rsidRPr="00ED2B41">
          <w:rPr>
            <w:noProof/>
            <w:sz w:val="20"/>
            <w:szCs w:val="20"/>
            <w:lang w:val="zh-TW"/>
          </w:rPr>
          <w:t>276</w:t>
        </w:r>
        <w:r w:rsidRPr="000F21E7">
          <w:rPr>
            <w:sz w:val="20"/>
            <w:szCs w:val="20"/>
          </w:rPr>
          <w:fldChar w:fldCharType="end"/>
        </w:r>
      </w:p>
    </w:sdtContent>
  </w:sdt>
  <w:p w:rsidR="00F84DEA" w:rsidRDefault="00F84DEA" w:rsidP="00F84DEA">
    <w:pPr>
      <w:pStyle w:val="ab"/>
      <w:tabs>
        <w:tab w:val="clear" w:pos="4680"/>
        <w:tab w:val="clear" w:pos="9360"/>
        <w:tab w:val="center" w:pos="4320"/>
        <w:tab w:val="right" w:pos="8640"/>
      </w:tabs>
      <w:rPr>
        <w:sz w:val="20"/>
        <w:szCs w:val="20"/>
      </w:rPr>
    </w:pPr>
    <w:r>
      <w:tab/>
    </w:r>
    <w:r w:rsidRPr="008144E0">
      <w:rPr>
        <w:sz w:val="20"/>
        <w:szCs w:val="20"/>
      </w:rPr>
      <w:t>Verif</w:t>
    </w:r>
    <w:r w:rsidR="00821BD1">
      <w:rPr>
        <w:sz w:val="20"/>
        <w:szCs w:val="20"/>
      </w:rPr>
      <w:t>ied Copy</w:t>
    </w:r>
    <w:r w:rsidR="00821BD1">
      <w:rPr>
        <w:sz w:val="20"/>
        <w:szCs w:val="20"/>
      </w:rPr>
      <w:tab/>
      <w:t xml:space="preserve">Last reviewed date: </w:t>
    </w:r>
    <w:r w:rsidRPr="008144E0">
      <w:rPr>
        <w:sz w:val="20"/>
        <w:szCs w:val="20"/>
      </w:rPr>
      <w:t>July 2022</w:t>
    </w:r>
  </w:p>
  <w:p w:rsidR="000F21E7" w:rsidRPr="00F84DEA" w:rsidRDefault="000F21E7">
    <w:pPr>
      <w:pStyle w:val="ab"/>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BC" w:rsidRDefault="00AD4CBC" w:rsidP="00D8050E">
      <w:r>
        <w:separator/>
      </w:r>
    </w:p>
  </w:footnote>
  <w:footnote w:type="continuationSeparator" w:id="0">
    <w:p w:rsidR="00AD4CBC" w:rsidRDefault="00AD4CBC" w:rsidP="00D8050E">
      <w:r>
        <w:continuationSeparator/>
      </w:r>
    </w:p>
  </w:footnote>
  <w:footnote w:id="1">
    <w:p w:rsidR="00EF273F" w:rsidRPr="006B53DB" w:rsidRDefault="00EF273F" w:rsidP="00EF273F">
      <w:pPr>
        <w:pStyle w:val="a6"/>
        <w:ind w:left="112" w:hangingChars="56" w:hanging="112"/>
        <w:jc w:val="both"/>
      </w:pPr>
      <w:r>
        <w:rPr>
          <w:rStyle w:val="a8"/>
        </w:rPr>
        <w:footnoteRef/>
      </w:r>
      <w:r>
        <w:t xml:space="preserve"> </w:t>
      </w:r>
      <w:r>
        <w:rPr>
          <w:rFonts w:hint="eastAsia"/>
        </w:rPr>
        <w:t xml:space="preserve">In the letter, the </w:t>
      </w:r>
      <w:r>
        <w:t xml:space="preserve">Revenue had advised the </w:t>
      </w:r>
      <w:r>
        <w:rPr>
          <w:rFonts w:hint="eastAsia"/>
        </w:rPr>
        <w:t>Appellant</w:t>
      </w:r>
      <w:r>
        <w:t>’</w:t>
      </w:r>
      <w:r>
        <w:rPr>
          <w:rFonts w:hint="eastAsia"/>
        </w:rPr>
        <w:t>s right of appeal under section 66 of the Ordinance</w:t>
      </w:r>
      <w:r>
        <w:t xml:space="preserve"> and an extract of the said section 66 was also annexed to the letter.  The Revenue</w:t>
      </w:r>
      <w:r>
        <w:rPr>
          <w:rFonts w:hint="eastAsia"/>
        </w:rPr>
        <w:t xml:space="preserve"> </w:t>
      </w:r>
      <w:r>
        <w:t>also advised that the notice of appeal has to be given to the Clerk to the Board and must be given within one month after the transmission to it of the Determination.  The Appellant was also advised of the address, opening hours and contact details of the Clerk to the Board</w:t>
      </w:r>
      <w:r>
        <w:rPr>
          <w:rFonts w:hint="eastAsia"/>
        </w:rPr>
        <w:t>.</w:t>
      </w:r>
    </w:p>
  </w:footnote>
  <w:footnote w:id="2">
    <w:p w:rsidR="00EF273F" w:rsidRPr="0095306B" w:rsidRDefault="00EF273F" w:rsidP="00EF273F">
      <w:pPr>
        <w:pStyle w:val="a6"/>
        <w:ind w:left="112" w:hangingChars="56" w:hanging="112"/>
        <w:jc w:val="both"/>
      </w:pPr>
      <w:r>
        <w:rPr>
          <w:rStyle w:val="a8"/>
        </w:rPr>
        <w:footnoteRef/>
      </w:r>
      <w:r>
        <w:t xml:space="preserve"> The reply letter was dated 4 February 2020 and received by the Revenue on 14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E" w:rsidRDefault="00031A5E" w:rsidP="00031A5E">
    <w:pPr>
      <w:tabs>
        <w:tab w:val="center" w:pos="4153"/>
        <w:tab w:val="right" w:pos="8306"/>
      </w:tabs>
      <w:overflowPunct w:val="0"/>
      <w:autoSpaceDN w:val="0"/>
      <w:adjustRightInd w:val="0"/>
      <w:jc w:val="center"/>
      <w:textAlignment w:val="baseline"/>
      <w:rPr>
        <w:rFonts w:eastAsia="細明體"/>
        <w:lang w:eastAsia="zh-HK"/>
      </w:rPr>
    </w:pPr>
    <w:r>
      <w:rPr>
        <w:rFonts w:eastAsia="細明體"/>
      </w:rPr>
      <w:t>(20</w:t>
    </w:r>
    <w:r>
      <w:rPr>
        <w:rFonts w:eastAsia="細明體"/>
        <w:lang w:eastAsia="zh-HK"/>
      </w:rPr>
      <w:t>2</w:t>
    </w:r>
    <w:r>
      <w:rPr>
        <w:rFonts w:eastAsia="細明體"/>
      </w:rPr>
      <w:t xml:space="preserve">1-22) VOLUME </w:t>
    </w:r>
    <w:r>
      <w:rPr>
        <w:rFonts w:eastAsia="細明體"/>
        <w:lang w:eastAsia="zh-HK"/>
      </w:rPr>
      <w:t>36</w:t>
    </w:r>
    <w:r>
      <w:rPr>
        <w:rFonts w:eastAsia="細明體"/>
      </w:rPr>
      <w:t xml:space="preserve"> INLAND REVENUE BOARD OF REVIEW DECISIONS</w:t>
    </w:r>
  </w:p>
  <w:p w:rsidR="00F84DEA" w:rsidRPr="005D76F4" w:rsidRDefault="00F84DEA" w:rsidP="00F84DEA">
    <w:pPr>
      <w:pStyle w:val="a9"/>
      <w:jc w:val="center"/>
    </w:pPr>
    <w:r w:rsidRPr="005D76F4">
      <w:rPr>
        <w:rFonts w:hint="eastAsia"/>
      </w:rPr>
      <w:t>(</w:t>
    </w:r>
    <w:r w:rsidRPr="005D76F4">
      <w:t>PUBLISHED IN AUGUST 2022)</w:t>
    </w:r>
  </w:p>
  <w:p w:rsidR="00031A5E" w:rsidRPr="00F84DEA" w:rsidRDefault="00031A5E" w:rsidP="00F84DEA">
    <w:pPr>
      <w:pStyle w:val="a9"/>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424F0"/>
    <w:multiLevelType w:val="hybridMultilevel"/>
    <w:tmpl w:val="B5E4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95816"/>
    <w:multiLevelType w:val="hybridMultilevel"/>
    <w:tmpl w:val="02722736"/>
    <w:lvl w:ilvl="0" w:tplc="2520B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9B3962"/>
    <w:multiLevelType w:val="hybridMultilevel"/>
    <w:tmpl w:val="EF1E0D36"/>
    <w:lvl w:ilvl="0" w:tplc="299A850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04C56"/>
    <w:multiLevelType w:val="hybridMultilevel"/>
    <w:tmpl w:val="F1060518"/>
    <w:lvl w:ilvl="0" w:tplc="F98AC85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AEGPeDh6DMT1iQlFClfC9cxXcHvU90tiv/+2N+zY8QdePcqifAJ9Js785xisXC5hjZySOktwsR3T7bSTAkP1PQ==" w:salt="YR7/1EhF8qERyL5l6HwA8A=="/>
  <w:defaultTabStop w:val="153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03"/>
    <w:rsid w:val="00000D1B"/>
    <w:rsid w:val="00000F43"/>
    <w:rsid w:val="0000209B"/>
    <w:rsid w:val="00002146"/>
    <w:rsid w:val="0000306A"/>
    <w:rsid w:val="000030CE"/>
    <w:rsid w:val="0000336D"/>
    <w:rsid w:val="00003E89"/>
    <w:rsid w:val="000051AC"/>
    <w:rsid w:val="00005406"/>
    <w:rsid w:val="000062D3"/>
    <w:rsid w:val="00010B3D"/>
    <w:rsid w:val="00010DB6"/>
    <w:rsid w:val="000115A1"/>
    <w:rsid w:val="00011A87"/>
    <w:rsid w:val="000147D6"/>
    <w:rsid w:val="000147FD"/>
    <w:rsid w:val="00014F05"/>
    <w:rsid w:val="00015200"/>
    <w:rsid w:val="00017569"/>
    <w:rsid w:val="00017F63"/>
    <w:rsid w:val="000206B1"/>
    <w:rsid w:val="00020EAE"/>
    <w:rsid w:val="00021508"/>
    <w:rsid w:val="00021ED8"/>
    <w:rsid w:val="00021F00"/>
    <w:rsid w:val="0002264C"/>
    <w:rsid w:val="000229AD"/>
    <w:rsid w:val="00022ABB"/>
    <w:rsid w:val="00022B6A"/>
    <w:rsid w:val="0002371C"/>
    <w:rsid w:val="0002498B"/>
    <w:rsid w:val="00024A00"/>
    <w:rsid w:val="00024A0E"/>
    <w:rsid w:val="00024C93"/>
    <w:rsid w:val="00025653"/>
    <w:rsid w:val="00026D6D"/>
    <w:rsid w:val="00026FC7"/>
    <w:rsid w:val="00027299"/>
    <w:rsid w:val="00027A9B"/>
    <w:rsid w:val="00030830"/>
    <w:rsid w:val="00030E0A"/>
    <w:rsid w:val="0003163B"/>
    <w:rsid w:val="00031A5E"/>
    <w:rsid w:val="00031CEC"/>
    <w:rsid w:val="00031F3F"/>
    <w:rsid w:val="00032A05"/>
    <w:rsid w:val="00032F75"/>
    <w:rsid w:val="000340D6"/>
    <w:rsid w:val="00035777"/>
    <w:rsid w:val="00035FFE"/>
    <w:rsid w:val="00036229"/>
    <w:rsid w:val="00036409"/>
    <w:rsid w:val="000375D5"/>
    <w:rsid w:val="00037F86"/>
    <w:rsid w:val="0004008A"/>
    <w:rsid w:val="00041692"/>
    <w:rsid w:val="000446A5"/>
    <w:rsid w:val="00044717"/>
    <w:rsid w:val="000472DC"/>
    <w:rsid w:val="00047430"/>
    <w:rsid w:val="00047B2D"/>
    <w:rsid w:val="00047C56"/>
    <w:rsid w:val="00050C91"/>
    <w:rsid w:val="0005124A"/>
    <w:rsid w:val="000518B7"/>
    <w:rsid w:val="00051FD9"/>
    <w:rsid w:val="00052484"/>
    <w:rsid w:val="00052C19"/>
    <w:rsid w:val="0005302F"/>
    <w:rsid w:val="000538F5"/>
    <w:rsid w:val="000554B0"/>
    <w:rsid w:val="00055987"/>
    <w:rsid w:val="000565AB"/>
    <w:rsid w:val="00056889"/>
    <w:rsid w:val="00057756"/>
    <w:rsid w:val="00057E9C"/>
    <w:rsid w:val="0006019D"/>
    <w:rsid w:val="00061723"/>
    <w:rsid w:val="00061CD2"/>
    <w:rsid w:val="00061F56"/>
    <w:rsid w:val="00063306"/>
    <w:rsid w:val="00063C47"/>
    <w:rsid w:val="0006413A"/>
    <w:rsid w:val="00064A38"/>
    <w:rsid w:val="00064C90"/>
    <w:rsid w:val="00064CBB"/>
    <w:rsid w:val="00064FC7"/>
    <w:rsid w:val="000651DE"/>
    <w:rsid w:val="0006552C"/>
    <w:rsid w:val="00066BF7"/>
    <w:rsid w:val="00070114"/>
    <w:rsid w:val="000702C1"/>
    <w:rsid w:val="00070A55"/>
    <w:rsid w:val="0007133B"/>
    <w:rsid w:val="00073720"/>
    <w:rsid w:val="000739DF"/>
    <w:rsid w:val="00073D9C"/>
    <w:rsid w:val="00074827"/>
    <w:rsid w:val="00075ED0"/>
    <w:rsid w:val="0007628A"/>
    <w:rsid w:val="000773C2"/>
    <w:rsid w:val="000803B4"/>
    <w:rsid w:val="000811DB"/>
    <w:rsid w:val="000811E1"/>
    <w:rsid w:val="0008204A"/>
    <w:rsid w:val="000829FD"/>
    <w:rsid w:val="00082CF5"/>
    <w:rsid w:val="00083169"/>
    <w:rsid w:val="00085DD7"/>
    <w:rsid w:val="00085F3A"/>
    <w:rsid w:val="00086D17"/>
    <w:rsid w:val="000878DE"/>
    <w:rsid w:val="00090E96"/>
    <w:rsid w:val="000914F1"/>
    <w:rsid w:val="0009182D"/>
    <w:rsid w:val="00092DF0"/>
    <w:rsid w:val="00095AD9"/>
    <w:rsid w:val="00096855"/>
    <w:rsid w:val="000A01F4"/>
    <w:rsid w:val="000A0498"/>
    <w:rsid w:val="000A0910"/>
    <w:rsid w:val="000A0EA6"/>
    <w:rsid w:val="000A1020"/>
    <w:rsid w:val="000A1066"/>
    <w:rsid w:val="000A1D38"/>
    <w:rsid w:val="000A1DEA"/>
    <w:rsid w:val="000A2275"/>
    <w:rsid w:val="000A3151"/>
    <w:rsid w:val="000A317A"/>
    <w:rsid w:val="000A3FC9"/>
    <w:rsid w:val="000A44AD"/>
    <w:rsid w:val="000A46A0"/>
    <w:rsid w:val="000A4F76"/>
    <w:rsid w:val="000A5AED"/>
    <w:rsid w:val="000A7D69"/>
    <w:rsid w:val="000B0AE3"/>
    <w:rsid w:val="000B177A"/>
    <w:rsid w:val="000B3D14"/>
    <w:rsid w:val="000B424E"/>
    <w:rsid w:val="000B4DE2"/>
    <w:rsid w:val="000B4E24"/>
    <w:rsid w:val="000B5145"/>
    <w:rsid w:val="000B5B15"/>
    <w:rsid w:val="000C03FD"/>
    <w:rsid w:val="000C0973"/>
    <w:rsid w:val="000C0C42"/>
    <w:rsid w:val="000C1843"/>
    <w:rsid w:val="000C2A4F"/>
    <w:rsid w:val="000C338A"/>
    <w:rsid w:val="000C38EA"/>
    <w:rsid w:val="000C39F5"/>
    <w:rsid w:val="000C3DF4"/>
    <w:rsid w:val="000C438B"/>
    <w:rsid w:val="000C4D31"/>
    <w:rsid w:val="000C599D"/>
    <w:rsid w:val="000C5D1B"/>
    <w:rsid w:val="000C6AE1"/>
    <w:rsid w:val="000D0571"/>
    <w:rsid w:val="000D0628"/>
    <w:rsid w:val="000D06E3"/>
    <w:rsid w:val="000D104B"/>
    <w:rsid w:val="000D1E8F"/>
    <w:rsid w:val="000D209C"/>
    <w:rsid w:val="000D2B7D"/>
    <w:rsid w:val="000D3BD9"/>
    <w:rsid w:val="000D4134"/>
    <w:rsid w:val="000D55FD"/>
    <w:rsid w:val="000D57D3"/>
    <w:rsid w:val="000D5F61"/>
    <w:rsid w:val="000D6CAB"/>
    <w:rsid w:val="000D7EBB"/>
    <w:rsid w:val="000E05CA"/>
    <w:rsid w:val="000E084E"/>
    <w:rsid w:val="000E095E"/>
    <w:rsid w:val="000E0CAA"/>
    <w:rsid w:val="000E1016"/>
    <w:rsid w:val="000E2E83"/>
    <w:rsid w:val="000E46B2"/>
    <w:rsid w:val="000E5F18"/>
    <w:rsid w:val="000E6550"/>
    <w:rsid w:val="000E7187"/>
    <w:rsid w:val="000E7AEE"/>
    <w:rsid w:val="000F060F"/>
    <w:rsid w:val="000F065F"/>
    <w:rsid w:val="000F1F61"/>
    <w:rsid w:val="000F21E7"/>
    <w:rsid w:val="000F2233"/>
    <w:rsid w:val="000F2588"/>
    <w:rsid w:val="000F27B6"/>
    <w:rsid w:val="000F2B78"/>
    <w:rsid w:val="000F34F2"/>
    <w:rsid w:val="000F3B28"/>
    <w:rsid w:val="000F3E45"/>
    <w:rsid w:val="000F3FF7"/>
    <w:rsid w:val="000F49B9"/>
    <w:rsid w:val="000F67CB"/>
    <w:rsid w:val="000F7C26"/>
    <w:rsid w:val="000F7CF9"/>
    <w:rsid w:val="00101E6A"/>
    <w:rsid w:val="00102E91"/>
    <w:rsid w:val="00103EA7"/>
    <w:rsid w:val="00103F12"/>
    <w:rsid w:val="0010450C"/>
    <w:rsid w:val="00104844"/>
    <w:rsid w:val="001049E7"/>
    <w:rsid w:val="001056A2"/>
    <w:rsid w:val="00107624"/>
    <w:rsid w:val="00107C1B"/>
    <w:rsid w:val="00110002"/>
    <w:rsid w:val="00112E2F"/>
    <w:rsid w:val="0011305E"/>
    <w:rsid w:val="00113AD3"/>
    <w:rsid w:val="00114309"/>
    <w:rsid w:val="00115185"/>
    <w:rsid w:val="00115CD1"/>
    <w:rsid w:val="00117542"/>
    <w:rsid w:val="00117793"/>
    <w:rsid w:val="00117968"/>
    <w:rsid w:val="001200ED"/>
    <w:rsid w:val="00120B2F"/>
    <w:rsid w:val="00121105"/>
    <w:rsid w:val="00121731"/>
    <w:rsid w:val="00122EE1"/>
    <w:rsid w:val="001231FC"/>
    <w:rsid w:val="00123AF7"/>
    <w:rsid w:val="0012453D"/>
    <w:rsid w:val="001247F7"/>
    <w:rsid w:val="00124881"/>
    <w:rsid w:val="001253EF"/>
    <w:rsid w:val="001254DB"/>
    <w:rsid w:val="001304BC"/>
    <w:rsid w:val="00130E63"/>
    <w:rsid w:val="001324A2"/>
    <w:rsid w:val="00133647"/>
    <w:rsid w:val="001336A5"/>
    <w:rsid w:val="00134486"/>
    <w:rsid w:val="001348A3"/>
    <w:rsid w:val="0013522A"/>
    <w:rsid w:val="00135489"/>
    <w:rsid w:val="00135606"/>
    <w:rsid w:val="001362F8"/>
    <w:rsid w:val="001375FD"/>
    <w:rsid w:val="001413CE"/>
    <w:rsid w:val="001416ED"/>
    <w:rsid w:val="001418A9"/>
    <w:rsid w:val="00143538"/>
    <w:rsid w:val="001444A5"/>
    <w:rsid w:val="001444C7"/>
    <w:rsid w:val="0014480A"/>
    <w:rsid w:val="00144A40"/>
    <w:rsid w:val="00144BCF"/>
    <w:rsid w:val="00145DE7"/>
    <w:rsid w:val="00145E9C"/>
    <w:rsid w:val="00146753"/>
    <w:rsid w:val="00146CA0"/>
    <w:rsid w:val="00150547"/>
    <w:rsid w:val="00150B05"/>
    <w:rsid w:val="00150CAB"/>
    <w:rsid w:val="00150CEF"/>
    <w:rsid w:val="00151BBB"/>
    <w:rsid w:val="00152019"/>
    <w:rsid w:val="00153076"/>
    <w:rsid w:val="001539C7"/>
    <w:rsid w:val="00153C5D"/>
    <w:rsid w:val="001541A8"/>
    <w:rsid w:val="00154D64"/>
    <w:rsid w:val="00154FEC"/>
    <w:rsid w:val="001555EA"/>
    <w:rsid w:val="00155A45"/>
    <w:rsid w:val="00156384"/>
    <w:rsid w:val="00156B56"/>
    <w:rsid w:val="00157108"/>
    <w:rsid w:val="0015720E"/>
    <w:rsid w:val="00157E7D"/>
    <w:rsid w:val="001604C3"/>
    <w:rsid w:val="00161430"/>
    <w:rsid w:val="0016145D"/>
    <w:rsid w:val="00161F3D"/>
    <w:rsid w:val="0016258E"/>
    <w:rsid w:val="001625B7"/>
    <w:rsid w:val="00162DE3"/>
    <w:rsid w:val="00162E83"/>
    <w:rsid w:val="001633FA"/>
    <w:rsid w:val="00164331"/>
    <w:rsid w:val="0016452C"/>
    <w:rsid w:val="00164DD3"/>
    <w:rsid w:val="00164F26"/>
    <w:rsid w:val="00165250"/>
    <w:rsid w:val="001655E5"/>
    <w:rsid w:val="001658AF"/>
    <w:rsid w:val="0016703B"/>
    <w:rsid w:val="0017021D"/>
    <w:rsid w:val="001711A5"/>
    <w:rsid w:val="001713E9"/>
    <w:rsid w:val="00172FA0"/>
    <w:rsid w:val="0017446C"/>
    <w:rsid w:val="00174CFE"/>
    <w:rsid w:val="00174F7B"/>
    <w:rsid w:val="00175E17"/>
    <w:rsid w:val="0017753B"/>
    <w:rsid w:val="00177A28"/>
    <w:rsid w:val="00180093"/>
    <w:rsid w:val="00180464"/>
    <w:rsid w:val="001814C3"/>
    <w:rsid w:val="00182212"/>
    <w:rsid w:val="00183156"/>
    <w:rsid w:val="00183D85"/>
    <w:rsid w:val="001853C1"/>
    <w:rsid w:val="0018696A"/>
    <w:rsid w:val="0019021F"/>
    <w:rsid w:val="00190596"/>
    <w:rsid w:val="00191646"/>
    <w:rsid w:val="00192408"/>
    <w:rsid w:val="00192700"/>
    <w:rsid w:val="001927F9"/>
    <w:rsid w:val="001928CB"/>
    <w:rsid w:val="001932B3"/>
    <w:rsid w:val="001934EC"/>
    <w:rsid w:val="00193EA7"/>
    <w:rsid w:val="00194877"/>
    <w:rsid w:val="0019496C"/>
    <w:rsid w:val="00194AEB"/>
    <w:rsid w:val="001951F1"/>
    <w:rsid w:val="00195A8D"/>
    <w:rsid w:val="0019620F"/>
    <w:rsid w:val="0019653C"/>
    <w:rsid w:val="00197D5E"/>
    <w:rsid w:val="001A0307"/>
    <w:rsid w:val="001A13A6"/>
    <w:rsid w:val="001A1619"/>
    <w:rsid w:val="001A1A9F"/>
    <w:rsid w:val="001A1F2B"/>
    <w:rsid w:val="001A3C86"/>
    <w:rsid w:val="001A3D02"/>
    <w:rsid w:val="001A4773"/>
    <w:rsid w:val="001A4AFA"/>
    <w:rsid w:val="001A50DB"/>
    <w:rsid w:val="001A5366"/>
    <w:rsid w:val="001A61A2"/>
    <w:rsid w:val="001A63FD"/>
    <w:rsid w:val="001A6B50"/>
    <w:rsid w:val="001B0826"/>
    <w:rsid w:val="001B1080"/>
    <w:rsid w:val="001B205F"/>
    <w:rsid w:val="001B23D1"/>
    <w:rsid w:val="001B2E65"/>
    <w:rsid w:val="001B323B"/>
    <w:rsid w:val="001B3A04"/>
    <w:rsid w:val="001B440F"/>
    <w:rsid w:val="001B4605"/>
    <w:rsid w:val="001B4FE0"/>
    <w:rsid w:val="001B580D"/>
    <w:rsid w:val="001B6CBD"/>
    <w:rsid w:val="001B6ECC"/>
    <w:rsid w:val="001B7B87"/>
    <w:rsid w:val="001C01B8"/>
    <w:rsid w:val="001C0F5D"/>
    <w:rsid w:val="001C1169"/>
    <w:rsid w:val="001C1476"/>
    <w:rsid w:val="001C14E5"/>
    <w:rsid w:val="001C22BC"/>
    <w:rsid w:val="001C2BC6"/>
    <w:rsid w:val="001C2F1E"/>
    <w:rsid w:val="001C3117"/>
    <w:rsid w:val="001C3693"/>
    <w:rsid w:val="001C4035"/>
    <w:rsid w:val="001C43A0"/>
    <w:rsid w:val="001C68C5"/>
    <w:rsid w:val="001D0D9E"/>
    <w:rsid w:val="001D203E"/>
    <w:rsid w:val="001D3146"/>
    <w:rsid w:val="001D35E9"/>
    <w:rsid w:val="001D542C"/>
    <w:rsid w:val="001D5557"/>
    <w:rsid w:val="001D56AE"/>
    <w:rsid w:val="001D5715"/>
    <w:rsid w:val="001D5D03"/>
    <w:rsid w:val="001D616B"/>
    <w:rsid w:val="001D6601"/>
    <w:rsid w:val="001D72F8"/>
    <w:rsid w:val="001D7C09"/>
    <w:rsid w:val="001E129A"/>
    <w:rsid w:val="001E1680"/>
    <w:rsid w:val="001E25C9"/>
    <w:rsid w:val="001E2F06"/>
    <w:rsid w:val="001E2F2F"/>
    <w:rsid w:val="001E326B"/>
    <w:rsid w:val="001E5290"/>
    <w:rsid w:val="001E56CF"/>
    <w:rsid w:val="001E5BAD"/>
    <w:rsid w:val="001E5F46"/>
    <w:rsid w:val="001E6251"/>
    <w:rsid w:val="001E6600"/>
    <w:rsid w:val="001F013A"/>
    <w:rsid w:val="001F1889"/>
    <w:rsid w:val="001F36C4"/>
    <w:rsid w:val="001F3914"/>
    <w:rsid w:val="001F3EFF"/>
    <w:rsid w:val="001F4688"/>
    <w:rsid w:val="001F6014"/>
    <w:rsid w:val="001F63F9"/>
    <w:rsid w:val="001F6AE0"/>
    <w:rsid w:val="001F7605"/>
    <w:rsid w:val="001F791F"/>
    <w:rsid w:val="001F7C34"/>
    <w:rsid w:val="001F7FB7"/>
    <w:rsid w:val="0020018A"/>
    <w:rsid w:val="00200483"/>
    <w:rsid w:val="00202CA8"/>
    <w:rsid w:val="00203A52"/>
    <w:rsid w:val="00203BDA"/>
    <w:rsid w:val="0020462E"/>
    <w:rsid w:val="002047B6"/>
    <w:rsid w:val="00204AE3"/>
    <w:rsid w:val="00205ADE"/>
    <w:rsid w:val="002079FB"/>
    <w:rsid w:val="00210B43"/>
    <w:rsid w:val="00212648"/>
    <w:rsid w:val="00212D08"/>
    <w:rsid w:val="00212FAF"/>
    <w:rsid w:val="00214A30"/>
    <w:rsid w:val="00214A4B"/>
    <w:rsid w:val="00214A66"/>
    <w:rsid w:val="00215FE1"/>
    <w:rsid w:val="002164AB"/>
    <w:rsid w:val="0021709A"/>
    <w:rsid w:val="00217A2B"/>
    <w:rsid w:val="00217E5B"/>
    <w:rsid w:val="00217F29"/>
    <w:rsid w:val="00220C74"/>
    <w:rsid w:val="00220F8A"/>
    <w:rsid w:val="0022155D"/>
    <w:rsid w:val="00221AE2"/>
    <w:rsid w:val="00222433"/>
    <w:rsid w:val="002231DF"/>
    <w:rsid w:val="0022325D"/>
    <w:rsid w:val="00223A52"/>
    <w:rsid w:val="002260B3"/>
    <w:rsid w:val="0022620B"/>
    <w:rsid w:val="0022631B"/>
    <w:rsid w:val="002273BD"/>
    <w:rsid w:val="00227596"/>
    <w:rsid w:val="002301A0"/>
    <w:rsid w:val="0023036E"/>
    <w:rsid w:val="0023133C"/>
    <w:rsid w:val="00231353"/>
    <w:rsid w:val="002316E1"/>
    <w:rsid w:val="00233965"/>
    <w:rsid w:val="00234C86"/>
    <w:rsid w:val="0024077E"/>
    <w:rsid w:val="00240AF8"/>
    <w:rsid w:val="002421B4"/>
    <w:rsid w:val="0024336D"/>
    <w:rsid w:val="002434BA"/>
    <w:rsid w:val="00243790"/>
    <w:rsid w:val="00243954"/>
    <w:rsid w:val="00243C06"/>
    <w:rsid w:val="00243D1A"/>
    <w:rsid w:val="00245677"/>
    <w:rsid w:val="00250165"/>
    <w:rsid w:val="002519E1"/>
    <w:rsid w:val="00251C52"/>
    <w:rsid w:val="00251F7E"/>
    <w:rsid w:val="00252D63"/>
    <w:rsid w:val="00252E7C"/>
    <w:rsid w:val="002548BD"/>
    <w:rsid w:val="00254D8F"/>
    <w:rsid w:val="00255758"/>
    <w:rsid w:val="00255E74"/>
    <w:rsid w:val="00257DDD"/>
    <w:rsid w:val="00260A4F"/>
    <w:rsid w:val="002629C3"/>
    <w:rsid w:val="00262FC4"/>
    <w:rsid w:val="002642DF"/>
    <w:rsid w:val="00264D14"/>
    <w:rsid w:val="00265568"/>
    <w:rsid w:val="00265A74"/>
    <w:rsid w:val="00266D08"/>
    <w:rsid w:val="002672A7"/>
    <w:rsid w:val="0026748C"/>
    <w:rsid w:val="002676B5"/>
    <w:rsid w:val="00270DA2"/>
    <w:rsid w:val="0027109E"/>
    <w:rsid w:val="00271CE7"/>
    <w:rsid w:val="00271FBA"/>
    <w:rsid w:val="0027383C"/>
    <w:rsid w:val="00273949"/>
    <w:rsid w:val="00273A28"/>
    <w:rsid w:val="00273EA9"/>
    <w:rsid w:val="002746E0"/>
    <w:rsid w:val="00274C4E"/>
    <w:rsid w:val="00275E42"/>
    <w:rsid w:val="00277203"/>
    <w:rsid w:val="0027768B"/>
    <w:rsid w:val="00277E35"/>
    <w:rsid w:val="00280664"/>
    <w:rsid w:val="00281462"/>
    <w:rsid w:val="00281940"/>
    <w:rsid w:val="0028285F"/>
    <w:rsid w:val="00282B34"/>
    <w:rsid w:val="00282F96"/>
    <w:rsid w:val="00283584"/>
    <w:rsid w:val="0028363F"/>
    <w:rsid w:val="00283ECE"/>
    <w:rsid w:val="00284648"/>
    <w:rsid w:val="00284B90"/>
    <w:rsid w:val="00286389"/>
    <w:rsid w:val="00286E75"/>
    <w:rsid w:val="00287CD9"/>
    <w:rsid w:val="00287DFE"/>
    <w:rsid w:val="00290B09"/>
    <w:rsid w:val="00291670"/>
    <w:rsid w:val="00291683"/>
    <w:rsid w:val="002925E3"/>
    <w:rsid w:val="00292C65"/>
    <w:rsid w:val="00292CCE"/>
    <w:rsid w:val="00294942"/>
    <w:rsid w:val="00294A2B"/>
    <w:rsid w:val="00294EFE"/>
    <w:rsid w:val="00295A7F"/>
    <w:rsid w:val="002969B2"/>
    <w:rsid w:val="00296AFD"/>
    <w:rsid w:val="00296D20"/>
    <w:rsid w:val="002979BC"/>
    <w:rsid w:val="00297C18"/>
    <w:rsid w:val="00297C4C"/>
    <w:rsid w:val="002A00B2"/>
    <w:rsid w:val="002A1878"/>
    <w:rsid w:val="002A1F30"/>
    <w:rsid w:val="002A2284"/>
    <w:rsid w:val="002A2E60"/>
    <w:rsid w:val="002A338E"/>
    <w:rsid w:val="002A355E"/>
    <w:rsid w:val="002A36C9"/>
    <w:rsid w:val="002A376E"/>
    <w:rsid w:val="002A4128"/>
    <w:rsid w:val="002A44DA"/>
    <w:rsid w:val="002A4C43"/>
    <w:rsid w:val="002A4ECA"/>
    <w:rsid w:val="002A4FE8"/>
    <w:rsid w:val="002A5E53"/>
    <w:rsid w:val="002A79A2"/>
    <w:rsid w:val="002A7DCD"/>
    <w:rsid w:val="002B128F"/>
    <w:rsid w:val="002B1408"/>
    <w:rsid w:val="002B17D7"/>
    <w:rsid w:val="002B3BE9"/>
    <w:rsid w:val="002B449A"/>
    <w:rsid w:val="002B6D81"/>
    <w:rsid w:val="002B714A"/>
    <w:rsid w:val="002B7674"/>
    <w:rsid w:val="002C0300"/>
    <w:rsid w:val="002C03C6"/>
    <w:rsid w:val="002C1025"/>
    <w:rsid w:val="002C1516"/>
    <w:rsid w:val="002C23E4"/>
    <w:rsid w:val="002C420E"/>
    <w:rsid w:val="002C4240"/>
    <w:rsid w:val="002C43E4"/>
    <w:rsid w:val="002C4F8E"/>
    <w:rsid w:val="002C514A"/>
    <w:rsid w:val="002C67AC"/>
    <w:rsid w:val="002C7444"/>
    <w:rsid w:val="002C771F"/>
    <w:rsid w:val="002C7821"/>
    <w:rsid w:val="002C7DAB"/>
    <w:rsid w:val="002D0405"/>
    <w:rsid w:val="002D0505"/>
    <w:rsid w:val="002D054C"/>
    <w:rsid w:val="002D1537"/>
    <w:rsid w:val="002D352E"/>
    <w:rsid w:val="002D5A58"/>
    <w:rsid w:val="002D5C10"/>
    <w:rsid w:val="002D5D51"/>
    <w:rsid w:val="002D695C"/>
    <w:rsid w:val="002D6ED3"/>
    <w:rsid w:val="002D6EEB"/>
    <w:rsid w:val="002D7278"/>
    <w:rsid w:val="002D72E2"/>
    <w:rsid w:val="002E01E8"/>
    <w:rsid w:val="002E0CB7"/>
    <w:rsid w:val="002E2264"/>
    <w:rsid w:val="002E454E"/>
    <w:rsid w:val="002E48C8"/>
    <w:rsid w:val="002E5A91"/>
    <w:rsid w:val="002E5F52"/>
    <w:rsid w:val="002E68D4"/>
    <w:rsid w:val="002E7A7A"/>
    <w:rsid w:val="002F082E"/>
    <w:rsid w:val="002F117C"/>
    <w:rsid w:val="002F1F2F"/>
    <w:rsid w:val="002F26DE"/>
    <w:rsid w:val="002F2D01"/>
    <w:rsid w:val="002F46A8"/>
    <w:rsid w:val="002F4760"/>
    <w:rsid w:val="002F6459"/>
    <w:rsid w:val="002F72F3"/>
    <w:rsid w:val="003001B5"/>
    <w:rsid w:val="00301AC3"/>
    <w:rsid w:val="00303ED9"/>
    <w:rsid w:val="00304365"/>
    <w:rsid w:val="003049D7"/>
    <w:rsid w:val="00304EDC"/>
    <w:rsid w:val="00305D4A"/>
    <w:rsid w:val="003062A2"/>
    <w:rsid w:val="00306E76"/>
    <w:rsid w:val="00306F62"/>
    <w:rsid w:val="00307A3C"/>
    <w:rsid w:val="00307E7E"/>
    <w:rsid w:val="00307F7C"/>
    <w:rsid w:val="003106FE"/>
    <w:rsid w:val="003121F9"/>
    <w:rsid w:val="0031232A"/>
    <w:rsid w:val="00313138"/>
    <w:rsid w:val="003138D2"/>
    <w:rsid w:val="003149A9"/>
    <w:rsid w:val="003158E7"/>
    <w:rsid w:val="003169FE"/>
    <w:rsid w:val="00320ACD"/>
    <w:rsid w:val="00320BA8"/>
    <w:rsid w:val="00320D7B"/>
    <w:rsid w:val="0032122A"/>
    <w:rsid w:val="00321293"/>
    <w:rsid w:val="00321D1C"/>
    <w:rsid w:val="0032349E"/>
    <w:rsid w:val="00323552"/>
    <w:rsid w:val="00324570"/>
    <w:rsid w:val="003245CB"/>
    <w:rsid w:val="00326183"/>
    <w:rsid w:val="0032622E"/>
    <w:rsid w:val="003270FB"/>
    <w:rsid w:val="00327B96"/>
    <w:rsid w:val="00330400"/>
    <w:rsid w:val="00330B9D"/>
    <w:rsid w:val="00330D78"/>
    <w:rsid w:val="00330ECE"/>
    <w:rsid w:val="00332023"/>
    <w:rsid w:val="00332536"/>
    <w:rsid w:val="00332755"/>
    <w:rsid w:val="00332ACC"/>
    <w:rsid w:val="00333C2D"/>
    <w:rsid w:val="00333E50"/>
    <w:rsid w:val="003341A5"/>
    <w:rsid w:val="0033537A"/>
    <w:rsid w:val="003353E5"/>
    <w:rsid w:val="00335F94"/>
    <w:rsid w:val="00336052"/>
    <w:rsid w:val="003366AA"/>
    <w:rsid w:val="00337972"/>
    <w:rsid w:val="00337CE7"/>
    <w:rsid w:val="0034062A"/>
    <w:rsid w:val="00340C1D"/>
    <w:rsid w:val="00340E6E"/>
    <w:rsid w:val="003415E9"/>
    <w:rsid w:val="00341FE6"/>
    <w:rsid w:val="00342E7F"/>
    <w:rsid w:val="00342F96"/>
    <w:rsid w:val="003434E1"/>
    <w:rsid w:val="003440F2"/>
    <w:rsid w:val="00345D7C"/>
    <w:rsid w:val="003461AD"/>
    <w:rsid w:val="003467F0"/>
    <w:rsid w:val="0034703A"/>
    <w:rsid w:val="0034726E"/>
    <w:rsid w:val="00350177"/>
    <w:rsid w:val="0035071D"/>
    <w:rsid w:val="003507CC"/>
    <w:rsid w:val="00350C7D"/>
    <w:rsid w:val="0035121F"/>
    <w:rsid w:val="00352C48"/>
    <w:rsid w:val="00352F0E"/>
    <w:rsid w:val="003532C9"/>
    <w:rsid w:val="00353763"/>
    <w:rsid w:val="003542D3"/>
    <w:rsid w:val="0035455D"/>
    <w:rsid w:val="00355517"/>
    <w:rsid w:val="003558D5"/>
    <w:rsid w:val="00355989"/>
    <w:rsid w:val="003568B5"/>
    <w:rsid w:val="00356FEF"/>
    <w:rsid w:val="00357B60"/>
    <w:rsid w:val="00360550"/>
    <w:rsid w:val="00360A5D"/>
    <w:rsid w:val="00360B48"/>
    <w:rsid w:val="003614A0"/>
    <w:rsid w:val="00361801"/>
    <w:rsid w:val="00362086"/>
    <w:rsid w:val="003620EE"/>
    <w:rsid w:val="00366F12"/>
    <w:rsid w:val="0036755E"/>
    <w:rsid w:val="00370B2A"/>
    <w:rsid w:val="00371942"/>
    <w:rsid w:val="00371BD9"/>
    <w:rsid w:val="0037250C"/>
    <w:rsid w:val="00372BB5"/>
    <w:rsid w:val="00372E81"/>
    <w:rsid w:val="0037350D"/>
    <w:rsid w:val="00374367"/>
    <w:rsid w:val="00376B0C"/>
    <w:rsid w:val="00376DAD"/>
    <w:rsid w:val="00376EA0"/>
    <w:rsid w:val="00377FC2"/>
    <w:rsid w:val="00380635"/>
    <w:rsid w:val="00380777"/>
    <w:rsid w:val="00380889"/>
    <w:rsid w:val="00380937"/>
    <w:rsid w:val="00381934"/>
    <w:rsid w:val="00382C83"/>
    <w:rsid w:val="0038440F"/>
    <w:rsid w:val="003847DE"/>
    <w:rsid w:val="00384FCB"/>
    <w:rsid w:val="003855D7"/>
    <w:rsid w:val="003855F6"/>
    <w:rsid w:val="003906D6"/>
    <w:rsid w:val="00391CD2"/>
    <w:rsid w:val="00392D1F"/>
    <w:rsid w:val="0039304D"/>
    <w:rsid w:val="00393271"/>
    <w:rsid w:val="0039462B"/>
    <w:rsid w:val="003948A4"/>
    <w:rsid w:val="0039525D"/>
    <w:rsid w:val="00395461"/>
    <w:rsid w:val="003955B3"/>
    <w:rsid w:val="003A068D"/>
    <w:rsid w:val="003A1F7D"/>
    <w:rsid w:val="003A30E7"/>
    <w:rsid w:val="003A33AD"/>
    <w:rsid w:val="003A3755"/>
    <w:rsid w:val="003A3A0A"/>
    <w:rsid w:val="003A3CC5"/>
    <w:rsid w:val="003A433E"/>
    <w:rsid w:val="003A44C7"/>
    <w:rsid w:val="003A45C0"/>
    <w:rsid w:val="003A472C"/>
    <w:rsid w:val="003A4C42"/>
    <w:rsid w:val="003A5975"/>
    <w:rsid w:val="003A6461"/>
    <w:rsid w:val="003A7A36"/>
    <w:rsid w:val="003B1567"/>
    <w:rsid w:val="003B3042"/>
    <w:rsid w:val="003B33D1"/>
    <w:rsid w:val="003B3A8C"/>
    <w:rsid w:val="003B44B0"/>
    <w:rsid w:val="003B4D18"/>
    <w:rsid w:val="003B5948"/>
    <w:rsid w:val="003B5C6D"/>
    <w:rsid w:val="003B5EC0"/>
    <w:rsid w:val="003B722E"/>
    <w:rsid w:val="003B775F"/>
    <w:rsid w:val="003B79B9"/>
    <w:rsid w:val="003C015F"/>
    <w:rsid w:val="003C123E"/>
    <w:rsid w:val="003C19FF"/>
    <w:rsid w:val="003C2009"/>
    <w:rsid w:val="003C278A"/>
    <w:rsid w:val="003C3274"/>
    <w:rsid w:val="003C6089"/>
    <w:rsid w:val="003C65CA"/>
    <w:rsid w:val="003C71F4"/>
    <w:rsid w:val="003D1065"/>
    <w:rsid w:val="003D131E"/>
    <w:rsid w:val="003D1CBD"/>
    <w:rsid w:val="003D2D78"/>
    <w:rsid w:val="003D2E85"/>
    <w:rsid w:val="003D332C"/>
    <w:rsid w:val="003D3D17"/>
    <w:rsid w:val="003D4072"/>
    <w:rsid w:val="003D4D13"/>
    <w:rsid w:val="003D4D44"/>
    <w:rsid w:val="003D4E14"/>
    <w:rsid w:val="003D51CA"/>
    <w:rsid w:val="003D621B"/>
    <w:rsid w:val="003D6985"/>
    <w:rsid w:val="003D79A8"/>
    <w:rsid w:val="003E0851"/>
    <w:rsid w:val="003E0DC3"/>
    <w:rsid w:val="003E170B"/>
    <w:rsid w:val="003E2E1C"/>
    <w:rsid w:val="003E3325"/>
    <w:rsid w:val="003E3835"/>
    <w:rsid w:val="003E443A"/>
    <w:rsid w:val="003E5E8D"/>
    <w:rsid w:val="003E6221"/>
    <w:rsid w:val="003E64CE"/>
    <w:rsid w:val="003E79E7"/>
    <w:rsid w:val="003E7F0D"/>
    <w:rsid w:val="003F196C"/>
    <w:rsid w:val="003F1E70"/>
    <w:rsid w:val="003F2029"/>
    <w:rsid w:val="003F22E7"/>
    <w:rsid w:val="003F2B74"/>
    <w:rsid w:val="003F2D59"/>
    <w:rsid w:val="003F308E"/>
    <w:rsid w:val="003F35FF"/>
    <w:rsid w:val="003F42D4"/>
    <w:rsid w:val="003F4434"/>
    <w:rsid w:val="003F4874"/>
    <w:rsid w:val="003F5B18"/>
    <w:rsid w:val="003F5BB9"/>
    <w:rsid w:val="003F5D0D"/>
    <w:rsid w:val="003F670B"/>
    <w:rsid w:val="003F7F69"/>
    <w:rsid w:val="00401257"/>
    <w:rsid w:val="004013BD"/>
    <w:rsid w:val="00401E3C"/>
    <w:rsid w:val="00402498"/>
    <w:rsid w:val="00402EF6"/>
    <w:rsid w:val="004033C3"/>
    <w:rsid w:val="00403B22"/>
    <w:rsid w:val="00403CC6"/>
    <w:rsid w:val="004043A0"/>
    <w:rsid w:val="00404D07"/>
    <w:rsid w:val="00405726"/>
    <w:rsid w:val="004067B3"/>
    <w:rsid w:val="0040680B"/>
    <w:rsid w:val="00406A18"/>
    <w:rsid w:val="00407027"/>
    <w:rsid w:val="00407A50"/>
    <w:rsid w:val="00407EA0"/>
    <w:rsid w:val="00410E57"/>
    <w:rsid w:val="00411C2C"/>
    <w:rsid w:val="004135F1"/>
    <w:rsid w:val="00413D14"/>
    <w:rsid w:val="00414020"/>
    <w:rsid w:val="00414CC4"/>
    <w:rsid w:val="00414D6D"/>
    <w:rsid w:val="004154C3"/>
    <w:rsid w:val="0041603A"/>
    <w:rsid w:val="00416332"/>
    <w:rsid w:val="0041689A"/>
    <w:rsid w:val="00416CAA"/>
    <w:rsid w:val="00417650"/>
    <w:rsid w:val="00417E96"/>
    <w:rsid w:val="004205CA"/>
    <w:rsid w:val="00420D61"/>
    <w:rsid w:val="0042194D"/>
    <w:rsid w:val="00421B67"/>
    <w:rsid w:val="00422BD1"/>
    <w:rsid w:val="00423A1A"/>
    <w:rsid w:val="00424FF6"/>
    <w:rsid w:val="00425684"/>
    <w:rsid w:val="00426487"/>
    <w:rsid w:val="00426D86"/>
    <w:rsid w:val="00427349"/>
    <w:rsid w:val="0043168A"/>
    <w:rsid w:val="00432446"/>
    <w:rsid w:val="00432469"/>
    <w:rsid w:val="0043308C"/>
    <w:rsid w:val="004342F9"/>
    <w:rsid w:val="0043454F"/>
    <w:rsid w:val="00434E52"/>
    <w:rsid w:val="004363B4"/>
    <w:rsid w:val="00436D04"/>
    <w:rsid w:val="00437362"/>
    <w:rsid w:val="00440210"/>
    <w:rsid w:val="0044084D"/>
    <w:rsid w:val="00440877"/>
    <w:rsid w:val="004419DE"/>
    <w:rsid w:val="00443EE8"/>
    <w:rsid w:val="00444376"/>
    <w:rsid w:val="00444B21"/>
    <w:rsid w:val="00446F0E"/>
    <w:rsid w:val="0044731F"/>
    <w:rsid w:val="00450634"/>
    <w:rsid w:val="00451517"/>
    <w:rsid w:val="004519FE"/>
    <w:rsid w:val="00452BE6"/>
    <w:rsid w:val="004539E8"/>
    <w:rsid w:val="00453AF2"/>
    <w:rsid w:val="0045415C"/>
    <w:rsid w:val="0045542A"/>
    <w:rsid w:val="00455FF4"/>
    <w:rsid w:val="00456B29"/>
    <w:rsid w:val="00456F70"/>
    <w:rsid w:val="00457461"/>
    <w:rsid w:val="00460016"/>
    <w:rsid w:val="004605D4"/>
    <w:rsid w:val="00460E20"/>
    <w:rsid w:val="00461A5B"/>
    <w:rsid w:val="00461EE7"/>
    <w:rsid w:val="00462636"/>
    <w:rsid w:val="00462CE8"/>
    <w:rsid w:val="00464061"/>
    <w:rsid w:val="0046434D"/>
    <w:rsid w:val="004649D6"/>
    <w:rsid w:val="00465C51"/>
    <w:rsid w:val="00465DEE"/>
    <w:rsid w:val="0046655F"/>
    <w:rsid w:val="00470B4F"/>
    <w:rsid w:val="0047107C"/>
    <w:rsid w:val="00471418"/>
    <w:rsid w:val="00471441"/>
    <w:rsid w:val="004719E4"/>
    <w:rsid w:val="0047280D"/>
    <w:rsid w:val="00472BA5"/>
    <w:rsid w:val="00472BCE"/>
    <w:rsid w:val="00473476"/>
    <w:rsid w:val="00473711"/>
    <w:rsid w:val="00474059"/>
    <w:rsid w:val="00474647"/>
    <w:rsid w:val="00474AAC"/>
    <w:rsid w:val="004753AD"/>
    <w:rsid w:val="00476952"/>
    <w:rsid w:val="00477276"/>
    <w:rsid w:val="004776F2"/>
    <w:rsid w:val="00477F84"/>
    <w:rsid w:val="00481382"/>
    <w:rsid w:val="004815EF"/>
    <w:rsid w:val="0048183B"/>
    <w:rsid w:val="00482DA7"/>
    <w:rsid w:val="00482FB9"/>
    <w:rsid w:val="00485AEF"/>
    <w:rsid w:val="00486CEE"/>
    <w:rsid w:val="00487EF2"/>
    <w:rsid w:val="00492EB0"/>
    <w:rsid w:val="00494718"/>
    <w:rsid w:val="00494DBD"/>
    <w:rsid w:val="00495497"/>
    <w:rsid w:val="0049655B"/>
    <w:rsid w:val="004969B2"/>
    <w:rsid w:val="00496F9F"/>
    <w:rsid w:val="004977FC"/>
    <w:rsid w:val="004979AB"/>
    <w:rsid w:val="004A2375"/>
    <w:rsid w:val="004A46D0"/>
    <w:rsid w:val="004A4E76"/>
    <w:rsid w:val="004A5878"/>
    <w:rsid w:val="004A599A"/>
    <w:rsid w:val="004A5D78"/>
    <w:rsid w:val="004A707A"/>
    <w:rsid w:val="004A73CA"/>
    <w:rsid w:val="004A7624"/>
    <w:rsid w:val="004A7C7F"/>
    <w:rsid w:val="004A7D29"/>
    <w:rsid w:val="004B1B17"/>
    <w:rsid w:val="004B20CC"/>
    <w:rsid w:val="004B28DD"/>
    <w:rsid w:val="004B2BBA"/>
    <w:rsid w:val="004B60A1"/>
    <w:rsid w:val="004B7F7F"/>
    <w:rsid w:val="004C2772"/>
    <w:rsid w:val="004C297D"/>
    <w:rsid w:val="004C2D12"/>
    <w:rsid w:val="004C3926"/>
    <w:rsid w:val="004C3D35"/>
    <w:rsid w:val="004C3EEA"/>
    <w:rsid w:val="004C4959"/>
    <w:rsid w:val="004C5A7F"/>
    <w:rsid w:val="004C5E44"/>
    <w:rsid w:val="004C6489"/>
    <w:rsid w:val="004C73EC"/>
    <w:rsid w:val="004D0459"/>
    <w:rsid w:val="004D0BCC"/>
    <w:rsid w:val="004D325F"/>
    <w:rsid w:val="004D35F9"/>
    <w:rsid w:val="004D44A2"/>
    <w:rsid w:val="004D48B4"/>
    <w:rsid w:val="004D49B4"/>
    <w:rsid w:val="004D5888"/>
    <w:rsid w:val="004D5B23"/>
    <w:rsid w:val="004D5BEF"/>
    <w:rsid w:val="004D664F"/>
    <w:rsid w:val="004D6D17"/>
    <w:rsid w:val="004D6FEE"/>
    <w:rsid w:val="004D7142"/>
    <w:rsid w:val="004D7F59"/>
    <w:rsid w:val="004E0463"/>
    <w:rsid w:val="004E07FC"/>
    <w:rsid w:val="004E1797"/>
    <w:rsid w:val="004E3EBC"/>
    <w:rsid w:val="004E4256"/>
    <w:rsid w:val="004E4A5A"/>
    <w:rsid w:val="004E4D02"/>
    <w:rsid w:val="004E4E17"/>
    <w:rsid w:val="004E5190"/>
    <w:rsid w:val="004E5DD0"/>
    <w:rsid w:val="004E6F51"/>
    <w:rsid w:val="004E70E2"/>
    <w:rsid w:val="004E79E8"/>
    <w:rsid w:val="004F00CC"/>
    <w:rsid w:val="004F0484"/>
    <w:rsid w:val="004F16DC"/>
    <w:rsid w:val="004F17CD"/>
    <w:rsid w:val="004F2E03"/>
    <w:rsid w:val="004F31A3"/>
    <w:rsid w:val="004F5581"/>
    <w:rsid w:val="004F5CC2"/>
    <w:rsid w:val="004F5EC5"/>
    <w:rsid w:val="004F728B"/>
    <w:rsid w:val="004F7933"/>
    <w:rsid w:val="004F7AA8"/>
    <w:rsid w:val="0050028D"/>
    <w:rsid w:val="00501B9E"/>
    <w:rsid w:val="005028CC"/>
    <w:rsid w:val="0050363E"/>
    <w:rsid w:val="00503CF5"/>
    <w:rsid w:val="00504314"/>
    <w:rsid w:val="00504397"/>
    <w:rsid w:val="005047E7"/>
    <w:rsid w:val="00504B58"/>
    <w:rsid w:val="00506D57"/>
    <w:rsid w:val="005079F7"/>
    <w:rsid w:val="00507FF4"/>
    <w:rsid w:val="00510408"/>
    <w:rsid w:val="005107FC"/>
    <w:rsid w:val="005110D6"/>
    <w:rsid w:val="00511351"/>
    <w:rsid w:val="00512498"/>
    <w:rsid w:val="00513250"/>
    <w:rsid w:val="00513358"/>
    <w:rsid w:val="00514731"/>
    <w:rsid w:val="005157E2"/>
    <w:rsid w:val="005172B0"/>
    <w:rsid w:val="00517EE3"/>
    <w:rsid w:val="00517F8C"/>
    <w:rsid w:val="0052040D"/>
    <w:rsid w:val="005208CB"/>
    <w:rsid w:val="00520D94"/>
    <w:rsid w:val="005224D3"/>
    <w:rsid w:val="00522BF4"/>
    <w:rsid w:val="00522DA1"/>
    <w:rsid w:val="0052424C"/>
    <w:rsid w:val="005247B3"/>
    <w:rsid w:val="00525E0C"/>
    <w:rsid w:val="005262EF"/>
    <w:rsid w:val="005265FD"/>
    <w:rsid w:val="00526ABB"/>
    <w:rsid w:val="00526E86"/>
    <w:rsid w:val="00527941"/>
    <w:rsid w:val="00527DEF"/>
    <w:rsid w:val="0053176F"/>
    <w:rsid w:val="00531DFF"/>
    <w:rsid w:val="00533446"/>
    <w:rsid w:val="005335EE"/>
    <w:rsid w:val="005336CE"/>
    <w:rsid w:val="00533E6D"/>
    <w:rsid w:val="00534706"/>
    <w:rsid w:val="00534D9C"/>
    <w:rsid w:val="0053564F"/>
    <w:rsid w:val="005357D6"/>
    <w:rsid w:val="005359FB"/>
    <w:rsid w:val="00535D8E"/>
    <w:rsid w:val="0053683D"/>
    <w:rsid w:val="00536DE2"/>
    <w:rsid w:val="00537499"/>
    <w:rsid w:val="00537ECC"/>
    <w:rsid w:val="00537F7E"/>
    <w:rsid w:val="00541D41"/>
    <w:rsid w:val="0054334A"/>
    <w:rsid w:val="005433AC"/>
    <w:rsid w:val="00543930"/>
    <w:rsid w:val="00543A31"/>
    <w:rsid w:val="00544CD8"/>
    <w:rsid w:val="00544DBC"/>
    <w:rsid w:val="00545DD3"/>
    <w:rsid w:val="00545E67"/>
    <w:rsid w:val="00546557"/>
    <w:rsid w:val="005465D1"/>
    <w:rsid w:val="00550C1D"/>
    <w:rsid w:val="00551715"/>
    <w:rsid w:val="00551777"/>
    <w:rsid w:val="00554490"/>
    <w:rsid w:val="00555DB0"/>
    <w:rsid w:val="005569D9"/>
    <w:rsid w:val="005615DC"/>
    <w:rsid w:val="00561FCC"/>
    <w:rsid w:val="005626A4"/>
    <w:rsid w:val="0056383C"/>
    <w:rsid w:val="00563D81"/>
    <w:rsid w:val="005649DE"/>
    <w:rsid w:val="00564BA9"/>
    <w:rsid w:val="005654A6"/>
    <w:rsid w:val="0056730F"/>
    <w:rsid w:val="00570142"/>
    <w:rsid w:val="0057015E"/>
    <w:rsid w:val="005704EB"/>
    <w:rsid w:val="005706D4"/>
    <w:rsid w:val="00571460"/>
    <w:rsid w:val="00572685"/>
    <w:rsid w:val="005734E0"/>
    <w:rsid w:val="0057395E"/>
    <w:rsid w:val="00575243"/>
    <w:rsid w:val="005756BB"/>
    <w:rsid w:val="00576252"/>
    <w:rsid w:val="0057719F"/>
    <w:rsid w:val="0058094B"/>
    <w:rsid w:val="00581278"/>
    <w:rsid w:val="005817C6"/>
    <w:rsid w:val="00581EF6"/>
    <w:rsid w:val="0058273B"/>
    <w:rsid w:val="00582EA4"/>
    <w:rsid w:val="005842B0"/>
    <w:rsid w:val="00585A3E"/>
    <w:rsid w:val="00585D17"/>
    <w:rsid w:val="00585F61"/>
    <w:rsid w:val="0058733F"/>
    <w:rsid w:val="0058771B"/>
    <w:rsid w:val="00587B60"/>
    <w:rsid w:val="00587E6D"/>
    <w:rsid w:val="0059097B"/>
    <w:rsid w:val="00590C99"/>
    <w:rsid w:val="005918C4"/>
    <w:rsid w:val="00592272"/>
    <w:rsid w:val="0059282C"/>
    <w:rsid w:val="00592C47"/>
    <w:rsid w:val="0059340D"/>
    <w:rsid w:val="005946CA"/>
    <w:rsid w:val="0059481B"/>
    <w:rsid w:val="00594B97"/>
    <w:rsid w:val="00594E53"/>
    <w:rsid w:val="0059522F"/>
    <w:rsid w:val="005953B6"/>
    <w:rsid w:val="00596C3B"/>
    <w:rsid w:val="00596EEB"/>
    <w:rsid w:val="00596F44"/>
    <w:rsid w:val="00597FD0"/>
    <w:rsid w:val="005A0528"/>
    <w:rsid w:val="005A05C7"/>
    <w:rsid w:val="005A07F4"/>
    <w:rsid w:val="005A1821"/>
    <w:rsid w:val="005A2036"/>
    <w:rsid w:val="005A20CF"/>
    <w:rsid w:val="005A246D"/>
    <w:rsid w:val="005A37E9"/>
    <w:rsid w:val="005A388A"/>
    <w:rsid w:val="005A38F7"/>
    <w:rsid w:val="005A3B4A"/>
    <w:rsid w:val="005A4570"/>
    <w:rsid w:val="005A6316"/>
    <w:rsid w:val="005A6C6D"/>
    <w:rsid w:val="005A6F48"/>
    <w:rsid w:val="005A756C"/>
    <w:rsid w:val="005A7CED"/>
    <w:rsid w:val="005A7FC4"/>
    <w:rsid w:val="005B1685"/>
    <w:rsid w:val="005B1A63"/>
    <w:rsid w:val="005B349B"/>
    <w:rsid w:val="005B351E"/>
    <w:rsid w:val="005B443E"/>
    <w:rsid w:val="005B4F53"/>
    <w:rsid w:val="005B518D"/>
    <w:rsid w:val="005B6303"/>
    <w:rsid w:val="005B6BE3"/>
    <w:rsid w:val="005B75C4"/>
    <w:rsid w:val="005C2BE4"/>
    <w:rsid w:val="005C3A86"/>
    <w:rsid w:val="005C3AE6"/>
    <w:rsid w:val="005C3EFA"/>
    <w:rsid w:val="005C411C"/>
    <w:rsid w:val="005C480F"/>
    <w:rsid w:val="005C49AA"/>
    <w:rsid w:val="005C4DFE"/>
    <w:rsid w:val="005C5DF3"/>
    <w:rsid w:val="005C61ED"/>
    <w:rsid w:val="005C6D5B"/>
    <w:rsid w:val="005C6DD6"/>
    <w:rsid w:val="005C6FA1"/>
    <w:rsid w:val="005C7390"/>
    <w:rsid w:val="005C7E41"/>
    <w:rsid w:val="005D0219"/>
    <w:rsid w:val="005D0EF8"/>
    <w:rsid w:val="005D1BF8"/>
    <w:rsid w:val="005D2EFE"/>
    <w:rsid w:val="005D2F82"/>
    <w:rsid w:val="005D4E45"/>
    <w:rsid w:val="005D5A90"/>
    <w:rsid w:val="005D78EE"/>
    <w:rsid w:val="005E0908"/>
    <w:rsid w:val="005E2FA2"/>
    <w:rsid w:val="005E337D"/>
    <w:rsid w:val="005E5EDE"/>
    <w:rsid w:val="005E68E1"/>
    <w:rsid w:val="005F0034"/>
    <w:rsid w:val="005F076E"/>
    <w:rsid w:val="005F0EA4"/>
    <w:rsid w:val="005F12D9"/>
    <w:rsid w:val="005F14AB"/>
    <w:rsid w:val="005F1A4E"/>
    <w:rsid w:val="005F3316"/>
    <w:rsid w:val="005F3D61"/>
    <w:rsid w:val="005F3ECB"/>
    <w:rsid w:val="005F4AC6"/>
    <w:rsid w:val="005F5852"/>
    <w:rsid w:val="005F620D"/>
    <w:rsid w:val="005F7883"/>
    <w:rsid w:val="005F7E11"/>
    <w:rsid w:val="00600866"/>
    <w:rsid w:val="00600984"/>
    <w:rsid w:val="00600A1D"/>
    <w:rsid w:val="00601FF2"/>
    <w:rsid w:val="006027DF"/>
    <w:rsid w:val="00604E45"/>
    <w:rsid w:val="00606FF0"/>
    <w:rsid w:val="00607271"/>
    <w:rsid w:val="0061003D"/>
    <w:rsid w:val="00610586"/>
    <w:rsid w:val="00611469"/>
    <w:rsid w:val="006120F7"/>
    <w:rsid w:val="006129F5"/>
    <w:rsid w:val="00615016"/>
    <w:rsid w:val="00615247"/>
    <w:rsid w:val="00615772"/>
    <w:rsid w:val="00615921"/>
    <w:rsid w:val="00617CE5"/>
    <w:rsid w:val="00617D25"/>
    <w:rsid w:val="00620EF3"/>
    <w:rsid w:val="00621745"/>
    <w:rsid w:val="006228B4"/>
    <w:rsid w:val="00622926"/>
    <w:rsid w:val="00622A0C"/>
    <w:rsid w:val="006232E0"/>
    <w:rsid w:val="00623360"/>
    <w:rsid w:val="00626115"/>
    <w:rsid w:val="00626A1F"/>
    <w:rsid w:val="00627485"/>
    <w:rsid w:val="00627526"/>
    <w:rsid w:val="00627CCD"/>
    <w:rsid w:val="00627DDE"/>
    <w:rsid w:val="00627E63"/>
    <w:rsid w:val="006301BA"/>
    <w:rsid w:val="006309DB"/>
    <w:rsid w:val="00630EF8"/>
    <w:rsid w:val="00631B28"/>
    <w:rsid w:val="00631DB3"/>
    <w:rsid w:val="00633943"/>
    <w:rsid w:val="00634280"/>
    <w:rsid w:val="0063437B"/>
    <w:rsid w:val="00635AA6"/>
    <w:rsid w:val="0064047B"/>
    <w:rsid w:val="00640FF0"/>
    <w:rsid w:val="00644137"/>
    <w:rsid w:val="00647351"/>
    <w:rsid w:val="00647CCB"/>
    <w:rsid w:val="00647D1F"/>
    <w:rsid w:val="006506E7"/>
    <w:rsid w:val="00650CEB"/>
    <w:rsid w:val="00651210"/>
    <w:rsid w:val="006512E9"/>
    <w:rsid w:val="006538DE"/>
    <w:rsid w:val="00653966"/>
    <w:rsid w:val="00653A7D"/>
    <w:rsid w:val="00654283"/>
    <w:rsid w:val="00654868"/>
    <w:rsid w:val="006550D5"/>
    <w:rsid w:val="00656707"/>
    <w:rsid w:val="0065772C"/>
    <w:rsid w:val="006612AA"/>
    <w:rsid w:val="00661EF0"/>
    <w:rsid w:val="0066257B"/>
    <w:rsid w:val="00663A80"/>
    <w:rsid w:val="00664512"/>
    <w:rsid w:val="006647BE"/>
    <w:rsid w:val="006648A2"/>
    <w:rsid w:val="00664F8A"/>
    <w:rsid w:val="00666DD6"/>
    <w:rsid w:val="00667178"/>
    <w:rsid w:val="00667825"/>
    <w:rsid w:val="00667CAD"/>
    <w:rsid w:val="00667CE1"/>
    <w:rsid w:val="00667F2E"/>
    <w:rsid w:val="006710B7"/>
    <w:rsid w:val="00671206"/>
    <w:rsid w:val="006714D9"/>
    <w:rsid w:val="006716AB"/>
    <w:rsid w:val="00672489"/>
    <w:rsid w:val="00672661"/>
    <w:rsid w:val="00674060"/>
    <w:rsid w:val="0067457F"/>
    <w:rsid w:val="00674FA3"/>
    <w:rsid w:val="00676C25"/>
    <w:rsid w:val="00680067"/>
    <w:rsid w:val="006805D5"/>
    <w:rsid w:val="00680BE7"/>
    <w:rsid w:val="006813AF"/>
    <w:rsid w:val="006822F6"/>
    <w:rsid w:val="00684031"/>
    <w:rsid w:val="006841B5"/>
    <w:rsid w:val="0068511F"/>
    <w:rsid w:val="00686724"/>
    <w:rsid w:val="006872EF"/>
    <w:rsid w:val="0068750B"/>
    <w:rsid w:val="0068788E"/>
    <w:rsid w:val="00690093"/>
    <w:rsid w:val="0069058B"/>
    <w:rsid w:val="0069096C"/>
    <w:rsid w:val="00690F1C"/>
    <w:rsid w:val="006912CD"/>
    <w:rsid w:val="0069168D"/>
    <w:rsid w:val="0069228D"/>
    <w:rsid w:val="00692743"/>
    <w:rsid w:val="00692819"/>
    <w:rsid w:val="006929AC"/>
    <w:rsid w:val="00692A56"/>
    <w:rsid w:val="0069401E"/>
    <w:rsid w:val="0069412D"/>
    <w:rsid w:val="006946C7"/>
    <w:rsid w:val="006952BC"/>
    <w:rsid w:val="00695504"/>
    <w:rsid w:val="0069575C"/>
    <w:rsid w:val="00695EE4"/>
    <w:rsid w:val="00696625"/>
    <w:rsid w:val="006A0216"/>
    <w:rsid w:val="006A0382"/>
    <w:rsid w:val="006A0ACC"/>
    <w:rsid w:val="006A2E27"/>
    <w:rsid w:val="006A332E"/>
    <w:rsid w:val="006A3FBC"/>
    <w:rsid w:val="006A417B"/>
    <w:rsid w:val="006A4E3D"/>
    <w:rsid w:val="006A7463"/>
    <w:rsid w:val="006B1FFA"/>
    <w:rsid w:val="006B2464"/>
    <w:rsid w:val="006B353F"/>
    <w:rsid w:val="006B3EB8"/>
    <w:rsid w:val="006B6FC8"/>
    <w:rsid w:val="006B716D"/>
    <w:rsid w:val="006C16CE"/>
    <w:rsid w:val="006C1E82"/>
    <w:rsid w:val="006C29C3"/>
    <w:rsid w:val="006C30D8"/>
    <w:rsid w:val="006C3B8B"/>
    <w:rsid w:val="006C3E26"/>
    <w:rsid w:val="006C4955"/>
    <w:rsid w:val="006C52E6"/>
    <w:rsid w:val="006C5A0F"/>
    <w:rsid w:val="006D0890"/>
    <w:rsid w:val="006D2A66"/>
    <w:rsid w:val="006D2B96"/>
    <w:rsid w:val="006D30EB"/>
    <w:rsid w:val="006D3692"/>
    <w:rsid w:val="006D3784"/>
    <w:rsid w:val="006D405F"/>
    <w:rsid w:val="006D48E5"/>
    <w:rsid w:val="006D5A2C"/>
    <w:rsid w:val="006D68DE"/>
    <w:rsid w:val="006D6D5E"/>
    <w:rsid w:val="006D6F40"/>
    <w:rsid w:val="006D74EB"/>
    <w:rsid w:val="006D76B5"/>
    <w:rsid w:val="006D7FE5"/>
    <w:rsid w:val="006E176D"/>
    <w:rsid w:val="006E1A38"/>
    <w:rsid w:val="006E1BF0"/>
    <w:rsid w:val="006E1E34"/>
    <w:rsid w:val="006E1EB0"/>
    <w:rsid w:val="006E2438"/>
    <w:rsid w:val="006E3644"/>
    <w:rsid w:val="006E516B"/>
    <w:rsid w:val="006E6805"/>
    <w:rsid w:val="006E7588"/>
    <w:rsid w:val="006E7F3F"/>
    <w:rsid w:val="006F029C"/>
    <w:rsid w:val="006F04FD"/>
    <w:rsid w:val="006F0CD9"/>
    <w:rsid w:val="006F0CEC"/>
    <w:rsid w:val="006F1290"/>
    <w:rsid w:val="006F12B3"/>
    <w:rsid w:val="006F1D3C"/>
    <w:rsid w:val="006F1DDF"/>
    <w:rsid w:val="006F2967"/>
    <w:rsid w:val="006F381B"/>
    <w:rsid w:val="006F4864"/>
    <w:rsid w:val="006F4CB4"/>
    <w:rsid w:val="006F4E0E"/>
    <w:rsid w:val="006F502C"/>
    <w:rsid w:val="006F53E8"/>
    <w:rsid w:val="006F570B"/>
    <w:rsid w:val="006F6639"/>
    <w:rsid w:val="007000B6"/>
    <w:rsid w:val="00700D68"/>
    <w:rsid w:val="00701598"/>
    <w:rsid w:val="00701CFE"/>
    <w:rsid w:val="00702A29"/>
    <w:rsid w:val="00702D7E"/>
    <w:rsid w:val="00703188"/>
    <w:rsid w:val="007039E5"/>
    <w:rsid w:val="00704068"/>
    <w:rsid w:val="00704123"/>
    <w:rsid w:val="00704738"/>
    <w:rsid w:val="007047AD"/>
    <w:rsid w:val="00705C24"/>
    <w:rsid w:val="007065AF"/>
    <w:rsid w:val="0070690F"/>
    <w:rsid w:val="00706A33"/>
    <w:rsid w:val="00706B26"/>
    <w:rsid w:val="00707EEE"/>
    <w:rsid w:val="00710F83"/>
    <w:rsid w:val="00711AAB"/>
    <w:rsid w:val="00711D51"/>
    <w:rsid w:val="007133A8"/>
    <w:rsid w:val="0071396B"/>
    <w:rsid w:val="00714229"/>
    <w:rsid w:val="0071536F"/>
    <w:rsid w:val="007153CA"/>
    <w:rsid w:val="00716399"/>
    <w:rsid w:val="00717868"/>
    <w:rsid w:val="00717CD1"/>
    <w:rsid w:val="00717CEA"/>
    <w:rsid w:val="00720717"/>
    <w:rsid w:val="007210D5"/>
    <w:rsid w:val="007223A8"/>
    <w:rsid w:val="0072325D"/>
    <w:rsid w:val="00723702"/>
    <w:rsid w:val="00723A9B"/>
    <w:rsid w:val="00724802"/>
    <w:rsid w:val="00724A02"/>
    <w:rsid w:val="00724E57"/>
    <w:rsid w:val="00726D67"/>
    <w:rsid w:val="00726DC6"/>
    <w:rsid w:val="0072725B"/>
    <w:rsid w:val="00727C64"/>
    <w:rsid w:val="00727D46"/>
    <w:rsid w:val="00731116"/>
    <w:rsid w:val="00731D16"/>
    <w:rsid w:val="00731ED5"/>
    <w:rsid w:val="00732742"/>
    <w:rsid w:val="00732B23"/>
    <w:rsid w:val="007338FC"/>
    <w:rsid w:val="00733FD8"/>
    <w:rsid w:val="007344D8"/>
    <w:rsid w:val="00734C03"/>
    <w:rsid w:val="00734CE5"/>
    <w:rsid w:val="007350D1"/>
    <w:rsid w:val="00736687"/>
    <w:rsid w:val="0074003A"/>
    <w:rsid w:val="00741A45"/>
    <w:rsid w:val="00741ABF"/>
    <w:rsid w:val="00743C8A"/>
    <w:rsid w:val="00743FF8"/>
    <w:rsid w:val="00745179"/>
    <w:rsid w:val="00746C96"/>
    <w:rsid w:val="00747B88"/>
    <w:rsid w:val="00747E26"/>
    <w:rsid w:val="00751530"/>
    <w:rsid w:val="00752ADD"/>
    <w:rsid w:val="007535FE"/>
    <w:rsid w:val="00754191"/>
    <w:rsid w:val="007545A9"/>
    <w:rsid w:val="00754884"/>
    <w:rsid w:val="00754EC0"/>
    <w:rsid w:val="007568D1"/>
    <w:rsid w:val="00756F35"/>
    <w:rsid w:val="007574A4"/>
    <w:rsid w:val="007576C7"/>
    <w:rsid w:val="007579DF"/>
    <w:rsid w:val="007601A7"/>
    <w:rsid w:val="007608ED"/>
    <w:rsid w:val="007609DB"/>
    <w:rsid w:val="00761FC1"/>
    <w:rsid w:val="0076345D"/>
    <w:rsid w:val="00764857"/>
    <w:rsid w:val="00764BA3"/>
    <w:rsid w:val="00764C12"/>
    <w:rsid w:val="0076504C"/>
    <w:rsid w:val="0076525E"/>
    <w:rsid w:val="00765A47"/>
    <w:rsid w:val="00767A55"/>
    <w:rsid w:val="00770085"/>
    <w:rsid w:val="007733F9"/>
    <w:rsid w:val="00773E49"/>
    <w:rsid w:val="007742B1"/>
    <w:rsid w:val="00774B64"/>
    <w:rsid w:val="0077588F"/>
    <w:rsid w:val="007767DD"/>
    <w:rsid w:val="00776A65"/>
    <w:rsid w:val="00781389"/>
    <w:rsid w:val="00782312"/>
    <w:rsid w:val="00782575"/>
    <w:rsid w:val="00783B25"/>
    <w:rsid w:val="00783C6F"/>
    <w:rsid w:val="00784023"/>
    <w:rsid w:val="0078495B"/>
    <w:rsid w:val="007856C3"/>
    <w:rsid w:val="007856CA"/>
    <w:rsid w:val="00786343"/>
    <w:rsid w:val="007866EC"/>
    <w:rsid w:val="00786B81"/>
    <w:rsid w:val="00787309"/>
    <w:rsid w:val="00787807"/>
    <w:rsid w:val="007878B9"/>
    <w:rsid w:val="00787B86"/>
    <w:rsid w:val="00787E6E"/>
    <w:rsid w:val="00787F61"/>
    <w:rsid w:val="00790835"/>
    <w:rsid w:val="00790C23"/>
    <w:rsid w:val="00794341"/>
    <w:rsid w:val="00795571"/>
    <w:rsid w:val="00795BD3"/>
    <w:rsid w:val="00795C6E"/>
    <w:rsid w:val="007A061A"/>
    <w:rsid w:val="007A0802"/>
    <w:rsid w:val="007A1919"/>
    <w:rsid w:val="007A1FCB"/>
    <w:rsid w:val="007A27F4"/>
    <w:rsid w:val="007A2CE8"/>
    <w:rsid w:val="007A2DF3"/>
    <w:rsid w:val="007A42FD"/>
    <w:rsid w:val="007A51AD"/>
    <w:rsid w:val="007A5267"/>
    <w:rsid w:val="007A5AA7"/>
    <w:rsid w:val="007A5BD9"/>
    <w:rsid w:val="007A5DD1"/>
    <w:rsid w:val="007A6997"/>
    <w:rsid w:val="007A7877"/>
    <w:rsid w:val="007B0695"/>
    <w:rsid w:val="007B0C08"/>
    <w:rsid w:val="007B1238"/>
    <w:rsid w:val="007B147A"/>
    <w:rsid w:val="007B2754"/>
    <w:rsid w:val="007B28A0"/>
    <w:rsid w:val="007B335A"/>
    <w:rsid w:val="007B3B73"/>
    <w:rsid w:val="007B4217"/>
    <w:rsid w:val="007B491A"/>
    <w:rsid w:val="007B60FD"/>
    <w:rsid w:val="007B6516"/>
    <w:rsid w:val="007B753A"/>
    <w:rsid w:val="007B79F6"/>
    <w:rsid w:val="007C0B60"/>
    <w:rsid w:val="007C0D8C"/>
    <w:rsid w:val="007C1293"/>
    <w:rsid w:val="007C140E"/>
    <w:rsid w:val="007C178E"/>
    <w:rsid w:val="007C19D4"/>
    <w:rsid w:val="007C34E6"/>
    <w:rsid w:val="007C3E95"/>
    <w:rsid w:val="007C5217"/>
    <w:rsid w:val="007C7099"/>
    <w:rsid w:val="007D0ACE"/>
    <w:rsid w:val="007D10BC"/>
    <w:rsid w:val="007D152A"/>
    <w:rsid w:val="007D16AF"/>
    <w:rsid w:val="007D1B06"/>
    <w:rsid w:val="007D2586"/>
    <w:rsid w:val="007D3067"/>
    <w:rsid w:val="007D3564"/>
    <w:rsid w:val="007D35BA"/>
    <w:rsid w:val="007D3B1E"/>
    <w:rsid w:val="007D3F14"/>
    <w:rsid w:val="007D4457"/>
    <w:rsid w:val="007D4605"/>
    <w:rsid w:val="007D54E5"/>
    <w:rsid w:val="007D5F92"/>
    <w:rsid w:val="007D6FDC"/>
    <w:rsid w:val="007D72D5"/>
    <w:rsid w:val="007E08C2"/>
    <w:rsid w:val="007E1E33"/>
    <w:rsid w:val="007E26F2"/>
    <w:rsid w:val="007E2A45"/>
    <w:rsid w:val="007E3439"/>
    <w:rsid w:val="007E46E9"/>
    <w:rsid w:val="007E48CA"/>
    <w:rsid w:val="007E542A"/>
    <w:rsid w:val="007E639E"/>
    <w:rsid w:val="007E665F"/>
    <w:rsid w:val="007E69F6"/>
    <w:rsid w:val="007E73A0"/>
    <w:rsid w:val="007F05E6"/>
    <w:rsid w:val="007F080D"/>
    <w:rsid w:val="007F1B77"/>
    <w:rsid w:val="007F2743"/>
    <w:rsid w:val="007F434A"/>
    <w:rsid w:val="007F4351"/>
    <w:rsid w:val="007F43C8"/>
    <w:rsid w:val="007F47A6"/>
    <w:rsid w:val="007F591F"/>
    <w:rsid w:val="007F6341"/>
    <w:rsid w:val="007F6898"/>
    <w:rsid w:val="007F7178"/>
    <w:rsid w:val="007F7423"/>
    <w:rsid w:val="007F7B97"/>
    <w:rsid w:val="008000EF"/>
    <w:rsid w:val="0080086E"/>
    <w:rsid w:val="008008D2"/>
    <w:rsid w:val="00800DAC"/>
    <w:rsid w:val="0080106D"/>
    <w:rsid w:val="00801820"/>
    <w:rsid w:val="00802184"/>
    <w:rsid w:val="00802348"/>
    <w:rsid w:val="00803862"/>
    <w:rsid w:val="00803965"/>
    <w:rsid w:val="00804243"/>
    <w:rsid w:val="00804560"/>
    <w:rsid w:val="0080575E"/>
    <w:rsid w:val="00805DE9"/>
    <w:rsid w:val="0080662C"/>
    <w:rsid w:val="008068EA"/>
    <w:rsid w:val="0080721F"/>
    <w:rsid w:val="008101B1"/>
    <w:rsid w:val="008109F2"/>
    <w:rsid w:val="00810A91"/>
    <w:rsid w:val="00810AA7"/>
    <w:rsid w:val="00811C98"/>
    <w:rsid w:val="00812364"/>
    <w:rsid w:val="00812C43"/>
    <w:rsid w:val="00813834"/>
    <w:rsid w:val="0081395C"/>
    <w:rsid w:val="00813DD0"/>
    <w:rsid w:val="00813FB0"/>
    <w:rsid w:val="00815B17"/>
    <w:rsid w:val="00817A73"/>
    <w:rsid w:val="00817E28"/>
    <w:rsid w:val="00820780"/>
    <w:rsid w:val="0082088A"/>
    <w:rsid w:val="00821851"/>
    <w:rsid w:val="00821BD1"/>
    <w:rsid w:val="00821D83"/>
    <w:rsid w:val="00822294"/>
    <w:rsid w:val="0082261F"/>
    <w:rsid w:val="00822A21"/>
    <w:rsid w:val="00823059"/>
    <w:rsid w:val="008235A4"/>
    <w:rsid w:val="00823BE5"/>
    <w:rsid w:val="0082628D"/>
    <w:rsid w:val="00826681"/>
    <w:rsid w:val="008275B0"/>
    <w:rsid w:val="00830DBD"/>
    <w:rsid w:val="00830F1A"/>
    <w:rsid w:val="00831172"/>
    <w:rsid w:val="00831707"/>
    <w:rsid w:val="0083172C"/>
    <w:rsid w:val="00831896"/>
    <w:rsid w:val="0083238B"/>
    <w:rsid w:val="00832BBE"/>
    <w:rsid w:val="008366AD"/>
    <w:rsid w:val="008367D0"/>
    <w:rsid w:val="008374DB"/>
    <w:rsid w:val="00837B8E"/>
    <w:rsid w:val="00841573"/>
    <w:rsid w:val="00841B21"/>
    <w:rsid w:val="00841BE9"/>
    <w:rsid w:val="00843DA4"/>
    <w:rsid w:val="008443CE"/>
    <w:rsid w:val="0084493D"/>
    <w:rsid w:val="00844ABC"/>
    <w:rsid w:val="008456C4"/>
    <w:rsid w:val="00845982"/>
    <w:rsid w:val="00845A53"/>
    <w:rsid w:val="00846923"/>
    <w:rsid w:val="008469D9"/>
    <w:rsid w:val="00847731"/>
    <w:rsid w:val="0085058A"/>
    <w:rsid w:val="00851112"/>
    <w:rsid w:val="00852C8D"/>
    <w:rsid w:val="008534DB"/>
    <w:rsid w:val="008547B0"/>
    <w:rsid w:val="0085549F"/>
    <w:rsid w:val="00855EE8"/>
    <w:rsid w:val="00856243"/>
    <w:rsid w:val="00856758"/>
    <w:rsid w:val="00856E47"/>
    <w:rsid w:val="008602D0"/>
    <w:rsid w:val="008602DC"/>
    <w:rsid w:val="008606F3"/>
    <w:rsid w:val="0086116B"/>
    <w:rsid w:val="00861D51"/>
    <w:rsid w:val="008626D0"/>
    <w:rsid w:val="00862A44"/>
    <w:rsid w:val="00862E54"/>
    <w:rsid w:val="008638BC"/>
    <w:rsid w:val="00864D9F"/>
    <w:rsid w:val="00866DFE"/>
    <w:rsid w:val="00866E08"/>
    <w:rsid w:val="0086709A"/>
    <w:rsid w:val="00867404"/>
    <w:rsid w:val="00870428"/>
    <w:rsid w:val="00870A8B"/>
    <w:rsid w:val="008718E8"/>
    <w:rsid w:val="00871D72"/>
    <w:rsid w:val="0087214D"/>
    <w:rsid w:val="00872384"/>
    <w:rsid w:val="008727CF"/>
    <w:rsid w:val="00874D55"/>
    <w:rsid w:val="00875B04"/>
    <w:rsid w:val="00876A45"/>
    <w:rsid w:val="00877193"/>
    <w:rsid w:val="0087764A"/>
    <w:rsid w:val="00877679"/>
    <w:rsid w:val="00886075"/>
    <w:rsid w:val="00886439"/>
    <w:rsid w:val="00886BDC"/>
    <w:rsid w:val="00886C05"/>
    <w:rsid w:val="00886DB0"/>
    <w:rsid w:val="00887391"/>
    <w:rsid w:val="00887450"/>
    <w:rsid w:val="008874A3"/>
    <w:rsid w:val="008905D2"/>
    <w:rsid w:val="00890E0E"/>
    <w:rsid w:val="00891126"/>
    <w:rsid w:val="008918C8"/>
    <w:rsid w:val="00892227"/>
    <w:rsid w:val="00892D9A"/>
    <w:rsid w:val="00893F7F"/>
    <w:rsid w:val="00895EB6"/>
    <w:rsid w:val="00897554"/>
    <w:rsid w:val="008A03CA"/>
    <w:rsid w:val="008A08A9"/>
    <w:rsid w:val="008A1C81"/>
    <w:rsid w:val="008A2049"/>
    <w:rsid w:val="008A25B1"/>
    <w:rsid w:val="008A2932"/>
    <w:rsid w:val="008A3AF7"/>
    <w:rsid w:val="008A5956"/>
    <w:rsid w:val="008A6954"/>
    <w:rsid w:val="008A78B7"/>
    <w:rsid w:val="008B0145"/>
    <w:rsid w:val="008B0D08"/>
    <w:rsid w:val="008B2D81"/>
    <w:rsid w:val="008B32CE"/>
    <w:rsid w:val="008B3442"/>
    <w:rsid w:val="008B37B7"/>
    <w:rsid w:val="008B5A4E"/>
    <w:rsid w:val="008B5C9C"/>
    <w:rsid w:val="008B6A4C"/>
    <w:rsid w:val="008B79CF"/>
    <w:rsid w:val="008C03AA"/>
    <w:rsid w:val="008C2727"/>
    <w:rsid w:val="008C39AA"/>
    <w:rsid w:val="008C5ACD"/>
    <w:rsid w:val="008C5B1E"/>
    <w:rsid w:val="008C76B3"/>
    <w:rsid w:val="008D0757"/>
    <w:rsid w:val="008D1F6E"/>
    <w:rsid w:val="008D229F"/>
    <w:rsid w:val="008D2FC2"/>
    <w:rsid w:val="008D3201"/>
    <w:rsid w:val="008D3955"/>
    <w:rsid w:val="008D3EFD"/>
    <w:rsid w:val="008D48C0"/>
    <w:rsid w:val="008D6146"/>
    <w:rsid w:val="008D6B0E"/>
    <w:rsid w:val="008D6E39"/>
    <w:rsid w:val="008E092D"/>
    <w:rsid w:val="008E28AD"/>
    <w:rsid w:val="008E30B8"/>
    <w:rsid w:val="008E3EF9"/>
    <w:rsid w:val="008E44C7"/>
    <w:rsid w:val="008E470A"/>
    <w:rsid w:val="008E4B47"/>
    <w:rsid w:val="008E566E"/>
    <w:rsid w:val="008E5D90"/>
    <w:rsid w:val="008E7F98"/>
    <w:rsid w:val="008F3095"/>
    <w:rsid w:val="008F30C8"/>
    <w:rsid w:val="008F3148"/>
    <w:rsid w:val="008F362D"/>
    <w:rsid w:val="008F4215"/>
    <w:rsid w:val="008F5285"/>
    <w:rsid w:val="008F5D12"/>
    <w:rsid w:val="008F5FA0"/>
    <w:rsid w:val="008F741E"/>
    <w:rsid w:val="008F79D5"/>
    <w:rsid w:val="00900568"/>
    <w:rsid w:val="009017FE"/>
    <w:rsid w:val="00901D2B"/>
    <w:rsid w:val="00903C01"/>
    <w:rsid w:val="00903F23"/>
    <w:rsid w:val="00904856"/>
    <w:rsid w:val="00904CC7"/>
    <w:rsid w:val="0090550C"/>
    <w:rsid w:val="0090636B"/>
    <w:rsid w:val="0090695D"/>
    <w:rsid w:val="009120E8"/>
    <w:rsid w:val="009131D1"/>
    <w:rsid w:val="0091545D"/>
    <w:rsid w:val="00916F89"/>
    <w:rsid w:val="009208CD"/>
    <w:rsid w:val="009209FA"/>
    <w:rsid w:val="009214FA"/>
    <w:rsid w:val="00921743"/>
    <w:rsid w:val="009217DE"/>
    <w:rsid w:val="00921E42"/>
    <w:rsid w:val="00921FD5"/>
    <w:rsid w:val="009228AB"/>
    <w:rsid w:val="00923A66"/>
    <w:rsid w:val="00923BB6"/>
    <w:rsid w:val="009241F8"/>
    <w:rsid w:val="00924AD2"/>
    <w:rsid w:val="0092502D"/>
    <w:rsid w:val="00925120"/>
    <w:rsid w:val="009257A8"/>
    <w:rsid w:val="009257AD"/>
    <w:rsid w:val="00925B03"/>
    <w:rsid w:val="00926C3B"/>
    <w:rsid w:val="00926DE3"/>
    <w:rsid w:val="0093022A"/>
    <w:rsid w:val="00930376"/>
    <w:rsid w:val="00930C50"/>
    <w:rsid w:val="0093156E"/>
    <w:rsid w:val="0093339B"/>
    <w:rsid w:val="009334EB"/>
    <w:rsid w:val="009335EC"/>
    <w:rsid w:val="00934AD5"/>
    <w:rsid w:val="00934B4C"/>
    <w:rsid w:val="00934FA8"/>
    <w:rsid w:val="009357F5"/>
    <w:rsid w:val="0093584D"/>
    <w:rsid w:val="009358EB"/>
    <w:rsid w:val="009365EC"/>
    <w:rsid w:val="00936834"/>
    <w:rsid w:val="00940F1C"/>
    <w:rsid w:val="009413EF"/>
    <w:rsid w:val="009416E5"/>
    <w:rsid w:val="00941BCD"/>
    <w:rsid w:val="00942647"/>
    <w:rsid w:val="00944D5E"/>
    <w:rsid w:val="00945502"/>
    <w:rsid w:val="009456DA"/>
    <w:rsid w:val="00946817"/>
    <w:rsid w:val="00946A6F"/>
    <w:rsid w:val="00946DC7"/>
    <w:rsid w:val="009474B0"/>
    <w:rsid w:val="0094767C"/>
    <w:rsid w:val="00947B7A"/>
    <w:rsid w:val="00951BAE"/>
    <w:rsid w:val="00951BC4"/>
    <w:rsid w:val="00951EBD"/>
    <w:rsid w:val="009523F5"/>
    <w:rsid w:val="00952D5D"/>
    <w:rsid w:val="0095318B"/>
    <w:rsid w:val="009552FB"/>
    <w:rsid w:val="00955EBC"/>
    <w:rsid w:val="0095632A"/>
    <w:rsid w:val="009563EE"/>
    <w:rsid w:val="0095715C"/>
    <w:rsid w:val="00957684"/>
    <w:rsid w:val="00960186"/>
    <w:rsid w:val="00960532"/>
    <w:rsid w:val="00960E47"/>
    <w:rsid w:val="00961323"/>
    <w:rsid w:val="00962C45"/>
    <w:rsid w:val="00963138"/>
    <w:rsid w:val="009632A8"/>
    <w:rsid w:val="0096332B"/>
    <w:rsid w:val="00963ECE"/>
    <w:rsid w:val="009645CD"/>
    <w:rsid w:val="009671CD"/>
    <w:rsid w:val="009674C4"/>
    <w:rsid w:val="00967D60"/>
    <w:rsid w:val="00970C3B"/>
    <w:rsid w:val="009716EC"/>
    <w:rsid w:val="00971E70"/>
    <w:rsid w:val="00972051"/>
    <w:rsid w:val="00972FC4"/>
    <w:rsid w:val="0097314A"/>
    <w:rsid w:val="009733AA"/>
    <w:rsid w:val="009758A0"/>
    <w:rsid w:val="009766CE"/>
    <w:rsid w:val="0097763C"/>
    <w:rsid w:val="00980297"/>
    <w:rsid w:val="00980606"/>
    <w:rsid w:val="0098070E"/>
    <w:rsid w:val="00980EBF"/>
    <w:rsid w:val="00981EB2"/>
    <w:rsid w:val="00982272"/>
    <w:rsid w:val="009824E1"/>
    <w:rsid w:val="009849EF"/>
    <w:rsid w:val="0098538F"/>
    <w:rsid w:val="00985D1B"/>
    <w:rsid w:val="00987145"/>
    <w:rsid w:val="0098727E"/>
    <w:rsid w:val="00992E62"/>
    <w:rsid w:val="00993214"/>
    <w:rsid w:val="009937C1"/>
    <w:rsid w:val="009938AA"/>
    <w:rsid w:val="009951A0"/>
    <w:rsid w:val="009955A4"/>
    <w:rsid w:val="00996161"/>
    <w:rsid w:val="009966DF"/>
    <w:rsid w:val="00996A6C"/>
    <w:rsid w:val="0099767B"/>
    <w:rsid w:val="009A2121"/>
    <w:rsid w:val="009A2594"/>
    <w:rsid w:val="009A29C6"/>
    <w:rsid w:val="009A3683"/>
    <w:rsid w:val="009A4671"/>
    <w:rsid w:val="009A46C4"/>
    <w:rsid w:val="009A5D24"/>
    <w:rsid w:val="009A6087"/>
    <w:rsid w:val="009A6D87"/>
    <w:rsid w:val="009A6DEE"/>
    <w:rsid w:val="009A6ED2"/>
    <w:rsid w:val="009B094F"/>
    <w:rsid w:val="009B1D33"/>
    <w:rsid w:val="009B2236"/>
    <w:rsid w:val="009B29C2"/>
    <w:rsid w:val="009B3BAB"/>
    <w:rsid w:val="009B6F5D"/>
    <w:rsid w:val="009B7D18"/>
    <w:rsid w:val="009B7F04"/>
    <w:rsid w:val="009C0959"/>
    <w:rsid w:val="009C0A22"/>
    <w:rsid w:val="009C0D68"/>
    <w:rsid w:val="009C39E5"/>
    <w:rsid w:val="009C50D2"/>
    <w:rsid w:val="009C5457"/>
    <w:rsid w:val="009C5749"/>
    <w:rsid w:val="009C5DF9"/>
    <w:rsid w:val="009C7CAD"/>
    <w:rsid w:val="009D05CE"/>
    <w:rsid w:val="009D1305"/>
    <w:rsid w:val="009D4B63"/>
    <w:rsid w:val="009D4C69"/>
    <w:rsid w:val="009D5927"/>
    <w:rsid w:val="009D5A8B"/>
    <w:rsid w:val="009D6590"/>
    <w:rsid w:val="009D6DEA"/>
    <w:rsid w:val="009D7A3E"/>
    <w:rsid w:val="009D7C64"/>
    <w:rsid w:val="009E0EF3"/>
    <w:rsid w:val="009E1042"/>
    <w:rsid w:val="009E13BE"/>
    <w:rsid w:val="009E1EE8"/>
    <w:rsid w:val="009E3346"/>
    <w:rsid w:val="009E3A4C"/>
    <w:rsid w:val="009E3E05"/>
    <w:rsid w:val="009E4119"/>
    <w:rsid w:val="009E4E98"/>
    <w:rsid w:val="009E505E"/>
    <w:rsid w:val="009E5BDB"/>
    <w:rsid w:val="009E5FE4"/>
    <w:rsid w:val="009E65BD"/>
    <w:rsid w:val="009E6D3F"/>
    <w:rsid w:val="009E6FA8"/>
    <w:rsid w:val="009E748B"/>
    <w:rsid w:val="009F10AB"/>
    <w:rsid w:val="009F2174"/>
    <w:rsid w:val="009F2290"/>
    <w:rsid w:val="009F4C5C"/>
    <w:rsid w:val="009F5658"/>
    <w:rsid w:val="009F58EC"/>
    <w:rsid w:val="009F5A5F"/>
    <w:rsid w:val="009F5DC8"/>
    <w:rsid w:val="009F5E8C"/>
    <w:rsid w:val="009F6DBB"/>
    <w:rsid w:val="009F7148"/>
    <w:rsid w:val="009F72A9"/>
    <w:rsid w:val="009F7A4D"/>
    <w:rsid w:val="00A00788"/>
    <w:rsid w:val="00A00906"/>
    <w:rsid w:val="00A0128B"/>
    <w:rsid w:val="00A0373F"/>
    <w:rsid w:val="00A03D2C"/>
    <w:rsid w:val="00A03E15"/>
    <w:rsid w:val="00A042A5"/>
    <w:rsid w:val="00A0453C"/>
    <w:rsid w:val="00A05676"/>
    <w:rsid w:val="00A05E26"/>
    <w:rsid w:val="00A06B7F"/>
    <w:rsid w:val="00A07514"/>
    <w:rsid w:val="00A075A3"/>
    <w:rsid w:val="00A10048"/>
    <w:rsid w:val="00A11276"/>
    <w:rsid w:val="00A13051"/>
    <w:rsid w:val="00A13AB8"/>
    <w:rsid w:val="00A13EBF"/>
    <w:rsid w:val="00A142DD"/>
    <w:rsid w:val="00A14492"/>
    <w:rsid w:val="00A15033"/>
    <w:rsid w:val="00A15092"/>
    <w:rsid w:val="00A15CAB"/>
    <w:rsid w:val="00A15D61"/>
    <w:rsid w:val="00A15E47"/>
    <w:rsid w:val="00A22E07"/>
    <w:rsid w:val="00A23B9C"/>
    <w:rsid w:val="00A254F0"/>
    <w:rsid w:val="00A2649E"/>
    <w:rsid w:val="00A26FD8"/>
    <w:rsid w:val="00A271DF"/>
    <w:rsid w:val="00A27FB8"/>
    <w:rsid w:val="00A30418"/>
    <w:rsid w:val="00A309B1"/>
    <w:rsid w:val="00A3217D"/>
    <w:rsid w:val="00A34405"/>
    <w:rsid w:val="00A34A5D"/>
    <w:rsid w:val="00A35253"/>
    <w:rsid w:val="00A352DD"/>
    <w:rsid w:val="00A35B3F"/>
    <w:rsid w:val="00A35FF5"/>
    <w:rsid w:val="00A36E0D"/>
    <w:rsid w:val="00A36E7A"/>
    <w:rsid w:val="00A410AC"/>
    <w:rsid w:val="00A42350"/>
    <w:rsid w:val="00A44891"/>
    <w:rsid w:val="00A450F4"/>
    <w:rsid w:val="00A45241"/>
    <w:rsid w:val="00A452B2"/>
    <w:rsid w:val="00A46155"/>
    <w:rsid w:val="00A46D29"/>
    <w:rsid w:val="00A47DB1"/>
    <w:rsid w:val="00A50306"/>
    <w:rsid w:val="00A5052D"/>
    <w:rsid w:val="00A5061E"/>
    <w:rsid w:val="00A50F9C"/>
    <w:rsid w:val="00A51E13"/>
    <w:rsid w:val="00A51FED"/>
    <w:rsid w:val="00A528CB"/>
    <w:rsid w:val="00A53845"/>
    <w:rsid w:val="00A54581"/>
    <w:rsid w:val="00A5755D"/>
    <w:rsid w:val="00A575DE"/>
    <w:rsid w:val="00A577FC"/>
    <w:rsid w:val="00A57A07"/>
    <w:rsid w:val="00A57EA9"/>
    <w:rsid w:val="00A607F9"/>
    <w:rsid w:val="00A60F20"/>
    <w:rsid w:val="00A61A4A"/>
    <w:rsid w:val="00A61DBF"/>
    <w:rsid w:val="00A6224E"/>
    <w:rsid w:val="00A623F7"/>
    <w:rsid w:val="00A63B1A"/>
    <w:rsid w:val="00A63DF8"/>
    <w:rsid w:val="00A64AF3"/>
    <w:rsid w:val="00A65D1D"/>
    <w:rsid w:val="00A66673"/>
    <w:rsid w:val="00A66CD8"/>
    <w:rsid w:val="00A67987"/>
    <w:rsid w:val="00A70F0F"/>
    <w:rsid w:val="00A710AB"/>
    <w:rsid w:val="00A7134B"/>
    <w:rsid w:val="00A719A7"/>
    <w:rsid w:val="00A71E5B"/>
    <w:rsid w:val="00A71F74"/>
    <w:rsid w:val="00A72F98"/>
    <w:rsid w:val="00A73837"/>
    <w:rsid w:val="00A739D0"/>
    <w:rsid w:val="00A74FAF"/>
    <w:rsid w:val="00A7535F"/>
    <w:rsid w:val="00A80536"/>
    <w:rsid w:val="00A80AD3"/>
    <w:rsid w:val="00A81452"/>
    <w:rsid w:val="00A8168A"/>
    <w:rsid w:val="00A8176F"/>
    <w:rsid w:val="00A82329"/>
    <w:rsid w:val="00A82BCD"/>
    <w:rsid w:val="00A83216"/>
    <w:rsid w:val="00A84B39"/>
    <w:rsid w:val="00A84FB2"/>
    <w:rsid w:val="00A850BD"/>
    <w:rsid w:val="00A85405"/>
    <w:rsid w:val="00A857DB"/>
    <w:rsid w:val="00A86FAF"/>
    <w:rsid w:val="00A870AF"/>
    <w:rsid w:val="00A87398"/>
    <w:rsid w:val="00A87FE7"/>
    <w:rsid w:val="00A9043D"/>
    <w:rsid w:val="00A90629"/>
    <w:rsid w:val="00A91330"/>
    <w:rsid w:val="00A917E0"/>
    <w:rsid w:val="00A91A1F"/>
    <w:rsid w:val="00A93399"/>
    <w:rsid w:val="00A93EE7"/>
    <w:rsid w:val="00A941A8"/>
    <w:rsid w:val="00A94588"/>
    <w:rsid w:val="00A949CF"/>
    <w:rsid w:val="00A95F4E"/>
    <w:rsid w:val="00A95F61"/>
    <w:rsid w:val="00A962BA"/>
    <w:rsid w:val="00A96600"/>
    <w:rsid w:val="00A9662D"/>
    <w:rsid w:val="00A96C99"/>
    <w:rsid w:val="00A974CC"/>
    <w:rsid w:val="00A97746"/>
    <w:rsid w:val="00AA0029"/>
    <w:rsid w:val="00AA06D2"/>
    <w:rsid w:val="00AA181C"/>
    <w:rsid w:val="00AA2AE8"/>
    <w:rsid w:val="00AA2BE6"/>
    <w:rsid w:val="00AA31EA"/>
    <w:rsid w:val="00AA384A"/>
    <w:rsid w:val="00AA43E5"/>
    <w:rsid w:val="00AA4453"/>
    <w:rsid w:val="00AA448F"/>
    <w:rsid w:val="00AA4A0F"/>
    <w:rsid w:val="00AA4D4B"/>
    <w:rsid w:val="00AA4DF5"/>
    <w:rsid w:val="00AA5D0A"/>
    <w:rsid w:val="00AA6147"/>
    <w:rsid w:val="00AA637D"/>
    <w:rsid w:val="00AA644E"/>
    <w:rsid w:val="00AA683B"/>
    <w:rsid w:val="00AA72C2"/>
    <w:rsid w:val="00AA7356"/>
    <w:rsid w:val="00AB08F4"/>
    <w:rsid w:val="00AB0C54"/>
    <w:rsid w:val="00AB1CCC"/>
    <w:rsid w:val="00AB1F81"/>
    <w:rsid w:val="00AB21EA"/>
    <w:rsid w:val="00AB2C9B"/>
    <w:rsid w:val="00AB38A9"/>
    <w:rsid w:val="00AB3C6E"/>
    <w:rsid w:val="00AB4FB8"/>
    <w:rsid w:val="00AB6181"/>
    <w:rsid w:val="00AB6965"/>
    <w:rsid w:val="00AB6C5B"/>
    <w:rsid w:val="00AB6E9E"/>
    <w:rsid w:val="00AC02D0"/>
    <w:rsid w:val="00AC07CE"/>
    <w:rsid w:val="00AC1225"/>
    <w:rsid w:val="00AC13D8"/>
    <w:rsid w:val="00AC172A"/>
    <w:rsid w:val="00AC1CB0"/>
    <w:rsid w:val="00AC264F"/>
    <w:rsid w:val="00AC2A8D"/>
    <w:rsid w:val="00AC353B"/>
    <w:rsid w:val="00AC51CB"/>
    <w:rsid w:val="00AC5ACC"/>
    <w:rsid w:val="00AC5D72"/>
    <w:rsid w:val="00AC5DFE"/>
    <w:rsid w:val="00AC69AF"/>
    <w:rsid w:val="00AC6A43"/>
    <w:rsid w:val="00AC7228"/>
    <w:rsid w:val="00AC7230"/>
    <w:rsid w:val="00AC7A66"/>
    <w:rsid w:val="00AD0786"/>
    <w:rsid w:val="00AD1D74"/>
    <w:rsid w:val="00AD21FD"/>
    <w:rsid w:val="00AD29E4"/>
    <w:rsid w:val="00AD3106"/>
    <w:rsid w:val="00AD374E"/>
    <w:rsid w:val="00AD3B9B"/>
    <w:rsid w:val="00AD4CBC"/>
    <w:rsid w:val="00AD4F50"/>
    <w:rsid w:val="00AD593D"/>
    <w:rsid w:val="00AD6257"/>
    <w:rsid w:val="00AD6369"/>
    <w:rsid w:val="00AD772C"/>
    <w:rsid w:val="00AE0032"/>
    <w:rsid w:val="00AE0518"/>
    <w:rsid w:val="00AE093D"/>
    <w:rsid w:val="00AE39D9"/>
    <w:rsid w:val="00AE4049"/>
    <w:rsid w:val="00AE433E"/>
    <w:rsid w:val="00AE55B9"/>
    <w:rsid w:val="00AE61E7"/>
    <w:rsid w:val="00AE62F5"/>
    <w:rsid w:val="00AE6AFB"/>
    <w:rsid w:val="00AE7179"/>
    <w:rsid w:val="00AE77D8"/>
    <w:rsid w:val="00AE7D3E"/>
    <w:rsid w:val="00AF00E4"/>
    <w:rsid w:val="00AF0A26"/>
    <w:rsid w:val="00AF1A99"/>
    <w:rsid w:val="00AF318A"/>
    <w:rsid w:val="00AF3671"/>
    <w:rsid w:val="00AF3B7F"/>
    <w:rsid w:val="00AF4EB8"/>
    <w:rsid w:val="00AF505E"/>
    <w:rsid w:val="00AF5426"/>
    <w:rsid w:val="00AF5E1F"/>
    <w:rsid w:val="00AF65C7"/>
    <w:rsid w:val="00AF6C0F"/>
    <w:rsid w:val="00AF7FCA"/>
    <w:rsid w:val="00B00931"/>
    <w:rsid w:val="00B01CF0"/>
    <w:rsid w:val="00B02740"/>
    <w:rsid w:val="00B02AEE"/>
    <w:rsid w:val="00B02CC6"/>
    <w:rsid w:val="00B03386"/>
    <w:rsid w:val="00B03795"/>
    <w:rsid w:val="00B04712"/>
    <w:rsid w:val="00B05A68"/>
    <w:rsid w:val="00B071EB"/>
    <w:rsid w:val="00B0774B"/>
    <w:rsid w:val="00B07996"/>
    <w:rsid w:val="00B07BE5"/>
    <w:rsid w:val="00B07C1F"/>
    <w:rsid w:val="00B10361"/>
    <w:rsid w:val="00B11383"/>
    <w:rsid w:val="00B11AF5"/>
    <w:rsid w:val="00B12614"/>
    <w:rsid w:val="00B12FA3"/>
    <w:rsid w:val="00B14D36"/>
    <w:rsid w:val="00B14E32"/>
    <w:rsid w:val="00B15072"/>
    <w:rsid w:val="00B1555E"/>
    <w:rsid w:val="00B16083"/>
    <w:rsid w:val="00B17501"/>
    <w:rsid w:val="00B176C3"/>
    <w:rsid w:val="00B201CC"/>
    <w:rsid w:val="00B2121D"/>
    <w:rsid w:val="00B2143A"/>
    <w:rsid w:val="00B216C9"/>
    <w:rsid w:val="00B2177E"/>
    <w:rsid w:val="00B229E7"/>
    <w:rsid w:val="00B22D75"/>
    <w:rsid w:val="00B257ED"/>
    <w:rsid w:val="00B259E3"/>
    <w:rsid w:val="00B262DF"/>
    <w:rsid w:val="00B30389"/>
    <w:rsid w:val="00B30463"/>
    <w:rsid w:val="00B3273E"/>
    <w:rsid w:val="00B32B56"/>
    <w:rsid w:val="00B350A8"/>
    <w:rsid w:val="00B3532A"/>
    <w:rsid w:val="00B35717"/>
    <w:rsid w:val="00B35F7B"/>
    <w:rsid w:val="00B3690D"/>
    <w:rsid w:val="00B370A2"/>
    <w:rsid w:val="00B378C7"/>
    <w:rsid w:val="00B4174F"/>
    <w:rsid w:val="00B47B05"/>
    <w:rsid w:val="00B47D7E"/>
    <w:rsid w:val="00B5008E"/>
    <w:rsid w:val="00B5173C"/>
    <w:rsid w:val="00B52CA4"/>
    <w:rsid w:val="00B531E2"/>
    <w:rsid w:val="00B5624F"/>
    <w:rsid w:val="00B61EB9"/>
    <w:rsid w:val="00B628F1"/>
    <w:rsid w:val="00B63FD7"/>
    <w:rsid w:val="00B649EA"/>
    <w:rsid w:val="00B65B3B"/>
    <w:rsid w:val="00B65BFE"/>
    <w:rsid w:val="00B66614"/>
    <w:rsid w:val="00B66A77"/>
    <w:rsid w:val="00B6740D"/>
    <w:rsid w:val="00B67DB3"/>
    <w:rsid w:val="00B67E8E"/>
    <w:rsid w:val="00B71113"/>
    <w:rsid w:val="00B716FD"/>
    <w:rsid w:val="00B71882"/>
    <w:rsid w:val="00B72062"/>
    <w:rsid w:val="00B72406"/>
    <w:rsid w:val="00B72C1D"/>
    <w:rsid w:val="00B72F9E"/>
    <w:rsid w:val="00B73083"/>
    <w:rsid w:val="00B74821"/>
    <w:rsid w:val="00B74B3E"/>
    <w:rsid w:val="00B76A9D"/>
    <w:rsid w:val="00B80ED0"/>
    <w:rsid w:val="00B81704"/>
    <w:rsid w:val="00B81CBF"/>
    <w:rsid w:val="00B82716"/>
    <w:rsid w:val="00B8294E"/>
    <w:rsid w:val="00B82DDC"/>
    <w:rsid w:val="00B83563"/>
    <w:rsid w:val="00B84169"/>
    <w:rsid w:val="00B85B50"/>
    <w:rsid w:val="00B85B78"/>
    <w:rsid w:val="00B910CC"/>
    <w:rsid w:val="00B931AC"/>
    <w:rsid w:val="00B94093"/>
    <w:rsid w:val="00B94627"/>
    <w:rsid w:val="00B94BA2"/>
    <w:rsid w:val="00B951CD"/>
    <w:rsid w:val="00B9626C"/>
    <w:rsid w:val="00B963FF"/>
    <w:rsid w:val="00B9687F"/>
    <w:rsid w:val="00B971A9"/>
    <w:rsid w:val="00B9730E"/>
    <w:rsid w:val="00BA0DC3"/>
    <w:rsid w:val="00BA1B8B"/>
    <w:rsid w:val="00BA1E4B"/>
    <w:rsid w:val="00BA2B0C"/>
    <w:rsid w:val="00BA3091"/>
    <w:rsid w:val="00BA3C31"/>
    <w:rsid w:val="00BA3D0D"/>
    <w:rsid w:val="00BA4546"/>
    <w:rsid w:val="00BA497D"/>
    <w:rsid w:val="00BA51D3"/>
    <w:rsid w:val="00BA6551"/>
    <w:rsid w:val="00BA6EB8"/>
    <w:rsid w:val="00BA6FC5"/>
    <w:rsid w:val="00BB0927"/>
    <w:rsid w:val="00BB170E"/>
    <w:rsid w:val="00BB23A3"/>
    <w:rsid w:val="00BB3480"/>
    <w:rsid w:val="00BB368E"/>
    <w:rsid w:val="00BB3A52"/>
    <w:rsid w:val="00BB512E"/>
    <w:rsid w:val="00BB5F30"/>
    <w:rsid w:val="00BB6591"/>
    <w:rsid w:val="00BB663F"/>
    <w:rsid w:val="00BB6CD0"/>
    <w:rsid w:val="00BB7086"/>
    <w:rsid w:val="00BB7C2C"/>
    <w:rsid w:val="00BC19F5"/>
    <w:rsid w:val="00BC2516"/>
    <w:rsid w:val="00BC2931"/>
    <w:rsid w:val="00BC2C03"/>
    <w:rsid w:val="00BC2F8E"/>
    <w:rsid w:val="00BC34A0"/>
    <w:rsid w:val="00BC35AF"/>
    <w:rsid w:val="00BC3987"/>
    <w:rsid w:val="00BC3CB2"/>
    <w:rsid w:val="00BC3D08"/>
    <w:rsid w:val="00BC4351"/>
    <w:rsid w:val="00BC45FB"/>
    <w:rsid w:val="00BC4D93"/>
    <w:rsid w:val="00BC5512"/>
    <w:rsid w:val="00BC6192"/>
    <w:rsid w:val="00BC6D8D"/>
    <w:rsid w:val="00BC6F1B"/>
    <w:rsid w:val="00BC6F72"/>
    <w:rsid w:val="00BC7250"/>
    <w:rsid w:val="00BC7521"/>
    <w:rsid w:val="00BC788D"/>
    <w:rsid w:val="00BC7A46"/>
    <w:rsid w:val="00BC7B5F"/>
    <w:rsid w:val="00BD0172"/>
    <w:rsid w:val="00BD09F0"/>
    <w:rsid w:val="00BD0B63"/>
    <w:rsid w:val="00BD1252"/>
    <w:rsid w:val="00BD1341"/>
    <w:rsid w:val="00BD1554"/>
    <w:rsid w:val="00BD2E1C"/>
    <w:rsid w:val="00BD31AF"/>
    <w:rsid w:val="00BD3364"/>
    <w:rsid w:val="00BD3B33"/>
    <w:rsid w:val="00BD3D4F"/>
    <w:rsid w:val="00BD5117"/>
    <w:rsid w:val="00BD58B2"/>
    <w:rsid w:val="00BD6027"/>
    <w:rsid w:val="00BD639B"/>
    <w:rsid w:val="00BE0B9E"/>
    <w:rsid w:val="00BE18D2"/>
    <w:rsid w:val="00BE1BD0"/>
    <w:rsid w:val="00BE1F7F"/>
    <w:rsid w:val="00BE2E12"/>
    <w:rsid w:val="00BE32F8"/>
    <w:rsid w:val="00BE3541"/>
    <w:rsid w:val="00BE3BF1"/>
    <w:rsid w:val="00BE3FA3"/>
    <w:rsid w:val="00BE7CD3"/>
    <w:rsid w:val="00BF0056"/>
    <w:rsid w:val="00BF0421"/>
    <w:rsid w:val="00BF06B4"/>
    <w:rsid w:val="00BF0D1D"/>
    <w:rsid w:val="00BF14E0"/>
    <w:rsid w:val="00BF15C0"/>
    <w:rsid w:val="00BF436E"/>
    <w:rsid w:val="00BF4855"/>
    <w:rsid w:val="00BF4E8A"/>
    <w:rsid w:val="00BF5ADC"/>
    <w:rsid w:val="00BF5C90"/>
    <w:rsid w:val="00BF5F12"/>
    <w:rsid w:val="00BF6C2F"/>
    <w:rsid w:val="00BF772C"/>
    <w:rsid w:val="00C0185B"/>
    <w:rsid w:val="00C02AF8"/>
    <w:rsid w:val="00C035B2"/>
    <w:rsid w:val="00C056FC"/>
    <w:rsid w:val="00C05F44"/>
    <w:rsid w:val="00C060EA"/>
    <w:rsid w:val="00C07634"/>
    <w:rsid w:val="00C077A4"/>
    <w:rsid w:val="00C07EBD"/>
    <w:rsid w:val="00C101C9"/>
    <w:rsid w:val="00C1040D"/>
    <w:rsid w:val="00C1181D"/>
    <w:rsid w:val="00C11F79"/>
    <w:rsid w:val="00C12A83"/>
    <w:rsid w:val="00C12C64"/>
    <w:rsid w:val="00C138BA"/>
    <w:rsid w:val="00C13B12"/>
    <w:rsid w:val="00C142C4"/>
    <w:rsid w:val="00C14640"/>
    <w:rsid w:val="00C146F3"/>
    <w:rsid w:val="00C14D73"/>
    <w:rsid w:val="00C151FC"/>
    <w:rsid w:val="00C15B80"/>
    <w:rsid w:val="00C15DEA"/>
    <w:rsid w:val="00C1681C"/>
    <w:rsid w:val="00C17033"/>
    <w:rsid w:val="00C170DA"/>
    <w:rsid w:val="00C1748C"/>
    <w:rsid w:val="00C202B5"/>
    <w:rsid w:val="00C206D4"/>
    <w:rsid w:val="00C20E03"/>
    <w:rsid w:val="00C20EFD"/>
    <w:rsid w:val="00C21DC2"/>
    <w:rsid w:val="00C21E5F"/>
    <w:rsid w:val="00C22334"/>
    <w:rsid w:val="00C225E7"/>
    <w:rsid w:val="00C234CD"/>
    <w:rsid w:val="00C24363"/>
    <w:rsid w:val="00C24423"/>
    <w:rsid w:val="00C24EED"/>
    <w:rsid w:val="00C25181"/>
    <w:rsid w:val="00C2534F"/>
    <w:rsid w:val="00C26CB2"/>
    <w:rsid w:val="00C27A33"/>
    <w:rsid w:val="00C27CE5"/>
    <w:rsid w:val="00C3009C"/>
    <w:rsid w:val="00C305F6"/>
    <w:rsid w:val="00C317B5"/>
    <w:rsid w:val="00C31B3F"/>
    <w:rsid w:val="00C3223A"/>
    <w:rsid w:val="00C32A2B"/>
    <w:rsid w:val="00C330C6"/>
    <w:rsid w:val="00C34BB0"/>
    <w:rsid w:val="00C370F6"/>
    <w:rsid w:val="00C376BB"/>
    <w:rsid w:val="00C40219"/>
    <w:rsid w:val="00C4060F"/>
    <w:rsid w:val="00C4370D"/>
    <w:rsid w:val="00C44EE6"/>
    <w:rsid w:val="00C454B1"/>
    <w:rsid w:val="00C46025"/>
    <w:rsid w:val="00C460EF"/>
    <w:rsid w:val="00C47120"/>
    <w:rsid w:val="00C477EE"/>
    <w:rsid w:val="00C50889"/>
    <w:rsid w:val="00C50A54"/>
    <w:rsid w:val="00C511E9"/>
    <w:rsid w:val="00C52914"/>
    <w:rsid w:val="00C56FDC"/>
    <w:rsid w:val="00C571AA"/>
    <w:rsid w:val="00C57576"/>
    <w:rsid w:val="00C57780"/>
    <w:rsid w:val="00C60ACC"/>
    <w:rsid w:val="00C60D9B"/>
    <w:rsid w:val="00C62732"/>
    <w:rsid w:val="00C62EF4"/>
    <w:rsid w:val="00C63453"/>
    <w:rsid w:val="00C6349F"/>
    <w:rsid w:val="00C63E96"/>
    <w:rsid w:val="00C64494"/>
    <w:rsid w:val="00C65070"/>
    <w:rsid w:val="00C65A2A"/>
    <w:rsid w:val="00C65BD0"/>
    <w:rsid w:val="00C66D86"/>
    <w:rsid w:val="00C670DD"/>
    <w:rsid w:val="00C67549"/>
    <w:rsid w:val="00C67EA6"/>
    <w:rsid w:val="00C67ED6"/>
    <w:rsid w:val="00C7092E"/>
    <w:rsid w:val="00C70A83"/>
    <w:rsid w:val="00C72210"/>
    <w:rsid w:val="00C72225"/>
    <w:rsid w:val="00C7223F"/>
    <w:rsid w:val="00C722F0"/>
    <w:rsid w:val="00C723B6"/>
    <w:rsid w:val="00C7261C"/>
    <w:rsid w:val="00C734B6"/>
    <w:rsid w:val="00C73FB4"/>
    <w:rsid w:val="00C7526E"/>
    <w:rsid w:val="00C757CF"/>
    <w:rsid w:val="00C76EF2"/>
    <w:rsid w:val="00C7748A"/>
    <w:rsid w:val="00C77985"/>
    <w:rsid w:val="00C77E6B"/>
    <w:rsid w:val="00C80391"/>
    <w:rsid w:val="00C80EC7"/>
    <w:rsid w:val="00C8106D"/>
    <w:rsid w:val="00C837CD"/>
    <w:rsid w:val="00C83BA9"/>
    <w:rsid w:val="00C843F5"/>
    <w:rsid w:val="00C84C16"/>
    <w:rsid w:val="00C8583D"/>
    <w:rsid w:val="00C85E06"/>
    <w:rsid w:val="00C860AF"/>
    <w:rsid w:val="00C86263"/>
    <w:rsid w:val="00C8755B"/>
    <w:rsid w:val="00C87681"/>
    <w:rsid w:val="00C91433"/>
    <w:rsid w:val="00C9186A"/>
    <w:rsid w:val="00C9256E"/>
    <w:rsid w:val="00C92719"/>
    <w:rsid w:val="00C931E7"/>
    <w:rsid w:val="00C9326C"/>
    <w:rsid w:val="00C93C08"/>
    <w:rsid w:val="00C93C53"/>
    <w:rsid w:val="00C94F1B"/>
    <w:rsid w:val="00C951AB"/>
    <w:rsid w:val="00C9636E"/>
    <w:rsid w:val="00C969BB"/>
    <w:rsid w:val="00C9727E"/>
    <w:rsid w:val="00C976AF"/>
    <w:rsid w:val="00C978EA"/>
    <w:rsid w:val="00C97916"/>
    <w:rsid w:val="00C97D36"/>
    <w:rsid w:val="00CA011B"/>
    <w:rsid w:val="00CA014D"/>
    <w:rsid w:val="00CA0490"/>
    <w:rsid w:val="00CA11FF"/>
    <w:rsid w:val="00CA1313"/>
    <w:rsid w:val="00CA2575"/>
    <w:rsid w:val="00CA29A7"/>
    <w:rsid w:val="00CA4A79"/>
    <w:rsid w:val="00CA6AA8"/>
    <w:rsid w:val="00CA75C7"/>
    <w:rsid w:val="00CB0854"/>
    <w:rsid w:val="00CB0A76"/>
    <w:rsid w:val="00CB0BED"/>
    <w:rsid w:val="00CB1BE1"/>
    <w:rsid w:val="00CB37E3"/>
    <w:rsid w:val="00CB393C"/>
    <w:rsid w:val="00CB5A96"/>
    <w:rsid w:val="00CB6674"/>
    <w:rsid w:val="00CB67C5"/>
    <w:rsid w:val="00CC0D38"/>
    <w:rsid w:val="00CC16B3"/>
    <w:rsid w:val="00CC1D49"/>
    <w:rsid w:val="00CC2183"/>
    <w:rsid w:val="00CC3F7C"/>
    <w:rsid w:val="00CC4079"/>
    <w:rsid w:val="00CC4E2E"/>
    <w:rsid w:val="00CC553D"/>
    <w:rsid w:val="00CC5741"/>
    <w:rsid w:val="00CC6091"/>
    <w:rsid w:val="00CC6456"/>
    <w:rsid w:val="00CC66E8"/>
    <w:rsid w:val="00CC7BEC"/>
    <w:rsid w:val="00CD00A7"/>
    <w:rsid w:val="00CD03F9"/>
    <w:rsid w:val="00CD1661"/>
    <w:rsid w:val="00CD1732"/>
    <w:rsid w:val="00CD255F"/>
    <w:rsid w:val="00CD3B9D"/>
    <w:rsid w:val="00CD4D8C"/>
    <w:rsid w:val="00CD4DEF"/>
    <w:rsid w:val="00CD539E"/>
    <w:rsid w:val="00CD6828"/>
    <w:rsid w:val="00CD687F"/>
    <w:rsid w:val="00CD6E6B"/>
    <w:rsid w:val="00CD73D2"/>
    <w:rsid w:val="00CE1DD1"/>
    <w:rsid w:val="00CE2C5C"/>
    <w:rsid w:val="00CE2DD6"/>
    <w:rsid w:val="00CE5D28"/>
    <w:rsid w:val="00CF069F"/>
    <w:rsid w:val="00CF22CF"/>
    <w:rsid w:val="00CF2BC9"/>
    <w:rsid w:val="00CF2E92"/>
    <w:rsid w:val="00CF3564"/>
    <w:rsid w:val="00CF3992"/>
    <w:rsid w:val="00CF407A"/>
    <w:rsid w:val="00CF57E7"/>
    <w:rsid w:val="00CF5CDC"/>
    <w:rsid w:val="00CF63A0"/>
    <w:rsid w:val="00D005F3"/>
    <w:rsid w:val="00D01DA3"/>
    <w:rsid w:val="00D020A1"/>
    <w:rsid w:val="00D022FE"/>
    <w:rsid w:val="00D03BAD"/>
    <w:rsid w:val="00D03E4A"/>
    <w:rsid w:val="00D03E6A"/>
    <w:rsid w:val="00D05405"/>
    <w:rsid w:val="00D0645C"/>
    <w:rsid w:val="00D07A5E"/>
    <w:rsid w:val="00D11328"/>
    <w:rsid w:val="00D12AFA"/>
    <w:rsid w:val="00D14001"/>
    <w:rsid w:val="00D14608"/>
    <w:rsid w:val="00D14EBD"/>
    <w:rsid w:val="00D16046"/>
    <w:rsid w:val="00D162BF"/>
    <w:rsid w:val="00D16481"/>
    <w:rsid w:val="00D20872"/>
    <w:rsid w:val="00D2174F"/>
    <w:rsid w:val="00D21D58"/>
    <w:rsid w:val="00D2253E"/>
    <w:rsid w:val="00D22CA1"/>
    <w:rsid w:val="00D25981"/>
    <w:rsid w:val="00D25C35"/>
    <w:rsid w:val="00D26917"/>
    <w:rsid w:val="00D26C72"/>
    <w:rsid w:val="00D2783B"/>
    <w:rsid w:val="00D27FAF"/>
    <w:rsid w:val="00D310EC"/>
    <w:rsid w:val="00D31188"/>
    <w:rsid w:val="00D31DCA"/>
    <w:rsid w:val="00D32DA0"/>
    <w:rsid w:val="00D32EEC"/>
    <w:rsid w:val="00D335B8"/>
    <w:rsid w:val="00D34398"/>
    <w:rsid w:val="00D34672"/>
    <w:rsid w:val="00D34D5E"/>
    <w:rsid w:val="00D35E80"/>
    <w:rsid w:val="00D36006"/>
    <w:rsid w:val="00D36399"/>
    <w:rsid w:val="00D36C2E"/>
    <w:rsid w:val="00D403D8"/>
    <w:rsid w:val="00D41265"/>
    <w:rsid w:val="00D414F4"/>
    <w:rsid w:val="00D416DA"/>
    <w:rsid w:val="00D4192D"/>
    <w:rsid w:val="00D41A98"/>
    <w:rsid w:val="00D41B65"/>
    <w:rsid w:val="00D427A8"/>
    <w:rsid w:val="00D42C5F"/>
    <w:rsid w:val="00D44F71"/>
    <w:rsid w:val="00D44F7B"/>
    <w:rsid w:val="00D44FC7"/>
    <w:rsid w:val="00D459BC"/>
    <w:rsid w:val="00D46070"/>
    <w:rsid w:val="00D46A64"/>
    <w:rsid w:val="00D46D02"/>
    <w:rsid w:val="00D47D24"/>
    <w:rsid w:val="00D47F92"/>
    <w:rsid w:val="00D503CA"/>
    <w:rsid w:val="00D50B02"/>
    <w:rsid w:val="00D5152B"/>
    <w:rsid w:val="00D52758"/>
    <w:rsid w:val="00D52E66"/>
    <w:rsid w:val="00D5333C"/>
    <w:rsid w:val="00D551FB"/>
    <w:rsid w:val="00D56FB6"/>
    <w:rsid w:val="00D570F8"/>
    <w:rsid w:val="00D5798F"/>
    <w:rsid w:val="00D57F99"/>
    <w:rsid w:val="00D60EBF"/>
    <w:rsid w:val="00D62406"/>
    <w:rsid w:val="00D634F3"/>
    <w:rsid w:val="00D641E3"/>
    <w:rsid w:val="00D654F7"/>
    <w:rsid w:val="00D660FE"/>
    <w:rsid w:val="00D67164"/>
    <w:rsid w:val="00D678B4"/>
    <w:rsid w:val="00D67F72"/>
    <w:rsid w:val="00D70DC3"/>
    <w:rsid w:val="00D71473"/>
    <w:rsid w:val="00D71C22"/>
    <w:rsid w:val="00D72BB3"/>
    <w:rsid w:val="00D736F1"/>
    <w:rsid w:val="00D73A70"/>
    <w:rsid w:val="00D73CED"/>
    <w:rsid w:val="00D745A0"/>
    <w:rsid w:val="00D75396"/>
    <w:rsid w:val="00D75683"/>
    <w:rsid w:val="00D76B2A"/>
    <w:rsid w:val="00D77706"/>
    <w:rsid w:val="00D77CC7"/>
    <w:rsid w:val="00D8050E"/>
    <w:rsid w:val="00D81097"/>
    <w:rsid w:val="00D8173B"/>
    <w:rsid w:val="00D828AD"/>
    <w:rsid w:val="00D82E4F"/>
    <w:rsid w:val="00D83C1E"/>
    <w:rsid w:val="00D85090"/>
    <w:rsid w:val="00D856A4"/>
    <w:rsid w:val="00D86ACF"/>
    <w:rsid w:val="00D87076"/>
    <w:rsid w:val="00D871E4"/>
    <w:rsid w:val="00D90877"/>
    <w:rsid w:val="00D90D51"/>
    <w:rsid w:val="00D913C3"/>
    <w:rsid w:val="00D92A6F"/>
    <w:rsid w:val="00D92B20"/>
    <w:rsid w:val="00D93B99"/>
    <w:rsid w:val="00D94FB4"/>
    <w:rsid w:val="00D96930"/>
    <w:rsid w:val="00D96CAD"/>
    <w:rsid w:val="00D97B7B"/>
    <w:rsid w:val="00DA11E9"/>
    <w:rsid w:val="00DA1DC3"/>
    <w:rsid w:val="00DA2C33"/>
    <w:rsid w:val="00DA4D2B"/>
    <w:rsid w:val="00DA5B42"/>
    <w:rsid w:val="00DA62E6"/>
    <w:rsid w:val="00DA6A31"/>
    <w:rsid w:val="00DA6FAA"/>
    <w:rsid w:val="00DA71A3"/>
    <w:rsid w:val="00DA7749"/>
    <w:rsid w:val="00DA7DC2"/>
    <w:rsid w:val="00DB06A4"/>
    <w:rsid w:val="00DB0D27"/>
    <w:rsid w:val="00DB18FE"/>
    <w:rsid w:val="00DB3646"/>
    <w:rsid w:val="00DB3C0E"/>
    <w:rsid w:val="00DB426F"/>
    <w:rsid w:val="00DB4D79"/>
    <w:rsid w:val="00DB5B9D"/>
    <w:rsid w:val="00DB7DA2"/>
    <w:rsid w:val="00DC0364"/>
    <w:rsid w:val="00DC03F4"/>
    <w:rsid w:val="00DC27A9"/>
    <w:rsid w:val="00DC27AA"/>
    <w:rsid w:val="00DC2FDC"/>
    <w:rsid w:val="00DC3463"/>
    <w:rsid w:val="00DC4EC5"/>
    <w:rsid w:val="00DC5362"/>
    <w:rsid w:val="00DC5C64"/>
    <w:rsid w:val="00DC5CA3"/>
    <w:rsid w:val="00DC620E"/>
    <w:rsid w:val="00DD1398"/>
    <w:rsid w:val="00DD1505"/>
    <w:rsid w:val="00DD1799"/>
    <w:rsid w:val="00DD20E5"/>
    <w:rsid w:val="00DD2333"/>
    <w:rsid w:val="00DD3027"/>
    <w:rsid w:val="00DD3B2A"/>
    <w:rsid w:val="00DD3EBA"/>
    <w:rsid w:val="00DD410F"/>
    <w:rsid w:val="00DD4FBB"/>
    <w:rsid w:val="00DD51B4"/>
    <w:rsid w:val="00DD5DD1"/>
    <w:rsid w:val="00DD6AEE"/>
    <w:rsid w:val="00DD6CA0"/>
    <w:rsid w:val="00DE039C"/>
    <w:rsid w:val="00DE2E3E"/>
    <w:rsid w:val="00DE417E"/>
    <w:rsid w:val="00DE5FA6"/>
    <w:rsid w:val="00DE6A0B"/>
    <w:rsid w:val="00DE7144"/>
    <w:rsid w:val="00DE7B87"/>
    <w:rsid w:val="00DF0348"/>
    <w:rsid w:val="00DF0867"/>
    <w:rsid w:val="00DF1710"/>
    <w:rsid w:val="00DF2054"/>
    <w:rsid w:val="00DF2745"/>
    <w:rsid w:val="00DF31C0"/>
    <w:rsid w:val="00DF631A"/>
    <w:rsid w:val="00DF65B6"/>
    <w:rsid w:val="00DF6C71"/>
    <w:rsid w:val="00DF74A4"/>
    <w:rsid w:val="00DF74A7"/>
    <w:rsid w:val="00DF782F"/>
    <w:rsid w:val="00E00488"/>
    <w:rsid w:val="00E00F5F"/>
    <w:rsid w:val="00E00FD1"/>
    <w:rsid w:val="00E017A7"/>
    <w:rsid w:val="00E01971"/>
    <w:rsid w:val="00E03A1C"/>
    <w:rsid w:val="00E03EE2"/>
    <w:rsid w:val="00E04C79"/>
    <w:rsid w:val="00E069C4"/>
    <w:rsid w:val="00E06E3F"/>
    <w:rsid w:val="00E07719"/>
    <w:rsid w:val="00E07E65"/>
    <w:rsid w:val="00E101F8"/>
    <w:rsid w:val="00E1048B"/>
    <w:rsid w:val="00E11F73"/>
    <w:rsid w:val="00E12560"/>
    <w:rsid w:val="00E1264D"/>
    <w:rsid w:val="00E12658"/>
    <w:rsid w:val="00E14F9B"/>
    <w:rsid w:val="00E1550D"/>
    <w:rsid w:val="00E15980"/>
    <w:rsid w:val="00E15B58"/>
    <w:rsid w:val="00E1642D"/>
    <w:rsid w:val="00E16684"/>
    <w:rsid w:val="00E1673E"/>
    <w:rsid w:val="00E1675C"/>
    <w:rsid w:val="00E171A5"/>
    <w:rsid w:val="00E174AA"/>
    <w:rsid w:val="00E17F53"/>
    <w:rsid w:val="00E2018E"/>
    <w:rsid w:val="00E20F81"/>
    <w:rsid w:val="00E21AAC"/>
    <w:rsid w:val="00E21CA6"/>
    <w:rsid w:val="00E22F8A"/>
    <w:rsid w:val="00E23594"/>
    <w:rsid w:val="00E24547"/>
    <w:rsid w:val="00E24635"/>
    <w:rsid w:val="00E24708"/>
    <w:rsid w:val="00E247C9"/>
    <w:rsid w:val="00E25852"/>
    <w:rsid w:val="00E25E1F"/>
    <w:rsid w:val="00E27632"/>
    <w:rsid w:val="00E27811"/>
    <w:rsid w:val="00E27C7C"/>
    <w:rsid w:val="00E30536"/>
    <w:rsid w:val="00E315C3"/>
    <w:rsid w:val="00E31DB5"/>
    <w:rsid w:val="00E32F9C"/>
    <w:rsid w:val="00E34299"/>
    <w:rsid w:val="00E349EB"/>
    <w:rsid w:val="00E37547"/>
    <w:rsid w:val="00E379FF"/>
    <w:rsid w:val="00E4156A"/>
    <w:rsid w:val="00E41A54"/>
    <w:rsid w:val="00E41B9D"/>
    <w:rsid w:val="00E42F71"/>
    <w:rsid w:val="00E432BC"/>
    <w:rsid w:val="00E43CBE"/>
    <w:rsid w:val="00E43E4C"/>
    <w:rsid w:val="00E45568"/>
    <w:rsid w:val="00E45C85"/>
    <w:rsid w:val="00E46076"/>
    <w:rsid w:val="00E4616C"/>
    <w:rsid w:val="00E46BC6"/>
    <w:rsid w:val="00E47B5F"/>
    <w:rsid w:val="00E50095"/>
    <w:rsid w:val="00E532C1"/>
    <w:rsid w:val="00E53552"/>
    <w:rsid w:val="00E54BC8"/>
    <w:rsid w:val="00E54E23"/>
    <w:rsid w:val="00E56867"/>
    <w:rsid w:val="00E6056D"/>
    <w:rsid w:val="00E60F5B"/>
    <w:rsid w:val="00E613D9"/>
    <w:rsid w:val="00E61B5B"/>
    <w:rsid w:val="00E61FB1"/>
    <w:rsid w:val="00E62195"/>
    <w:rsid w:val="00E625AC"/>
    <w:rsid w:val="00E62B43"/>
    <w:rsid w:val="00E62C1C"/>
    <w:rsid w:val="00E63376"/>
    <w:rsid w:val="00E639C5"/>
    <w:rsid w:val="00E63D66"/>
    <w:rsid w:val="00E642AF"/>
    <w:rsid w:val="00E648DB"/>
    <w:rsid w:val="00E66189"/>
    <w:rsid w:val="00E66424"/>
    <w:rsid w:val="00E66A0B"/>
    <w:rsid w:val="00E67544"/>
    <w:rsid w:val="00E67684"/>
    <w:rsid w:val="00E67973"/>
    <w:rsid w:val="00E67C39"/>
    <w:rsid w:val="00E701F3"/>
    <w:rsid w:val="00E7140E"/>
    <w:rsid w:val="00E72299"/>
    <w:rsid w:val="00E73456"/>
    <w:rsid w:val="00E734C4"/>
    <w:rsid w:val="00E743E8"/>
    <w:rsid w:val="00E749F6"/>
    <w:rsid w:val="00E75968"/>
    <w:rsid w:val="00E768B4"/>
    <w:rsid w:val="00E77AC9"/>
    <w:rsid w:val="00E8046F"/>
    <w:rsid w:val="00E81929"/>
    <w:rsid w:val="00E823AC"/>
    <w:rsid w:val="00E838A0"/>
    <w:rsid w:val="00E85900"/>
    <w:rsid w:val="00E8708C"/>
    <w:rsid w:val="00E878A0"/>
    <w:rsid w:val="00E9017C"/>
    <w:rsid w:val="00E90BF9"/>
    <w:rsid w:val="00E912A0"/>
    <w:rsid w:val="00E9225E"/>
    <w:rsid w:val="00E92827"/>
    <w:rsid w:val="00E93B54"/>
    <w:rsid w:val="00E9430E"/>
    <w:rsid w:val="00E94340"/>
    <w:rsid w:val="00E948DA"/>
    <w:rsid w:val="00E94A47"/>
    <w:rsid w:val="00E94CA3"/>
    <w:rsid w:val="00E96071"/>
    <w:rsid w:val="00E96CB1"/>
    <w:rsid w:val="00E97096"/>
    <w:rsid w:val="00E97255"/>
    <w:rsid w:val="00EA024F"/>
    <w:rsid w:val="00EA15C7"/>
    <w:rsid w:val="00EA1901"/>
    <w:rsid w:val="00EA28BF"/>
    <w:rsid w:val="00EA390B"/>
    <w:rsid w:val="00EA4E11"/>
    <w:rsid w:val="00EA598C"/>
    <w:rsid w:val="00EA6307"/>
    <w:rsid w:val="00EA67CF"/>
    <w:rsid w:val="00EA6881"/>
    <w:rsid w:val="00EB0902"/>
    <w:rsid w:val="00EB0FDF"/>
    <w:rsid w:val="00EB1912"/>
    <w:rsid w:val="00EB1BB8"/>
    <w:rsid w:val="00EB2E02"/>
    <w:rsid w:val="00EB38A8"/>
    <w:rsid w:val="00EB54BF"/>
    <w:rsid w:val="00EB5EC8"/>
    <w:rsid w:val="00EB65CA"/>
    <w:rsid w:val="00EC2438"/>
    <w:rsid w:val="00EC29AB"/>
    <w:rsid w:val="00EC2EB9"/>
    <w:rsid w:val="00EC2F18"/>
    <w:rsid w:val="00EC4796"/>
    <w:rsid w:val="00EC4DCB"/>
    <w:rsid w:val="00EC5788"/>
    <w:rsid w:val="00EC650C"/>
    <w:rsid w:val="00ED036D"/>
    <w:rsid w:val="00ED0DEC"/>
    <w:rsid w:val="00ED20F4"/>
    <w:rsid w:val="00ED2B41"/>
    <w:rsid w:val="00ED369B"/>
    <w:rsid w:val="00ED4CA1"/>
    <w:rsid w:val="00ED4F03"/>
    <w:rsid w:val="00ED4F91"/>
    <w:rsid w:val="00ED53DD"/>
    <w:rsid w:val="00ED57ED"/>
    <w:rsid w:val="00ED6FF3"/>
    <w:rsid w:val="00ED72CB"/>
    <w:rsid w:val="00ED7936"/>
    <w:rsid w:val="00ED7DF6"/>
    <w:rsid w:val="00EE03B0"/>
    <w:rsid w:val="00EE1C46"/>
    <w:rsid w:val="00EE36AC"/>
    <w:rsid w:val="00EE423B"/>
    <w:rsid w:val="00EE4E17"/>
    <w:rsid w:val="00EE521C"/>
    <w:rsid w:val="00EE6408"/>
    <w:rsid w:val="00EE7769"/>
    <w:rsid w:val="00EF07A5"/>
    <w:rsid w:val="00EF1770"/>
    <w:rsid w:val="00EF2475"/>
    <w:rsid w:val="00EF253B"/>
    <w:rsid w:val="00EF273F"/>
    <w:rsid w:val="00EF354E"/>
    <w:rsid w:val="00EF374F"/>
    <w:rsid w:val="00EF3B12"/>
    <w:rsid w:val="00EF4342"/>
    <w:rsid w:val="00EF4A60"/>
    <w:rsid w:val="00EF6582"/>
    <w:rsid w:val="00EF682E"/>
    <w:rsid w:val="00EF7262"/>
    <w:rsid w:val="00EF7469"/>
    <w:rsid w:val="00EF7951"/>
    <w:rsid w:val="00F00A38"/>
    <w:rsid w:val="00F01D48"/>
    <w:rsid w:val="00F026C0"/>
    <w:rsid w:val="00F03256"/>
    <w:rsid w:val="00F04276"/>
    <w:rsid w:val="00F04C7F"/>
    <w:rsid w:val="00F05A0F"/>
    <w:rsid w:val="00F06537"/>
    <w:rsid w:val="00F06C2E"/>
    <w:rsid w:val="00F06C75"/>
    <w:rsid w:val="00F06D41"/>
    <w:rsid w:val="00F076EE"/>
    <w:rsid w:val="00F1005F"/>
    <w:rsid w:val="00F10902"/>
    <w:rsid w:val="00F1111C"/>
    <w:rsid w:val="00F11F42"/>
    <w:rsid w:val="00F1327B"/>
    <w:rsid w:val="00F14AA5"/>
    <w:rsid w:val="00F14ACF"/>
    <w:rsid w:val="00F154DE"/>
    <w:rsid w:val="00F15777"/>
    <w:rsid w:val="00F157BE"/>
    <w:rsid w:val="00F16119"/>
    <w:rsid w:val="00F16EF0"/>
    <w:rsid w:val="00F172DF"/>
    <w:rsid w:val="00F17B8D"/>
    <w:rsid w:val="00F17BAA"/>
    <w:rsid w:val="00F20062"/>
    <w:rsid w:val="00F20657"/>
    <w:rsid w:val="00F20725"/>
    <w:rsid w:val="00F23397"/>
    <w:rsid w:val="00F23600"/>
    <w:rsid w:val="00F24B8F"/>
    <w:rsid w:val="00F24DBB"/>
    <w:rsid w:val="00F25FA4"/>
    <w:rsid w:val="00F2655E"/>
    <w:rsid w:val="00F26843"/>
    <w:rsid w:val="00F273F3"/>
    <w:rsid w:val="00F307C9"/>
    <w:rsid w:val="00F31983"/>
    <w:rsid w:val="00F31F9C"/>
    <w:rsid w:val="00F32087"/>
    <w:rsid w:val="00F3293F"/>
    <w:rsid w:val="00F3332E"/>
    <w:rsid w:val="00F34192"/>
    <w:rsid w:val="00F34878"/>
    <w:rsid w:val="00F34C97"/>
    <w:rsid w:val="00F34E77"/>
    <w:rsid w:val="00F34F2D"/>
    <w:rsid w:val="00F3540B"/>
    <w:rsid w:val="00F357BE"/>
    <w:rsid w:val="00F361E6"/>
    <w:rsid w:val="00F36795"/>
    <w:rsid w:val="00F37158"/>
    <w:rsid w:val="00F4099C"/>
    <w:rsid w:val="00F4196E"/>
    <w:rsid w:val="00F41A89"/>
    <w:rsid w:val="00F41E62"/>
    <w:rsid w:val="00F42DEF"/>
    <w:rsid w:val="00F43743"/>
    <w:rsid w:val="00F4386D"/>
    <w:rsid w:val="00F43F5C"/>
    <w:rsid w:val="00F44491"/>
    <w:rsid w:val="00F44813"/>
    <w:rsid w:val="00F44B60"/>
    <w:rsid w:val="00F456F1"/>
    <w:rsid w:val="00F4571B"/>
    <w:rsid w:val="00F4594C"/>
    <w:rsid w:val="00F46D0C"/>
    <w:rsid w:val="00F46D83"/>
    <w:rsid w:val="00F4757E"/>
    <w:rsid w:val="00F47723"/>
    <w:rsid w:val="00F50355"/>
    <w:rsid w:val="00F504D4"/>
    <w:rsid w:val="00F50B32"/>
    <w:rsid w:val="00F50F96"/>
    <w:rsid w:val="00F51129"/>
    <w:rsid w:val="00F5189C"/>
    <w:rsid w:val="00F51CA7"/>
    <w:rsid w:val="00F51DAB"/>
    <w:rsid w:val="00F534D2"/>
    <w:rsid w:val="00F545CB"/>
    <w:rsid w:val="00F5491A"/>
    <w:rsid w:val="00F5492A"/>
    <w:rsid w:val="00F5503C"/>
    <w:rsid w:val="00F5585B"/>
    <w:rsid w:val="00F56366"/>
    <w:rsid w:val="00F56745"/>
    <w:rsid w:val="00F56984"/>
    <w:rsid w:val="00F571C2"/>
    <w:rsid w:val="00F60C86"/>
    <w:rsid w:val="00F6210B"/>
    <w:rsid w:val="00F62E9F"/>
    <w:rsid w:val="00F631F4"/>
    <w:rsid w:val="00F63CB3"/>
    <w:rsid w:val="00F642C8"/>
    <w:rsid w:val="00F64B03"/>
    <w:rsid w:val="00F64F92"/>
    <w:rsid w:val="00F657DF"/>
    <w:rsid w:val="00F65920"/>
    <w:rsid w:val="00F66DA8"/>
    <w:rsid w:val="00F66FC5"/>
    <w:rsid w:val="00F6752A"/>
    <w:rsid w:val="00F739FC"/>
    <w:rsid w:val="00F73E24"/>
    <w:rsid w:val="00F74EC4"/>
    <w:rsid w:val="00F76743"/>
    <w:rsid w:val="00F7724A"/>
    <w:rsid w:val="00F775DE"/>
    <w:rsid w:val="00F80162"/>
    <w:rsid w:val="00F816BD"/>
    <w:rsid w:val="00F81C19"/>
    <w:rsid w:val="00F82B1F"/>
    <w:rsid w:val="00F835A5"/>
    <w:rsid w:val="00F8489B"/>
    <w:rsid w:val="00F84DEA"/>
    <w:rsid w:val="00F8555B"/>
    <w:rsid w:val="00F85664"/>
    <w:rsid w:val="00F85E77"/>
    <w:rsid w:val="00F860C3"/>
    <w:rsid w:val="00F86A46"/>
    <w:rsid w:val="00F86C52"/>
    <w:rsid w:val="00F87701"/>
    <w:rsid w:val="00F9028C"/>
    <w:rsid w:val="00F902F3"/>
    <w:rsid w:val="00F91B79"/>
    <w:rsid w:val="00F91BE4"/>
    <w:rsid w:val="00F922A9"/>
    <w:rsid w:val="00F925D2"/>
    <w:rsid w:val="00F92E5C"/>
    <w:rsid w:val="00F939DB"/>
    <w:rsid w:val="00F941F3"/>
    <w:rsid w:val="00F944A7"/>
    <w:rsid w:val="00F9541F"/>
    <w:rsid w:val="00F9549F"/>
    <w:rsid w:val="00F9563B"/>
    <w:rsid w:val="00F9681C"/>
    <w:rsid w:val="00F972CC"/>
    <w:rsid w:val="00FA0635"/>
    <w:rsid w:val="00FA1863"/>
    <w:rsid w:val="00FA1E45"/>
    <w:rsid w:val="00FA1FA8"/>
    <w:rsid w:val="00FA2CCB"/>
    <w:rsid w:val="00FA33B5"/>
    <w:rsid w:val="00FA4E63"/>
    <w:rsid w:val="00FA4F8D"/>
    <w:rsid w:val="00FA5484"/>
    <w:rsid w:val="00FA5503"/>
    <w:rsid w:val="00FA6314"/>
    <w:rsid w:val="00FB2557"/>
    <w:rsid w:val="00FB2828"/>
    <w:rsid w:val="00FB2A3C"/>
    <w:rsid w:val="00FB2A45"/>
    <w:rsid w:val="00FB3AAF"/>
    <w:rsid w:val="00FB4092"/>
    <w:rsid w:val="00FB5232"/>
    <w:rsid w:val="00FB5FC1"/>
    <w:rsid w:val="00FB652B"/>
    <w:rsid w:val="00FC06EC"/>
    <w:rsid w:val="00FC1907"/>
    <w:rsid w:val="00FC3DC4"/>
    <w:rsid w:val="00FC44AA"/>
    <w:rsid w:val="00FC5363"/>
    <w:rsid w:val="00FC54C4"/>
    <w:rsid w:val="00FC60D2"/>
    <w:rsid w:val="00FC62A2"/>
    <w:rsid w:val="00FC68C7"/>
    <w:rsid w:val="00FC74C1"/>
    <w:rsid w:val="00FD0649"/>
    <w:rsid w:val="00FD0EBC"/>
    <w:rsid w:val="00FD0FFC"/>
    <w:rsid w:val="00FD185F"/>
    <w:rsid w:val="00FD374F"/>
    <w:rsid w:val="00FD5444"/>
    <w:rsid w:val="00FD59B6"/>
    <w:rsid w:val="00FD6B30"/>
    <w:rsid w:val="00FD6EBE"/>
    <w:rsid w:val="00FD720C"/>
    <w:rsid w:val="00FD7BC2"/>
    <w:rsid w:val="00FE0A27"/>
    <w:rsid w:val="00FE0B84"/>
    <w:rsid w:val="00FE18D1"/>
    <w:rsid w:val="00FE191E"/>
    <w:rsid w:val="00FE2006"/>
    <w:rsid w:val="00FE2A0B"/>
    <w:rsid w:val="00FE398D"/>
    <w:rsid w:val="00FE62CD"/>
    <w:rsid w:val="00FE6322"/>
    <w:rsid w:val="00FE66B9"/>
    <w:rsid w:val="00FE730B"/>
    <w:rsid w:val="00FE7878"/>
    <w:rsid w:val="00FE7EFD"/>
    <w:rsid w:val="00FF4030"/>
    <w:rsid w:val="00FF49BD"/>
    <w:rsid w:val="00FF571F"/>
    <w:rsid w:val="00FF58EA"/>
    <w:rsid w:val="00FF6207"/>
    <w:rsid w:val="00FF658E"/>
    <w:rsid w:val="00FF6D6A"/>
    <w:rsid w:val="00FF7208"/>
    <w:rsid w:val="00FF7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45DDD6"/>
  <w15:docId w15:val="{3CF3734C-FE55-4C44-B81B-DB49F444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03"/>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5FF"/>
    <w:pPr>
      <w:ind w:left="720"/>
      <w:contextualSpacing/>
    </w:pPr>
  </w:style>
  <w:style w:type="paragraph" w:styleId="a4">
    <w:name w:val="Body Text"/>
    <w:basedOn w:val="a"/>
    <w:link w:val="a5"/>
    <w:semiHidden/>
    <w:rsid w:val="00D8050E"/>
    <w:pPr>
      <w:jc w:val="both"/>
    </w:pPr>
  </w:style>
  <w:style w:type="character" w:customStyle="1" w:styleId="a5">
    <w:name w:val="本文 字元"/>
    <w:basedOn w:val="a0"/>
    <w:link w:val="a4"/>
    <w:semiHidden/>
    <w:rsid w:val="00D8050E"/>
    <w:rPr>
      <w:rFonts w:ascii="Times New Roman" w:eastAsia="新細明體" w:hAnsi="Times New Roman" w:cs="Times New Roman"/>
      <w:kern w:val="2"/>
      <w:sz w:val="24"/>
      <w:szCs w:val="24"/>
    </w:rPr>
  </w:style>
  <w:style w:type="paragraph" w:styleId="a6">
    <w:name w:val="footnote text"/>
    <w:basedOn w:val="a"/>
    <w:link w:val="a7"/>
    <w:uiPriority w:val="99"/>
    <w:semiHidden/>
    <w:unhideWhenUsed/>
    <w:rsid w:val="00D8050E"/>
    <w:rPr>
      <w:sz w:val="20"/>
      <w:szCs w:val="20"/>
    </w:rPr>
  </w:style>
  <w:style w:type="character" w:customStyle="1" w:styleId="a7">
    <w:name w:val="註腳文字 字元"/>
    <w:basedOn w:val="a0"/>
    <w:link w:val="a6"/>
    <w:uiPriority w:val="99"/>
    <w:semiHidden/>
    <w:rsid w:val="00D8050E"/>
    <w:rPr>
      <w:rFonts w:ascii="Times New Roman" w:eastAsia="新細明體" w:hAnsi="Times New Roman" w:cs="Times New Roman"/>
      <w:kern w:val="2"/>
      <w:sz w:val="20"/>
      <w:szCs w:val="20"/>
    </w:rPr>
  </w:style>
  <w:style w:type="character" w:styleId="a8">
    <w:name w:val="footnote reference"/>
    <w:uiPriority w:val="99"/>
    <w:semiHidden/>
    <w:unhideWhenUsed/>
    <w:rsid w:val="00D8050E"/>
    <w:rPr>
      <w:vertAlign w:val="superscript"/>
    </w:rPr>
  </w:style>
  <w:style w:type="paragraph" w:styleId="a9">
    <w:name w:val="header"/>
    <w:basedOn w:val="a"/>
    <w:link w:val="aa"/>
    <w:uiPriority w:val="99"/>
    <w:unhideWhenUsed/>
    <w:rsid w:val="00B4174F"/>
    <w:pPr>
      <w:tabs>
        <w:tab w:val="center" w:pos="4680"/>
        <w:tab w:val="right" w:pos="9360"/>
      </w:tabs>
    </w:pPr>
  </w:style>
  <w:style w:type="character" w:customStyle="1" w:styleId="aa">
    <w:name w:val="頁首 字元"/>
    <w:basedOn w:val="a0"/>
    <w:link w:val="a9"/>
    <w:uiPriority w:val="99"/>
    <w:rsid w:val="00B4174F"/>
    <w:rPr>
      <w:rFonts w:ascii="Times New Roman" w:eastAsia="新細明體" w:hAnsi="Times New Roman" w:cs="Times New Roman"/>
      <w:kern w:val="2"/>
      <w:sz w:val="24"/>
      <w:szCs w:val="24"/>
    </w:rPr>
  </w:style>
  <w:style w:type="paragraph" w:styleId="ab">
    <w:name w:val="footer"/>
    <w:basedOn w:val="a"/>
    <w:link w:val="ac"/>
    <w:uiPriority w:val="99"/>
    <w:unhideWhenUsed/>
    <w:rsid w:val="00B4174F"/>
    <w:pPr>
      <w:tabs>
        <w:tab w:val="center" w:pos="4680"/>
        <w:tab w:val="right" w:pos="9360"/>
      </w:tabs>
    </w:pPr>
  </w:style>
  <w:style w:type="character" w:customStyle="1" w:styleId="ac">
    <w:name w:val="頁尾 字元"/>
    <w:basedOn w:val="a0"/>
    <w:link w:val="ab"/>
    <w:uiPriority w:val="99"/>
    <w:rsid w:val="00B4174F"/>
    <w:rPr>
      <w:rFonts w:ascii="Times New Roman" w:eastAsia="新細明體" w:hAnsi="Times New Roman" w:cs="Times New Roman"/>
      <w:kern w:val="2"/>
      <w:sz w:val="24"/>
      <w:szCs w:val="24"/>
    </w:rPr>
  </w:style>
  <w:style w:type="paragraph" w:customStyle="1" w:styleId="Single">
    <w:name w:val="Single"/>
    <w:basedOn w:val="a"/>
    <w:rsid w:val="00D62406"/>
    <w:pPr>
      <w:widowControl/>
      <w:tabs>
        <w:tab w:val="left" w:pos="567"/>
        <w:tab w:val="left" w:pos="1134"/>
        <w:tab w:val="left" w:pos="1701"/>
        <w:tab w:val="left" w:pos="2268"/>
        <w:tab w:val="left" w:pos="2835"/>
        <w:tab w:val="left" w:pos="3402"/>
        <w:tab w:val="left" w:pos="3969"/>
        <w:tab w:val="left" w:pos="4536"/>
        <w:tab w:val="left" w:pos="5103"/>
        <w:tab w:val="left" w:pos="5670"/>
      </w:tabs>
      <w:jc w:val="both"/>
    </w:pPr>
    <w:rPr>
      <w:rFonts w:eastAsia="細明體"/>
      <w:lang w:val="en-GB"/>
    </w:rPr>
  </w:style>
  <w:style w:type="paragraph" w:customStyle="1" w:styleId="E-norm">
    <w:name w:val="E-norm"/>
    <w:basedOn w:val="a"/>
    <w:qFormat/>
    <w:rsid w:val="00D62406"/>
    <w:pPr>
      <w:adjustRightInd w:val="0"/>
      <w:jc w:val="both"/>
      <w:textAlignment w:val="baseline"/>
    </w:pPr>
    <w:rPr>
      <w:rFonts w:eastAsia="細明體"/>
      <w:kern w:val="0"/>
      <w:szCs w:val="20"/>
      <w:lang w:val="en-GB"/>
    </w:rPr>
  </w:style>
  <w:style w:type="paragraph" w:styleId="ad">
    <w:name w:val="Title"/>
    <w:basedOn w:val="a"/>
    <w:link w:val="ae"/>
    <w:qFormat/>
    <w:rsid w:val="00273A28"/>
    <w:pPr>
      <w:widowControl/>
      <w:overflowPunct w:val="0"/>
      <w:autoSpaceDE w:val="0"/>
      <w:autoSpaceDN w:val="0"/>
      <w:adjustRightInd w:val="0"/>
      <w:jc w:val="center"/>
      <w:textAlignment w:val="baseline"/>
    </w:pPr>
    <w:rPr>
      <w:rFonts w:ascii="CG Times (W1)" w:eastAsia="細明體" w:hAnsi="CG Times (W1)"/>
      <w:b/>
      <w:kern w:val="0"/>
      <w:szCs w:val="20"/>
      <w:lang w:val="en-GB"/>
    </w:rPr>
  </w:style>
  <w:style w:type="character" w:customStyle="1" w:styleId="ae">
    <w:name w:val="標題 字元"/>
    <w:basedOn w:val="a0"/>
    <w:link w:val="ad"/>
    <w:rsid w:val="00273A28"/>
    <w:rPr>
      <w:rFonts w:ascii="CG Times (W1)" w:eastAsia="細明體" w:hAnsi="CG Times (W1)" w:cs="Times New Roman"/>
      <w:b/>
      <w:sz w:val="24"/>
      <w:szCs w:val="20"/>
      <w:lang w:val="en-GB"/>
    </w:rPr>
  </w:style>
  <w:style w:type="paragraph" w:styleId="af">
    <w:name w:val="Balloon Text"/>
    <w:basedOn w:val="a"/>
    <w:link w:val="af0"/>
    <w:uiPriority w:val="99"/>
    <w:semiHidden/>
    <w:unhideWhenUsed/>
    <w:rsid w:val="00A623F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623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9239-CBAB-461B-931C-3FFED7A3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2910</Words>
  <Characters>16588</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Sandy PS CHEUNG </cp:lastModifiedBy>
  <cp:revision>8</cp:revision>
  <cp:lastPrinted>2022-07-13T05:55:00Z</cp:lastPrinted>
  <dcterms:created xsi:type="dcterms:W3CDTF">2022-07-13T03:45:00Z</dcterms:created>
  <dcterms:modified xsi:type="dcterms:W3CDTF">2022-07-25T03:01:00Z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