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75" w:rsidRPr="006E278B" w:rsidRDefault="00546875" w:rsidP="00C22AFE">
      <w:pPr>
        <w:pStyle w:val="aff8"/>
        <w:tabs>
          <w:tab w:val="left" w:pos="1276"/>
        </w:tabs>
        <w:overflowPunct w:val="0"/>
        <w:autoSpaceDE w:val="0"/>
        <w:autoSpaceDN w:val="0"/>
        <w:spacing w:after="0"/>
        <w:rPr>
          <w:rFonts w:eastAsia="華康楷書體W5"/>
          <w:szCs w:val="24"/>
        </w:rPr>
      </w:pPr>
      <w:bookmarkStart w:id="0" w:name="_GoBack"/>
      <w:bookmarkEnd w:id="0"/>
      <w:r w:rsidRPr="006E278B">
        <w:rPr>
          <w:rFonts w:eastAsia="華康楷書體W5"/>
          <w:szCs w:val="24"/>
        </w:rPr>
        <w:t>Case No. D18</w:t>
      </w:r>
      <w:r w:rsidRPr="006E278B">
        <w:rPr>
          <w:rFonts w:eastAsia="華康楷書體W5" w:hint="eastAsia"/>
          <w:szCs w:val="24"/>
          <w:lang w:eastAsia="zh-HK"/>
        </w:rPr>
        <w:t>/20</w:t>
      </w:r>
    </w:p>
    <w:p w:rsidR="00546875" w:rsidRDefault="00546875" w:rsidP="00C22AFE">
      <w:pPr>
        <w:tabs>
          <w:tab w:val="left" w:pos="1276"/>
        </w:tabs>
        <w:overflowPunct w:val="0"/>
        <w:autoSpaceDE w:val="0"/>
        <w:autoSpaceDN w:val="0"/>
        <w:jc w:val="both"/>
        <w:rPr>
          <w:rFonts w:eastAsia="華康楷書體W5" w:cs="華康楷書體W5"/>
        </w:rPr>
      </w:pPr>
    </w:p>
    <w:p w:rsidR="00FA761F" w:rsidRPr="006E278B" w:rsidRDefault="00FA761F" w:rsidP="00B76C83">
      <w:pPr>
        <w:tabs>
          <w:tab w:val="left" w:pos="1276"/>
        </w:tabs>
        <w:overflowPunct w:val="0"/>
        <w:autoSpaceDE w:val="0"/>
        <w:autoSpaceDN w:val="0"/>
        <w:jc w:val="both"/>
        <w:rPr>
          <w:rFonts w:eastAsia="華康楷書體W5" w:cs="華康楷書體W5"/>
        </w:rPr>
      </w:pPr>
    </w:p>
    <w:p w:rsidR="00546875" w:rsidRPr="006E278B" w:rsidRDefault="00546875" w:rsidP="00B76C83">
      <w:pPr>
        <w:tabs>
          <w:tab w:val="left" w:pos="1276"/>
        </w:tabs>
        <w:overflowPunct w:val="0"/>
        <w:autoSpaceDE w:val="0"/>
        <w:autoSpaceDN w:val="0"/>
        <w:jc w:val="both"/>
        <w:rPr>
          <w:rFonts w:eastAsia="華康楷書體W5" w:cs="華康楷書體W5"/>
        </w:rPr>
      </w:pPr>
    </w:p>
    <w:p w:rsidR="00546875" w:rsidRPr="006E278B" w:rsidRDefault="00546875" w:rsidP="00B76C83">
      <w:pPr>
        <w:tabs>
          <w:tab w:val="left" w:pos="1276"/>
        </w:tabs>
        <w:overflowPunct w:val="0"/>
        <w:autoSpaceDE w:val="0"/>
        <w:autoSpaceDN w:val="0"/>
        <w:jc w:val="both"/>
        <w:rPr>
          <w:rFonts w:eastAsia="華康楷書體W5"/>
        </w:rPr>
      </w:pPr>
    </w:p>
    <w:p w:rsidR="00FA761F" w:rsidRPr="006E4A39" w:rsidRDefault="00FA761F" w:rsidP="00B76C83">
      <w:pPr>
        <w:overflowPunct w:val="0"/>
        <w:autoSpaceDE w:val="0"/>
        <w:autoSpaceDN w:val="0"/>
        <w:jc w:val="both"/>
      </w:pPr>
      <w:r>
        <w:rPr>
          <w:b/>
        </w:rPr>
        <w:t xml:space="preserve">Salaries tax </w:t>
      </w:r>
      <w:r w:rsidRPr="00B76C83">
        <w:t>–</w:t>
      </w:r>
      <w:r>
        <w:rPr>
          <w:b/>
        </w:rPr>
        <w:t xml:space="preserve"> </w:t>
      </w:r>
      <w:r>
        <w:t>payment in lieu of termination notice – notice period covering two financial years – whether payment fully assessed in the first financial year – sections 2(1), 8(1), 9(1), 11B, 11C, 11D and 68(4) of the Inland Revenue Ordinance (‘</w:t>
      </w:r>
      <w:r w:rsidRPr="00FA761F">
        <w:rPr>
          <w:bCs/>
        </w:rPr>
        <w:t>IRO</w:t>
      </w:r>
      <w:r>
        <w:t>’)</w:t>
      </w:r>
    </w:p>
    <w:p w:rsidR="00546875" w:rsidRPr="00FA761F" w:rsidRDefault="00546875" w:rsidP="00B76C83">
      <w:pPr>
        <w:tabs>
          <w:tab w:val="left" w:pos="1276"/>
        </w:tabs>
        <w:overflowPunct w:val="0"/>
        <w:autoSpaceDE w:val="0"/>
        <w:autoSpaceDN w:val="0"/>
        <w:jc w:val="both"/>
        <w:rPr>
          <w:rFonts w:eastAsia="華康楷書體W5"/>
        </w:rPr>
      </w:pPr>
    </w:p>
    <w:p w:rsidR="00546875" w:rsidRPr="006E278B" w:rsidRDefault="00546875" w:rsidP="00B76C83">
      <w:pPr>
        <w:tabs>
          <w:tab w:val="left" w:pos="840"/>
          <w:tab w:val="left" w:pos="1276"/>
        </w:tabs>
        <w:overflowPunct w:val="0"/>
        <w:autoSpaceDE w:val="0"/>
        <w:autoSpaceDN w:val="0"/>
        <w:ind w:left="756" w:hangingChars="300" w:hanging="756"/>
        <w:jc w:val="both"/>
        <w:rPr>
          <w:rFonts w:eastAsia="華康楷書體W5"/>
        </w:rPr>
      </w:pPr>
      <w:r w:rsidRPr="006E278B">
        <w:rPr>
          <w:rFonts w:eastAsia="華康楷書體W5"/>
        </w:rPr>
        <w:t>Panel:</w:t>
      </w:r>
      <w:r w:rsidRPr="006E278B">
        <w:rPr>
          <w:rFonts w:eastAsia="華康楷書體W5" w:hint="eastAsia"/>
        </w:rPr>
        <w:t xml:space="preserve"> </w:t>
      </w:r>
      <w:r w:rsidRPr="006E278B">
        <w:rPr>
          <w:rFonts w:eastAsia="華康楷書體W5"/>
          <w:lang w:eastAsia="zh-HK"/>
        </w:rPr>
        <w:t xml:space="preserve">Wong </w:t>
      </w:r>
      <w:proofErr w:type="spellStart"/>
      <w:r w:rsidRPr="006E278B">
        <w:rPr>
          <w:rFonts w:eastAsia="華康楷書體W5"/>
          <w:lang w:eastAsia="zh-HK"/>
        </w:rPr>
        <w:t>Kwai</w:t>
      </w:r>
      <w:proofErr w:type="spellEnd"/>
      <w:r w:rsidRPr="006E278B">
        <w:rPr>
          <w:rFonts w:eastAsia="華康楷書體W5"/>
          <w:lang w:eastAsia="zh-HK"/>
        </w:rPr>
        <w:t xml:space="preserve"> </w:t>
      </w:r>
      <w:proofErr w:type="spellStart"/>
      <w:r w:rsidRPr="006E278B">
        <w:rPr>
          <w:rFonts w:eastAsia="華康楷書體W5"/>
          <w:lang w:eastAsia="zh-HK"/>
        </w:rPr>
        <w:t>Huen</w:t>
      </w:r>
      <w:proofErr w:type="spellEnd"/>
      <w:r w:rsidRPr="006E278B">
        <w:rPr>
          <w:rFonts w:eastAsia="華康楷書體W5" w:hint="eastAsia"/>
        </w:rPr>
        <w:t xml:space="preserve"> </w:t>
      </w:r>
      <w:r w:rsidRPr="006E278B">
        <w:rPr>
          <w:rFonts w:eastAsia="華康楷書體W5"/>
        </w:rPr>
        <w:t>(chairm</w:t>
      </w:r>
      <w:r w:rsidRPr="006E278B">
        <w:rPr>
          <w:rFonts w:eastAsia="華康楷書體W5"/>
          <w:lang w:eastAsia="zh-HK"/>
        </w:rPr>
        <w:t>an),</w:t>
      </w:r>
      <w:r w:rsidRPr="006E278B">
        <w:rPr>
          <w:rFonts w:eastAsia="華康楷書體W5" w:hint="eastAsia"/>
          <w:lang w:eastAsia="zh-HK"/>
        </w:rPr>
        <w:t xml:space="preserve"> </w:t>
      </w:r>
      <w:r w:rsidRPr="006E278B">
        <w:rPr>
          <w:rFonts w:eastAsia="華康楷書體W5"/>
          <w:lang w:eastAsia="zh-HK"/>
        </w:rPr>
        <w:t xml:space="preserve">Lee Wong </w:t>
      </w:r>
      <w:proofErr w:type="spellStart"/>
      <w:r w:rsidRPr="006E278B">
        <w:rPr>
          <w:rFonts w:eastAsia="華康楷書體W5"/>
          <w:lang w:eastAsia="zh-HK"/>
        </w:rPr>
        <w:t>Wai</w:t>
      </w:r>
      <w:proofErr w:type="spellEnd"/>
      <w:r w:rsidRPr="006E278B">
        <w:rPr>
          <w:rFonts w:eastAsia="華康楷書體W5"/>
          <w:lang w:eastAsia="zh-HK"/>
        </w:rPr>
        <w:t xml:space="preserve"> Ling</w:t>
      </w:r>
      <w:r w:rsidRPr="006E278B">
        <w:rPr>
          <w:rFonts w:eastAsia="華康楷書體W5" w:hint="eastAsia"/>
          <w:lang w:eastAsia="zh-HK"/>
        </w:rPr>
        <w:t xml:space="preserve"> and </w:t>
      </w:r>
      <w:r w:rsidRPr="006E278B">
        <w:rPr>
          <w:rFonts w:eastAsia="華康楷書體W5"/>
          <w:lang w:eastAsia="zh-HK"/>
        </w:rPr>
        <w:t>Yuen Hoi Ying</w:t>
      </w:r>
      <w:r w:rsidRPr="006E278B">
        <w:rPr>
          <w:rFonts w:eastAsia="華康楷書體W5" w:hint="eastAsia"/>
          <w:lang w:eastAsia="zh-HK"/>
        </w:rPr>
        <w:t>.</w:t>
      </w:r>
    </w:p>
    <w:p w:rsidR="00546875" w:rsidRPr="006E278B" w:rsidRDefault="00546875" w:rsidP="00B76C83">
      <w:pPr>
        <w:tabs>
          <w:tab w:val="left" w:pos="840"/>
          <w:tab w:val="left" w:pos="1276"/>
        </w:tabs>
        <w:overflowPunct w:val="0"/>
        <w:autoSpaceDE w:val="0"/>
        <w:autoSpaceDN w:val="0"/>
        <w:jc w:val="both"/>
        <w:rPr>
          <w:rFonts w:eastAsia="華康楷書體W5"/>
        </w:rPr>
      </w:pPr>
    </w:p>
    <w:p w:rsidR="00546875" w:rsidRPr="006E278B" w:rsidRDefault="00546875" w:rsidP="00B76C83">
      <w:pPr>
        <w:tabs>
          <w:tab w:val="left" w:pos="840"/>
          <w:tab w:val="left" w:pos="1276"/>
        </w:tabs>
        <w:overflowPunct w:val="0"/>
        <w:autoSpaceDE w:val="0"/>
        <w:autoSpaceDN w:val="0"/>
        <w:jc w:val="both"/>
        <w:rPr>
          <w:rFonts w:eastAsia="華康楷書體W5"/>
        </w:rPr>
      </w:pPr>
      <w:r w:rsidRPr="006E278B">
        <w:rPr>
          <w:rFonts w:eastAsia="華康楷書體W5"/>
        </w:rPr>
        <w:t>Date of hearing: 20 November 2020</w:t>
      </w:r>
      <w:r w:rsidRPr="006E278B">
        <w:rPr>
          <w:rFonts w:hint="eastAsia"/>
        </w:rPr>
        <w:t>.</w:t>
      </w:r>
    </w:p>
    <w:p w:rsidR="00546875" w:rsidRPr="006E278B" w:rsidRDefault="00546875" w:rsidP="00B76C83">
      <w:pPr>
        <w:tabs>
          <w:tab w:val="left" w:pos="840"/>
          <w:tab w:val="left" w:pos="1276"/>
        </w:tabs>
        <w:overflowPunct w:val="0"/>
        <w:autoSpaceDE w:val="0"/>
        <w:autoSpaceDN w:val="0"/>
        <w:jc w:val="both"/>
        <w:rPr>
          <w:rFonts w:eastAsia="華康楷書體W5"/>
        </w:rPr>
      </w:pPr>
      <w:r w:rsidRPr="006E278B">
        <w:rPr>
          <w:rFonts w:eastAsia="華康楷書體W5"/>
        </w:rPr>
        <w:t>Date of decision:</w:t>
      </w:r>
      <w:r w:rsidRPr="006E278B">
        <w:rPr>
          <w:rFonts w:eastAsia="華康楷書體W5" w:hint="eastAsia"/>
        </w:rPr>
        <w:t xml:space="preserve"> </w:t>
      </w:r>
      <w:r w:rsidRPr="006E278B">
        <w:rPr>
          <w:rFonts w:eastAsia="華康楷書體W5"/>
        </w:rPr>
        <w:t xml:space="preserve">18 February </w:t>
      </w:r>
      <w:r w:rsidRPr="006E278B">
        <w:rPr>
          <w:rFonts w:hint="eastAsia"/>
        </w:rPr>
        <w:t>202</w:t>
      </w:r>
      <w:r w:rsidRPr="006E278B">
        <w:t>1</w:t>
      </w:r>
      <w:r w:rsidRPr="006E278B">
        <w:rPr>
          <w:rFonts w:hint="eastAsia"/>
        </w:rPr>
        <w:t>.</w:t>
      </w:r>
    </w:p>
    <w:p w:rsidR="00546875" w:rsidRPr="006E278B" w:rsidRDefault="00546875" w:rsidP="00B76C83">
      <w:pPr>
        <w:tabs>
          <w:tab w:val="left" w:pos="840"/>
          <w:tab w:val="left" w:pos="1276"/>
        </w:tabs>
        <w:overflowPunct w:val="0"/>
        <w:autoSpaceDE w:val="0"/>
        <w:autoSpaceDN w:val="0"/>
        <w:jc w:val="both"/>
        <w:rPr>
          <w:rFonts w:eastAsia="華康楷書體W5"/>
          <w:lang w:eastAsia="zh-HK"/>
        </w:rPr>
      </w:pPr>
    </w:p>
    <w:p w:rsidR="00546875" w:rsidRPr="006E278B" w:rsidRDefault="00546875" w:rsidP="00B76C83">
      <w:pPr>
        <w:tabs>
          <w:tab w:val="left" w:pos="840"/>
          <w:tab w:val="left" w:pos="1276"/>
        </w:tabs>
        <w:overflowPunct w:val="0"/>
        <w:autoSpaceDE w:val="0"/>
        <w:autoSpaceDN w:val="0"/>
        <w:jc w:val="both"/>
        <w:rPr>
          <w:rFonts w:eastAsia="華康楷書體W5"/>
          <w:lang w:eastAsia="zh-HK"/>
        </w:rPr>
      </w:pPr>
    </w:p>
    <w:p w:rsidR="00FA761F" w:rsidRPr="00D25FB4" w:rsidRDefault="00FA761F" w:rsidP="00B76C83">
      <w:pPr>
        <w:pStyle w:val="afd"/>
        <w:widowControl w:val="0"/>
        <w:overflowPunct w:val="0"/>
        <w:autoSpaceDE w:val="0"/>
        <w:autoSpaceDN w:val="0"/>
        <w:adjustRightInd w:val="0"/>
        <w:snapToGrid w:val="0"/>
        <w:ind w:left="0" w:firstLineChars="450" w:firstLine="1080"/>
        <w:jc w:val="both"/>
        <w:rPr>
          <w:lang w:eastAsia="zh-HK"/>
        </w:rPr>
      </w:pPr>
      <w:r>
        <w:rPr>
          <w:lang w:eastAsia="zh-HK"/>
        </w:rPr>
        <w:t>T</w:t>
      </w:r>
      <w:r w:rsidRPr="00E223A2">
        <w:rPr>
          <w:lang w:eastAsia="zh-HK"/>
        </w:rPr>
        <w:t xml:space="preserve">he </w:t>
      </w:r>
      <w:r>
        <w:t>a</w:t>
      </w:r>
      <w:r w:rsidRPr="00E223A2">
        <w:t>ppellant</w:t>
      </w:r>
      <w:r w:rsidRPr="00E223A2">
        <w:rPr>
          <w:lang w:eastAsia="zh-HK"/>
        </w:rPr>
        <w:t xml:space="preserve"> was employed by B</w:t>
      </w:r>
      <w:r>
        <w:rPr>
          <w:lang w:eastAsia="zh-HK"/>
        </w:rPr>
        <w:t xml:space="preserve"> and the employment could be terminated by 6 months’ notice</w:t>
      </w:r>
      <w:r w:rsidRPr="00E223A2">
        <w:rPr>
          <w:lang w:eastAsia="zh-HK"/>
        </w:rPr>
        <w:t>.</w:t>
      </w:r>
      <w:r>
        <w:rPr>
          <w:lang w:eastAsia="zh-HK"/>
        </w:rPr>
        <w:t xml:space="preserve"> In</w:t>
      </w:r>
      <w:r w:rsidRPr="00E223A2">
        <w:rPr>
          <w:lang w:eastAsia="zh-HK"/>
        </w:rPr>
        <w:t xml:space="preserve"> 2018, B informed the </w:t>
      </w:r>
      <w:r>
        <w:t>a</w:t>
      </w:r>
      <w:r w:rsidRPr="00E223A2">
        <w:t>ppellant</w:t>
      </w:r>
      <w:r>
        <w:rPr>
          <w:lang w:eastAsia="zh-HK"/>
        </w:rPr>
        <w:t xml:space="preserve"> that it</w:t>
      </w:r>
      <w:r w:rsidRPr="00E223A2">
        <w:rPr>
          <w:lang w:eastAsia="zh-HK"/>
        </w:rPr>
        <w:t xml:space="preserve"> </w:t>
      </w:r>
      <w:r>
        <w:rPr>
          <w:lang w:eastAsia="zh-HK"/>
        </w:rPr>
        <w:t>would</w:t>
      </w:r>
      <w:r w:rsidRPr="00E223A2">
        <w:rPr>
          <w:lang w:eastAsia="zh-HK"/>
        </w:rPr>
        <w:t xml:space="preserve"> terminate the </w:t>
      </w:r>
      <w:r>
        <w:rPr>
          <w:lang w:eastAsia="zh-HK"/>
        </w:rPr>
        <w:t xml:space="preserve">latter’s </w:t>
      </w:r>
      <w:r w:rsidRPr="00E223A2">
        <w:rPr>
          <w:lang w:eastAsia="zh-HK"/>
        </w:rPr>
        <w:t>employment with effect from 24 November 2018</w:t>
      </w:r>
      <w:r>
        <w:rPr>
          <w:lang w:eastAsia="zh-HK"/>
        </w:rPr>
        <w:t>, giving</w:t>
      </w:r>
      <w:r w:rsidRPr="00E223A2">
        <w:rPr>
          <w:lang w:eastAsia="zh-HK"/>
        </w:rPr>
        <w:t xml:space="preserve"> the </w:t>
      </w:r>
      <w:r>
        <w:t>a</w:t>
      </w:r>
      <w:r w:rsidRPr="00E223A2">
        <w:t>ppellant</w:t>
      </w:r>
      <w:r w:rsidRPr="00E223A2">
        <w:rPr>
          <w:lang w:eastAsia="zh-HK"/>
        </w:rPr>
        <w:t xml:space="preserve"> 6 months’ payment in lieu of notice</w:t>
      </w:r>
      <w:r>
        <w:rPr>
          <w:lang w:eastAsia="zh-HK"/>
        </w:rPr>
        <w:t xml:space="preserve"> in the sum of $398,760 (‘</w:t>
      </w:r>
      <w:r w:rsidRPr="00FA761F">
        <w:rPr>
          <w:bCs/>
          <w:lang w:eastAsia="zh-HK"/>
        </w:rPr>
        <w:t>Sum</w:t>
      </w:r>
      <w:r>
        <w:rPr>
          <w:lang w:eastAsia="zh-HK"/>
        </w:rPr>
        <w:t>’). T</w:t>
      </w:r>
      <w:r w:rsidRPr="00E223A2">
        <w:rPr>
          <w:lang w:eastAsia="zh-HK"/>
        </w:rPr>
        <w:t xml:space="preserve">he </w:t>
      </w:r>
      <w:r>
        <w:rPr>
          <w:lang w:eastAsia="zh-HK"/>
        </w:rPr>
        <w:t>Commissioner</w:t>
      </w:r>
      <w:r w:rsidRPr="00E223A2">
        <w:rPr>
          <w:lang w:eastAsia="zh-HK"/>
        </w:rPr>
        <w:t xml:space="preserve"> raised </w:t>
      </w:r>
      <w:r>
        <w:rPr>
          <w:lang w:eastAsia="zh-HK"/>
        </w:rPr>
        <w:t>S</w:t>
      </w:r>
      <w:r w:rsidRPr="00E223A2">
        <w:rPr>
          <w:lang w:eastAsia="zh-HK"/>
        </w:rPr>
        <w:t xml:space="preserve">alaries </w:t>
      </w:r>
      <w:r>
        <w:rPr>
          <w:lang w:eastAsia="zh-HK"/>
        </w:rPr>
        <w:t>T</w:t>
      </w:r>
      <w:r w:rsidRPr="00E223A2">
        <w:rPr>
          <w:lang w:eastAsia="zh-HK"/>
        </w:rPr>
        <w:t xml:space="preserve">ax </w:t>
      </w:r>
      <w:r>
        <w:rPr>
          <w:lang w:eastAsia="zh-HK"/>
        </w:rPr>
        <w:t>A</w:t>
      </w:r>
      <w:r w:rsidRPr="00E223A2">
        <w:rPr>
          <w:lang w:eastAsia="zh-HK"/>
        </w:rPr>
        <w:t>ssessment for the year 2018/19</w:t>
      </w:r>
      <w:r>
        <w:rPr>
          <w:lang w:eastAsia="zh-HK"/>
        </w:rPr>
        <w:t xml:space="preserve"> on the appellant, who</w:t>
      </w:r>
      <w:r w:rsidRPr="00E223A2">
        <w:rPr>
          <w:lang w:eastAsia="zh-HK"/>
        </w:rPr>
        <w:t xml:space="preserve"> objected to the assessment</w:t>
      </w:r>
      <w:r>
        <w:rPr>
          <w:lang w:eastAsia="zh-HK"/>
        </w:rPr>
        <w:t>,</w:t>
      </w:r>
      <w:r w:rsidRPr="00E223A2">
        <w:rPr>
          <w:lang w:eastAsia="zh-HK"/>
        </w:rPr>
        <w:t xml:space="preserve"> claiming that </w:t>
      </w:r>
      <w:r>
        <w:rPr>
          <w:lang w:eastAsia="zh-HK"/>
        </w:rPr>
        <w:t xml:space="preserve">part of </w:t>
      </w:r>
      <w:r w:rsidRPr="00E223A2">
        <w:rPr>
          <w:lang w:eastAsia="zh-HK"/>
        </w:rPr>
        <w:t>the Sum was income relating to the period from 1 April 2019 to 23 May 2019</w:t>
      </w:r>
      <w:r>
        <w:rPr>
          <w:lang w:eastAsia="zh-HK"/>
        </w:rPr>
        <w:t xml:space="preserve"> and</w:t>
      </w:r>
      <w:r w:rsidRPr="00E223A2">
        <w:rPr>
          <w:lang w:eastAsia="zh-HK"/>
        </w:rPr>
        <w:t xml:space="preserve"> should be assessed in the year 2019/20. </w:t>
      </w:r>
      <w:r>
        <w:rPr>
          <w:lang w:eastAsia="zh-HK"/>
        </w:rPr>
        <w:t>The Commissioner confirmed the assessment despite the objection.</w:t>
      </w:r>
    </w:p>
    <w:p w:rsidR="00FA761F" w:rsidRDefault="00FA761F" w:rsidP="00B76C83">
      <w:pPr>
        <w:pStyle w:val="afd"/>
        <w:widowControl w:val="0"/>
        <w:overflowPunct w:val="0"/>
        <w:autoSpaceDE w:val="0"/>
        <w:autoSpaceDN w:val="0"/>
        <w:adjustRightInd w:val="0"/>
        <w:snapToGrid w:val="0"/>
        <w:ind w:left="0" w:firstLineChars="450" w:firstLine="1080"/>
        <w:jc w:val="both"/>
        <w:rPr>
          <w:lang w:eastAsia="zh-HK"/>
        </w:rPr>
      </w:pPr>
    </w:p>
    <w:p w:rsidR="00FA761F" w:rsidRPr="00E223A2" w:rsidRDefault="00FA761F" w:rsidP="00B76C83">
      <w:pPr>
        <w:pStyle w:val="afd"/>
        <w:widowControl w:val="0"/>
        <w:overflowPunct w:val="0"/>
        <w:autoSpaceDE w:val="0"/>
        <w:autoSpaceDN w:val="0"/>
        <w:adjustRightInd w:val="0"/>
        <w:snapToGrid w:val="0"/>
        <w:ind w:left="0" w:firstLineChars="450" w:firstLine="1080"/>
        <w:jc w:val="both"/>
        <w:rPr>
          <w:lang w:eastAsia="zh-HK"/>
        </w:rPr>
      </w:pPr>
      <w:r>
        <w:rPr>
          <w:lang w:eastAsia="zh-HK"/>
        </w:rPr>
        <w:t>In the appeal before the Board, the appellant contended that: (a) u</w:t>
      </w:r>
      <w:r w:rsidRPr="00E223A2">
        <w:rPr>
          <w:lang w:eastAsia="zh-HK"/>
        </w:rPr>
        <w:t xml:space="preserve">pon termination, </w:t>
      </w:r>
      <w:r>
        <w:rPr>
          <w:lang w:eastAsia="zh-HK"/>
        </w:rPr>
        <w:t>he</w:t>
      </w:r>
      <w:r w:rsidRPr="00E223A2">
        <w:rPr>
          <w:lang w:eastAsia="zh-HK"/>
        </w:rPr>
        <w:t xml:space="preserve"> signed a Non-Disclosure Agreement (</w:t>
      </w:r>
      <w:r>
        <w:rPr>
          <w:lang w:eastAsia="zh-HK"/>
        </w:rPr>
        <w:t>‘</w:t>
      </w:r>
      <w:r w:rsidRPr="00FA761F">
        <w:rPr>
          <w:bCs/>
          <w:lang w:eastAsia="zh-HK"/>
        </w:rPr>
        <w:t>NDA</w:t>
      </w:r>
      <w:r>
        <w:rPr>
          <w:lang w:eastAsia="zh-HK"/>
        </w:rPr>
        <w:t>’</w:t>
      </w:r>
      <w:r w:rsidRPr="00E223A2">
        <w:rPr>
          <w:lang w:eastAsia="zh-HK"/>
        </w:rPr>
        <w:t xml:space="preserve">) </w:t>
      </w:r>
      <w:r>
        <w:rPr>
          <w:lang w:eastAsia="zh-HK"/>
        </w:rPr>
        <w:t xml:space="preserve">with B </w:t>
      </w:r>
      <w:r w:rsidRPr="00E223A2">
        <w:rPr>
          <w:lang w:eastAsia="zh-HK"/>
        </w:rPr>
        <w:t xml:space="preserve">which provided that </w:t>
      </w:r>
      <w:r>
        <w:rPr>
          <w:lang w:eastAsia="zh-HK"/>
        </w:rPr>
        <w:t>he</w:t>
      </w:r>
      <w:r w:rsidRPr="00E223A2">
        <w:rPr>
          <w:lang w:eastAsia="zh-HK"/>
        </w:rPr>
        <w:t xml:space="preserve"> </w:t>
      </w:r>
      <w:r>
        <w:rPr>
          <w:lang w:eastAsia="zh-HK"/>
        </w:rPr>
        <w:t>should</w:t>
      </w:r>
      <w:r w:rsidRPr="00E223A2">
        <w:rPr>
          <w:lang w:eastAsia="zh-HK"/>
        </w:rPr>
        <w:t xml:space="preserve"> not be engaged with </w:t>
      </w:r>
      <w:r>
        <w:rPr>
          <w:lang w:eastAsia="zh-HK"/>
        </w:rPr>
        <w:t>B’s</w:t>
      </w:r>
      <w:r w:rsidRPr="00E223A2">
        <w:rPr>
          <w:lang w:eastAsia="zh-HK"/>
        </w:rPr>
        <w:t xml:space="preserve"> staff for a period of no more than </w:t>
      </w:r>
      <w:r>
        <w:rPr>
          <w:lang w:eastAsia="zh-HK"/>
        </w:rPr>
        <w:t>6</w:t>
      </w:r>
      <w:r w:rsidRPr="00E223A2">
        <w:rPr>
          <w:lang w:eastAsia="zh-HK"/>
        </w:rPr>
        <w:t xml:space="preserve"> months</w:t>
      </w:r>
      <w:r>
        <w:rPr>
          <w:lang w:eastAsia="zh-HK"/>
        </w:rPr>
        <w:t>; (b) t</w:t>
      </w:r>
      <w:r w:rsidRPr="00E223A2">
        <w:rPr>
          <w:lang w:eastAsia="zh-HK"/>
        </w:rPr>
        <w:t xml:space="preserve">he </w:t>
      </w:r>
      <w:r>
        <w:rPr>
          <w:lang w:eastAsia="zh-HK"/>
        </w:rPr>
        <w:t>a</w:t>
      </w:r>
      <w:r w:rsidRPr="00E223A2">
        <w:rPr>
          <w:lang w:eastAsia="zh-HK"/>
        </w:rPr>
        <w:t xml:space="preserve">ppellant received an offer </w:t>
      </w:r>
      <w:r>
        <w:rPr>
          <w:lang w:eastAsia="zh-HK"/>
        </w:rPr>
        <w:t>in</w:t>
      </w:r>
      <w:r w:rsidRPr="00E223A2">
        <w:rPr>
          <w:lang w:eastAsia="zh-HK"/>
        </w:rPr>
        <w:t xml:space="preserve"> January 2019 but had to turn it down because of the NDA and the fact that he had received </w:t>
      </w:r>
      <w:r>
        <w:rPr>
          <w:lang w:eastAsia="zh-HK"/>
        </w:rPr>
        <w:t>the Sum</w:t>
      </w:r>
      <w:r w:rsidRPr="00E223A2">
        <w:rPr>
          <w:lang w:eastAsia="zh-HK"/>
        </w:rPr>
        <w:t xml:space="preserve"> from </w:t>
      </w:r>
      <w:r>
        <w:rPr>
          <w:lang w:eastAsia="zh-HK"/>
        </w:rPr>
        <w:t xml:space="preserve">B; (c) </w:t>
      </w:r>
      <w:r w:rsidRPr="00E223A2">
        <w:rPr>
          <w:lang w:eastAsia="zh-HK"/>
        </w:rPr>
        <w:t xml:space="preserve">payment of </w:t>
      </w:r>
      <w:r>
        <w:rPr>
          <w:lang w:eastAsia="zh-HK"/>
        </w:rPr>
        <w:t>the Sum</w:t>
      </w:r>
      <w:r w:rsidRPr="00E223A2">
        <w:rPr>
          <w:lang w:eastAsia="zh-HK"/>
        </w:rPr>
        <w:t xml:space="preserve"> precluded him from being employed in a similar capacity until 23 May 2019</w:t>
      </w:r>
      <w:r>
        <w:rPr>
          <w:lang w:eastAsia="zh-HK"/>
        </w:rPr>
        <w:t xml:space="preserve">; (d) </w:t>
      </w:r>
      <w:r w:rsidRPr="00E223A2">
        <w:rPr>
          <w:lang w:eastAsia="zh-HK"/>
        </w:rPr>
        <w:t xml:space="preserve">he had received </w:t>
      </w:r>
      <w:r>
        <w:rPr>
          <w:lang w:eastAsia="zh-HK"/>
        </w:rPr>
        <w:t>similar payments</w:t>
      </w:r>
      <w:r w:rsidRPr="00E223A2">
        <w:rPr>
          <w:lang w:eastAsia="zh-HK"/>
        </w:rPr>
        <w:t xml:space="preserve"> upon</w:t>
      </w:r>
      <w:r>
        <w:rPr>
          <w:lang w:eastAsia="zh-HK"/>
        </w:rPr>
        <w:t xml:space="preserve"> </w:t>
      </w:r>
      <w:r w:rsidRPr="00E223A2">
        <w:rPr>
          <w:lang w:eastAsia="zh-HK"/>
        </w:rPr>
        <w:t>termination on two previous occasions</w:t>
      </w:r>
      <w:r>
        <w:rPr>
          <w:lang w:eastAsia="zh-HK"/>
        </w:rPr>
        <w:t>, n</w:t>
      </w:r>
      <w:r w:rsidRPr="00E223A2">
        <w:rPr>
          <w:lang w:eastAsia="zh-HK"/>
        </w:rPr>
        <w:t>either of them were chargeable to any tax</w:t>
      </w:r>
      <w:r>
        <w:rPr>
          <w:lang w:eastAsia="zh-HK"/>
        </w:rPr>
        <w:t>; and (e) he would have to pay more tax if the Sum was assessed fully in 2018/19</w:t>
      </w:r>
      <w:r w:rsidRPr="00E223A2">
        <w:rPr>
          <w:lang w:eastAsia="zh-HK"/>
        </w:rPr>
        <w:t>.</w:t>
      </w:r>
    </w:p>
    <w:p w:rsidR="00FA761F" w:rsidRDefault="00FA761F" w:rsidP="00B76C83">
      <w:pPr>
        <w:overflowPunct w:val="0"/>
        <w:autoSpaceDE w:val="0"/>
        <w:autoSpaceDN w:val="0"/>
        <w:jc w:val="both"/>
        <w:rPr>
          <w:b/>
        </w:rPr>
      </w:pPr>
    </w:p>
    <w:p w:rsidR="00FA761F" w:rsidRDefault="00FA761F" w:rsidP="00B76C83">
      <w:pPr>
        <w:overflowPunct w:val="0"/>
        <w:autoSpaceDE w:val="0"/>
        <w:autoSpaceDN w:val="0"/>
        <w:jc w:val="both"/>
        <w:rPr>
          <w:b/>
        </w:rPr>
      </w:pPr>
    </w:p>
    <w:p w:rsidR="00FA761F" w:rsidRDefault="00FA761F" w:rsidP="00B76C83">
      <w:pPr>
        <w:overflowPunct w:val="0"/>
        <w:autoSpaceDE w:val="0"/>
        <w:autoSpaceDN w:val="0"/>
        <w:ind w:leftChars="450" w:left="1080"/>
        <w:jc w:val="both"/>
        <w:rPr>
          <w:b/>
        </w:rPr>
      </w:pPr>
      <w:r>
        <w:rPr>
          <w:b/>
        </w:rPr>
        <w:t>Held:</w:t>
      </w:r>
    </w:p>
    <w:p w:rsidR="00FA761F" w:rsidRDefault="00FA761F" w:rsidP="00B76C83">
      <w:pPr>
        <w:overflowPunct w:val="0"/>
        <w:autoSpaceDE w:val="0"/>
        <w:autoSpaceDN w:val="0"/>
        <w:jc w:val="both"/>
        <w:rPr>
          <w:b/>
        </w:rPr>
      </w:pPr>
    </w:p>
    <w:p w:rsidR="00FA761F" w:rsidRDefault="00FA761F" w:rsidP="00B76C83">
      <w:pPr>
        <w:numPr>
          <w:ilvl w:val="0"/>
          <w:numId w:val="44"/>
        </w:numPr>
        <w:overflowPunct w:val="0"/>
        <w:autoSpaceDE w:val="0"/>
        <w:autoSpaceDN w:val="0"/>
        <w:ind w:leftChars="450" w:left="1560" w:hangingChars="200" w:hanging="480"/>
        <w:jc w:val="both"/>
        <w:rPr>
          <w:rFonts w:eastAsia="華康楷書體W5"/>
          <w:lang w:eastAsia="zh-HK"/>
        </w:rPr>
      </w:pPr>
      <w:r>
        <w:rPr>
          <w:bCs/>
        </w:rPr>
        <w:t>The</w:t>
      </w:r>
      <w:r w:rsidRPr="00071380">
        <w:rPr>
          <w:lang w:eastAsia="zh-HK"/>
        </w:rPr>
        <w:t xml:space="preserve"> </w:t>
      </w:r>
      <w:r>
        <w:rPr>
          <w:lang w:eastAsia="zh-HK"/>
        </w:rPr>
        <w:t>a</w:t>
      </w:r>
      <w:r w:rsidRPr="00071380">
        <w:rPr>
          <w:lang w:eastAsia="zh-HK"/>
        </w:rPr>
        <w:t xml:space="preserve">ppellant’s last employment date was 23 November 2018. </w:t>
      </w:r>
      <w:r w:rsidRPr="00071380">
        <w:t xml:space="preserve">By </w:t>
      </w:r>
      <w:r>
        <w:t xml:space="preserve">the </w:t>
      </w:r>
      <w:r w:rsidRPr="00071380">
        <w:t>operation of section 11C</w:t>
      </w:r>
      <w:r>
        <w:t xml:space="preserve"> and proviso (ii) to section 11D</w:t>
      </w:r>
      <w:r w:rsidRPr="00071380">
        <w:t>, the appellant was deemed to cease to derive income from B effective from 24 November 2018</w:t>
      </w:r>
      <w:r>
        <w:t xml:space="preserve"> and </w:t>
      </w:r>
      <w:r w:rsidRPr="00071380">
        <w:t xml:space="preserve">the Sum was deemed to have accrued to the </w:t>
      </w:r>
      <w:r>
        <w:t>a</w:t>
      </w:r>
      <w:r w:rsidRPr="00071380">
        <w:t xml:space="preserve">ppellant on 23 November 2018. It followed that the Sum should be included as the </w:t>
      </w:r>
      <w:r>
        <w:t>a</w:t>
      </w:r>
      <w:r w:rsidRPr="00071380">
        <w:t>ppellant’s assessable income for the year 2018/19</w:t>
      </w:r>
      <w:r>
        <w:t xml:space="preserve"> </w:t>
      </w:r>
      <w:r w:rsidRPr="00071380">
        <w:t>(</w:t>
      </w:r>
      <w:r w:rsidRPr="00FA761F">
        <w:rPr>
          <w:rFonts w:eastAsia="華康楷書體W5"/>
          <w:u w:val="single"/>
          <w:lang w:eastAsia="zh-HK"/>
        </w:rPr>
        <w:t>D28/95</w:t>
      </w:r>
      <w:r w:rsidRPr="00071380">
        <w:rPr>
          <w:rFonts w:eastAsia="華康楷書體W5"/>
          <w:lang w:eastAsia="zh-HK"/>
        </w:rPr>
        <w:t xml:space="preserve">, IRBRD, </w:t>
      </w:r>
      <w:proofErr w:type="spellStart"/>
      <w:r w:rsidRPr="00071380">
        <w:rPr>
          <w:rFonts w:eastAsia="華康楷書體W5"/>
          <w:lang w:eastAsia="zh-HK"/>
        </w:rPr>
        <w:t>vol</w:t>
      </w:r>
      <w:proofErr w:type="spellEnd"/>
      <w:r w:rsidRPr="00071380">
        <w:rPr>
          <w:rFonts w:eastAsia="華康楷書體W5"/>
          <w:lang w:eastAsia="zh-HK"/>
        </w:rPr>
        <w:t xml:space="preserve"> 10, 169, </w:t>
      </w:r>
      <w:r w:rsidRPr="00FA761F">
        <w:rPr>
          <w:rFonts w:eastAsia="華康楷書體W5"/>
          <w:u w:val="single"/>
          <w:lang w:eastAsia="zh-HK"/>
        </w:rPr>
        <w:t>D42/06</w:t>
      </w:r>
      <w:r w:rsidRPr="00071380">
        <w:rPr>
          <w:rFonts w:eastAsia="華康楷書體W5"/>
          <w:lang w:eastAsia="zh-HK"/>
        </w:rPr>
        <w:t xml:space="preserve">, (2006-07) IRBRD, </w:t>
      </w:r>
      <w:proofErr w:type="spellStart"/>
      <w:r w:rsidRPr="00071380">
        <w:rPr>
          <w:rFonts w:eastAsia="華康楷書體W5"/>
          <w:lang w:eastAsia="zh-HK"/>
        </w:rPr>
        <w:t>vol</w:t>
      </w:r>
      <w:proofErr w:type="spellEnd"/>
      <w:r w:rsidRPr="00071380">
        <w:rPr>
          <w:rFonts w:eastAsia="華康楷書體W5"/>
          <w:lang w:eastAsia="zh-HK"/>
        </w:rPr>
        <w:t xml:space="preserve"> 21, 794 and </w:t>
      </w:r>
      <w:r w:rsidRPr="00FA761F">
        <w:rPr>
          <w:rFonts w:eastAsia="華康楷書體W5"/>
          <w:u w:val="single"/>
          <w:lang w:eastAsia="zh-HK"/>
        </w:rPr>
        <w:t>D1/10</w:t>
      </w:r>
      <w:r w:rsidRPr="00071380">
        <w:rPr>
          <w:rFonts w:eastAsia="華康楷書體W5"/>
          <w:lang w:eastAsia="zh-HK"/>
        </w:rPr>
        <w:t xml:space="preserve">, (2010-11) IRBRD, </w:t>
      </w:r>
      <w:proofErr w:type="spellStart"/>
      <w:r w:rsidRPr="00071380">
        <w:rPr>
          <w:rFonts w:eastAsia="華康楷書體W5"/>
          <w:lang w:eastAsia="zh-HK"/>
        </w:rPr>
        <w:t>vol</w:t>
      </w:r>
      <w:proofErr w:type="spellEnd"/>
      <w:r w:rsidRPr="00071380">
        <w:rPr>
          <w:rFonts w:eastAsia="華康楷書體W5"/>
          <w:lang w:eastAsia="zh-HK"/>
        </w:rPr>
        <w:t xml:space="preserve"> 25, 144 considered).</w:t>
      </w:r>
    </w:p>
    <w:p w:rsidR="00B76C83" w:rsidRPr="00BF56B6" w:rsidRDefault="00B76C83" w:rsidP="00B76C83">
      <w:pPr>
        <w:overflowPunct w:val="0"/>
        <w:autoSpaceDE w:val="0"/>
        <w:autoSpaceDN w:val="0"/>
        <w:ind w:left="1584"/>
        <w:jc w:val="both"/>
        <w:rPr>
          <w:rFonts w:eastAsia="華康楷書體W5"/>
          <w:lang w:eastAsia="zh-HK"/>
        </w:rPr>
      </w:pPr>
    </w:p>
    <w:p w:rsidR="00FA761F" w:rsidRPr="00AC3AA6" w:rsidRDefault="00FA761F" w:rsidP="00B76C83">
      <w:pPr>
        <w:numPr>
          <w:ilvl w:val="0"/>
          <w:numId w:val="44"/>
        </w:numPr>
        <w:overflowPunct w:val="0"/>
        <w:autoSpaceDE w:val="0"/>
        <w:autoSpaceDN w:val="0"/>
        <w:ind w:leftChars="450" w:left="1560" w:hangingChars="200" w:hanging="480"/>
        <w:jc w:val="both"/>
      </w:pPr>
      <w:r>
        <w:t>Regarding the appellant’s contentions on appeal, (a)</w:t>
      </w:r>
      <w:r w:rsidRPr="00071380">
        <w:t xml:space="preserve"> </w:t>
      </w:r>
      <w:r>
        <w:t>t</w:t>
      </w:r>
      <w:r w:rsidRPr="00071380">
        <w:t xml:space="preserve">here was </w:t>
      </w:r>
      <w:r>
        <w:t>in</w:t>
      </w:r>
      <w:r w:rsidRPr="00071380">
        <w:t xml:space="preserve">sufficient evidence to support </w:t>
      </w:r>
      <w:r>
        <w:t>the</w:t>
      </w:r>
      <w:r w:rsidRPr="00071380">
        <w:t xml:space="preserve"> allegation</w:t>
      </w:r>
      <w:r>
        <w:t xml:space="preserve"> that he turned down an offer because of </w:t>
      </w:r>
      <w:r>
        <w:lastRenderedPageBreak/>
        <w:t>the NDA and receipt of the Sum, and a</w:t>
      </w:r>
      <w:r w:rsidRPr="00071380">
        <w:t>ll evidence point</w:t>
      </w:r>
      <w:r>
        <w:t>ed</w:t>
      </w:r>
      <w:r w:rsidRPr="00071380">
        <w:t xml:space="preserve"> towards the Sum being a payment in lieu of notice chargeable to </w:t>
      </w:r>
      <w:r>
        <w:t>s</w:t>
      </w:r>
      <w:r w:rsidRPr="00071380">
        <w:t xml:space="preserve">alaries </w:t>
      </w:r>
      <w:r>
        <w:t>t</w:t>
      </w:r>
      <w:r w:rsidRPr="00071380">
        <w:t>ax</w:t>
      </w:r>
      <w:r>
        <w:t>; (b)</w:t>
      </w:r>
      <w:r w:rsidRPr="00071380">
        <w:t xml:space="preserve"> there was no evidence to support the allegation</w:t>
      </w:r>
      <w:r>
        <w:t xml:space="preserve"> of his previous tax treatments, which in any event had</w:t>
      </w:r>
      <w:r w:rsidRPr="00071380">
        <w:t xml:space="preserve"> no bearing in this appeal</w:t>
      </w:r>
      <w:r>
        <w:t>; (c) s</w:t>
      </w:r>
      <w:r w:rsidRPr="0088050A">
        <w:t xml:space="preserve">ections 11C and 11D were deeming provisions and could work against or in </w:t>
      </w:r>
      <w:proofErr w:type="spellStart"/>
      <w:r w:rsidRPr="0088050A">
        <w:t>favour</w:t>
      </w:r>
      <w:proofErr w:type="spellEnd"/>
      <w:r w:rsidRPr="0088050A">
        <w:t xml:space="preserve"> of a taxpayer depending on the circumstances. In this case, even though the tax treatment might not </w:t>
      </w:r>
      <w:proofErr w:type="spellStart"/>
      <w:r w:rsidRPr="0088050A">
        <w:t>favour</w:t>
      </w:r>
      <w:proofErr w:type="spellEnd"/>
      <w:r w:rsidRPr="0088050A">
        <w:t xml:space="preserve"> the </w:t>
      </w:r>
      <w:r>
        <w:t>a</w:t>
      </w:r>
      <w:r w:rsidRPr="0088050A">
        <w:t xml:space="preserve">ppellant, it would not exonerate him from his tax liability </w:t>
      </w:r>
      <w:r w:rsidRPr="00071380">
        <w:t>(</w:t>
      </w:r>
      <w:r w:rsidRPr="00FA761F">
        <w:rPr>
          <w:rFonts w:eastAsia="華康楷書體W5"/>
          <w:u w:val="single"/>
          <w:lang w:eastAsia="zh-HK"/>
        </w:rPr>
        <w:t>Fuchs v Commissioner of Inland Revenue</w:t>
      </w:r>
      <w:r w:rsidRPr="00071380">
        <w:rPr>
          <w:rFonts w:eastAsia="華康楷書體W5"/>
          <w:lang w:eastAsia="zh-HK"/>
        </w:rPr>
        <w:t xml:space="preserve"> (2011) 14 HKCFAR 74</w:t>
      </w:r>
      <w:r>
        <w:rPr>
          <w:rFonts w:eastAsia="華康楷書體W5"/>
          <w:lang w:eastAsia="zh-HK"/>
        </w:rPr>
        <w:t xml:space="preserve"> and </w:t>
      </w:r>
      <w:r w:rsidRPr="00FA761F">
        <w:rPr>
          <w:rFonts w:eastAsia="華康楷書體W5"/>
          <w:u w:val="single"/>
          <w:lang w:eastAsia="zh-HK"/>
        </w:rPr>
        <w:t>D42/06</w:t>
      </w:r>
      <w:r w:rsidRPr="0088050A">
        <w:rPr>
          <w:rFonts w:eastAsia="華康楷書體W5"/>
          <w:lang w:eastAsia="zh-HK"/>
        </w:rPr>
        <w:t xml:space="preserve">, (2006-07) IRBRD, </w:t>
      </w:r>
      <w:proofErr w:type="spellStart"/>
      <w:r w:rsidRPr="0088050A">
        <w:rPr>
          <w:rFonts w:eastAsia="華康楷書體W5"/>
          <w:lang w:eastAsia="zh-HK"/>
        </w:rPr>
        <w:t>vol</w:t>
      </w:r>
      <w:proofErr w:type="spellEnd"/>
      <w:r w:rsidRPr="0088050A">
        <w:rPr>
          <w:rFonts w:eastAsia="華康楷書體W5"/>
          <w:lang w:eastAsia="zh-HK"/>
        </w:rPr>
        <w:t xml:space="preserve"> 21, 794</w:t>
      </w:r>
      <w:r w:rsidRPr="00071380">
        <w:rPr>
          <w:rFonts w:eastAsia="華康楷書體W5"/>
          <w:lang w:eastAsia="zh-HK"/>
        </w:rPr>
        <w:t xml:space="preserve"> considered</w:t>
      </w:r>
      <w:r w:rsidRPr="00071380">
        <w:t>).</w:t>
      </w:r>
    </w:p>
    <w:p w:rsidR="00546875" w:rsidRPr="00FA761F" w:rsidRDefault="00546875" w:rsidP="00B76C83">
      <w:pPr>
        <w:tabs>
          <w:tab w:val="left" w:pos="840"/>
          <w:tab w:val="left" w:pos="1276"/>
        </w:tabs>
        <w:overflowPunct w:val="0"/>
        <w:autoSpaceDE w:val="0"/>
        <w:autoSpaceDN w:val="0"/>
        <w:jc w:val="both"/>
        <w:rPr>
          <w:rFonts w:eastAsia="華康楷書體W5"/>
          <w:lang w:eastAsia="zh-HK"/>
        </w:rPr>
      </w:pPr>
    </w:p>
    <w:p w:rsidR="00546875" w:rsidRPr="006E278B" w:rsidRDefault="00546875" w:rsidP="00B76C83">
      <w:pPr>
        <w:tabs>
          <w:tab w:val="left" w:pos="840"/>
          <w:tab w:val="left" w:pos="1276"/>
        </w:tabs>
        <w:overflowPunct w:val="0"/>
        <w:autoSpaceDE w:val="0"/>
        <w:autoSpaceDN w:val="0"/>
        <w:jc w:val="both"/>
        <w:rPr>
          <w:rFonts w:eastAsia="華康楷書體W5"/>
          <w:lang w:eastAsia="zh-HK"/>
        </w:rPr>
      </w:pPr>
    </w:p>
    <w:p w:rsidR="00546875" w:rsidRPr="006E278B" w:rsidRDefault="00546875" w:rsidP="00B76C83">
      <w:pPr>
        <w:tabs>
          <w:tab w:val="left" w:pos="1276"/>
        </w:tabs>
        <w:overflowPunct w:val="0"/>
        <w:autoSpaceDE w:val="0"/>
        <w:autoSpaceDN w:val="0"/>
        <w:jc w:val="both"/>
        <w:rPr>
          <w:rFonts w:eastAsia="華康楷書體W5"/>
          <w:b/>
          <w:lang w:eastAsia="zh-HK"/>
        </w:rPr>
      </w:pPr>
      <w:r w:rsidRPr="006E278B">
        <w:rPr>
          <w:rFonts w:eastAsia="華康楷書體W5" w:hint="eastAsia"/>
          <w:b/>
          <w:lang w:eastAsia="zh-HK"/>
        </w:rPr>
        <w:t>Appeal dismissed</w:t>
      </w:r>
      <w:r w:rsidRPr="006E278B">
        <w:rPr>
          <w:rFonts w:eastAsia="華康楷書體W5"/>
          <w:b/>
          <w:lang w:eastAsia="zh-HK"/>
        </w:rPr>
        <w:t xml:space="preserve"> and costs order in the amount of $15,000 imposed.</w:t>
      </w:r>
    </w:p>
    <w:p w:rsidR="00546875" w:rsidRPr="006E278B" w:rsidRDefault="00546875" w:rsidP="00B76C83">
      <w:pPr>
        <w:tabs>
          <w:tab w:val="left" w:pos="1276"/>
        </w:tabs>
        <w:overflowPunct w:val="0"/>
        <w:autoSpaceDE w:val="0"/>
        <w:autoSpaceDN w:val="0"/>
        <w:jc w:val="both"/>
        <w:rPr>
          <w:rFonts w:eastAsia="華康楷書體W5"/>
          <w:lang w:eastAsia="zh-HK"/>
        </w:rPr>
      </w:pPr>
    </w:p>
    <w:p w:rsidR="00546875" w:rsidRPr="006E278B" w:rsidRDefault="00546875" w:rsidP="00B76C83">
      <w:pPr>
        <w:tabs>
          <w:tab w:val="left" w:pos="1276"/>
        </w:tabs>
        <w:overflowPunct w:val="0"/>
        <w:autoSpaceDE w:val="0"/>
        <w:autoSpaceDN w:val="0"/>
        <w:jc w:val="both"/>
        <w:rPr>
          <w:rFonts w:eastAsia="華康楷書體W5"/>
          <w:lang w:eastAsia="zh-HK"/>
        </w:rPr>
      </w:pPr>
      <w:r w:rsidRPr="006E278B">
        <w:rPr>
          <w:rFonts w:eastAsia="華康楷書體W5" w:hint="eastAsia"/>
          <w:lang w:eastAsia="zh-HK"/>
        </w:rPr>
        <w:t>Cases referred to:</w:t>
      </w:r>
    </w:p>
    <w:p w:rsidR="00546875" w:rsidRPr="006E278B" w:rsidRDefault="00546875" w:rsidP="00B76C83">
      <w:pPr>
        <w:tabs>
          <w:tab w:val="left" w:pos="1276"/>
        </w:tabs>
        <w:overflowPunct w:val="0"/>
        <w:autoSpaceDE w:val="0"/>
        <w:autoSpaceDN w:val="0"/>
        <w:jc w:val="both"/>
        <w:rPr>
          <w:rFonts w:eastAsia="華康楷書體W5"/>
          <w:lang w:eastAsia="zh-HK"/>
        </w:rPr>
      </w:pPr>
    </w:p>
    <w:p w:rsidR="00546875" w:rsidRPr="006E278B" w:rsidRDefault="00546875" w:rsidP="00B76C83">
      <w:pPr>
        <w:overflowPunct w:val="0"/>
        <w:autoSpaceDE w:val="0"/>
        <w:autoSpaceDN w:val="0"/>
        <w:ind w:leftChars="388" w:left="1309" w:hangingChars="150" w:hanging="378"/>
        <w:jc w:val="both"/>
        <w:rPr>
          <w:rFonts w:eastAsia="華康楷書體W5"/>
          <w:lang w:eastAsia="zh-HK"/>
        </w:rPr>
      </w:pPr>
      <w:r w:rsidRPr="006E278B">
        <w:rPr>
          <w:rFonts w:eastAsia="華康楷書體W5"/>
          <w:lang w:eastAsia="zh-HK"/>
        </w:rPr>
        <w:t xml:space="preserve">D28/95, IRBRD, </w:t>
      </w:r>
      <w:proofErr w:type="spellStart"/>
      <w:r w:rsidRPr="006E278B">
        <w:rPr>
          <w:rFonts w:eastAsia="華康楷書體W5"/>
          <w:lang w:eastAsia="zh-HK"/>
        </w:rPr>
        <w:t>vol</w:t>
      </w:r>
      <w:proofErr w:type="spellEnd"/>
      <w:r w:rsidRPr="006E278B">
        <w:rPr>
          <w:rFonts w:eastAsia="華康楷書體W5"/>
          <w:lang w:eastAsia="zh-HK"/>
        </w:rPr>
        <w:t xml:space="preserve"> 10, 169</w:t>
      </w:r>
    </w:p>
    <w:p w:rsidR="00546875" w:rsidRPr="006E278B" w:rsidRDefault="00546875" w:rsidP="00B76C83">
      <w:pPr>
        <w:overflowPunct w:val="0"/>
        <w:autoSpaceDE w:val="0"/>
        <w:autoSpaceDN w:val="0"/>
        <w:ind w:leftChars="388" w:left="1309" w:hangingChars="150" w:hanging="378"/>
        <w:jc w:val="both"/>
        <w:rPr>
          <w:rFonts w:eastAsia="華康楷書體W5"/>
          <w:lang w:eastAsia="zh-HK"/>
        </w:rPr>
      </w:pPr>
      <w:r w:rsidRPr="006E278B">
        <w:rPr>
          <w:rFonts w:eastAsia="華康楷書體W5"/>
          <w:lang w:eastAsia="zh-HK"/>
        </w:rPr>
        <w:t xml:space="preserve">D42/06, (2006-07) IRBRD, </w:t>
      </w:r>
      <w:proofErr w:type="spellStart"/>
      <w:r w:rsidRPr="006E278B">
        <w:rPr>
          <w:rFonts w:eastAsia="華康楷書體W5"/>
          <w:lang w:eastAsia="zh-HK"/>
        </w:rPr>
        <w:t>vol</w:t>
      </w:r>
      <w:proofErr w:type="spellEnd"/>
      <w:r w:rsidRPr="006E278B">
        <w:rPr>
          <w:rFonts w:eastAsia="華康楷書體W5"/>
          <w:lang w:eastAsia="zh-HK"/>
        </w:rPr>
        <w:t xml:space="preserve"> 21, 794</w:t>
      </w:r>
    </w:p>
    <w:p w:rsidR="00546875" w:rsidRPr="006E278B" w:rsidRDefault="00546875" w:rsidP="00B76C83">
      <w:pPr>
        <w:overflowPunct w:val="0"/>
        <w:autoSpaceDE w:val="0"/>
        <w:autoSpaceDN w:val="0"/>
        <w:ind w:leftChars="388" w:left="1309" w:hangingChars="150" w:hanging="378"/>
        <w:jc w:val="both"/>
        <w:rPr>
          <w:rFonts w:eastAsia="華康楷書體W5"/>
          <w:lang w:eastAsia="zh-HK"/>
        </w:rPr>
      </w:pPr>
      <w:r w:rsidRPr="006E278B">
        <w:rPr>
          <w:rFonts w:eastAsia="華康楷書體W5"/>
          <w:lang w:eastAsia="zh-HK"/>
        </w:rPr>
        <w:t xml:space="preserve">D1/10, (2010-11) IRBRD, </w:t>
      </w:r>
      <w:proofErr w:type="spellStart"/>
      <w:r w:rsidRPr="006E278B">
        <w:rPr>
          <w:rFonts w:eastAsia="華康楷書體W5"/>
          <w:lang w:eastAsia="zh-HK"/>
        </w:rPr>
        <w:t>vol</w:t>
      </w:r>
      <w:proofErr w:type="spellEnd"/>
      <w:r w:rsidRPr="006E278B">
        <w:rPr>
          <w:rFonts w:eastAsia="華康楷書體W5"/>
          <w:lang w:eastAsia="zh-HK"/>
        </w:rPr>
        <w:t xml:space="preserve"> 25, 144</w:t>
      </w:r>
    </w:p>
    <w:p w:rsidR="00546875" w:rsidRPr="006E278B" w:rsidRDefault="00546875" w:rsidP="00B76C83">
      <w:pPr>
        <w:overflowPunct w:val="0"/>
        <w:autoSpaceDE w:val="0"/>
        <w:autoSpaceDN w:val="0"/>
        <w:ind w:leftChars="388" w:left="1309" w:hangingChars="150" w:hanging="378"/>
        <w:jc w:val="both"/>
        <w:rPr>
          <w:rFonts w:eastAsia="華康楷書體W5"/>
          <w:lang w:eastAsia="zh-HK"/>
        </w:rPr>
      </w:pPr>
      <w:r w:rsidRPr="006E278B">
        <w:rPr>
          <w:rFonts w:eastAsia="華康楷書體W5"/>
          <w:lang w:eastAsia="zh-HK"/>
        </w:rPr>
        <w:t xml:space="preserve">EMI Group Electronics Ltd v </w:t>
      </w:r>
      <w:proofErr w:type="spellStart"/>
      <w:r w:rsidRPr="006E278B">
        <w:rPr>
          <w:rFonts w:eastAsia="華康楷書體W5"/>
          <w:lang w:eastAsia="zh-HK"/>
        </w:rPr>
        <w:t>Coldicott</w:t>
      </w:r>
      <w:proofErr w:type="spellEnd"/>
      <w:r w:rsidRPr="006E278B">
        <w:rPr>
          <w:rFonts w:eastAsia="華康楷書體W5"/>
          <w:lang w:eastAsia="zh-HK"/>
        </w:rPr>
        <w:t xml:space="preserve"> (H M Inspector of Taxes) [1999] STC 803</w:t>
      </w:r>
    </w:p>
    <w:p w:rsidR="00546875" w:rsidRPr="006E278B" w:rsidRDefault="00546875" w:rsidP="00B76C83">
      <w:pPr>
        <w:overflowPunct w:val="0"/>
        <w:autoSpaceDE w:val="0"/>
        <w:autoSpaceDN w:val="0"/>
        <w:ind w:leftChars="388" w:left="1309" w:hangingChars="150" w:hanging="378"/>
        <w:jc w:val="both"/>
        <w:rPr>
          <w:rFonts w:eastAsia="華康楷書體W5"/>
          <w:lang w:eastAsia="zh-HK"/>
        </w:rPr>
      </w:pPr>
      <w:r w:rsidRPr="006E278B">
        <w:rPr>
          <w:rFonts w:eastAsia="華康楷書體W5"/>
          <w:lang w:eastAsia="zh-HK"/>
        </w:rPr>
        <w:t>Fuchs v Commissioner of Inland Revenue (2011) 14 HKCFAR 74</w:t>
      </w:r>
    </w:p>
    <w:p w:rsidR="00546875" w:rsidRPr="006E278B" w:rsidRDefault="00546875" w:rsidP="00B76C83">
      <w:pPr>
        <w:tabs>
          <w:tab w:val="left" w:pos="1276"/>
        </w:tabs>
        <w:overflowPunct w:val="0"/>
        <w:autoSpaceDE w:val="0"/>
        <w:autoSpaceDN w:val="0"/>
        <w:jc w:val="both"/>
        <w:rPr>
          <w:rFonts w:eastAsia="華康楷書體W5"/>
          <w:lang w:eastAsia="zh-HK"/>
        </w:rPr>
      </w:pPr>
    </w:p>
    <w:p w:rsidR="00546875" w:rsidRPr="006E278B" w:rsidRDefault="00546875" w:rsidP="00B76C83">
      <w:pPr>
        <w:tabs>
          <w:tab w:val="left" w:pos="1276"/>
        </w:tabs>
        <w:overflowPunct w:val="0"/>
        <w:autoSpaceDE w:val="0"/>
        <w:autoSpaceDN w:val="0"/>
        <w:jc w:val="both"/>
        <w:rPr>
          <w:rFonts w:eastAsia="華康楷書體W5"/>
          <w:lang w:eastAsia="zh-HK"/>
        </w:rPr>
      </w:pPr>
      <w:r w:rsidRPr="006E278B">
        <w:rPr>
          <w:rFonts w:eastAsia="華康楷書體W5"/>
          <w:lang w:eastAsia="zh-HK"/>
        </w:rPr>
        <w:t>Appellant in person</w:t>
      </w:r>
      <w:r w:rsidRPr="006E278B">
        <w:rPr>
          <w:rFonts w:eastAsia="華康楷書體W5" w:hint="eastAsia"/>
          <w:lang w:eastAsia="zh-HK"/>
        </w:rPr>
        <w:t>.</w:t>
      </w:r>
      <w:r w:rsidRPr="006E278B">
        <w:rPr>
          <w:rFonts w:eastAsia="華康楷書體W5"/>
          <w:lang w:eastAsia="zh-HK"/>
        </w:rPr>
        <w:t xml:space="preserve"> </w:t>
      </w:r>
    </w:p>
    <w:p w:rsidR="00546875" w:rsidRPr="006E278B" w:rsidRDefault="00546875" w:rsidP="00B76C83">
      <w:pPr>
        <w:tabs>
          <w:tab w:val="left" w:pos="1276"/>
        </w:tabs>
        <w:overflowPunct w:val="0"/>
        <w:autoSpaceDE w:val="0"/>
        <w:autoSpaceDN w:val="0"/>
        <w:ind w:left="252" w:hangingChars="100" w:hanging="252"/>
        <w:jc w:val="both"/>
        <w:rPr>
          <w:rFonts w:eastAsia="華康楷書體W5"/>
          <w:lang w:eastAsia="zh-HK"/>
        </w:rPr>
      </w:pPr>
      <w:r w:rsidRPr="006E278B">
        <w:rPr>
          <w:rFonts w:eastAsia="華康楷書體W5"/>
          <w:lang w:eastAsia="zh-HK"/>
        </w:rPr>
        <w:t xml:space="preserve">Yun Rita and Chan </w:t>
      </w:r>
      <w:proofErr w:type="spellStart"/>
      <w:r w:rsidRPr="006E278B">
        <w:rPr>
          <w:rFonts w:eastAsia="華康楷書體W5"/>
          <w:lang w:eastAsia="zh-HK"/>
        </w:rPr>
        <w:t>Wai</w:t>
      </w:r>
      <w:proofErr w:type="spellEnd"/>
      <w:r w:rsidRPr="006E278B">
        <w:rPr>
          <w:rFonts w:eastAsia="華康楷書體W5"/>
          <w:lang w:eastAsia="zh-HK"/>
        </w:rPr>
        <w:t xml:space="preserve"> Lin,</w:t>
      </w:r>
      <w:r w:rsidRPr="006E278B">
        <w:rPr>
          <w:rFonts w:eastAsia="華康楷書體W5" w:hint="eastAsia"/>
          <w:lang w:eastAsia="zh-HK"/>
        </w:rPr>
        <w:t xml:space="preserve"> for the </w:t>
      </w:r>
      <w:r w:rsidRPr="006E278B">
        <w:rPr>
          <w:rFonts w:eastAsia="華康楷書體W5"/>
          <w:lang w:eastAsia="zh-HK"/>
        </w:rPr>
        <w:t>Commissioner of Inland Revenue.</w:t>
      </w:r>
    </w:p>
    <w:p w:rsidR="00546875" w:rsidRPr="006E278B" w:rsidRDefault="00546875" w:rsidP="00B76C83">
      <w:pPr>
        <w:tabs>
          <w:tab w:val="left" w:pos="1276"/>
        </w:tabs>
        <w:overflowPunct w:val="0"/>
        <w:autoSpaceDE w:val="0"/>
        <w:autoSpaceDN w:val="0"/>
        <w:jc w:val="both"/>
        <w:rPr>
          <w:rFonts w:eastAsia="華康楷書體W5"/>
          <w:lang w:eastAsia="zh-HK"/>
        </w:rPr>
      </w:pPr>
    </w:p>
    <w:p w:rsidR="00546875" w:rsidRPr="006E278B" w:rsidRDefault="00546875" w:rsidP="00B76C83">
      <w:pPr>
        <w:tabs>
          <w:tab w:val="left" w:pos="1276"/>
        </w:tabs>
        <w:overflowPunct w:val="0"/>
        <w:autoSpaceDE w:val="0"/>
        <w:autoSpaceDN w:val="0"/>
        <w:jc w:val="both"/>
        <w:rPr>
          <w:rFonts w:eastAsia="華康楷書體W5"/>
          <w:lang w:eastAsia="zh-HK"/>
        </w:rPr>
      </w:pPr>
    </w:p>
    <w:p w:rsidR="00546875" w:rsidRPr="006E278B" w:rsidRDefault="00546875" w:rsidP="00B76C83">
      <w:pPr>
        <w:tabs>
          <w:tab w:val="left" w:pos="1276"/>
        </w:tabs>
        <w:overflowPunct w:val="0"/>
        <w:autoSpaceDE w:val="0"/>
        <w:autoSpaceDN w:val="0"/>
        <w:jc w:val="both"/>
        <w:rPr>
          <w:rFonts w:eastAsia="華康楷書體W5"/>
          <w:b/>
          <w:lang w:eastAsia="zh-HK"/>
        </w:rPr>
      </w:pPr>
      <w:r w:rsidRPr="006E278B">
        <w:rPr>
          <w:rFonts w:eastAsia="華康楷書體W5" w:hint="eastAsia"/>
          <w:b/>
          <w:lang w:eastAsia="zh-HK"/>
        </w:rPr>
        <w:t>Decision:</w:t>
      </w:r>
    </w:p>
    <w:p w:rsidR="00546875" w:rsidRPr="006E278B" w:rsidRDefault="00546875" w:rsidP="00C22AFE">
      <w:pPr>
        <w:tabs>
          <w:tab w:val="left" w:pos="1276"/>
        </w:tabs>
        <w:overflowPunct w:val="0"/>
        <w:autoSpaceDE w:val="0"/>
        <w:autoSpaceDN w:val="0"/>
        <w:jc w:val="both"/>
        <w:rPr>
          <w:rFonts w:eastAsia="華康楷書體W5"/>
          <w:lang w:eastAsia="zh-HK"/>
        </w:rPr>
      </w:pPr>
    </w:p>
    <w:p w:rsidR="00546875" w:rsidRPr="006E278B" w:rsidRDefault="00546875" w:rsidP="00C22AFE">
      <w:pPr>
        <w:tabs>
          <w:tab w:val="left" w:pos="1276"/>
        </w:tabs>
        <w:overflowPunct w:val="0"/>
        <w:autoSpaceDE w:val="0"/>
        <w:autoSpaceDN w:val="0"/>
        <w:jc w:val="both"/>
        <w:rPr>
          <w:rFonts w:eastAsia="華康楷書體W5"/>
          <w:lang w:eastAsia="zh-HK"/>
        </w:rPr>
      </w:pPr>
    </w:p>
    <w:p w:rsidR="00C82CE4" w:rsidRPr="006E278B" w:rsidRDefault="00C82CE4" w:rsidP="00C22AFE">
      <w:pPr>
        <w:widowControl w:val="0"/>
        <w:numPr>
          <w:ilvl w:val="0"/>
          <w:numId w:val="12"/>
        </w:numPr>
        <w:tabs>
          <w:tab w:val="clear" w:pos="720"/>
        </w:tabs>
        <w:overflowPunct w:val="0"/>
        <w:autoSpaceDE w:val="0"/>
        <w:autoSpaceDN w:val="0"/>
        <w:ind w:left="0" w:firstLine="0"/>
        <w:rPr>
          <w:b/>
          <w:bCs/>
        </w:rPr>
      </w:pPr>
      <w:r w:rsidRPr="006E278B">
        <w:rPr>
          <w:b/>
          <w:bCs/>
        </w:rPr>
        <w:t>Background</w:t>
      </w:r>
    </w:p>
    <w:p w:rsidR="00C82CE4" w:rsidRPr="006E278B" w:rsidRDefault="00C82CE4" w:rsidP="00C22AFE">
      <w:pPr>
        <w:widowControl w:val="0"/>
        <w:overflowPunct w:val="0"/>
        <w:autoSpaceDE w:val="0"/>
        <w:autoSpaceDN w:val="0"/>
        <w:ind w:left="720"/>
        <w:rPr>
          <w:bCs/>
          <w:u w:val="single"/>
        </w:rPr>
      </w:pPr>
    </w:p>
    <w:p w:rsidR="0024148C" w:rsidRPr="006E278B" w:rsidRDefault="0024148C"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proofErr w:type="spellStart"/>
      <w:r w:rsidRPr="006E278B">
        <w:t>M</w:t>
      </w:r>
      <w:r w:rsidRPr="006E278B">
        <w:rPr>
          <w:lang w:eastAsia="zh-HK"/>
        </w:rPr>
        <w:t>r</w:t>
      </w:r>
      <w:proofErr w:type="spellEnd"/>
      <w:r w:rsidRPr="006E278B">
        <w:rPr>
          <w:lang w:eastAsia="zh-HK"/>
        </w:rPr>
        <w:t xml:space="preserve"> </w:t>
      </w:r>
      <w:r w:rsidR="00574C82" w:rsidRPr="006E278B">
        <w:rPr>
          <w:rFonts w:hint="eastAsia"/>
        </w:rPr>
        <w:t>A</w:t>
      </w:r>
      <w:r w:rsidRPr="006E278B">
        <w:t xml:space="preserve"> </w:t>
      </w:r>
      <w:r w:rsidRPr="006E278B">
        <w:rPr>
          <w:lang w:eastAsia="zh-HK"/>
        </w:rPr>
        <w:t>(</w:t>
      </w:r>
      <w:r w:rsidR="00574C82" w:rsidRPr="006E278B">
        <w:t>‘</w:t>
      </w:r>
      <w:r w:rsidRPr="006E278B">
        <w:t>the Appellant</w:t>
      </w:r>
      <w:r w:rsidR="00574C82" w:rsidRPr="006E278B">
        <w:t>’</w:t>
      </w:r>
      <w:r w:rsidRPr="006E278B">
        <w:rPr>
          <w:lang w:eastAsia="zh-HK"/>
        </w:rPr>
        <w:t>)</w:t>
      </w:r>
      <w:r w:rsidRPr="006E278B">
        <w:t xml:space="preserve"> has objected to the </w:t>
      </w:r>
      <w:r w:rsidRPr="006E278B">
        <w:rPr>
          <w:lang w:eastAsia="zh-HK"/>
        </w:rPr>
        <w:t>S</w:t>
      </w:r>
      <w:r w:rsidRPr="006E278B">
        <w:t xml:space="preserve">alaries </w:t>
      </w:r>
      <w:r w:rsidRPr="006E278B">
        <w:rPr>
          <w:lang w:eastAsia="zh-HK"/>
        </w:rPr>
        <w:t>T</w:t>
      </w:r>
      <w:r w:rsidRPr="006E278B">
        <w:t xml:space="preserve">ax </w:t>
      </w:r>
      <w:r w:rsidRPr="006E278B">
        <w:rPr>
          <w:lang w:eastAsia="zh-HK"/>
        </w:rPr>
        <w:t>A</w:t>
      </w:r>
      <w:r w:rsidRPr="006E278B">
        <w:t xml:space="preserve">ssessment for the year of assessment </w:t>
      </w:r>
      <w:r w:rsidRPr="006E278B">
        <w:rPr>
          <w:lang w:eastAsia="zh-HK"/>
        </w:rPr>
        <w:t>2018/19</w:t>
      </w:r>
      <w:r w:rsidRPr="006E278B">
        <w:t xml:space="preserve"> raised on h</w:t>
      </w:r>
      <w:r w:rsidRPr="006E278B">
        <w:rPr>
          <w:lang w:eastAsia="zh-HK"/>
        </w:rPr>
        <w:t>im</w:t>
      </w:r>
      <w:r w:rsidR="00B90A22" w:rsidRPr="006E278B">
        <w:t>.  The Appellant</w:t>
      </w:r>
      <w:r w:rsidRPr="006E278B">
        <w:t xml:space="preserve"> claims that </w:t>
      </w:r>
      <w:r w:rsidRPr="006E278B">
        <w:rPr>
          <w:lang w:eastAsia="zh-HK"/>
        </w:rPr>
        <w:t>the assessment is excessive.</w:t>
      </w:r>
    </w:p>
    <w:p w:rsidR="0024148C" w:rsidRPr="006E278B" w:rsidRDefault="0024148C" w:rsidP="00C22AFE">
      <w:pPr>
        <w:overflowPunct w:val="0"/>
        <w:autoSpaceDE w:val="0"/>
        <w:autoSpaceDN w:val="0"/>
        <w:adjustRightInd w:val="0"/>
        <w:snapToGrid w:val="0"/>
        <w:jc w:val="both"/>
        <w:rPr>
          <w:lang w:eastAsia="zh-HK"/>
        </w:rPr>
      </w:pPr>
    </w:p>
    <w:p w:rsidR="0024148C" w:rsidRPr="006E278B" w:rsidRDefault="0024148C" w:rsidP="00C22AFE">
      <w:pPr>
        <w:pStyle w:val="afd"/>
        <w:widowControl w:val="0"/>
        <w:numPr>
          <w:ilvl w:val="0"/>
          <w:numId w:val="40"/>
        </w:numPr>
        <w:tabs>
          <w:tab w:val="left" w:pos="2107"/>
          <w:tab w:val="left" w:pos="2683"/>
        </w:tabs>
        <w:overflowPunct w:val="0"/>
        <w:autoSpaceDE w:val="0"/>
        <w:autoSpaceDN w:val="0"/>
        <w:adjustRightInd w:val="0"/>
        <w:snapToGrid w:val="0"/>
        <w:ind w:leftChars="638" w:left="2683" w:hangingChars="480" w:hanging="1152"/>
        <w:contextualSpacing w:val="0"/>
        <w:jc w:val="both"/>
        <w:rPr>
          <w:lang w:eastAsia="zh-HK"/>
        </w:rPr>
      </w:pPr>
      <w:r w:rsidRPr="006E278B">
        <w:rPr>
          <w:lang w:eastAsia="zh-HK"/>
        </w:rPr>
        <w:t>(a)</w:t>
      </w:r>
      <w:r w:rsidRPr="006E278B">
        <w:rPr>
          <w:lang w:eastAsia="zh-HK"/>
        </w:rPr>
        <w:tab/>
        <w:t>By an employment contract dated 1 September 1998 (</w:t>
      </w:r>
      <w:r w:rsidR="00574C82" w:rsidRPr="006E278B">
        <w:t>‘</w:t>
      </w:r>
      <w:r w:rsidRPr="006E278B">
        <w:rPr>
          <w:lang w:eastAsia="zh-HK"/>
        </w:rPr>
        <w:t>the Employment Contract</w:t>
      </w:r>
      <w:r w:rsidR="00574C82" w:rsidRPr="006E278B">
        <w:t>’</w:t>
      </w:r>
      <w:r w:rsidRPr="006E278B">
        <w:rPr>
          <w:lang w:eastAsia="zh-HK"/>
        </w:rPr>
        <w:t xml:space="preserve">), the </w:t>
      </w:r>
      <w:r w:rsidRPr="006E278B">
        <w:t>Appellant</w:t>
      </w:r>
      <w:r w:rsidRPr="006E278B">
        <w:rPr>
          <w:lang w:eastAsia="zh-HK"/>
        </w:rPr>
        <w:t xml:space="preserve"> was employed by </w:t>
      </w:r>
      <w:r w:rsidR="00574C82" w:rsidRPr="006E278B">
        <w:rPr>
          <w:rFonts w:hint="eastAsia"/>
        </w:rPr>
        <w:t>C</w:t>
      </w:r>
      <w:r w:rsidR="00574C82" w:rsidRPr="006E278B">
        <w:rPr>
          <w:rFonts w:hint="eastAsia"/>
          <w:lang w:eastAsia="zh-HK"/>
        </w:rPr>
        <w:t>o</w:t>
      </w:r>
      <w:r w:rsidR="00574C82" w:rsidRPr="006E278B">
        <w:rPr>
          <w:lang w:eastAsia="zh-HK"/>
        </w:rPr>
        <w:t xml:space="preserve">mpany </w:t>
      </w:r>
      <w:r w:rsidR="00574C82" w:rsidRPr="006E278B">
        <w:rPr>
          <w:rFonts w:hint="eastAsia"/>
          <w:lang w:eastAsia="zh-HK"/>
        </w:rPr>
        <w:t>B</w:t>
      </w:r>
      <w:r w:rsidRPr="006E278B">
        <w:rPr>
          <w:lang w:eastAsia="zh-HK"/>
        </w:rPr>
        <w:t xml:space="preserve"> as </w:t>
      </w:r>
      <w:r w:rsidR="00574C82" w:rsidRPr="006E278B">
        <w:rPr>
          <w:lang w:eastAsia="zh-HK"/>
        </w:rPr>
        <w:t>Position C</w:t>
      </w:r>
      <w:r w:rsidRPr="006E278B">
        <w:rPr>
          <w:lang w:eastAsia="zh-HK"/>
        </w:rPr>
        <w:t xml:space="preserve"> with effect from 22 September 1998 at a monthly salary of $32,000.  The Employment Contract provided, among other things, that after a probation period of six months, the employment was terminable by either party by giving the other party three months’ prior notice.  The </w:t>
      </w:r>
      <w:r w:rsidRPr="006E278B">
        <w:t>Appellant</w:t>
      </w:r>
      <w:r w:rsidRPr="006E278B">
        <w:rPr>
          <w:lang w:eastAsia="zh-HK"/>
        </w:rPr>
        <w:t xml:space="preserve"> confirmed and accepted the terms of the Employment Contract on 7 September 1998.</w:t>
      </w:r>
    </w:p>
    <w:p w:rsidR="0024148C" w:rsidRPr="006E278B" w:rsidRDefault="0024148C" w:rsidP="00C22AFE">
      <w:pPr>
        <w:pStyle w:val="afd"/>
        <w:tabs>
          <w:tab w:val="left" w:pos="709"/>
          <w:tab w:val="left" w:pos="1418"/>
        </w:tabs>
        <w:overflowPunct w:val="0"/>
        <w:autoSpaceDE w:val="0"/>
        <w:autoSpaceDN w:val="0"/>
        <w:adjustRightInd w:val="0"/>
        <w:snapToGrid w:val="0"/>
        <w:ind w:left="1418"/>
        <w:jc w:val="both"/>
        <w:rPr>
          <w:lang w:eastAsia="zh-HK"/>
        </w:rPr>
      </w:pPr>
    </w:p>
    <w:p w:rsidR="0024148C" w:rsidRPr="006E278B" w:rsidRDefault="0024148C"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(b)</w:t>
      </w:r>
      <w:r w:rsidRPr="006E278B">
        <w:rPr>
          <w:lang w:eastAsia="zh-HK"/>
        </w:rPr>
        <w:tab/>
        <w:t xml:space="preserve">By a letter dated 20 March 2006, </w:t>
      </w:r>
      <w:r w:rsidR="00574C82" w:rsidRPr="006E278B">
        <w:rPr>
          <w:lang w:eastAsia="zh-HK"/>
        </w:rPr>
        <w:t>Company B</w:t>
      </w:r>
      <w:r w:rsidRPr="006E278B">
        <w:rPr>
          <w:lang w:eastAsia="zh-HK"/>
        </w:rPr>
        <w:t xml:space="preserve"> informed the </w:t>
      </w:r>
      <w:r w:rsidRPr="006E278B">
        <w:t>Appellant</w:t>
      </w:r>
      <w:r w:rsidRPr="006E278B">
        <w:rPr>
          <w:lang w:eastAsia="zh-HK"/>
        </w:rPr>
        <w:t xml:space="preserve"> that he was promoted to the position of </w:t>
      </w:r>
      <w:r w:rsidR="000E6AAE">
        <w:rPr>
          <w:lang w:eastAsia="zh-HK"/>
        </w:rPr>
        <w:t xml:space="preserve">Senior </w:t>
      </w:r>
      <w:r w:rsidR="00574C82" w:rsidRPr="006E278B">
        <w:rPr>
          <w:lang w:eastAsia="zh-HK"/>
        </w:rPr>
        <w:t>Position C</w:t>
      </w:r>
      <w:r w:rsidRPr="006E278B">
        <w:rPr>
          <w:lang w:eastAsia="zh-HK"/>
        </w:rPr>
        <w:t xml:space="preserve"> with effect from 1 October 2005 and his monthly </w:t>
      </w:r>
      <w:r w:rsidRPr="006E278B">
        <w:rPr>
          <w:lang w:eastAsia="zh-HK"/>
        </w:rPr>
        <w:lastRenderedPageBreak/>
        <w:t xml:space="preserve">salary was revised to $46,000.  As a senior manager grade and in view of the importance of his position within </w:t>
      </w:r>
      <w:r w:rsidR="00574C82" w:rsidRPr="006E278B">
        <w:rPr>
          <w:lang w:eastAsia="zh-HK"/>
        </w:rPr>
        <w:t>Company B</w:t>
      </w:r>
      <w:r w:rsidRPr="006E278B">
        <w:rPr>
          <w:lang w:eastAsia="zh-HK"/>
        </w:rPr>
        <w:t xml:space="preserve">, the notice of termination by either party was changed to 6 months.  The </w:t>
      </w:r>
      <w:r w:rsidRPr="006E278B">
        <w:t>Appellant</w:t>
      </w:r>
      <w:r w:rsidRPr="006E278B">
        <w:rPr>
          <w:lang w:eastAsia="zh-HK"/>
        </w:rPr>
        <w:t xml:space="preserve"> signed to confirm the revised terms of his employment. </w:t>
      </w:r>
    </w:p>
    <w:p w:rsidR="0024148C" w:rsidRPr="006E278B" w:rsidRDefault="0024148C" w:rsidP="00C22AFE">
      <w:pPr>
        <w:pStyle w:val="afd"/>
        <w:tabs>
          <w:tab w:val="left" w:pos="2683"/>
        </w:tabs>
        <w:overflowPunct w:val="0"/>
        <w:autoSpaceDE w:val="0"/>
        <w:autoSpaceDN w:val="0"/>
        <w:adjustRightInd w:val="0"/>
        <w:snapToGrid w:val="0"/>
        <w:ind w:leftChars="878" w:left="2683" w:hangingChars="240" w:hanging="576"/>
        <w:jc w:val="both"/>
        <w:rPr>
          <w:lang w:eastAsia="zh-HK"/>
        </w:rPr>
      </w:pPr>
    </w:p>
    <w:p w:rsidR="0024148C" w:rsidRPr="006E278B" w:rsidRDefault="0024148C"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(c)</w:t>
      </w:r>
      <w:r w:rsidRPr="006E278B">
        <w:rPr>
          <w:lang w:eastAsia="zh-HK"/>
        </w:rPr>
        <w:tab/>
        <w:t xml:space="preserve">The </w:t>
      </w:r>
      <w:r w:rsidRPr="006E278B">
        <w:t>Appellant</w:t>
      </w:r>
      <w:r w:rsidRPr="006E278B">
        <w:rPr>
          <w:lang w:eastAsia="zh-HK"/>
        </w:rPr>
        <w:t>’s monthly salary was revised to $66,460 with effect from 1 April 2018.</w:t>
      </w:r>
    </w:p>
    <w:p w:rsidR="0024148C" w:rsidRPr="006E278B" w:rsidRDefault="0024148C" w:rsidP="00C22AFE">
      <w:pPr>
        <w:overflowPunct w:val="0"/>
        <w:autoSpaceDE w:val="0"/>
        <w:autoSpaceDN w:val="0"/>
        <w:ind w:left="720" w:hanging="720"/>
        <w:jc w:val="both"/>
        <w:rPr>
          <w:lang w:eastAsia="zh-HK"/>
        </w:rPr>
      </w:pPr>
    </w:p>
    <w:p w:rsidR="0024148C" w:rsidRPr="006E278B" w:rsidRDefault="0024148C"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By a </w:t>
      </w:r>
      <w:r w:rsidRPr="006E278B">
        <w:t>letter</w:t>
      </w:r>
      <w:r w:rsidRPr="006E278B">
        <w:rPr>
          <w:lang w:eastAsia="zh-HK"/>
        </w:rPr>
        <w:t xml:space="preserve"> dated 23 November 2018, </w:t>
      </w:r>
      <w:r w:rsidR="00574C82" w:rsidRPr="006E278B">
        <w:rPr>
          <w:lang w:eastAsia="zh-HK"/>
        </w:rPr>
        <w:t>Company B</w:t>
      </w:r>
      <w:r w:rsidRPr="006E278B">
        <w:rPr>
          <w:lang w:eastAsia="zh-HK"/>
        </w:rPr>
        <w:t xml:space="preserve"> informed the </w:t>
      </w:r>
      <w:r w:rsidRPr="006E278B">
        <w:t>Appellant</w:t>
      </w:r>
      <w:r w:rsidRPr="006E278B">
        <w:rPr>
          <w:lang w:eastAsia="zh-HK"/>
        </w:rPr>
        <w:t xml:space="preserve">, among other things, the following: </w:t>
      </w:r>
    </w:p>
    <w:p w:rsidR="0024148C" w:rsidRPr="006E278B" w:rsidRDefault="0024148C" w:rsidP="00C22AFE">
      <w:pPr>
        <w:overflowPunct w:val="0"/>
        <w:autoSpaceDE w:val="0"/>
        <w:autoSpaceDN w:val="0"/>
        <w:ind w:left="720" w:hanging="720"/>
        <w:jc w:val="both"/>
        <w:rPr>
          <w:lang w:eastAsia="zh-HK"/>
        </w:rPr>
      </w:pPr>
    </w:p>
    <w:p w:rsidR="00811C5D" w:rsidRPr="006E278B" w:rsidRDefault="0024148C"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(a)</w:t>
      </w:r>
      <w:r w:rsidRPr="006E278B">
        <w:rPr>
          <w:lang w:eastAsia="zh-HK"/>
        </w:rPr>
        <w:tab/>
      </w:r>
      <w:r w:rsidR="00574C82" w:rsidRPr="006E278B">
        <w:rPr>
          <w:lang w:eastAsia="zh-HK"/>
        </w:rPr>
        <w:t>Company B</w:t>
      </w:r>
      <w:r w:rsidRPr="006E278B">
        <w:rPr>
          <w:lang w:eastAsia="zh-HK"/>
        </w:rPr>
        <w:t xml:space="preserve"> was undergoing a restructuring and had determined to terminate the employment with </w:t>
      </w:r>
      <w:r w:rsidRPr="006E278B">
        <w:t>Appellant</w:t>
      </w:r>
      <w:r w:rsidRPr="006E278B">
        <w:rPr>
          <w:lang w:eastAsia="zh-HK"/>
        </w:rPr>
        <w:t xml:space="preserve"> with effect from 24 November 2018. </w:t>
      </w:r>
    </w:p>
    <w:p w:rsidR="00811C5D" w:rsidRPr="006E278B" w:rsidRDefault="00811C5D" w:rsidP="00C22AFE">
      <w:pPr>
        <w:overflowPunct w:val="0"/>
        <w:autoSpaceDE w:val="0"/>
        <w:autoSpaceDN w:val="0"/>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(b)</w:t>
      </w:r>
      <w:r w:rsidRPr="006E278B">
        <w:rPr>
          <w:lang w:eastAsia="zh-HK"/>
        </w:rPr>
        <w:tab/>
        <w:t xml:space="preserve">According to the Employment Contract, </w:t>
      </w:r>
      <w:r w:rsidR="00574C82" w:rsidRPr="006E278B">
        <w:rPr>
          <w:lang w:eastAsia="zh-HK"/>
        </w:rPr>
        <w:t>Company B</w:t>
      </w:r>
      <w:r w:rsidRPr="006E278B">
        <w:rPr>
          <w:lang w:eastAsia="zh-HK"/>
        </w:rPr>
        <w:t xml:space="preserve"> gave the </w:t>
      </w:r>
      <w:r w:rsidRPr="006E278B">
        <w:t>Appellant</w:t>
      </w:r>
      <w:r w:rsidRPr="006E278B">
        <w:rPr>
          <w:lang w:eastAsia="zh-HK"/>
        </w:rPr>
        <w:t xml:space="preserve"> 6 months’ payment in lieu of notice to terminate his employment and his last employment day was 23 November 2018. </w:t>
      </w:r>
    </w:p>
    <w:p w:rsidR="00574C82" w:rsidRPr="006E278B" w:rsidRDefault="00574C82" w:rsidP="00C22AFE">
      <w:pPr>
        <w:overflowPunct w:val="0"/>
        <w:autoSpaceDE w:val="0"/>
        <w:autoSpaceDN w:val="0"/>
        <w:rPr>
          <w:lang w:eastAsia="zh-HK"/>
        </w:rPr>
      </w:pPr>
    </w:p>
    <w:p w:rsidR="00811C5D" w:rsidRPr="006E278B" w:rsidRDefault="00574C82"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t>Company B</w:t>
      </w:r>
      <w:r w:rsidR="00811C5D" w:rsidRPr="006E278B">
        <w:rPr>
          <w:lang w:eastAsia="zh-HK"/>
        </w:rPr>
        <w:t xml:space="preserve"> </w:t>
      </w:r>
      <w:r w:rsidR="00811C5D" w:rsidRPr="006E278B">
        <w:t xml:space="preserve">filed </w:t>
      </w:r>
      <w:r w:rsidR="00811C5D" w:rsidRPr="006E278B">
        <w:rPr>
          <w:lang w:eastAsia="zh-HK"/>
        </w:rPr>
        <w:t>a notification by an employer of an employee who was about to cease to be employed</w:t>
      </w:r>
      <w:r w:rsidR="00811C5D" w:rsidRPr="006E278B">
        <w:t xml:space="preserve"> in respect of the Taxpayer for the year of assessment 2018/19, which showed, among other things, the following particulars:</w:t>
      </w:r>
    </w:p>
    <w:p w:rsidR="00CF33D2" w:rsidRPr="006E278B" w:rsidRDefault="00CF33D2" w:rsidP="00C22AFE">
      <w:pPr>
        <w:widowControl w:val="0"/>
        <w:overflowPunct w:val="0"/>
        <w:autoSpaceDE w:val="0"/>
        <w:autoSpaceDN w:val="0"/>
        <w:adjustRightInd w:val="0"/>
        <w:snapToGrid w:val="0"/>
        <w:jc w:val="both"/>
        <w:rPr>
          <w:lang w:eastAsia="zh-HK"/>
        </w:rPr>
      </w:pPr>
    </w:p>
    <w:tbl>
      <w:tblPr>
        <w:tblStyle w:val="aff7"/>
        <w:tblW w:w="6662"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5"/>
        <w:gridCol w:w="3118"/>
        <w:gridCol w:w="3119"/>
      </w:tblGrid>
      <w:tr w:rsidR="00811C5D" w:rsidRPr="006E278B" w:rsidTr="009C1A67">
        <w:tc>
          <w:tcPr>
            <w:tcW w:w="425" w:type="dxa"/>
          </w:tcPr>
          <w:p w:rsidR="00811C5D" w:rsidRPr="006E278B" w:rsidRDefault="00811C5D" w:rsidP="00C22AFE">
            <w:pPr>
              <w:overflowPunct w:val="0"/>
              <w:autoSpaceDE w:val="0"/>
              <w:autoSpaceDN w:val="0"/>
              <w:jc w:val="both"/>
            </w:pPr>
            <w:r w:rsidRPr="006E278B">
              <w:t>(</w:t>
            </w:r>
            <w:r w:rsidRPr="006E278B">
              <w:rPr>
                <w:lang w:eastAsia="zh-HK"/>
              </w:rPr>
              <w:t>a</w:t>
            </w:r>
            <w:r w:rsidRPr="006E278B">
              <w:t>)</w:t>
            </w:r>
          </w:p>
        </w:tc>
        <w:tc>
          <w:tcPr>
            <w:tcW w:w="3118" w:type="dxa"/>
          </w:tcPr>
          <w:p w:rsidR="00811C5D" w:rsidRPr="006E278B" w:rsidRDefault="00811C5D" w:rsidP="00C22AFE">
            <w:pPr>
              <w:overflowPunct w:val="0"/>
              <w:autoSpaceDE w:val="0"/>
              <w:autoSpaceDN w:val="0"/>
              <w:jc w:val="both"/>
            </w:pPr>
            <w:r w:rsidRPr="006E278B">
              <w:t>Period of employment:</w:t>
            </w:r>
          </w:p>
        </w:tc>
        <w:tc>
          <w:tcPr>
            <w:tcW w:w="3119" w:type="dxa"/>
          </w:tcPr>
          <w:p w:rsidR="00811C5D" w:rsidRPr="006E278B" w:rsidRDefault="00811C5D" w:rsidP="00C22AFE">
            <w:pPr>
              <w:overflowPunct w:val="0"/>
              <w:autoSpaceDE w:val="0"/>
              <w:autoSpaceDN w:val="0"/>
              <w:jc w:val="center"/>
              <w:rPr>
                <w:lang w:eastAsia="zh-HK"/>
              </w:rPr>
            </w:pPr>
            <w:r w:rsidRPr="006E278B">
              <w:rPr>
                <w:lang w:eastAsia="zh-HK"/>
              </w:rPr>
              <w:t>01</w:t>
            </w:r>
            <w:r w:rsidR="00574C82" w:rsidRPr="006E278B">
              <w:rPr>
                <w:rFonts w:hint="eastAsia"/>
              </w:rPr>
              <w:t>-</w:t>
            </w:r>
            <w:r w:rsidRPr="006E278B">
              <w:rPr>
                <w:lang w:eastAsia="zh-HK"/>
              </w:rPr>
              <w:t>04</w:t>
            </w:r>
            <w:r w:rsidR="00574C82" w:rsidRPr="006E278B">
              <w:rPr>
                <w:rFonts w:hint="eastAsia"/>
              </w:rPr>
              <w:t>-</w:t>
            </w:r>
            <w:r w:rsidRPr="006E278B">
              <w:rPr>
                <w:lang w:eastAsia="zh-HK"/>
              </w:rPr>
              <w:t>2018 – 23</w:t>
            </w:r>
            <w:r w:rsidR="00574C82" w:rsidRPr="006E278B">
              <w:rPr>
                <w:rFonts w:hint="eastAsia"/>
              </w:rPr>
              <w:t>-</w:t>
            </w:r>
            <w:r w:rsidRPr="006E278B">
              <w:rPr>
                <w:lang w:eastAsia="zh-HK"/>
              </w:rPr>
              <w:t>11</w:t>
            </w:r>
            <w:r w:rsidR="00574C82" w:rsidRPr="006E278B">
              <w:rPr>
                <w:rFonts w:hint="eastAsia"/>
              </w:rPr>
              <w:t>-</w:t>
            </w:r>
            <w:r w:rsidRPr="006E278B">
              <w:rPr>
                <w:lang w:eastAsia="zh-HK"/>
              </w:rPr>
              <w:t>2018</w:t>
            </w:r>
          </w:p>
        </w:tc>
      </w:tr>
      <w:tr w:rsidR="00811C5D" w:rsidRPr="006E278B" w:rsidTr="009C1A67">
        <w:tc>
          <w:tcPr>
            <w:tcW w:w="425" w:type="dxa"/>
          </w:tcPr>
          <w:p w:rsidR="00811C5D" w:rsidRPr="006E278B" w:rsidRDefault="00811C5D" w:rsidP="00C22AFE">
            <w:pPr>
              <w:overflowPunct w:val="0"/>
              <w:autoSpaceDE w:val="0"/>
              <w:autoSpaceDN w:val="0"/>
              <w:jc w:val="both"/>
            </w:pPr>
          </w:p>
        </w:tc>
        <w:tc>
          <w:tcPr>
            <w:tcW w:w="3118" w:type="dxa"/>
          </w:tcPr>
          <w:p w:rsidR="00811C5D" w:rsidRPr="006E278B" w:rsidRDefault="00811C5D" w:rsidP="00C22AFE">
            <w:pPr>
              <w:overflowPunct w:val="0"/>
              <w:autoSpaceDE w:val="0"/>
              <w:autoSpaceDN w:val="0"/>
              <w:jc w:val="both"/>
              <w:rPr>
                <w:lang w:eastAsia="zh-HK"/>
              </w:rPr>
            </w:pPr>
          </w:p>
        </w:tc>
        <w:tc>
          <w:tcPr>
            <w:tcW w:w="3119" w:type="dxa"/>
          </w:tcPr>
          <w:p w:rsidR="00811C5D" w:rsidRPr="006E278B" w:rsidRDefault="00811C5D" w:rsidP="00C22AFE">
            <w:pPr>
              <w:overflowPunct w:val="0"/>
              <w:autoSpaceDE w:val="0"/>
              <w:autoSpaceDN w:val="0"/>
              <w:jc w:val="center"/>
              <w:rPr>
                <w:lang w:eastAsia="zh-HK"/>
              </w:rPr>
            </w:pPr>
          </w:p>
        </w:tc>
      </w:tr>
      <w:tr w:rsidR="00811C5D" w:rsidRPr="006E278B" w:rsidTr="009C1A67">
        <w:tc>
          <w:tcPr>
            <w:tcW w:w="425" w:type="dxa"/>
          </w:tcPr>
          <w:p w:rsidR="00811C5D" w:rsidRPr="006E278B" w:rsidRDefault="00811C5D" w:rsidP="00C22AFE">
            <w:pPr>
              <w:overflowPunct w:val="0"/>
              <w:autoSpaceDE w:val="0"/>
              <w:autoSpaceDN w:val="0"/>
              <w:jc w:val="both"/>
              <w:rPr>
                <w:lang w:eastAsia="zh-HK"/>
              </w:rPr>
            </w:pPr>
            <w:r w:rsidRPr="006E278B">
              <w:rPr>
                <w:lang w:eastAsia="zh-HK"/>
              </w:rPr>
              <w:t>(b)</w:t>
            </w:r>
          </w:p>
        </w:tc>
        <w:tc>
          <w:tcPr>
            <w:tcW w:w="3118" w:type="dxa"/>
          </w:tcPr>
          <w:p w:rsidR="00811C5D" w:rsidRPr="006E278B" w:rsidRDefault="00811C5D" w:rsidP="00C22AFE">
            <w:pPr>
              <w:overflowPunct w:val="0"/>
              <w:autoSpaceDE w:val="0"/>
              <w:autoSpaceDN w:val="0"/>
              <w:jc w:val="both"/>
              <w:rPr>
                <w:lang w:eastAsia="zh-HK"/>
              </w:rPr>
            </w:pPr>
            <w:r w:rsidRPr="006E278B">
              <w:rPr>
                <w:lang w:eastAsia="zh-HK"/>
              </w:rPr>
              <w:t>Reason for cessation:</w:t>
            </w:r>
          </w:p>
        </w:tc>
        <w:tc>
          <w:tcPr>
            <w:tcW w:w="3119" w:type="dxa"/>
          </w:tcPr>
          <w:p w:rsidR="00811C5D" w:rsidRPr="006E278B" w:rsidRDefault="00811C5D" w:rsidP="00C22AFE">
            <w:pPr>
              <w:overflowPunct w:val="0"/>
              <w:autoSpaceDE w:val="0"/>
              <w:autoSpaceDN w:val="0"/>
              <w:jc w:val="center"/>
              <w:rPr>
                <w:lang w:eastAsia="zh-HK"/>
              </w:rPr>
            </w:pPr>
            <w:r w:rsidRPr="006E278B">
              <w:rPr>
                <w:lang w:eastAsia="zh-HK"/>
              </w:rPr>
              <w:t>Redundant</w:t>
            </w:r>
          </w:p>
        </w:tc>
      </w:tr>
      <w:tr w:rsidR="00811C5D" w:rsidRPr="006E278B" w:rsidTr="009C1A67">
        <w:tc>
          <w:tcPr>
            <w:tcW w:w="425" w:type="dxa"/>
          </w:tcPr>
          <w:p w:rsidR="00811C5D" w:rsidRPr="006E278B" w:rsidRDefault="00811C5D" w:rsidP="00C22AFE">
            <w:pPr>
              <w:overflowPunct w:val="0"/>
              <w:autoSpaceDE w:val="0"/>
              <w:autoSpaceDN w:val="0"/>
              <w:jc w:val="both"/>
            </w:pPr>
          </w:p>
        </w:tc>
        <w:tc>
          <w:tcPr>
            <w:tcW w:w="3118" w:type="dxa"/>
          </w:tcPr>
          <w:p w:rsidR="00811C5D" w:rsidRPr="006E278B" w:rsidRDefault="00811C5D" w:rsidP="00C22AFE">
            <w:pPr>
              <w:overflowPunct w:val="0"/>
              <w:autoSpaceDE w:val="0"/>
              <w:autoSpaceDN w:val="0"/>
              <w:jc w:val="both"/>
            </w:pPr>
          </w:p>
        </w:tc>
        <w:tc>
          <w:tcPr>
            <w:tcW w:w="3119" w:type="dxa"/>
          </w:tcPr>
          <w:p w:rsidR="00811C5D" w:rsidRPr="006E278B" w:rsidRDefault="00811C5D" w:rsidP="00C22AFE">
            <w:pPr>
              <w:overflowPunct w:val="0"/>
              <w:autoSpaceDE w:val="0"/>
              <w:autoSpaceDN w:val="0"/>
              <w:jc w:val="center"/>
              <w:rPr>
                <w:lang w:eastAsia="zh-HK"/>
              </w:rPr>
            </w:pPr>
          </w:p>
        </w:tc>
      </w:tr>
      <w:tr w:rsidR="00811C5D" w:rsidRPr="006E278B" w:rsidTr="009C1A67">
        <w:tc>
          <w:tcPr>
            <w:tcW w:w="425" w:type="dxa"/>
          </w:tcPr>
          <w:p w:rsidR="00811C5D" w:rsidRPr="006E278B" w:rsidRDefault="00811C5D" w:rsidP="00C22AFE">
            <w:pPr>
              <w:overflowPunct w:val="0"/>
              <w:autoSpaceDE w:val="0"/>
              <w:autoSpaceDN w:val="0"/>
              <w:jc w:val="both"/>
            </w:pPr>
            <w:r w:rsidRPr="006E278B">
              <w:t>(</w:t>
            </w:r>
            <w:r w:rsidRPr="006E278B">
              <w:rPr>
                <w:lang w:eastAsia="zh-HK"/>
              </w:rPr>
              <w:t>c</w:t>
            </w:r>
            <w:r w:rsidRPr="006E278B">
              <w:t>)</w:t>
            </w:r>
          </w:p>
        </w:tc>
        <w:tc>
          <w:tcPr>
            <w:tcW w:w="3118" w:type="dxa"/>
          </w:tcPr>
          <w:p w:rsidR="00811C5D" w:rsidRPr="006E278B" w:rsidRDefault="00811C5D" w:rsidP="00C22AFE">
            <w:pPr>
              <w:overflowPunct w:val="0"/>
              <w:autoSpaceDE w:val="0"/>
              <w:autoSpaceDN w:val="0"/>
              <w:jc w:val="both"/>
            </w:pPr>
            <w:r w:rsidRPr="006E278B">
              <w:rPr>
                <w:lang w:eastAsia="zh-HK"/>
              </w:rPr>
              <w:t xml:space="preserve">Details </w:t>
            </w:r>
            <w:r w:rsidRPr="006E278B">
              <w:t>of income:</w:t>
            </w:r>
          </w:p>
        </w:tc>
        <w:tc>
          <w:tcPr>
            <w:tcW w:w="3119" w:type="dxa"/>
          </w:tcPr>
          <w:p w:rsidR="00811C5D" w:rsidRPr="006E278B" w:rsidRDefault="00811C5D" w:rsidP="00C22AFE">
            <w:pPr>
              <w:overflowPunct w:val="0"/>
              <w:autoSpaceDE w:val="0"/>
              <w:autoSpaceDN w:val="0"/>
              <w:ind w:rightChars="665" w:right="1596"/>
              <w:jc w:val="right"/>
              <w:rPr>
                <w:lang w:eastAsia="zh-HK"/>
              </w:rPr>
            </w:pPr>
            <w:r w:rsidRPr="006E278B">
              <w:rPr>
                <w:lang w:eastAsia="zh-HK"/>
              </w:rPr>
              <w:t>$</w:t>
            </w:r>
          </w:p>
        </w:tc>
      </w:tr>
      <w:tr w:rsidR="00811C5D" w:rsidRPr="006E278B" w:rsidTr="009C1A67">
        <w:tc>
          <w:tcPr>
            <w:tcW w:w="425" w:type="dxa"/>
          </w:tcPr>
          <w:p w:rsidR="00811C5D" w:rsidRPr="006E278B" w:rsidRDefault="00811C5D" w:rsidP="00C22AFE">
            <w:pPr>
              <w:overflowPunct w:val="0"/>
              <w:autoSpaceDE w:val="0"/>
              <w:autoSpaceDN w:val="0"/>
              <w:jc w:val="both"/>
            </w:pPr>
          </w:p>
        </w:tc>
        <w:tc>
          <w:tcPr>
            <w:tcW w:w="3118" w:type="dxa"/>
          </w:tcPr>
          <w:p w:rsidR="00811C5D" w:rsidRPr="006E278B" w:rsidRDefault="00811C5D" w:rsidP="00C22AFE">
            <w:pPr>
              <w:overflowPunct w:val="0"/>
              <w:autoSpaceDE w:val="0"/>
              <w:autoSpaceDN w:val="0"/>
              <w:ind w:leftChars="70" w:left="168"/>
              <w:jc w:val="both"/>
              <w:rPr>
                <w:lang w:eastAsia="zh-HK"/>
              </w:rPr>
            </w:pPr>
            <w:r w:rsidRPr="006E278B">
              <w:rPr>
                <w:lang w:eastAsia="zh-HK"/>
              </w:rPr>
              <w:t>Salary</w:t>
            </w:r>
          </w:p>
        </w:tc>
        <w:tc>
          <w:tcPr>
            <w:tcW w:w="3119" w:type="dxa"/>
          </w:tcPr>
          <w:p w:rsidR="00811C5D" w:rsidRPr="006E278B" w:rsidRDefault="00811C5D" w:rsidP="00C22AFE">
            <w:pPr>
              <w:overflowPunct w:val="0"/>
              <w:autoSpaceDE w:val="0"/>
              <w:autoSpaceDN w:val="0"/>
              <w:ind w:rightChars="490" w:right="1176"/>
              <w:jc w:val="right"/>
              <w:rPr>
                <w:lang w:eastAsia="zh-HK"/>
              </w:rPr>
            </w:pPr>
            <w:r w:rsidRPr="006E278B">
              <w:rPr>
                <w:lang w:eastAsia="zh-HK"/>
              </w:rPr>
              <w:t>516,172</w:t>
            </w:r>
          </w:p>
        </w:tc>
      </w:tr>
      <w:tr w:rsidR="00811C5D" w:rsidRPr="006E278B" w:rsidTr="009C1A67">
        <w:tc>
          <w:tcPr>
            <w:tcW w:w="425" w:type="dxa"/>
          </w:tcPr>
          <w:p w:rsidR="00811C5D" w:rsidRPr="006E278B" w:rsidRDefault="00811C5D" w:rsidP="00C22AFE">
            <w:pPr>
              <w:overflowPunct w:val="0"/>
              <w:autoSpaceDE w:val="0"/>
              <w:autoSpaceDN w:val="0"/>
              <w:jc w:val="both"/>
            </w:pPr>
          </w:p>
        </w:tc>
        <w:tc>
          <w:tcPr>
            <w:tcW w:w="3118" w:type="dxa"/>
          </w:tcPr>
          <w:p w:rsidR="00811C5D" w:rsidRPr="006E278B" w:rsidRDefault="00811C5D" w:rsidP="00C22AFE">
            <w:pPr>
              <w:overflowPunct w:val="0"/>
              <w:autoSpaceDE w:val="0"/>
              <w:autoSpaceDN w:val="0"/>
              <w:ind w:leftChars="70" w:left="288" w:hangingChars="50" w:hanging="120"/>
              <w:jc w:val="both"/>
              <w:rPr>
                <w:lang w:eastAsia="zh-HK"/>
              </w:rPr>
            </w:pPr>
            <w:r w:rsidRPr="006E278B">
              <w:rPr>
                <w:lang w:eastAsia="zh-HK"/>
              </w:rPr>
              <w:t xml:space="preserve">Payment in lieu of notice </w:t>
            </w:r>
          </w:p>
        </w:tc>
        <w:tc>
          <w:tcPr>
            <w:tcW w:w="3119" w:type="dxa"/>
            <w:vAlign w:val="bottom"/>
          </w:tcPr>
          <w:p w:rsidR="00811C5D" w:rsidRPr="006E278B" w:rsidRDefault="00811C5D" w:rsidP="00C22AFE">
            <w:pPr>
              <w:overflowPunct w:val="0"/>
              <w:autoSpaceDE w:val="0"/>
              <w:autoSpaceDN w:val="0"/>
              <w:jc w:val="right"/>
              <w:rPr>
                <w:lang w:eastAsia="zh-HK"/>
              </w:rPr>
            </w:pPr>
            <w:r w:rsidRPr="006E278B">
              <w:rPr>
                <w:lang w:eastAsia="zh-HK"/>
              </w:rPr>
              <w:t>398,760 (</w:t>
            </w:r>
            <w:r w:rsidR="009C1A67" w:rsidRPr="006E278B">
              <w:rPr>
                <w:lang w:eastAsia="zh-HK"/>
              </w:rPr>
              <w:t>‘</w:t>
            </w:r>
            <w:r w:rsidRPr="006E278B">
              <w:rPr>
                <w:lang w:eastAsia="zh-HK"/>
              </w:rPr>
              <w:t>the Sum</w:t>
            </w:r>
            <w:r w:rsidR="009C1A67" w:rsidRPr="006E278B">
              <w:rPr>
                <w:lang w:eastAsia="zh-HK"/>
              </w:rPr>
              <w:t>’</w:t>
            </w:r>
            <w:r w:rsidRPr="006E278B">
              <w:rPr>
                <w:lang w:eastAsia="zh-HK"/>
              </w:rPr>
              <w:t>)</w:t>
            </w:r>
          </w:p>
        </w:tc>
      </w:tr>
      <w:tr w:rsidR="00811C5D" w:rsidRPr="006E278B" w:rsidTr="009C1A67">
        <w:tc>
          <w:tcPr>
            <w:tcW w:w="425" w:type="dxa"/>
          </w:tcPr>
          <w:p w:rsidR="00811C5D" w:rsidRPr="006E278B" w:rsidRDefault="00811C5D" w:rsidP="00C22AFE">
            <w:pPr>
              <w:overflowPunct w:val="0"/>
              <w:autoSpaceDE w:val="0"/>
              <w:autoSpaceDN w:val="0"/>
              <w:jc w:val="both"/>
            </w:pPr>
          </w:p>
        </w:tc>
        <w:tc>
          <w:tcPr>
            <w:tcW w:w="3118" w:type="dxa"/>
          </w:tcPr>
          <w:p w:rsidR="00811C5D" w:rsidRPr="006E278B" w:rsidRDefault="00811C5D" w:rsidP="00C22AFE">
            <w:pPr>
              <w:overflowPunct w:val="0"/>
              <w:autoSpaceDE w:val="0"/>
              <w:autoSpaceDN w:val="0"/>
              <w:ind w:leftChars="70" w:left="288" w:hangingChars="50" w:hanging="120"/>
              <w:rPr>
                <w:lang w:eastAsia="zh-HK"/>
              </w:rPr>
            </w:pPr>
            <w:r w:rsidRPr="006E278B">
              <w:rPr>
                <w:lang w:eastAsia="zh-HK"/>
              </w:rPr>
              <w:t>Leave pay and other rewards</w:t>
            </w:r>
          </w:p>
        </w:tc>
        <w:tc>
          <w:tcPr>
            <w:tcW w:w="3119" w:type="dxa"/>
            <w:vAlign w:val="bottom"/>
          </w:tcPr>
          <w:p w:rsidR="00811C5D" w:rsidRPr="006E278B" w:rsidRDefault="00811C5D" w:rsidP="00C22AFE">
            <w:pPr>
              <w:overflowPunct w:val="0"/>
              <w:autoSpaceDE w:val="0"/>
              <w:autoSpaceDN w:val="0"/>
              <w:ind w:rightChars="490" w:right="1176"/>
              <w:jc w:val="right"/>
              <w:rPr>
                <w:u w:val="single"/>
                <w:lang w:eastAsia="zh-HK"/>
              </w:rPr>
            </w:pPr>
            <w:r w:rsidRPr="006E278B">
              <w:rPr>
                <w:u w:val="single"/>
                <w:lang w:eastAsia="zh-HK"/>
              </w:rPr>
              <w:t xml:space="preserve"> </w:t>
            </w:r>
            <w:r w:rsidR="00C22AFE" w:rsidRPr="006E278B">
              <w:rPr>
                <w:u w:val="single"/>
                <w:lang w:eastAsia="zh-HK"/>
              </w:rPr>
              <w:t xml:space="preserve"> </w:t>
            </w:r>
            <w:r w:rsidRPr="006E278B">
              <w:rPr>
                <w:u w:val="single"/>
                <w:lang w:eastAsia="zh-HK"/>
              </w:rPr>
              <w:t> 104,083</w:t>
            </w:r>
          </w:p>
        </w:tc>
      </w:tr>
      <w:tr w:rsidR="00811C5D" w:rsidRPr="006E278B" w:rsidTr="009C1A67">
        <w:trPr>
          <w:trHeight w:val="227"/>
        </w:trPr>
        <w:tc>
          <w:tcPr>
            <w:tcW w:w="425" w:type="dxa"/>
          </w:tcPr>
          <w:p w:rsidR="00811C5D" w:rsidRPr="006E278B" w:rsidRDefault="00811C5D" w:rsidP="00C22AFE">
            <w:pPr>
              <w:tabs>
                <w:tab w:val="left" w:pos="8460"/>
              </w:tabs>
              <w:overflowPunct w:val="0"/>
              <w:autoSpaceDE w:val="0"/>
              <w:autoSpaceDN w:val="0"/>
              <w:jc w:val="both"/>
              <w:rPr>
                <w:lang w:eastAsia="zh-HK"/>
              </w:rPr>
            </w:pPr>
          </w:p>
        </w:tc>
        <w:tc>
          <w:tcPr>
            <w:tcW w:w="3118" w:type="dxa"/>
          </w:tcPr>
          <w:p w:rsidR="00811C5D" w:rsidRPr="006E278B" w:rsidRDefault="00811C5D" w:rsidP="00C22AFE">
            <w:pPr>
              <w:overflowPunct w:val="0"/>
              <w:autoSpaceDE w:val="0"/>
              <w:autoSpaceDN w:val="0"/>
              <w:ind w:leftChars="70" w:left="168"/>
              <w:jc w:val="both"/>
              <w:rPr>
                <w:lang w:eastAsia="zh-HK"/>
              </w:rPr>
            </w:pPr>
            <w:r w:rsidRPr="006E278B">
              <w:rPr>
                <w:lang w:eastAsia="zh-HK"/>
              </w:rPr>
              <w:t>Total</w:t>
            </w:r>
          </w:p>
        </w:tc>
        <w:tc>
          <w:tcPr>
            <w:tcW w:w="3119" w:type="dxa"/>
          </w:tcPr>
          <w:p w:rsidR="00811C5D" w:rsidRPr="006E278B" w:rsidRDefault="00811C5D" w:rsidP="00C22AFE">
            <w:pPr>
              <w:overflowPunct w:val="0"/>
              <w:autoSpaceDE w:val="0"/>
              <w:autoSpaceDN w:val="0"/>
              <w:ind w:rightChars="490" w:right="1176"/>
              <w:jc w:val="right"/>
              <w:rPr>
                <w:u w:val="double"/>
                <w:lang w:eastAsia="zh-HK"/>
              </w:rPr>
            </w:pPr>
            <w:r w:rsidRPr="006E278B">
              <w:rPr>
                <w:u w:val="double"/>
                <w:lang w:eastAsia="zh-HK"/>
              </w:rPr>
              <w:t>1,019,015</w:t>
            </w:r>
          </w:p>
        </w:tc>
      </w:tr>
    </w:tbl>
    <w:p w:rsidR="00811C5D" w:rsidRPr="006E278B" w:rsidRDefault="00811C5D" w:rsidP="00C22AFE">
      <w:pPr>
        <w:pStyle w:val="250"/>
        <w:widowControl w:val="0"/>
        <w:snapToGrid w:val="0"/>
        <w:ind w:left="566" w:hangingChars="236" w:hanging="566"/>
        <w:textAlignment w:val="auto"/>
        <w:rPr>
          <w:szCs w:val="24"/>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In his Tax Return – Individuals for the year of assessment 2018/19, the </w:t>
      </w:r>
      <w:r w:rsidRPr="006E278B">
        <w:t>Appellant declared</w:t>
      </w:r>
      <w:r w:rsidRPr="006E278B">
        <w:rPr>
          <w:lang w:eastAsia="zh-HK"/>
        </w:rPr>
        <w:t xml:space="preserve"> that his salaries income from </w:t>
      </w:r>
      <w:r w:rsidR="00574C82" w:rsidRPr="006E278B">
        <w:rPr>
          <w:lang w:eastAsia="zh-HK"/>
        </w:rPr>
        <w:t>Company B</w:t>
      </w:r>
      <w:r w:rsidRPr="006E278B">
        <w:rPr>
          <w:lang w:eastAsia="zh-HK"/>
        </w:rPr>
        <w:t xml:space="preserve"> for that year was $1,329,003 including the Sum and a statutory severance payment of $309,986 ($22,500 × 2/3 × 20.6658 years).  The </w:t>
      </w:r>
      <w:r w:rsidRPr="006E278B">
        <w:t>Appellant</w:t>
      </w:r>
      <w:r w:rsidRPr="006E278B">
        <w:rPr>
          <w:lang w:eastAsia="zh-HK"/>
        </w:rPr>
        <w:t xml:space="preserve"> stated that the Sum and the severance payment were received by him on 23 November 2018.</w:t>
      </w:r>
    </w:p>
    <w:p w:rsidR="00B76C83" w:rsidRDefault="00B76C83" w:rsidP="00B76C83">
      <w:pPr>
        <w:overflowPunct w:val="0"/>
        <w:autoSpaceDE w:val="0"/>
        <w:autoSpaceDN w:val="0"/>
        <w:jc w:val="both"/>
        <w:rPr>
          <w:lang w:eastAsia="zh-HK"/>
        </w:rPr>
      </w:pPr>
    </w:p>
    <w:p w:rsidR="00B76C83" w:rsidRDefault="00B76C83" w:rsidP="00B76C83">
      <w:pPr>
        <w:overflowPunct w:val="0"/>
        <w:autoSpaceDE w:val="0"/>
        <w:autoSpaceDN w:val="0"/>
        <w:jc w:val="both"/>
        <w:rPr>
          <w:lang w:eastAsia="zh-HK"/>
        </w:rPr>
      </w:pPr>
    </w:p>
    <w:p w:rsidR="00B76C83" w:rsidRDefault="00B76C83" w:rsidP="00B76C83">
      <w:pPr>
        <w:overflowPunct w:val="0"/>
        <w:autoSpaceDE w:val="0"/>
        <w:autoSpaceDN w:val="0"/>
        <w:jc w:val="both"/>
        <w:rPr>
          <w:lang w:eastAsia="zh-HK"/>
        </w:rPr>
      </w:pPr>
    </w:p>
    <w:p w:rsidR="00B76C83" w:rsidRDefault="00B76C83" w:rsidP="00B76C83">
      <w:pPr>
        <w:overflowPunct w:val="0"/>
        <w:autoSpaceDE w:val="0"/>
        <w:autoSpaceDN w:val="0"/>
        <w:jc w:val="both"/>
        <w:rPr>
          <w:lang w:eastAsia="zh-HK"/>
        </w:rPr>
      </w:pPr>
    </w:p>
    <w:p w:rsidR="00B76C83" w:rsidRDefault="00B76C83" w:rsidP="00B76C83">
      <w:pPr>
        <w:overflowPunct w:val="0"/>
        <w:autoSpaceDE w:val="0"/>
        <w:autoSpaceDN w:val="0"/>
        <w:jc w:val="both"/>
        <w:rPr>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lastRenderedPageBreak/>
        <w:t xml:space="preserve">Based on the information reported by </w:t>
      </w:r>
      <w:r w:rsidR="00574C82" w:rsidRPr="006E278B">
        <w:rPr>
          <w:lang w:eastAsia="zh-HK"/>
        </w:rPr>
        <w:t>Company B</w:t>
      </w:r>
      <w:r w:rsidRPr="006E278B">
        <w:rPr>
          <w:lang w:eastAsia="zh-HK"/>
        </w:rPr>
        <w:t xml:space="preserve"> as well as the tax return filed by the </w:t>
      </w:r>
      <w:r w:rsidRPr="006E278B">
        <w:t>Appellant</w:t>
      </w:r>
      <w:r w:rsidR="00303820" w:rsidRPr="006E278B">
        <w:rPr>
          <w:lang w:eastAsia="zh-HK"/>
        </w:rPr>
        <w:t xml:space="preserve">, the </w:t>
      </w:r>
      <w:r w:rsidRPr="006E278B">
        <w:rPr>
          <w:lang w:eastAsia="zh-HK"/>
        </w:rPr>
        <w:t xml:space="preserve">Respondent raised on the </w:t>
      </w:r>
      <w:r w:rsidRPr="006E278B">
        <w:t>Appellant</w:t>
      </w:r>
      <w:r w:rsidRPr="006E278B">
        <w:rPr>
          <w:lang w:eastAsia="zh-HK"/>
        </w:rPr>
        <w:t xml:space="preserve"> the following Salaries Tax Assessment for the year of assessment 2018/19:  </w:t>
      </w:r>
    </w:p>
    <w:p w:rsidR="00811C5D" w:rsidRPr="006E278B" w:rsidRDefault="00811C5D" w:rsidP="00C22AFE">
      <w:pPr>
        <w:overflowPunct w:val="0"/>
        <w:autoSpaceDE w:val="0"/>
        <w:autoSpaceDN w:val="0"/>
        <w:ind w:left="708" w:hangingChars="295" w:hanging="708"/>
        <w:jc w:val="both"/>
        <w:rPr>
          <w:lang w:eastAsia="zh-HK"/>
        </w:rPr>
      </w:pPr>
    </w:p>
    <w:tbl>
      <w:tblPr>
        <w:tblW w:w="0" w:type="auto"/>
        <w:tblInd w:w="2086" w:type="dxa"/>
        <w:tblLayout w:type="fixed"/>
        <w:tblCellMar>
          <w:left w:w="28" w:type="dxa"/>
          <w:right w:w="28" w:type="dxa"/>
        </w:tblCellMar>
        <w:tblLook w:val="0000" w:firstRow="0" w:lastRow="0" w:firstColumn="0" w:lastColumn="0" w:noHBand="0" w:noVBand="0"/>
      </w:tblPr>
      <w:tblGrid>
        <w:gridCol w:w="608"/>
        <w:gridCol w:w="1842"/>
        <w:gridCol w:w="1134"/>
      </w:tblGrid>
      <w:tr w:rsidR="00811C5D" w:rsidRPr="006E278B" w:rsidTr="009C1A67">
        <w:tc>
          <w:tcPr>
            <w:tcW w:w="2450" w:type="dxa"/>
            <w:gridSpan w:val="2"/>
          </w:tcPr>
          <w:p w:rsidR="00811C5D" w:rsidRPr="006E278B" w:rsidRDefault="00811C5D" w:rsidP="00C22AFE">
            <w:pPr>
              <w:overflowPunct w:val="0"/>
              <w:autoSpaceDE w:val="0"/>
              <w:autoSpaceDN w:val="0"/>
              <w:jc w:val="both"/>
              <w:rPr>
                <w:lang w:eastAsia="zh-HK"/>
              </w:rPr>
            </w:pPr>
            <w:r w:rsidRPr="006E278B">
              <w:rPr>
                <w:lang w:eastAsia="zh-HK"/>
              </w:rPr>
              <w:tab/>
            </w:r>
          </w:p>
        </w:tc>
        <w:tc>
          <w:tcPr>
            <w:tcW w:w="1134" w:type="dxa"/>
          </w:tcPr>
          <w:p w:rsidR="00811C5D" w:rsidRPr="006E278B" w:rsidRDefault="00811C5D" w:rsidP="00C22AFE">
            <w:pPr>
              <w:overflowPunct w:val="0"/>
              <w:autoSpaceDE w:val="0"/>
              <w:autoSpaceDN w:val="0"/>
              <w:jc w:val="center"/>
            </w:pPr>
            <w:r w:rsidRPr="006E278B">
              <w:t>$</w:t>
            </w:r>
          </w:p>
        </w:tc>
      </w:tr>
      <w:tr w:rsidR="00811C5D" w:rsidRPr="006E278B" w:rsidTr="009C1A67">
        <w:tc>
          <w:tcPr>
            <w:tcW w:w="2450" w:type="dxa"/>
            <w:gridSpan w:val="2"/>
          </w:tcPr>
          <w:p w:rsidR="00811C5D" w:rsidRPr="006E278B" w:rsidRDefault="00811C5D" w:rsidP="00C22AFE">
            <w:pPr>
              <w:overflowPunct w:val="0"/>
              <w:autoSpaceDE w:val="0"/>
              <w:autoSpaceDN w:val="0"/>
              <w:jc w:val="both"/>
              <w:rPr>
                <w:lang w:eastAsia="zh-HK"/>
              </w:rPr>
            </w:pPr>
            <w:r w:rsidRPr="006E278B">
              <w:rPr>
                <w:lang w:eastAsia="zh-HK"/>
              </w:rPr>
              <w:t>Income</w:t>
            </w:r>
            <w:r w:rsidR="002D2270" w:rsidRPr="006E278B">
              <w:rPr>
                <w:lang w:eastAsia="zh-HK"/>
              </w:rPr>
              <w:t xml:space="preserve"> </w:t>
            </w:r>
          </w:p>
        </w:tc>
        <w:tc>
          <w:tcPr>
            <w:tcW w:w="1134" w:type="dxa"/>
          </w:tcPr>
          <w:p w:rsidR="00811C5D" w:rsidRPr="006E278B" w:rsidRDefault="00811C5D" w:rsidP="00C22AFE">
            <w:pPr>
              <w:overflowPunct w:val="0"/>
              <w:autoSpaceDE w:val="0"/>
              <w:autoSpaceDN w:val="0"/>
              <w:jc w:val="right"/>
              <w:rPr>
                <w:lang w:eastAsia="zh-HK"/>
              </w:rPr>
            </w:pPr>
            <w:r w:rsidRPr="006E278B">
              <w:rPr>
                <w:lang w:eastAsia="zh-HK"/>
              </w:rPr>
              <w:t>1,019,015</w:t>
            </w:r>
          </w:p>
        </w:tc>
      </w:tr>
      <w:tr w:rsidR="00811C5D" w:rsidRPr="006E278B" w:rsidTr="009C1A67">
        <w:tc>
          <w:tcPr>
            <w:tcW w:w="608" w:type="dxa"/>
          </w:tcPr>
          <w:p w:rsidR="00811C5D" w:rsidRPr="006E278B" w:rsidRDefault="00811C5D" w:rsidP="00C22AFE">
            <w:pPr>
              <w:overflowPunct w:val="0"/>
              <w:autoSpaceDE w:val="0"/>
              <w:autoSpaceDN w:val="0"/>
              <w:ind w:leftChars="-1" w:left="600" w:hangingChars="251" w:hanging="602"/>
              <w:jc w:val="both"/>
              <w:rPr>
                <w:u w:val="single"/>
                <w:lang w:eastAsia="zh-HK"/>
              </w:rPr>
            </w:pPr>
            <w:r w:rsidRPr="006E278B">
              <w:rPr>
                <w:u w:val="single"/>
                <w:lang w:eastAsia="zh-HK"/>
              </w:rPr>
              <w:t>Add</w:t>
            </w:r>
            <w:r w:rsidRPr="006E278B">
              <w:rPr>
                <w:lang w:eastAsia="zh-HK"/>
              </w:rPr>
              <w:t>:</w:t>
            </w:r>
          </w:p>
        </w:tc>
        <w:tc>
          <w:tcPr>
            <w:tcW w:w="1842" w:type="dxa"/>
            <w:tcBorders>
              <w:left w:val="nil"/>
            </w:tcBorders>
          </w:tcPr>
          <w:p w:rsidR="00811C5D" w:rsidRPr="006E278B" w:rsidRDefault="00811C5D" w:rsidP="00C22AFE">
            <w:pPr>
              <w:overflowPunct w:val="0"/>
              <w:autoSpaceDE w:val="0"/>
              <w:autoSpaceDN w:val="0"/>
              <w:ind w:leftChars="-1" w:left="600" w:hangingChars="251" w:hanging="602"/>
              <w:jc w:val="both"/>
              <w:rPr>
                <w:lang w:eastAsia="zh-HK"/>
              </w:rPr>
            </w:pPr>
            <w:r w:rsidRPr="006E278B">
              <w:rPr>
                <w:lang w:eastAsia="zh-HK"/>
              </w:rPr>
              <w:t>Spouse income</w:t>
            </w:r>
          </w:p>
        </w:tc>
        <w:tc>
          <w:tcPr>
            <w:tcW w:w="1134" w:type="dxa"/>
          </w:tcPr>
          <w:p w:rsidR="00811C5D" w:rsidRPr="006E278B" w:rsidRDefault="00811C5D" w:rsidP="00C22AFE">
            <w:pPr>
              <w:overflowPunct w:val="0"/>
              <w:autoSpaceDE w:val="0"/>
              <w:autoSpaceDN w:val="0"/>
              <w:jc w:val="right"/>
              <w:rPr>
                <w:u w:val="single"/>
                <w:lang w:eastAsia="zh-HK"/>
              </w:rPr>
            </w:pPr>
            <w:r w:rsidRPr="006E278B">
              <w:rPr>
                <w:u w:val="single"/>
                <w:lang w:eastAsia="zh-HK"/>
              </w:rPr>
              <w:t>     25,253</w:t>
            </w:r>
          </w:p>
        </w:tc>
      </w:tr>
      <w:tr w:rsidR="00811C5D" w:rsidRPr="006E278B" w:rsidTr="009C1A67">
        <w:tc>
          <w:tcPr>
            <w:tcW w:w="2450" w:type="dxa"/>
            <w:gridSpan w:val="2"/>
          </w:tcPr>
          <w:p w:rsidR="00811C5D" w:rsidRPr="006E278B" w:rsidRDefault="00811C5D" w:rsidP="00C22AFE">
            <w:pPr>
              <w:overflowPunct w:val="0"/>
              <w:autoSpaceDE w:val="0"/>
              <w:autoSpaceDN w:val="0"/>
              <w:jc w:val="both"/>
              <w:rPr>
                <w:lang w:eastAsia="zh-HK"/>
              </w:rPr>
            </w:pPr>
          </w:p>
        </w:tc>
        <w:tc>
          <w:tcPr>
            <w:tcW w:w="1134" w:type="dxa"/>
          </w:tcPr>
          <w:p w:rsidR="00811C5D" w:rsidRPr="006E278B" w:rsidRDefault="00811C5D" w:rsidP="00C22AFE">
            <w:pPr>
              <w:overflowPunct w:val="0"/>
              <w:autoSpaceDE w:val="0"/>
              <w:autoSpaceDN w:val="0"/>
              <w:jc w:val="right"/>
              <w:rPr>
                <w:lang w:eastAsia="zh-HK"/>
              </w:rPr>
            </w:pPr>
            <w:r w:rsidRPr="006E278B">
              <w:rPr>
                <w:lang w:eastAsia="zh-HK"/>
              </w:rPr>
              <w:t>1,044,268</w:t>
            </w:r>
          </w:p>
        </w:tc>
      </w:tr>
      <w:tr w:rsidR="00811C5D" w:rsidRPr="006E278B" w:rsidTr="009C1A67">
        <w:tc>
          <w:tcPr>
            <w:tcW w:w="608" w:type="dxa"/>
          </w:tcPr>
          <w:p w:rsidR="00811C5D" w:rsidRPr="006E278B" w:rsidRDefault="00811C5D" w:rsidP="00C22AFE">
            <w:pPr>
              <w:overflowPunct w:val="0"/>
              <w:autoSpaceDE w:val="0"/>
              <w:autoSpaceDN w:val="0"/>
              <w:ind w:leftChars="-1" w:left="600" w:hangingChars="251" w:hanging="602"/>
              <w:jc w:val="both"/>
              <w:rPr>
                <w:u w:val="single"/>
                <w:lang w:eastAsia="zh-HK"/>
              </w:rPr>
            </w:pPr>
            <w:r w:rsidRPr="006E278B">
              <w:rPr>
                <w:u w:val="single"/>
                <w:lang w:eastAsia="zh-HK"/>
              </w:rPr>
              <w:t>Less</w:t>
            </w:r>
            <w:r w:rsidRPr="006E278B">
              <w:rPr>
                <w:lang w:eastAsia="zh-HK"/>
              </w:rPr>
              <w:t>:</w:t>
            </w:r>
          </w:p>
        </w:tc>
        <w:tc>
          <w:tcPr>
            <w:tcW w:w="1842" w:type="dxa"/>
            <w:tcBorders>
              <w:left w:val="nil"/>
            </w:tcBorders>
          </w:tcPr>
          <w:p w:rsidR="00811C5D" w:rsidRPr="006E278B" w:rsidRDefault="00811C5D" w:rsidP="00C22AFE">
            <w:pPr>
              <w:overflowPunct w:val="0"/>
              <w:autoSpaceDE w:val="0"/>
              <w:autoSpaceDN w:val="0"/>
              <w:ind w:leftChars="-1" w:left="600" w:hangingChars="251" w:hanging="602"/>
              <w:jc w:val="both"/>
              <w:rPr>
                <w:lang w:eastAsia="zh-HK"/>
              </w:rPr>
            </w:pPr>
            <w:r w:rsidRPr="006E278B">
              <w:rPr>
                <w:lang w:eastAsia="zh-HK"/>
              </w:rPr>
              <w:t>Deductions</w:t>
            </w:r>
          </w:p>
        </w:tc>
        <w:tc>
          <w:tcPr>
            <w:tcW w:w="1134" w:type="dxa"/>
          </w:tcPr>
          <w:p w:rsidR="00811C5D" w:rsidRPr="006E278B" w:rsidRDefault="00811C5D" w:rsidP="00C22AFE">
            <w:pPr>
              <w:overflowPunct w:val="0"/>
              <w:autoSpaceDE w:val="0"/>
              <w:autoSpaceDN w:val="0"/>
              <w:jc w:val="right"/>
              <w:rPr>
                <w:u w:val="single"/>
                <w:lang w:eastAsia="zh-HK"/>
              </w:rPr>
            </w:pPr>
            <w:r w:rsidRPr="006E278B">
              <w:rPr>
                <w:u w:val="single"/>
                <w:lang w:eastAsia="zh-HK"/>
              </w:rPr>
              <w:t>     22,643</w:t>
            </w:r>
          </w:p>
        </w:tc>
      </w:tr>
      <w:tr w:rsidR="00811C5D" w:rsidRPr="006E278B" w:rsidTr="009C1A67">
        <w:tc>
          <w:tcPr>
            <w:tcW w:w="2450" w:type="dxa"/>
            <w:gridSpan w:val="2"/>
          </w:tcPr>
          <w:p w:rsidR="00811C5D" w:rsidRPr="006E278B" w:rsidRDefault="00811C5D" w:rsidP="00C22AFE">
            <w:pPr>
              <w:overflowPunct w:val="0"/>
              <w:autoSpaceDE w:val="0"/>
              <w:autoSpaceDN w:val="0"/>
              <w:jc w:val="both"/>
              <w:rPr>
                <w:lang w:eastAsia="zh-HK"/>
              </w:rPr>
            </w:pPr>
            <w:r w:rsidRPr="006E278B">
              <w:rPr>
                <w:lang w:eastAsia="zh-HK"/>
              </w:rPr>
              <w:t>Net Income</w:t>
            </w:r>
          </w:p>
        </w:tc>
        <w:tc>
          <w:tcPr>
            <w:tcW w:w="1134" w:type="dxa"/>
          </w:tcPr>
          <w:p w:rsidR="00811C5D" w:rsidRPr="006E278B" w:rsidRDefault="00811C5D" w:rsidP="00C22AFE">
            <w:pPr>
              <w:overflowPunct w:val="0"/>
              <w:autoSpaceDE w:val="0"/>
              <w:autoSpaceDN w:val="0"/>
              <w:jc w:val="right"/>
              <w:rPr>
                <w:lang w:eastAsia="zh-HK"/>
              </w:rPr>
            </w:pPr>
            <w:r w:rsidRPr="006E278B">
              <w:rPr>
                <w:lang w:eastAsia="zh-HK"/>
              </w:rPr>
              <w:t>1,021,625</w:t>
            </w:r>
          </w:p>
        </w:tc>
      </w:tr>
      <w:tr w:rsidR="00811C5D" w:rsidRPr="006E278B" w:rsidTr="009C1A67">
        <w:tc>
          <w:tcPr>
            <w:tcW w:w="608" w:type="dxa"/>
          </w:tcPr>
          <w:p w:rsidR="00811C5D" w:rsidRPr="006E278B" w:rsidRDefault="00811C5D" w:rsidP="00C22AFE">
            <w:pPr>
              <w:overflowPunct w:val="0"/>
              <w:autoSpaceDE w:val="0"/>
              <w:autoSpaceDN w:val="0"/>
              <w:ind w:leftChars="-1" w:left="600" w:hangingChars="251" w:hanging="602"/>
              <w:jc w:val="both"/>
              <w:rPr>
                <w:u w:val="single"/>
                <w:lang w:eastAsia="zh-HK"/>
              </w:rPr>
            </w:pPr>
            <w:r w:rsidRPr="006E278B">
              <w:rPr>
                <w:u w:val="single"/>
                <w:lang w:eastAsia="zh-HK"/>
              </w:rPr>
              <w:t>Less</w:t>
            </w:r>
            <w:r w:rsidRPr="006E278B">
              <w:rPr>
                <w:lang w:eastAsia="zh-HK"/>
              </w:rPr>
              <w:t>:</w:t>
            </w:r>
          </w:p>
        </w:tc>
        <w:tc>
          <w:tcPr>
            <w:tcW w:w="1842" w:type="dxa"/>
            <w:tcBorders>
              <w:left w:val="nil"/>
            </w:tcBorders>
          </w:tcPr>
          <w:p w:rsidR="00811C5D" w:rsidRPr="006E278B" w:rsidRDefault="00811C5D" w:rsidP="00C22AFE">
            <w:pPr>
              <w:overflowPunct w:val="0"/>
              <w:autoSpaceDE w:val="0"/>
              <w:autoSpaceDN w:val="0"/>
              <w:ind w:leftChars="-1" w:left="600" w:hangingChars="251" w:hanging="602"/>
              <w:jc w:val="both"/>
              <w:rPr>
                <w:lang w:eastAsia="zh-HK"/>
              </w:rPr>
            </w:pPr>
            <w:r w:rsidRPr="006E278B">
              <w:rPr>
                <w:lang w:eastAsia="zh-HK"/>
              </w:rPr>
              <w:t>Allowances</w:t>
            </w:r>
          </w:p>
        </w:tc>
        <w:tc>
          <w:tcPr>
            <w:tcW w:w="1134" w:type="dxa"/>
          </w:tcPr>
          <w:p w:rsidR="00811C5D" w:rsidRPr="006E278B" w:rsidRDefault="00811C5D" w:rsidP="00C22AFE">
            <w:pPr>
              <w:overflowPunct w:val="0"/>
              <w:autoSpaceDE w:val="0"/>
              <w:autoSpaceDN w:val="0"/>
              <w:jc w:val="right"/>
              <w:rPr>
                <w:u w:val="single"/>
                <w:lang w:eastAsia="zh-HK"/>
              </w:rPr>
            </w:pPr>
            <w:r w:rsidRPr="006E278B">
              <w:rPr>
                <w:u w:val="single"/>
                <w:lang w:eastAsia="zh-HK"/>
              </w:rPr>
              <w:t>   559,000</w:t>
            </w:r>
          </w:p>
        </w:tc>
      </w:tr>
      <w:tr w:rsidR="00811C5D" w:rsidRPr="006E278B" w:rsidTr="009C1A67">
        <w:tc>
          <w:tcPr>
            <w:tcW w:w="2450" w:type="dxa"/>
            <w:gridSpan w:val="2"/>
          </w:tcPr>
          <w:p w:rsidR="00811C5D" w:rsidRPr="006E278B" w:rsidRDefault="00811C5D" w:rsidP="00C22AFE">
            <w:pPr>
              <w:tabs>
                <w:tab w:val="left" w:pos="692"/>
              </w:tabs>
              <w:overflowPunct w:val="0"/>
              <w:autoSpaceDE w:val="0"/>
              <w:autoSpaceDN w:val="0"/>
              <w:jc w:val="both"/>
            </w:pPr>
            <w:r w:rsidRPr="006E278B">
              <w:t>Net Chargeable Income</w:t>
            </w:r>
          </w:p>
        </w:tc>
        <w:tc>
          <w:tcPr>
            <w:tcW w:w="1134" w:type="dxa"/>
          </w:tcPr>
          <w:p w:rsidR="00811C5D" w:rsidRPr="006E278B" w:rsidRDefault="00811C5D" w:rsidP="00C22AFE">
            <w:pPr>
              <w:overflowPunct w:val="0"/>
              <w:autoSpaceDE w:val="0"/>
              <w:autoSpaceDN w:val="0"/>
              <w:jc w:val="right"/>
              <w:rPr>
                <w:u w:val="double"/>
                <w:lang w:eastAsia="zh-HK"/>
              </w:rPr>
            </w:pPr>
            <w:r w:rsidRPr="006E278B">
              <w:rPr>
                <w:u w:val="double"/>
                <w:lang w:eastAsia="zh-HK"/>
              </w:rPr>
              <w:t>   462,625</w:t>
            </w:r>
          </w:p>
        </w:tc>
      </w:tr>
      <w:tr w:rsidR="00811C5D" w:rsidRPr="006E278B" w:rsidTr="009C1A67">
        <w:tc>
          <w:tcPr>
            <w:tcW w:w="2450" w:type="dxa"/>
            <w:gridSpan w:val="2"/>
          </w:tcPr>
          <w:p w:rsidR="00811C5D" w:rsidRPr="006E278B" w:rsidRDefault="00811C5D" w:rsidP="00C22AFE">
            <w:pPr>
              <w:tabs>
                <w:tab w:val="left" w:pos="692"/>
              </w:tabs>
              <w:overflowPunct w:val="0"/>
              <w:autoSpaceDE w:val="0"/>
              <w:autoSpaceDN w:val="0"/>
              <w:jc w:val="both"/>
            </w:pPr>
          </w:p>
        </w:tc>
        <w:tc>
          <w:tcPr>
            <w:tcW w:w="1134" w:type="dxa"/>
          </w:tcPr>
          <w:p w:rsidR="00811C5D" w:rsidRPr="006E278B" w:rsidRDefault="00811C5D" w:rsidP="00C22AFE">
            <w:pPr>
              <w:overflowPunct w:val="0"/>
              <w:autoSpaceDE w:val="0"/>
              <w:autoSpaceDN w:val="0"/>
              <w:jc w:val="right"/>
            </w:pPr>
          </w:p>
        </w:tc>
      </w:tr>
      <w:tr w:rsidR="00811C5D" w:rsidRPr="006E278B" w:rsidTr="009C1A67">
        <w:trPr>
          <w:trHeight w:val="227"/>
        </w:trPr>
        <w:tc>
          <w:tcPr>
            <w:tcW w:w="2450" w:type="dxa"/>
            <w:gridSpan w:val="2"/>
          </w:tcPr>
          <w:p w:rsidR="00811C5D" w:rsidRPr="006E278B" w:rsidRDefault="00811C5D" w:rsidP="00C22AFE">
            <w:pPr>
              <w:overflowPunct w:val="0"/>
              <w:autoSpaceDE w:val="0"/>
              <w:autoSpaceDN w:val="0"/>
              <w:jc w:val="both"/>
              <w:rPr>
                <w:lang w:eastAsia="zh-HK"/>
              </w:rPr>
            </w:pPr>
            <w:r w:rsidRPr="006E278B">
              <w:t>Tax Payable thereon</w:t>
            </w:r>
          </w:p>
        </w:tc>
        <w:tc>
          <w:tcPr>
            <w:tcW w:w="1134" w:type="dxa"/>
          </w:tcPr>
          <w:p w:rsidR="00811C5D" w:rsidRPr="006E278B" w:rsidRDefault="00811C5D" w:rsidP="00C22AFE">
            <w:pPr>
              <w:overflowPunct w:val="0"/>
              <w:autoSpaceDE w:val="0"/>
              <w:autoSpaceDN w:val="0"/>
              <w:jc w:val="right"/>
              <w:rPr>
                <w:u w:val="double"/>
                <w:lang w:eastAsia="zh-HK"/>
              </w:rPr>
            </w:pPr>
            <w:r w:rsidRPr="006E278B">
              <w:rPr>
                <w:u w:val="double"/>
                <w:lang w:eastAsia="zh-HK"/>
              </w:rPr>
              <w:t>     40,646</w:t>
            </w:r>
          </w:p>
        </w:tc>
      </w:tr>
    </w:tbl>
    <w:p w:rsidR="00811C5D" w:rsidRPr="006E278B" w:rsidRDefault="00811C5D" w:rsidP="00C22AFE">
      <w:pPr>
        <w:overflowPunct w:val="0"/>
        <w:autoSpaceDE w:val="0"/>
        <w:autoSpaceDN w:val="0"/>
        <w:ind w:left="708" w:hangingChars="295" w:hanging="708"/>
        <w:jc w:val="both"/>
        <w:rPr>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The </w:t>
      </w:r>
      <w:r w:rsidR="002D2270" w:rsidRPr="006E278B">
        <w:t>Appellant</w:t>
      </w:r>
      <w:r w:rsidRPr="006E278B">
        <w:rPr>
          <w:lang w:eastAsia="zh-HK"/>
        </w:rPr>
        <w:t xml:space="preserve"> objected to the assessment in </w:t>
      </w:r>
      <w:r w:rsidR="002D2270" w:rsidRPr="006E278B">
        <w:rPr>
          <w:lang w:eastAsia="zh-HK"/>
        </w:rPr>
        <w:t xml:space="preserve">paragraph </w:t>
      </w:r>
      <w:r w:rsidRPr="006E278B">
        <w:rPr>
          <w:lang w:eastAsia="zh-HK"/>
        </w:rPr>
        <w:t xml:space="preserve">(6) </w:t>
      </w:r>
      <w:r w:rsidR="002D2270" w:rsidRPr="006E278B">
        <w:rPr>
          <w:lang w:eastAsia="zh-HK"/>
        </w:rPr>
        <w:t xml:space="preserve">above </w:t>
      </w:r>
      <w:r w:rsidRPr="006E278B">
        <w:rPr>
          <w:lang w:eastAsia="zh-HK"/>
        </w:rPr>
        <w:t xml:space="preserve">claiming that he was terminated by </w:t>
      </w:r>
      <w:r w:rsidR="00574C82" w:rsidRPr="006E278B">
        <w:rPr>
          <w:lang w:eastAsia="zh-HK"/>
        </w:rPr>
        <w:t>Company B</w:t>
      </w:r>
      <w:r w:rsidRPr="006E278B">
        <w:rPr>
          <w:lang w:eastAsia="zh-HK"/>
        </w:rPr>
        <w:t xml:space="preserve"> with immediate effect on 23 November 2018 and was paid the Sum which was 6 months’ salaries in lieu of notice covering the period from 24 November 2018 to 23 May 2019.  An amount of $117,412 (i.e. $66,460 + $50,952), included in the Sum, was salaries income relating to the period from 1 April 2019 to 23 May 2019.  Since it was his income for the year of assessment 2019/20, it should be assessed in the year of assessment 2019/20. </w:t>
      </w:r>
    </w:p>
    <w:p w:rsidR="00811C5D" w:rsidRPr="006E278B" w:rsidRDefault="00811C5D" w:rsidP="00C22AFE">
      <w:pPr>
        <w:pStyle w:val="afd"/>
        <w:overflowPunct w:val="0"/>
        <w:autoSpaceDE w:val="0"/>
        <w:autoSpaceDN w:val="0"/>
        <w:adjustRightInd w:val="0"/>
        <w:snapToGrid w:val="0"/>
        <w:ind w:left="705"/>
        <w:jc w:val="both"/>
        <w:rPr>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In response to the </w:t>
      </w:r>
      <w:r w:rsidR="002D2270" w:rsidRPr="006E278B">
        <w:rPr>
          <w:lang w:eastAsia="zh-HK"/>
        </w:rPr>
        <w:t>Respondent</w:t>
      </w:r>
      <w:r w:rsidRPr="006E278B">
        <w:rPr>
          <w:lang w:eastAsia="zh-HK"/>
        </w:rPr>
        <w:t xml:space="preserve">’s enquiries, </w:t>
      </w:r>
      <w:r w:rsidR="00574C82" w:rsidRPr="006E278B">
        <w:rPr>
          <w:lang w:eastAsia="zh-HK"/>
        </w:rPr>
        <w:t>Company B</w:t>
      </w:r>
      <w:r w:rsidRPr="006E278B">
        <w:rPr>
          <w:lang w:eastAsia="zh-HK"/>
        </w:rPr>
        <w:t xml:space="preserve"> provided, among other things, the following information and document:</w:t>
      </w:r>
    </w:p>
    <w:p w:rsidR="00811C5D" w:rsidRPr="006E278B" w:rsidRDefault="00811C5D" w:rsidP="00C22AFE">
      <w:pPr>
        <w:overflowPunct w:val="0"/>
        <w:autoSpaceDE w:val="0"/>
        <w:autoSpaceDN w:val="0"/>
        <w:ind w:left="720" w:hangingChars="300" w:hanging="720"/>
        <w:jc w:val="both"/>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(a)</w:t>
      </w:r>
      <w:r w:rsidRPr="006E278B">
        <w:rPr>
          <w:lang w:eastAsia="zh-HK"/>
        </w:rPr>
        <w:tab/>
        <w:t xml:space="preserve">The </w:t>
      </w:r>
      <w:r w:rsidR="00CB76DE" w:rsidRPr="006E278B">
        <w:rPr>
          <w:lang w:eastAsia="zh-HK"/>
        </w:rPr>
        <w:t>Appellant</w:t>
      </w:r>
      <w:r w:rsidRPr="006E278B">
        <w:rPr>
          <w:lang w:eastAsia="zh-HK"/>
        </w:rPr>
        <w:t>’s employment was terminated by reason of redundancy.</w:t>
      </w:r>
    </w:p>
    <w:p w:rsidR="00811C5D" w:rsidRPr="006E278B" w:rsidRDefault="00811C5D" w:rsidP="00C22AFE">
      <w:pPr>
        <w:tabs>
          <w:tab w:val="left" w:pos="709"/>
        </w:tabs>
        <w:overflowPunct w:val="0"/>
        <w:autoSpaceDE w:val="0"/>
        <w:autoSpaceDN w:val="0"/>
        <w:ind w:left="1416" w:hangingChars="590" w:hanging="1416"/>
        <w:jc w:val="both"/>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(b)</w:t>
      </w:r>
      <w:r w:rsidRPr="006E278B">
        <w:rPr>
          <w:lang w:eastAsia="zh-HK"/>
        </w:rPr>
        <w:tab/>
        <w:t xml:space="preserve">The Sum was paid in accordance with the provisions of the Employment Ordinance which being a payment of 6 months’ salaries in lieu of notice. </w:t>
      </w:r>
    </w:p>
    <w:p w:rsidR="00811C5D" w:rsidRPr="006E278B" w:rsidRDefault="00811C5D" w:rsidP="00C22AFE">
      <w:pPr>
        <w:tabs>
          <w:tab w:val="left" w:pos="709"/>
        </w:tabs>
        <w:overflowPunct w:val="0"/>
        <w:autoSpaceDE w:val="0"/>
        <w:autoSpaceDN w:val="0"/>
        <w:ind w:left="1416" w:hangingChars="590" w:hanging="1416"/>
        <w:jc w:val="both"/>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(c)</w:t>
      </w:r>
      <w:r w:rsidRPr="006E278B">
        <w:rPr>
          <w:lang w:eastAsia="zh-HK"/>
        </w:rPr>
        <w:tab/>
        <w:t xml:space="preserve">A copy of the statement of final payment in respect of the </w:t>
      </w:r>
      <w:r w:rsidR="002D2270" w:rsidRPr="006E278B">
        <w:t>Appellant</w:t>
      </w:r>
      <w:r w:rsidRPr="006E278B">
        <w:rPr>
          <w:lang w:eastAsia="zh-HK"/>
        </w:rPr>
        <w:t xml:space="preserve"> which showed that the Sum was paid to the Taxpayer on 23 November 2018 and was computed as:</w:t>
      </w:r>
    </w:p>
    <w:p w:rsidR="00C22AFE" w:rsidRPr="006E278B" w:rsidRDefault="00C22AFE" w:rsidP="00C22AFE">
      <w:pPr>
        <w:tabs>
          <w:tab w:val="left" w:pos="709"/>
        </w:tabs>
        <w:overflowPunct w:val="0"/>
        <w:autoSpaceDE w:val="0"/>
        <w:autoSpaceDN w:val="0"/>
        <w:ind w:leftChars="1118" w:left="2683"/>
        <w:jc w:val="both"/>
        <w:rPr>
          <w:lang w:eastAsia="zh-HK"/>
        </w:rPr>
      </w:pPr>
    </w:p>
    <w:p w:rsidR="00811C5D" w:rsidRPr="006E278B" w:rsidRDefault="00C22AFE" w:rsidP="00C22AFE">
      <w:pPr>
        <w:tabs>
          <w:tab w:val="left" w:pos="709"/>
        </w:tabs>
        <w:overflowPunct w:val="0"/>
        <w:autoSpaceDE w:val="0"/>
        <w:autoSpaceDN w:val="0"/>
        <w:ind w:leftChars="1118" w:left="2683"/>
        <w:jc w:val="both"/>
        <w:rPr>
          <w:lang w:eastAsia="zh-HK"/>
        </w:rPr>
      </w:pPr>
      <w:r w:rsidRPr="006E278B">
        <w:rPr>
          <w:lang w:eastAsia="zh-HK"/>
        </w:rPr>
        <w:t>$66,460</w:t>
      </w:r>
      <w:r w:rsidR="00811C5D" w:rsidRPr="006E278B">
        <w:rPr>
          <w:lang w:eastAsia="zh-HK"/>
        </w:rPr>
        <w:t xml:space="preserve"> × 6 months = $398,760</w:t>
      </w:r>
    </w:p>
    <w:p w:rsidR="00811C5D" w:rsidRPr="006E278B" w:rsidRDefault="00811C5D" w:rsidP="00C22AFE">
      <w:pPr>
        <w:tabs>
          <w:tab w:val="left" w:pos="709"/>
        </w:tabs>
        <w:overflowPunct w:val="0"/>
        <w:autoSpaceDE w:val="0"/>
        <w:autoSpaceDN w:val="0"/>
        <w:ind w:left="1416" w:hangingChars="590" w:hanging="1416"/>
        <w:jc w:val="both"/>
        <w:rPr>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The </w:t>
      </w:r>
      <w:r w:rsidR="002D2270" w:rsidRPr="006E278B">
        <w:rPr>
          <w:lang w:eastAsia="zh-HK"/>
        </w:rPr>
        <w:t>Respondent</w:t>
      </w:r>
      <w:r w:rsidRPr="006E278B">
        <w:rPr>
          <w:lang w:eastAsia="zh-HK"/>
        </w:rPr>
        <w:t xml:space="preserve"> invited the </w:t>
      </w:r>
      <w:r w:rsidR="002D2270" w:rsidRPr="006E278B">
        <w:t>Appellant</w:t>
      </w:r>
      <w:r w:rsidRPr="006E278B">
        <w:rPr>
          <w:lang w:eastAsia="zh-HK"/>
        </w:rPr>
        <w:t xml:space="preserve"> to withdraw his objection as the Sum was his income chargeable to Salaries Tax in the year of assessment 2018/19.  </w:t>
      </w:r>
      <w:r w:rsidRPr="006E278B">
        <w:rPr>
          <w:bCs/>
          <w:lang w:val="en-GB" w:eastAsia="zh-HK"/>
        </w:rPr>
        <w:t xml:space="preserve">Even though the Sum covered the period from 24 November 2018 to 23 May 2019, it should be deemed to have been accrued to him on the last date of his employment (i.e. 23 November </w:t>
      </w:r>
      <w:r w:rsidRPr="006E278B">
        <w:rPr>
          <w:bCs/>
          <w:lang w:val="en-GB" w:eastAsia="zh-HK"/>
        </w:rPr>
        <w:lastRenderedPageBreak/>
        <w:t>2018) and be assessed in the year of assessment 2018/19 pursuant to proviso (ii) to section 11D(b) of the Inland Revenue Ordinance (</w:t>
      </w:r>
      <w:r w:rsidR="00C22AFE" w:rsidRPr="006E278B">
        <w:rPr>
          <w:bCs/>
          <w:lang w:val="en-GB" w:eastAsia="zh-HK"/>
        </w:rPr>
        <w:t>‘</w:t>
      </w:r>
      <w:r w:rsidRPr="006E278B">
        <w:rPr>
          <w:bCs/>
          <w:lang w:val="en-GB" w:eastAsia="zh-HK"/>
        </w:rPr>
        <w:t>the Ordinance</w:t>
      </w:r>
      <w:r w:rsidR="00C22AFE" w:rsidRPr="006E278B">
        <w:rPr>
          <w:bCs/>
          <w:lang w:val="en-GB" w:eastAsia="zh-HK"/>
        </w:rPr>
        <w:t>’</w:t>
      </w:r>
      <w:r w:rsidRPr="006E278B">
        <w:rPr>
          <w:bCs/>
          <w:lang w:val="en-GB" w:eastAsia="zh-HK"/>
        </w:rPr>
        <w:t>).</w:t>
      </w:r>
    </w:p>
    <w:p w:rsidR="00811C5D" w:rsidRPr="006E278B" w:rsidRDefault="00811C5D" w:rsidP="00C22AFE">
      <w:pPr>
        <w:pStyle w:val="afd"/>
        <w:overflowPunct w:val="0"/>
        <w:autoSpaceDE w:val="0"/>
        <w:autoSpaceDN w:val="0"/>
        <w:adjustRightInd w:val="0"/>
        <w:snapToGrid w:val="0"/>
        <w:ind w:left="705"/>
        <w:jc w:val="both"/>
        <w:rPr>
          <w:lang w:eastAsia="zh-HK"/>
        </w:rPr>
      </w:pPr>
    </w:p>
    <w:p w:rsidR="00811C5D" w:rsidRPr="006E278B" w:rsidRDefault="00811C5D" w:rsidP="00C22AFE">
      <w:pPr>
        <w:pStyle w:val="afd"/>
        <w:widowControl w:val="0"/>
        <w:numPr>
          <w:ilvl w:val="0"/>
          <w:numId w:val="40"/>
        </w:numPr>
        <w:tabs>
          <w:tab w:val="left" w:pos="2107"/>
        </w:tabs>
        <w:overflowPunct w:val="0"/>
        <w:autoSpaceDE w:val="0"/>
        <w:autoSpaceDN w:val="0"/>
        <w:adjustRightInd w:val="0"/>
        <w:snapToGrid w:val="0"/>
        <w:ind w:leftChars="638" w:left="2107" w:hangingChars="240" w:hanging="576"/>
        <w:contextualSpacing w:val="0"/>
        <w:jc w:val="both"/>
        <w:rPr>
          <w:lang w:eastAsia="zh-HK"/>
        </w:rPr>
      </w:pPr>
      <w:r w:rsidRPr="006E278B">
        <w:rPr>
          <w:lang w:eastAsia="zh-HK"/>
        </w:rPr>
        <w:t xml:space="preserve">The </w:t>
      </w:r>
      <w:r w:rsidR="002D2270" w:rsidRPr="006E278B">
        <w:t>Appellant</w:t>
      </w:r>
      <w:r w:rsidRPr="006E278B">
        <w:rPr>
          <w:lang w:eastAsia="zh-HK"/>
        </w:rPr>
        <w:t xml:space="preserve"> declined to withdraw his objection and made the following claims:</w:t>
      </w:r>
    </w:p>
    <w:p w:rsidR="00811C5D" w:rsidRPr="006E278B" w:rsidRDefault="00811C5D" w:rsidP="00C22AFE">
      <w:pPr>
        <w:pStyle w:val="afd"/>
        <w:overflowPunct w:val="0"/>
        <w:autoSpaceDE w:val="0"/>
        <w:autoSpaceDN w:val="0"/>
        <w:adjustRightInd w:val="0"/>
        <w:snapToGrid w:val="0"/>
        <w:ind w:left="705"/>
        <w:jc w:val="both"/>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(a)</w:t>
      </w:r>
      <w:r w:rsidRPr="006E278B">
        <w:rPr>
          <w:lang w:eastAsia="zh-HK"/>
        </w:rPr>
        <w:tab/>
        <w:t>If an employee received a lump sum payment, such as bonus, after he/she had served the employer for two years and left his/her job, the lump sum payment could be related back in two years of assessment for taxation.  His case was similar.  Since the Sum was his salary income for the period from November 2018 to May 2019, which fel</w:t>
      </w:r>
      <w:r w:rsidR="002D2270" w:rsidRPr="006E278B">
        <w:rPr>
          <w:lang w:eastAsia="zh-HK"/>
        </w:rPr>
        <w:t>l</w:t>
      </w:r>
      <w:r w:rsidRPr="006E278B">
        <w:rPr>
          <w:lang w:eastAsia="zh-HK"/>
        </w:rPr>
        <w:t xml:space="preserve"> into two years of assessment, it should be apportioned and be assessed in two years of assessment. </w:t>
      </w:r>
    </w:p>
    <w:p w:rsidR="00811C5D" w:rsidRPr="006E278B" w:rsidRDefault="00811C5D" w:rsidP="00C22AFE">
      <w:pPr>
        <w:tabs>
          <w:tab w:val="left" w:pos="709"/>
        </w:tabs>
        <w:overflowPunct w:val="0"/>
        <w:autoSpaceDE w:val="0"/>
        <w:autoSpaceDN w:val="0"/>
        <w:ind w:left="1416" w:hangingChars="590" w:hanging="1416"/>
        <w:jc w:val="both"/>
        <w:rPr>
          <w:lang w:eastAsia="zh-HK"/>
        </w:rPr>
      </w:pPr>
    </w:p>
    <w:p w:rsidR="00811C5D" w:rsidRPr="006E278B" w:rsidRDefault="00811C5D" w:rsidP="00C22AFE">
      <w:pPr>
        <w:pStyle w:val="afd"/>
        <w:tabs>
          <w:tab w:val="left" w:pos="2683"/>
        </w:tabs>
        <w:overflowPunct w:val="0"/>
        <w:autoSpaceDE w:val="0"/>
        <w:autoSpaceDN w:val="0"/>
        <w:adjustRightInd w:val="0"/>
        <w:snapToGrid w:val="0"/>
        <w:ind w:leftChars="878" w:left="2683" w:hangingChars="240" w:hanging="576"/>
        <w:jc w:val="both"/>
        <w:rPr>
          <w:lang w:eastAsia="zh-HK"/>
        </w:rPr>
      </w:pPr>
      <w:r w:rsidRPr="006E278B">
        <w:rPr>
          <w:lang w:eastAsia="zh-HK"/>
        </w:rPr>
        <w:t>(b)</w:t>
      </w:r>
      <w:r w:rsidRPr="006E278B">
        <w:rPr>
          <w:lang w:eastAsia="zh-HK"/>
        </w:rPr>
        <w:tab/>
        <w:t>He doubted whether the Sum should be chargeable to Salaries Tax.  He had once received one month’s payment in lieu of notice in the year of assessment 1998/99 and the payment was not chargeable to Salaries Tax.</w:t>
      </w:r>
    </w:p>
    <w:p w:rsidR="000F2068" w:rsidRPr="006E278B" w:rsidRDefault="000F2068" w:rsidP="00C22AFE">
      <w:pPr>
        <w:overflowPunct w:val="0"/>
        <w:autoSpaceDE w:val="0"/>
        <w:autoSpaceDN w:val="0"/>
        <w:rPr>
          <w:b/>
          <w:u w:val="single"/>
          <w:lang w:eastAsia="zh-HK"/>
        </w:rPr>
      </w:pPr>
    </w:p>
    <w:p w:rsidR="00D452D4" w:rsidRPr="006E278B" w:rsidRDefault="00696079" w:rsidP="00C22AFE">
      <w:pPr>
        <w:widowControl w:val="0"/>
        <w:numPr>
          <w:ilvl w:val="0"/>
          <w:numId w:val="12"/>
        </w:numPr>
        <w:tabs>
          <w:tab w:val="clear" w:pos="720"/>
        </w:tabs>
        <w:overflowPunct w:val="0"/>
        <w:autoSpaceDE w:val="0"/>
        <w:autoSpaceDN w:val="0"/>
        <w:ind w:left="0" w:firstLine="0"/>
        <w:rPr>
          <w:b/>
          <w:bCs/>
        </w:rPr>
      </w:pPr>
      <w:r w:rsidRPr="006E278B">
        <w:rPr>
          <w:b/>
          <w:bCs/>
        </w:rPr>
        <w:t>The Issue</w:t>
      </w:r>
    </w:p>
    <w:p w:rsidR="00D452D4" w:rsidRPr="006E278B" w:rsidRDefault="00D452D4" w:rsidP="00C22AFE">
      <w:pPr>
        <w:widowControl w:val="0"/>
        <w:overflowPunct w:val="0"/>
        <w:autoSpaceDE w:val="0"/>
        <w:autoSpaceDN w:val="0"/>
        <w:ind w:left="720"/>
        <w:rPr>
          <w:bCs/>
          <w:u w:val="single"/>
        </w:rPr>
      </w:pPr>
    </w:p>
    <w:p w:rsidR="00D452D4" w:rsidRPr="006E278B" w:rsidRDefault="00696079" w:rsidP="00C22AFE">
      <w:pPr>
        <w:overflowPunct w:val="0"/>
        <w:autoSpaceDE w:val="0"/>
        <w:autoSpaceDN w:val="0"/>
        <w:ind w:leftChars="638" w:left="1531"/>
        <w:jc w:val="both"/>
      </w:pPr>
      <w:r w:rsidRPr="006E278B">
        <w:rPr>
          <w:rFonts w:hint="eastAsia"/>
        </w:rPr>
        <w:t xml:space="preserve">The issue for the Board to decide </w:t>
      </w:r>
      <w:r w:rsidRPr="006E278B">
        <w:t xml:space="preserve">is </w:t>
      </w:r>
      <w:r w:rsidRPr="006E278B">
        <w:rPr>
          <w:rFonts w:hint="eastAsia"/>
        </w:rPr>
        <w:t xml:space="preserve">whether </w:t>
      </w:r>
      <w:r w:rsidRPr="006E278B">
        <w:t xml:space="preserve">the Sum i.e. the payment in lieu of six months’ notice in the amount of $398,760 made to the Appellant by his former employer, </w:t>
      </w:r>
      <w:r w:rsidR="00574C82" w:rsidRPr="006E278B">
        <w:t>Company B</w:t>
      </w:r>
      <w:r w:rsidRPr="006E278B">
        <w:rPr>
          <w:bCs/>
        </w:rPr>
        <w:t xml:space="preserve"> should be fully assessed in the year of assessment 2018/19 or partly in the year of assessment 2018/19 and partly in the year of assessment 2019/20.</w:t>
      </w:r>
      <w:r w:rsidRPr="006E278B">
        <w:rPr>
          <w:rFonts w:hint="eastAsia"/>
          <w:bCs/>
        </w:rPr>
        <w:t xml:space="preserve"> </w:t>
      </w:r>
    </w:p>
    <w:p w:rsidR="006B6E16" w:rsidRPr="006E278B" w:rsidRDefault="006B6E16" w:rsidP="00C22AFE">
      <w:pPr>
        <w:overflowPunct w:val="0"/>
        <w:autoSpaceDE w:val="0"/>
        <w:autoSpaceDN w:val="0"/>
        <w:ind w:left="709"/>
        <w:jc w:val="center"/>
      </w:pPr>
    </w:p>
    <w:p w:rsidR="00696079" w:rsidRPr="006E278B" w:rsidRDefault="00696079" w:rsidP="00C22AFE">
      <w:pPr>
        <w:widowControl w:val="0"/>
        <w:numPr>
          <w:ilvl w:val="0"/>
          <w:numId w:val="12"/>
        </w:numPr>
        <w:tabs>
          <w:tab w:val="clear" w:pos="720"/>
        </w:tabs>
        <w:overflowPunct w:val="0"/>
        <w:autoSpaceDE w:val="0"/>
        <w:autoSpaceDN w:val="0"/>
        <w:ind w:left="0" w:firstLine="0"/>
        <w:rPr>
          <w:b/>
          <w:bCs/>
        </w:rPr>
      </w:pPr>
      <w:r w:rsidRPr="006E278B">
        <w:rPr>
          <w:b/>
          <w:bCs/>
        </w:rPr>
        <w:t>Statutory Provisions</w:t>
      </w:r>
    </w:p>
    <w:p w:rsidR="00CF33D2" w:rsidRPr="006E278B" w:rsidRDefault="00CF33D2" w:rsidP="00C22AFE">
      <w:pPr>
        <w:widowControl w:val="0"/>
        <w:overflowPunct w:val="0"/>
        <w:autoSpaceDE w:val="0"/>
        <w:autoSpaceDN w:val="0"/>
        <w:ind w:left="720"/>
        <w:rPr>
          <w:bCs/>
          <w:u w:val="single"/>
        </w:rPr>
      </w:pPr>
    </w:p>
    <w:p w:rsidR="00696079" w:rsidRPr="006E278B" w:rsidRDefault="00696079" w:rsidP="00C22AFE">
      <w:pPr>
        <w:overflowPunct w:val="0"/>
        <w:autoSpaceDE w:val="0"/>
        <w:autoSpaceDN w:val="0"/>
        <w:ind w:leftChars="638" w:left="1531"/>
        <w:jc w:val="both"/>
        <w:rPr>
          <w:bCs/>
        </w:rPr>
      </w:pPr>
      <w:r w:rsidRPr="006E278B">
        <w:rPr>
          <w:bCs/>
        </w:rPr>
        <w:t>The Respondent referred the Board to the following statutory provisions in the Ordinance.</w:t>
      </w:r>
    </w:p>
    <w:p w:rsidR="00C22AFE" w:rsidRPr="006E278B" w:rsidRDefault="00C22AFE" w:rsidP="00C22AFE">
      <w:pPr>
        <w:widowControl w:val="0"/>
        <w:overflowPunct w:val="0"/>
        <w:autoSpaceDE w:val="0"/>
        <w:autoSpaceDN w:val="0"/>
        <w:ind w:left="720"/>
        <w:jc w:val="both"/>
        <w:rPr>
          <w:bCs/>
        </w:rPr>
      </w:pPr>
    </w:p>
    <w:p w:rsidR="00696079" w:rsidRPr="006E278B" w:rsidRDefault="00DF05FA"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2(1)</w:t>
      </w:r>
    </w:p>
    <w:p w:rsidR="00DF05FA" w:rsidRPr="006E278B" w:rsidRDefault="00DF05FA" w:rsidP="00C22AFE">
      <w:pPr>
        <w:pStyle w:val="afd"/>
        <w:widowControl w:val="0"/>
        <w:overflowPunct w:val="0"/>
        <w:autoSpaceDE w:val="0"/>
        <w:autoSpaceDN w:val="0"/>
        <w:ind w:left="1418"/>
        <w:jc w:val="both"/>
        <w:rPr>
          <w:bCs/>
          <w:u w:val="single"/>
        </w:rPr>
      </w:pPr>
    </w:p>
    <w:p w:rsidR="00DF05FA" w:rsidRPr="006E278B" w:rsidRDefault="00C22AFE" w:rsidP="00C22AFE">
      <w:pPr>
        <w:overflowPunct w:val="0"/>
        <w:autoSpaceDE w:val="0"/>
        <w:autoSpaceDN w:val="0"/>
        <w:ind w:leftChars="878" w:left="2107"/>
        <w:jc w:val="both"/>
        <w:rPr>
          <w:i/>
          <w:iCs/>
        </w:rPr>
      </w:pPr>
      <w:r w:rsidRPr="006E278B">
        <w:rPr>
          <w:iCs/>
        </w:rPr>
        <w:t>‘</w:t>
      </w:r>
      <w:r w:rsidRPr="006E278B">
        <w:rPr>
          <w:i/>
          <w:iCs/>
        </w:rPr>
        <w:t>“</w:t>
      </w:r>
      <w:r w:rsidR="00DF05FA" w:rsidRPr="006E278B">
        <w:rPr>
          <w:i/>
          <w:iCs/>
        </w:rPr>
        <w:t>year of assessment</w:t>
      </w:r>
      <w:r w:rsidR="00074278" w:rsidRPr="006E278B">
        <w:rPr>
          <w:i/>
          <w:iCs/>
        </w:rPr>
        <w:t>”</w:t>
      </w:r>
      <w:r w:rsidR="00DF05FA" w:rsidRPr="006E278B">
        <w:rPr>
          <w:i/>
          <w:iCs/>
        </w:rPr>
        <w:t xml:space="preserve"> (</w:t>
      </w:r>
      <w:r w:rsidR="00DF05FA" w:rsidRPr="006E278B">
        <w:rPr>
          <w:rFonts w:ascii="標楷體" w:eastAsia="標楷體" w:hAnsi="標楷體"/>
          <w:i/>
          <w:iCs/>
        </w:rPr>
        <w:t>課稅年度</w:t>
      </w:r>
      <w:r w:rsidR="00DF05FA" w:rsidRPr="006E278B">
        <w:rPr>
          <w:i/>
          <w:iCs/>
        </w:rPr>
        <w:t>) means the period of 12 months commencing on 1 April in any year</w:t>
      </w:r>
      <w:r w:rsidR="00074278" w:rsidRPr="006E278B">
        <w:rPr>
          <w:iCs/>
        </w:rPr>
        <w:t>’</w:t>
      </w:r>
      <w:r w:rsidR="00DF05FA" w:rsidRPr="006E278B">
        <w:t>.</w:t>
      </w:r>
    </w:p>
    <w:p w:rsidR="00DF05FA" w:rsidRPr="006E278B" w:rsidRDefault="00DF05FA" w:rsidP="00C22AFE">
      <w:pPr>
        <w:pStyle w:val="afd"/>
        <w:widowControl w:val="0"/>
        <w:overflowPunct w:val="0"/>
        <w:autoSpaceDE w:val="0"/>
        <w:autoSpaceDN w:val="0"/>
        <w:ind w:left="1418"/>
        <w:jc w:val="both"/>
        <w:rPr>
          <w:bCs/>
          <w:u w:val="single"/>
        </w:rPr>
      </w:pPr>
    </w:p>
    <w:p w:rsidR="00DF05FA" w:rsidRPr="006E278B" w:rsidRDefault="00DF05FA"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8(1)</w:t>
      </w:r>
    </w:p>
    <w:p w:rsidR="00DF05FA" w:rsidRPr="006E278B" w:rsidRDefault="00DF05FA" w:rsidP="00C22AFE">
      <w:pPr>
        <w:pStyle w:val="afd"/>
        <w:widowControl w:val="0"/>
        <w:overflowPunct w:val="0"/>
        <w:autoSpaceDE w:val="0"/>
        <w:autoSpaceDN w:val="0"/>
        <w:ind w:left="1418"/>
        <w:jc w:val="both"/>
        <w:rPr>
          <w:bCs/>
          <w:u w:val="single"/>
        </w:rPr>
      </w:pPr>
    </w:p>
    <w:p w:rsidR="00DF05FA" w:rsidRPr="006E278B" w:rsidRDefault="00074278" w:rsidP="00074278">
      <w:pPr>
        <w:tabs>
          <w:tab w:val="left" w:pos="2683"/>
        </w:tabs>
        <w:overflowPunct w:val="0"/>
        <w:autoSpaceDE w:val="0"/>
        <w:autoSpaceDN w:val="0"/>
        <w:ind w:leftChars="878" w:left="2683" w:hangingChars="240" w:hanging="576"/>
        <w:jc w:val="both"/>
        <w:rPr>
          <w:i/>
          <w:iCs/>
        </w:rPr>
      </w:pPr>
      <w:r w:rsidRPr="006E278B">
        <w:rPr>
          <w:iCs/>
        </w:rPr>
        <w:t>‘</w:t>
      </w:r>
      <w:r w:rsidR="00DF05FA" w:rsidRPr="006E278B">
        <w:rPr>
          <w:i/>
          <w:iCs/>
        </w:rPr>
        <w:t>(1)</w:t>
      </w:r>
      <w:r w:rsidR="00DF05FA" w:rsidRPr="006E278B">
        <w:rPr>
          <w:i/>
          <w:iCs/>
        </w:rPr>
        <w:tab/>
        <w:t>Salaries tax shall, subject to the provisions of this Ordinance, be charged for each year of assessment on every person in respect of his income arising in or derived from Hong Kong from the following sources-</w:t>
      </w:r>
    </w:p>
    <w:p w:rsidR="00DF05FA" w:rsidRPr="006E278B" w:rsidRDefault="00DF05FA" w:rsidP="00C22AFE">
      <w:pPr>
        <w:overflowPunct w:val="0"/>
        <w:autoSpaceDE w:val="0"/>
        <w:autoSpaceDN w:val="0"/>
        <w:ind w:left="2160" w:hanging="720"/>
        <w:jc w:val="both"/>
        <w:rPr>
          <w:i/>
          <w:iCs/>
        </w:rPr>
      </w:pPr>
    </w:p>
    <w:p w:rsidR="00DF05FA" w:rsidRPr="006E278B" w:rsidRDefault="00DF05FA" w:rsidP="00074278">
      <w:pPr>
        <w:tabs>
          <w:tab w:val="left" w:pos="3259"/>
        </w:tabs>
        <w:overflowPunct w:val="0"/>
        <w:autoSpaceDE w:val="0"/>
        <w:autoSpaceDN w:val="0"/>
        <w:ind w:leftChars="1118" w:left="3259" w:hangingChars="240" w:hanging="576"/>
        <w:jc w:val="both"/>
        <w:rPr>
          <w:i/>
          <w:iCs/>
        </w:rPr>
      </w:pPr>
      <w:r w:rsidRPr="006E278B">
        <w:rPr>
          <w:i/>
          <w:iCs/>
        </w:rPr>
        <w:t>(a)</w:t>
      </w:r>
      <w:r w:rsidRPr="006E278B">
        <w:rPr>
          <w:i/>
          <w:iCs/>
        </w:rPr>
        <w:tab/>
        <w:t>any office or employment of profit; and</w:t>
      </w:r>
    </w:p>
    <w:p w:rsidR="00074278" w:rsidRPr="006E278B" w:rsidRDefault="00074278" w:rsidP="00074278">
      <w:pPr>
        <w:tabs>
          <w:tab w:val="left" w:pos="3259"/>
        </w:tabs>
        <w:overflowPunct w:val="0"/>
        <w:autoSpaceDE w:val="0"/>
        <w:autoSpaceDN w:val="0"/>
        <w:ind w:leftChars="1118" w:left="3259" w:hangingChars="240" w:hanging="576"/>
        <w:jc w:val="both"/>
        <w:rPr>
          <w:i/>
          <w:iCs/>
        </w:rPr>
      </w:pPr>
    </w:p>
    <w:p w:rsidR="00DF05FA" w:rsidRPr="006E278B" w:rsidRDefault="00DF05FA" w:rsidP="00074278">
      <w:pPr>
        <w:tabs>
          <w:tab w:val="left" w:pos="3259"/>
        </w:tabs>
        <w:overflowPunct w:val="0"/>
        <w:autoSpaceDE w:val="0"/>
        <w:autoSpaceDN w:val="0"/>
        <w:ind w:leftChars="1118" w:left="3259" w:hangingChars="240" w:hanging="576"/>
        <w:jc w:val="both"/>
      </w:pPr>
      <w:r w:rsidRPr="006E278B">
        <w:rPr>
          <w:i/>
          <w:iCs/>
        </w:rPr>
        <w:t>(b)</w:t>
      </w:r>
      <w:r w:rsidRPr="006E278B">
        <w:rPr>
          <w:i/>
          <w:iCs/>
        </w:rPr>
        <w:tab/>
        <w:t>…</w:t>
      </w:r>
      <w:r w:rsidR="00074278" w:rsidRPr="006E278B">
        <w:t>’</w:t>
      </w:r>
    </w:p>
    <w:p w:rsidR="00696079" w:rsidRPr="006E278B" w:rsidRDefault="00696079" w:rsidP="00C22AFE">
      <w:pPr>
        <w:overflowPunct w:val="0"/>
        <w:autoSpaceDE w:val="0"/>
        <w:autoSpaceDN w:val="0"/>
        <w:ind w:left="709"/>
        <w:jc w:val="both"/>
      </w:pPr>
    </w:p>
    <w:p w:rsidR="00DF05FA" w:rsidRPr="006E278B" w:rsidRDefault="00DF05FA"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9(1)(a)</w:t>
      </w:r>
    </w:p>
    <w:p w:rsidR="00DF05FA" w:rsidRPr="006E278B" w:rsidRDefault="00DF05FA" w:rsidP="00C22AFE">
      <w:pPr>
        <w:pStyle w:val="afd"/>
        <w:widowControl w:val="0"/>
        <w:overflowPunct w:val="0"/>
        <w:autoSpaceDE w:val="0"/>
        <w:autoSpaceDN w:val="0"/>
        <w:ind w:left="1418"/>
        <w:jc w:val="both"/>
        <w:rPr>
          <w:bCs/>
          <w:u w:val="single"/>
        </w:rPr>
      </w:pPr>
    </w:p>
    <w:p w:rsidR="00DF05FA" w:rsidRPr="006E278B" w:rsidRDefault="00074278" w:rsidP="00074278">
      <w:pPr>
        <w:tabs>
          <w:tab w:val="left" w:pos="2683"/>
        </w:tabs>
        <w:overflowPunct w:val="0"/>
        <w:autoSpaceDE w:val="0"/>
        <w:autoSpaceDN w:val="0"/>
        <w:ind w:leftChars="878" w:left="2683" w:hangingChars="240" w:hanging="576"/>
        <w:jc w:val="both"/>
        <w:rPr>
          <w:i/>
          <w:iCs/>
        </w:rPr>
      </w:pPr>
      <w:r w:rsidRPr="006E278B">
        <w:rPr>
          <w:iCs/>
        </w:rPr>
        <w:t>‘</w:t>
      </w:r>
      <w:r w:rsidR="00DF05FA" w:rsidRPr="006E278B">
        <w:rPr>
          <w:i/>
          <w:iCs/>
        </w:rPr>
        <w:t>(1)</w:t>
      </w:r>
      <w:r w:rsidR="00DF05FA" w:rsidRPr="006E278B">
        <w:rPr>
          <w:i/>
          <w:iCs/>
        </w:rPr>
        <w:tab/>
        <w:t>Income from any office or employment includes-</w:t>
      </w:r>
    </w:p>
    <w:p w:rsidR="00DF05FA" w:rsidRPr="006E278B" w:rsidRDefault="00DF05FA" w:rsidP="00C22AFE">
      <w:pPr>
        <w:overflowPunct w:val="0"/>
        <w:autoSpaceDE w:val="0"/>
        <w:autoSpaceDN w:val="0"/>
        <w:ind w:left="2160" w:hanging="720"/>
        <w:jc w:val="both"/>
        <w:rPr>
          <w:i/>
          <w:iCs/>
        </w:rPr>
      </w:pPr>
    </w:p>
    <w:p w:rsidR="00DF05FA" w:rsidRPr="006E278B" w:rsidRDefault="00DF05FA" w:rsidP="00074278">
      <w:pPr>
        <w:tabs>
          <w:tab w:val="left" w:pos="3259"/>
        </w:tabs>
        <w:overflowPunct w:val="0"/>
        <w:autoSpaceDE w:val="0"/>
        <w:autoSpaceDN w:val="0"/>
        <w:ind w:leftChars="1118" w:left="3259" w:hangingChars="240" w:hanging="576"/>
        <w:jc w:val="both"/>
        <w:rPr>
          <w:i/>
          <w:iCs/>
        </w:rPr>
      </w:pPr>
      <w:r w:rsidRPr="006E278B">
        <w:rPr>
          <w:i/>
          <w:iCs/>
        </w:rPr>
        <w:t>(a)</w:t>
      </w:r>
      <w:r w:rsidRPr="006E278B">
        <w:rPr>
          <w:i/>
          <w:iCs/>
        </w:rPr>
        <w:tab/>
        <w:t>any wages, salary, leave pay, fee, commission, bonus, gratuity, perquisite, or allowance, whether derived from the employer or others …</w:t>
      </w:r>
      <w:r w:rsidR="00074278" w:rsidRPr="006E278B">
        <w:rPr>
          <w:iCs/>
        </w:rPr>
        <w:t>’</w:t>
      </w:r>
      <w:r w:rsidRPr="006E278B">
        <w:rPr>
          <w:i/>
          <w:iCs/>
        </w:rPr>
        <w:t xml:space="preserve"> </w:t>
      </w:r>
    </w:p>
    <w:p w:rsidR="00DF05FA" w:rsidRPr="006E278B" w:rsidRDefault="00DF05FA" w:rsidP="00C22AFE">
      <w:pPr>
        <w:pStyle w:val="afd"/>
        <w:widowControl w:val="0"/>
        <w:overflowPunct w:val="0"/>
        <w:autoSpaceDE w:val="0"/>
        <w:autoSpaceDN w:val="0"/>
        <w:ind w:left="1418"/>
        <w:jc w:val="both"/>
        <w:rPr>
          <w:bCs/>
          <w:u w:val="single"/>
        </w:rPr>
      </w:pPr>
    </w:p>
    <w:p w:rsidR="00DF05FA" w:rsidRPr="006E278B" w:rsidRDefault="00DF05FA"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11B</w:t>
      </w:r>
    </w:p>
    <w:p w:rsidR="00DF05FA" w:rsidRPr="006E278B" w:rsidRDefault="00DF05FA" w:rsidP="00C22AFE">
      <w:pPr>
        <w:pStyle w:val="afd"/>
        <w:widowControl w:val="0"/>
        <w:overflowPunct w:val="0"/>
        <w:autoSpaceDE w:val="0"/>
        <w:autoSpaceDN w:val="0"/>
        <w:ind w:left="1418"/>
        <w:jc w:val="both"/>
        <w:rPr>
          <w:bCs/>
          <w:u w:val="single"/>
        </w:rPr>
      </w:pPr>
    </w:p>
    <w:p w:rsidR="004A3A70" w:rsidRPr="006E278B" w:rsidRDefault="00074278" w:rsidP="00074278">
      <w:pPr>
        <w:overflowPunct w:val="0"/>
        <w:autoSpaceDE w:val="0"/>
        <w:autoSpaceDN w:val="0"/>
        <w:ind w:leftChars="878" w:left="2107"/>
        <w:jc w:val="both"/>
        <w:rPr>
          <w:i/>
          <w:iCs/>
        </w:rPr>
      </w:pPr>
      <w:r w:rsidRPr="006E278B">
        <w:rPr>
          <w:iCs/>
        </w:rPr>
        <w:t>‘</w:t>
      </w:r>
      <w:r w:rsidR="004A3A70" w:rsidRPr="006E278B">
        <w:rPr>
          <w:i/>
          <w:iCs/>
        </w:rPr>
        <w:t>The assessable income of a person in any year of assessment shall be the aggregate amount of income accruing to him from all sources in that year of assessment.</w:t>
      </w:r>
      <w:r w:rsidRPr="006E278B">
        <w:rPr>
          <w:iCs/>
        </w:rPr>
        <w:t>’</w:t>
      </w:r>
    </w:p>
    <w:p w:rsidR="00DF05FA" w:rsidRPr="006E278B" w:rsidRDefault="00DF05FA" w:rsidP="00C22AFE">
      <w:pPr>
        <w:overflowPunct w:val="0"/>
        <w:autoSpaceDE w:val="0"/>
        <w:autoSpaceDN w:val="0"/>
        <w:ind w:left="709"/>
        <w:jc w:val="both"/>
      </w:pPr>
    </w:p>
    <w:p w:rsidR="004A3A70" w:rsidRPr="006E278B" w:rsidRDefault="004A3A70"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11C</w:t>
      </w:r>
    </w:p>
    <w:p w:rsidR="004A3A70" w:rsidRPr="006E278B" w:rsidRDefault="004A3A70" w:rsidP="00C22AFE">
      <w:pPr>
        <w:pStyle w:val="afd"/>
        <w:widowControl w:val="0"/>
        <w:overflowPunct w:val="0"/>
        <w:autoSpaceDE w:val="0"/>
        <w:autoSpaceDN w:val="0"/>
        <w:ind w:left="1418"/>
        <w:jc w:val="both"/>
        <w:rPr>
          <w:bCs/>
          <w:u w:val="single"/>
        </w:rPr>
      </w:pPr>
    </w:p>
    <w:p w:rsidR="004A3A70" w:rsidRPr="006E278B" w:rsidRDefault="00074278" w:rsidP="00074278">
      <w:pPr>
        <w:overflowPunct w:val="0"/>
        <w:autoSpaceDE w:val="0"/>
        <w:autoSpaceDN w:val="0"/>
        <w:ind w:leftChars="878" w:left="2107"/>
        <w:jc w:val="both"/>
        <w:rPr>
          <w:i/>
          <w:iCs/>
        </w:rPr>
      </w:pPr>
      <w:r w:rsidRPr="006E278B">
        <w:rPr>
          <w:iCs/>
        </w:rPr>
        <w:t>‘</w:t>
      </w:r>
      <w:r w:rsidR="004A3A70" w:rsidRPr="006E278B">
        <w:rPr>
          <w:i/>
          <w:iCs/>
        </w:rPr>
        <w:t>For the purpose of section 11B, a person shall be deemed to … cease … to derive income from a source whenever and as often as he … ceases –</w:t>
      </w:r>
    </w:p>
    <w:p w:rsidR="004A3A70" w:rsidRPr="006E278B" w:rsidRDefault="004A3A70" w:rsidP="00C22AFE">
      <w:pPr>
        <w:overflowPunct w:val="0"/>
        <w:autoSpaceDE w:val="0"/>
        <w:autoSpaceDN w:val="0"/>
        <w:ind w:left="1440" w:hanging="720"/>
        <w:jc w:val="both"/>
        <w:rPr>
          <w:i/>
          <w:iCs/>
        </w:rPr>
      </w:pPr>
    </w:p>
    <w:p w:rsidR="004A3A70" w:rsidRPr="006E278B" w:rsidRDefault="004A3A70" w:rsidP="00074278">
      <w:pPr>
        <w:tabs>
          <w:tab w:val="left" w:pos="2683"/>
        </w:tabs>
        <w:overflowPunct w:val="0"/>
        <w:autoSpaceDE w:val="0"/>
        <w:autoSpaceDN w:val="0"/>
        <w:ind w:leftChars="878" w:left="2683" w:hangingChars="240" w:hanging="576"/>
        <w:jc w:val="both"/>
        <w:rPr>
          <w:i/>
          <w:iCs/>
        </w:rPr>
      </w:pPr>
      <w:r w:rsidRPr="006E278B">
        <w:rPr>
          <w:i/>
          <w:iCs/>
        </w:rPr>
        <w:t>(a)</w:t>
      </w:r>
      <w:r w:rsidRPr="006E278B">
        <w:rPr>
          <w:i/>
          <w:iCs/>
        </w:rPr>
        <w:tab/>
        <w:t>to hold any office or employment of profit …</w:t>
      </w:r>
      <w:r w:rsidR="00074278" w:rsidRPr="006E278B">
        <w:rPr>
          <w:iCs/>
        </w:rPr>
        <w:t>’</w:t>
      </w:r>
    </w:p>
    <w:p w:rsidR="004A3A70" w:rsidRPr="006E278B" w:rsidRDefault="004A3A70" w:rsidP="00C22AFE">
      <w:pPr>
        <w:pStyle w:val="afd"/>
        <w:widowControl w:val="0"/>
        <w:overflowPunct w:val="0"/>
        <w:autoSpaceDE w:val="0"/>
        <w:autoSpaceDN w:val="0"/>
        <w:ind w:left="1418"/>
        <w:jc w:val="both"/>
        <w:rPr>
          <w:bCs/>
          <w:u w:val="single"/>
        </w:rPr>
      </w:pPr>
    </w:p>
    <w:p w:rsidR="004A3A70" w:rsidRPr="006E278B" w:rsidRDefault="004A3A70"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11D</w:t>
      </w:r>
    </w:p>
    <w:p w:rsidR="004A3A70" w:rsidRPr="006E278B" w:rsidRDefault="004A3A70" w:rsidP="00C22AFE">
      <w:pPr>
        <w:pStyle w:val="afd"/>
        <w:widowControl w:val="0"/>
        <w:overflowPunct w:val="0"/>
        <w:autoSpaceDE w:val="0"/>
        <w:autoSpaceDN w:val="0"/>
        <w:ind w:left="1418"/>
        <w:jc w:val="both"/>
        <w:rPr>
          <w:bCs/>
          <w:u w:val="single"/>
        </w:rPr>
      </w:pPr>
    </w:p>
    <w:p w:rsidR="004A3A70" w:rsidRPr="006E278B" w:rsidRDefault="00074278" w:rsidP="00074278">
      <w:pPr>
        <w:overflowPunct w:val="0"/>
        <w:autoSpaceDE w:val="0"/>
        <w:autoSpaceDN w:val="0"/>
        <w:ind w:leftChars="878" w:left="2107"/>
        <w:jc w:val="both"/>
        <w:rPr>
          <w:i/>
          <w:iCs/>
        </w:rPr>
      </w:pPr>
      <w:r w:rsidRPr="006E278B">
        <w:rPr>
          <w:iCs/>
        </w:rPr>
        <w:t>‘</w:t>
      </w:r>
      <w:r w:rsidR="004A3A70" w:rsidRPr="006E278B">
        <w:rPr>
          <w:i/>
          <w:iCs/>
        </w:rPr>
        <w:t>For the purpose of section 11B –</w:t>
      </w:r>
    </w:p>
    <w:p w:rsidR="004A3A70" w:rsidRPr="006E278B" w:rsidRDefault="004A3A70" w:rsidP="00C22AFE">
      <w:pPr>
        <w:overflowPunct w:val="0"/>
        <w:autoSpaceDE w:val="0"/>
        <w:autoSpaceDN w:val="0"/>
        <w:ind w:left="1440"/>
        <w:jc w:val="both"/>
        <w:rPr>
          <w:i/>
          <w:iCs/>
        </w:rPr>
      </w:pPr>
    </w:p>
    <w:p w:rsidR="004A3A70" w:rsidRPr="006E278B" w:rsidRDefault="004A3A70" w:rsidP="00074278">
      <w:pPr>
        <w:tabs>
          <w:tab w:val="left" w:pos="2683"/>
        </w:tabs>
        <w:overflowPunct w:val="0"/>
        <w:autoSpaceDE w:val="0"/>
        <w:autoSpaceDN w:val="0"/>
        <w:ind w:leftChars="878" w:left="2683" w:hangingChars="240" w:hanging="576"/>
        <w:jc w:val="both"/>
        <w:rPr>
          <w:i/>
          <w:iCs/>
        </w:rPr>
      </w:pPr>
      <w:r w:rsidRPr="006E278B">
        <w:rPr>
          <w:i/>
          <w:iCs/>
        </w:rPr>
        <w:t>(a)</w:t>
      </w:r>
      <w:r w:rsidRPr="006E278B">
        <w:rPr>
          <w:i/>
          <w:iCs/>
        </w:rPr>
        <w:tab/>
        <w:t>income which has accrued to a person during the basis period for a year of assessment but which has not been received by him in such basis period shall not be included in his assessable income for that year of assessment until such time as he shall have received such income, when notwithstanding anything contained in this Ordinance, an additional assessment shall be raised in respect of such income:</w:t>
      </w:r>
    </w:p>
    <w:p w:rsidR="00074278" w:rsidRPr="006E278B" w:rsidRDefault="00074278" w:rsidP="00074278">
      <w:pPr>
        <w:overflowPunct w:val="0"/>
        <w:autoSpaceDE w:val="0"/>
        <w:autoSpaceDN w:val="0"/>
        <w:ind w:leftChars="1118" w:left="2683"/>
        <w:jc w:val="both"/>
        <w:rPr>
          <w:i/>
          <w:iCs/>
        </w:rPr>
      </w:pPr>
    </w:p>
    <w:p w:rsidR="004A3A70" w:rsidRPr="006E278B" w:rsidRDefault="004A3A70" w:rsidP="00074278">
      <w:pPr>
        <w:overflowPunct w:val="0"/>
        <w:autoSpaceDE w:val="0"/>
        <w:autoSpaceDN w:val="0"/>
        <w:ind w:leftChars="1118" w:left="2683"/>
        <w:jc w:val="both"/>
        <w:rPr>
          <w:i/>
          <w:iCs/>
        </w:rPr>
      </w:pPr>
      <w:r w:rsidRPr="006E278B">
        <w:rPr>
          <w:i/>
          <w:iCs/>
        </w:rPr>
        <w:t>…</w:t>
      </w:r>
    </w:p>
    <w:p w:rsidR="004A3A70" w:rsidRPr="006E278B" w:rsidRDefault="004A3A70" w:rsidP="00C22AFE">
      <w:pPr>
        <w:overflowPunct w:val="0"/>
        <w:autoSpaceDE w:val="0"/>
        <w:autoSpaceDN w:val="0"/>
        <w:ind w:left="2160" w:hanging="720"/>
        <w:jc w:val="both"/>
        <w:rPr>
          <w:i/>
          <w:iCs/>
        </w:rPr>
      </w:pPr>
    </w:p>
    <w:p w:rsidR="004A3A70" w:rsidRPr="006E278B" w:rsidRDefault="004A3A70" w:rsidP="00074278">
      <w:pPr>
        <w:tabs>
          <w:tab w:val="left" w:pos="2683"/>
        </w:tabs>
        <w:overflowPunct w:val="0"/>
        <w:autoSpaceDE w:val="0"/>
        <w:autoSpaceDN w:val="0"/>
        <w:ind w:leftChars="878" w:left="2683" w:hangingChars="240" w:hanging="576"/>
        <w:jc w:val="both"/>
        <w:rPr>
          <w:i/>
          <w:iCs/>
        </w:rPr>
      </w:pPr>
      <w:r w:rsidRPr="006E278B">
        <w:rPr>
          <w:i/>
          <w:iCs/>
        </w:rPr>
        <w:t>(b)</w:t>
      </w:r>
      <w:r w:rsidRPr="006E278B">
        <w:rPr>
          <w:i/>
          <w:iCs/>
        </w:rPr>
        <w:tab/>
        <w:t>income accrues to a person when he becomes entitled to claim payment thereof:</w:t>
      </w:r>
    </w:p>
    <w:p w:rsidR="00074278" w:rsidRPr="006E278B" w:rsidRDefault="00074278" w:rsidP="00C22AFE">
      <w:pPr>
        <w:tabs>
          <w:tab w:val="left" w:pos="2160"/>
        </w:tabs>
        <w:overflowPunct w:val="0"/>
        <w:autoSpaceDE w:val="0"/>
        <w:autoSpaceDN w:val="0"/>
        <w:ind w:left="1440"/>
        <w:jc w:val="both"/>
        <w:rPr>
          <w:i/>
          <w:iCs/>
          <w:lang w:eastAsia="zh-HK"/>
        </w:rPr>
      </w:pPr>
    </w:p>
    <w:p w:rsidR="004A3A70" w:rsidRPr="006E278B" w:rsidRDefault="004A3A70" w:rsidP="00074278">
      <w:pPr>
        <w:overflowPunct w:val="0"/>
        <w:autoSpaceDE w:val="0"/>
        <w:autoSpaceDN w:val="0"/>
        <w:ind w:leftChars="1118" w:left="2683"/>
        <w:jc w:val="both"/>
        <w:rPr>
          <w:i/>
          <w:iCs/>
        </w:rPr>
      </w:pPr>
      <w:r w:rsidRPr="006E278B">
        <w:rPr>
          <w:i/>
          <w:iCs/>
        </w:rPr>
        <w:t xml:space="preserve">Provided that – </w:t>
      </w:r>
    </w:p>
    <w:p w:rsidR="004A3A70" w:rsidRPr="006E278B" w:rsidRDefault="004A3A70" w:rsidP="00C22AFE">
      <w:pPr>
        <w:overflowPunct w:val="0"/>
        <w:autoSpaceDE w:val="0"/>
        <w:autoSpaceDN w:val="0"/>
        <w:ind w:left="1440"/>
        <w:jc w:val="both"/>
        <w:rPr>
          <w:i/>
          <w:iCs/>
          <w:lang w:eastAsia="zh-HK"/>
        </w:rPr>
      </w:pPr>
    </w:p>
    <w:p w:rsidR="004A3A70" w:rsidRPr="006E278B" w:rsidRDefault="004A3A70" w:rsidP="00074278">
      <w:pPr>
        <w:tabs>
          <w:tab w:val="left" w:pos="3259"/>
        </w:tabs>
        <w:overflowPunct w:val="0"/>
        <w:autoSpaceDE w:val="0"/>
        <w:autoSpaceDN w:val="0"/>
        <w:ind w:leftChars="1118" w:left="3259" w:hangingChars="240" w:hanging="576"/>
        <w:jc w:val="both"/>
        <w:rPr>
          <w:i/>
          <w:iCs/>
        </w:rPr>
      </w:pPr>
      <w:r w:rsidRPr="006E278B">
        <w:rPr>
          <w:i/>
          <w:iCs/>
        </w:rPr>
        <w:t>(</w:t>
      </w:r>
      <w:proofErr w:type="spellStart"/>
      <w:r w:rsidRPr="006E278B">
        <w:rPr>
          <w:i/>
          <w:iCs/>
        </w:rPr>
        <w:t>i</w:t>
      </w:r>
      <w:proofErr w:type="spellEnd"/>
      <w:r w:rsidRPr="006E278B">
        <w:rPr>
          <w:i/>
          <w:iCs/>
        </w:rPr>
        <w:t>)</w:t>
      </w:r>
      <w:r w:rsidRPr="006E278B">
        <w:rPr>
          <w:i/>
          <w:iCs/>
        </w:rPr>
        <w:tab/>
        <w:t>…</w:t>
      </w:r>
    </w:p>
    <w:p w:rsidR="004A3A70" w:rsidRPr="006E278B" w:rsidRDefault="004A3A70" w:rsidP="00074278">
      <w:pPr>
        <w:tabs>
          <w:tab w:val="left" w:pos="3259"/>
        </w:tabs>
        <w:overflowPunct w:val="0"/>
        <w:autoSpaceDE w:val="0"/>
        <w:autoSpaceDN w:val="0"/>
        <w:ind w:leftChars="1118" w:left="3259" w:hangingChars="240" w:hanging="576"/>
        <w:jc w:val="both"/>
        <w:rPr>
          <w:i/>
          <w:iCs/>
        </w:rPr>
      </w:pPr>
    </w:p>
    <w:p w:rsidR="004A3A70" w:rsidRPr="006E278B" w:rsidRDefault="004A3A70" w:rsidP="00074278">
      <w:pPr>
        <w:tabs>
          <w:tab w:val="left" w:pos="3259"/>
        </w:tabs>
        <w:overflowPunct w:val="0"/>
        <w:autoSpaceDE w:val="0"/>
        <w:autoSpaceDN w:val="0"/>
        <w:ind w:leftChars="1118" w:left="3259" w:hangingChars="240" w:hanging="576"/>
        <w:jc w:val="both"/>
        <w:rPr>
          <w:i/>
          <w:iCs/>
        </w:rPr>
      </w:pPr>
      <w:r w:rsidRPr="006E278B">
        <w:rPr>
          <w:i/>
          <w:iCs/>
        </w:rPr>
        <w:lastRenderedPageBreak/>
        <w:t>(ii)</w:t>
      </w:r>
      <w:r w:rsidRPr="006E278B">
        <w:rPr>
          <w:i/>
          <w:iCs/>
        </w:rPr>
        <w:tab/>
        <w:t>… any payment made by an employer to a person after that person has ceased or been deemed to cease to derive income which, if it had been made on the last day of the period during which he derived income, would have been included in that person’s assessable income for the year of assessment in which he ceased or is deemed to cease to derive income from that employment, shall be deemed to have accrued to that person on the last day of that employment.</w:t>
      </w:r>
      <w:r w:rsidR="00074278" w:rsidRPr="006E278B">
        <w:rPr>
          <w:iCs/>
        </w:rPr>
        <w:t>’</w:t>
      </w:r>
    </w:p>
    <w:p w:rsidR="00A112B7" w:rsidRPr="006E278B" w:rsidRDefault="00A112B7" w:rsidP="00C22AFE">
      <w:pPr>
        <w:overflowPunct w:val="0"/>
        <w:autoSpaceDE w:val="0"/>
        <w:autoSpaceDN w:val="0"/>
        <w:ind w:left="2880" w:hanging="720"/>
        <w:jc w:val="both"/>
        <w:rPr>
          <w:i/>
          <w:iCs/>
        </w:rPr>
      </w:pPr>
    </w:p>
    <w:p w:rsidR="004A3A70" w:rsidRPr="006E278B" w:rsidRDefault="00074278" w:rsidP="00C22AFE">
      <w:pPr>
        <w:pStyle w:val="afd"/>
        <w:widowControl w:val="0"/>
        <w:numPr>
          <w:ilvl w:val="1"/>
          <w:numId w:val="12"/>
        </w:numPr>
        <w:tabs>
          <w:tab w:val="clear" w:pos="1200"/>
          <w:tab w:val="left" w:pos="2107"/>
        </w:tabs>
        <w:overflowPunct w:val="0"/>
        <w:autoSpaceDE w:val="0"/>
        <w:autoSpaceDN w:val="0"/>
        <w:ind w:leftChars="638" w:left="1531" w:firstLine="0"/>
        <w:jc w:val="both"/>
        <w:rPr>
          <w:b/>
          <w:bCs/>
          <w:i/>
        </w:rPr>
      </w:pPr>
      <w:r w:rsidRPr="006E278B">
        <w:rPr>
          <w:b/>
          <w:bCs/>
          <w:i/>
        </w:rPr>
        <w:t>Section 68</w:t>
      </w:r>
      <w:r w:rsidR="00A112B7" w:rsidRPr="006E278B">
        <w:rPr>
          <w:b/>
          <w:bCs/>
          <w:i/>
        </w:rPr>
        <w:t>(4)</w:t>
      </w:r>
    </w:p>
    <w:p w:rsidR="00A112B7" w:rsidRPr="006E278B" w:rsidRDefault="00A112B7" w:rsidP="00C22AFE">
      <w:pPr>
        <w:pStyle w:val="afd"/>
        <w:widowControl w:val="0"/>
        <w:overflowPunct w:val="0"/>
        <w:autoSpaceDE w:val="0"/>
        <w:autoSpaceDN w:val="0"/>
        <w:ind w:left="1418"/>
        <w:jc w:val="both"/>
        <w:rPr>
          <w:bCs/>
          <w:u w:val="single"/>
        </w:rPr>
      </w:pPr>
    </w:p>
    <w:p w:rsidR="00A112B7" w:rsidRPr="00FA761F" w:rsidRDefault="00074278" w:rsidP="00FA761F">
      <w:pPr>
        <w:tabs>
          <w:tab w:val="left" w:pos="2127"/>
        </w:tabs>
        <w:overflowPunct w:val="0"/>
        <w:autoSpaceDE w:val="0"/>
        <w:autoSpaceDN w:val="0"/>
        <w:ind w:leftChars="878" w:left="2107"/>
        <w:jc w:val="both"/>
        <w:rPr>
          <w:i/>
          <w:iCs/>
        </w:rPr>
      </w:pPr>
      <w:r w:rsidRPr="006E278B">
        <w:rPr>
          <w:iCs/>
        </w:rPr>
        <w:t>‘</w:t>
      </w:r>
      <w:r w:rsidR="00A112B7" w:rsidRPr="006E278B">
        <w:rPr>
          <w:i/>
          <w:iCs/>
        </w:rPr>
        <w:t>The onus of proving that the assessment appealed against is excessive or incorrect shall be on the appellant.</w:t>
      </w:r>
      <w:r w:rsidRPr="006E278B">
        <w:rPr>
          <w:iCs/>
        </w:rPr>
        <w:t>’</w:t>
      </w:r>
    </w:p>
    <w:p w:rsidR="00A112B7" w:rsidRPr="006E278B" w:rsidRDefault="00A112B7" w:rsidP="00C22AFE">
      <w:pPr>
        <w:pStyle w:val="afd"/>
        <w:widowControl w:val="0"/>
        <w:overflowPunct w:val="0"/>
        <w:autoSpaceDE w:val="0"/>
        <w:autoSpaceDN w:val="0"/>
        <w:ind w:left="1418"/>
        <w:jc w:val="both"/>
        <w:rPr>
          <w:bCs/>
          <w:u w:val="single"/>
        </w:rPr>
      </w:pPr>
    </w:p>
    <w:p w:rsidR="00107217" w:rsidRPr="006E278B" w:rsidRDefault="00107217" w:rsidP="00DA0C67">
      <w:pPr>
        <w:widowControl w:val="0"/>
        <w:numPr>
          <w:ilvl w:val="0"/>
          <w:numId w:val="12"/>
        </w:numPr>
        <w:tabs>
          <w:tab w:val="clear" w:pos="720"/>
        </w:tabs>
        <w:overflowPunct w:val="0"/>
        <w:autoSpaceDE w:val="0"/>
        <w:autoSpaceDN w:val="0"/>
        <w:ind w:left="0" w:firstLine="0"/>
        <w:jc w:val="both"/>
        <w:rPr>
          <w:b/>
          <w:bCs/>
        </w:rPr>
      </w:pPr>
      <w:r w:rsidRPr="006E278B">
        <w:rPr>
          <w:b/>
          <w:bCs/>
        </w:rPr>
        <w:t>The Relevant Case Law</w:t>
      </w:r>
    </w:p>
    <w:p w:rsidR="00107217" w:rsidRPr="006E278B" w:rsidRDefault="00107217" w:rsidP="00C22AFE">
      <w:pPr>
        <w:widowControl w:val="0"/>
        <w:overflowPunct w:val="0"/>
        <w:autoSpaceDE w:val="0"/>
        <w:autoSpaceDN w:val="0"/>
        <w:ind w:left="720"/>
        <w:jc w:val="both"/>
        <w:rPr>
          <w:bCs/>
          <w:u w:val="single"/>
        </w:rPr>
      </w:pPr>
    </w:p>
    <w:p w:rsidR="00107217" w:rsidRPr="006E278B" w:rsidRDefault="00107217" w:rsidP="006E278B">
      <w:pPr>
        <w:widowControl w:val="0"/>
        <w:overflowPunct w:val="0"/>
        <w:autoSpaceDE w:val="0"/>
        <w:autoSpaceDN w:val="0"/>
        <w:ind w:leftChars="638" w:left="1531"/>
        <w:jc w:val="both"/>
        <w:rPr>
          <w:bCs/>
        </w:rPr>
      </w:pPr>
      <w:r w:rsidRPr="006E278B">
        <w:rPr>
          <w:bCs/>
        </w:rPr>
        <w:t>The Respondent referred the Board to the following authorities:</w:t>
      </w:r>
    </w:p>
    <w:p w:rsidR="00107217" w:rsidRPr="006E278B" w:rsidRDefault="00107217" w:rsidP="00C22AFE">
      <w:pPr>
        <w:widowControl w:val="0"/>
        <w:overflowPunct w:val="0"/>
        <w:autoSpaceDE w:val="0"/>
        <w:autoSpaceDN w:val="0"/>
        <w:ind w:left="720"/>
        <w:jc w:val="both"/>
        <w:rPr>
          <w:bCs/>
          <w:u w:val="single"/>
        </w:rPr>
      </w:pPr>
    </w:p>
    <w:p w:rsidR="00107217" w:rsidRPr="006E278B" w:rsidRDefault="00BA3EF7" w:rsidP="00DA0C67">
      <w:pPr>
        <w:pStyle w:val="afd"/>
        <w:widowControl w:val="0"/>
        <w:numPr>
          <w:ilvl w:val="1"/>
          <w:numId w:val="12"/>
        </w:numPr>
        <w:tabs>
          <w:tab w:val="clear" w:pos="1200"/>
          <w:tab w:val="left" w:pos="2107"/>
        </w:tabs>
        <w:overflowPunct w:val="0"/>
        <w:autoSpaceDE w:val="0"/>
        <w:autoSpaceDN w:val="0"/>
        <w:ind w:leftChars="638" w:left="2107" w:hangingChars="240" w:hanging="576"/>
        <w:jc w:val="both"/>
        <w:rPr>
          <w:bCs/>
        </w:rPr>
      </w:pPr>
      <w:r w:rsidRPr="006E278B">
        <w:t xml:space="preserve">In </w:t>
      </w:r>
      <w:r w:rsidRPr="006E278B">
        <w:rPr>
          <w:bCs/>
          <w:iCs/>
          <w:u w:val="single"/>
        </w:rPr>
        <w:t>D28/95</w:t>
      </w:r>
      <w:r w:rsidR="006E278B" w:rsidRPr="006E278B">
        <w:rPr>
          <w:bCs/>
          <w:iCs/>
        </w:rPr>
        <w:t>,</w:t>
      </w:r>
      <w:r w:rsidRPr="006E278B">
        <w:t xml:space="preserve"> </w:t>
      </w:r>
      <w:r w:rsidR="006E278B" w:rsidRPr="006E278B">
        <w:t xml:space="preserve">IRBRD, </w:t>
      </w:r>
      <w:proofErr w:type="spellStart"/>
      <w:r w:rsidR="006E278B" w:rsidRPr="006E278B">
        <w:t>vol</w:t>
      </w:r>
      <w:proofErr w:type="spellEnd"/>
      <w:r w:rsidR="006E278B" w:rsidRPr="006E278B">
        <w:t xml:space="preserve"> </w:t>
      </w:r>
      <w:r w:rsidRPr="006E278B">
        <w:t>10</w:t>
      </w:r>
      <w:r w:rsidR="006E278B" w:rsidRPr="006E278B">
        <w:t>,</w:t>
      </w:r>
      <w:r w:rsidRPr="006E278B">
        <w:t xml:space="preserve"> 169, the taxpayer resigned from Company A on 13 March 1991.  On 9 August 1991, he reached a compromise agreement with Company A whereby Company A agreed to pay the taxpayer $795,000 being arrears of housing allowance due to him by 17 instalments between July 1991 and October 1993.  By 12 July 1994, the taxpayer had received $795,000 in full.  The taxpayer contended that this sum should be assessed as income for the years of receipt.  The Board, in dismissing the taxpayer’s appeal, said that: </w:t>
      </w:r>
    </w:p>
    <w:p w:rsidR="004A3A70" w:rsidRPr="006E278B" w:rsidRDefault="004A3A70" w:rsidP="00C22AFE">
      <w:pPr>
        <w:overflowPunct w:val="0"/>
        <w:autoSpaceDE w:val="0"/>
        <w:autoSpaceDN w:val="0"/>
        <w:ind w:left="709"/>
        <w:jc w:val="both"/>
      </w:pPr>
    </w:p>
    <w:p w:rsidR="00BA3EF7" w:rsidRPr="006E278B" w:rsidRDefault="00DA0C67" w:rsidP="00B320A5">
      <w:pPr>
        <w:tabs>
          <w:tab w:val="left" w:pos="2683"/>
        </w:tabs>
        <w:overflowPunct w:val="0"/>
        <w:autoSpaceDE w:val="0"/>
        <w:autoSpaceDN w:val="0"/>
        <w:ind w:leftChars="878" w:left="2683" w:hangingChars="240" w:hanging="576"/>
        <w:jc w:val="both"/>
        <w:rPr>
          <w:i/>
          <w:iCs/>
        </w:rPr>
      </w:pPr>
      <w:r>
        <w:rPr>
          <w:iCs/>
        </w:rPr>
        <w:t>‘</w:t>
      </w:r>
      <w:r w:rsidR="00BA3EF7" w:rsidRPr="006E278B">
        <w:rPr>
          <w:i/>
          <w:iCs/>
        </w:rPr>
        <w:t>7.8</w:t>
      </w:r>
      <w:r w:rsidR="00BA3EF7" w:rsidRPr="006E278B">
        <w:rPr>
          <w:i/>
          <w:iCs/>
        </w:rPr>
        <w:tab/>
        <w:t>By section 11C, the Taxpayer is deemed to cease to derive income from Company A upon termination of his employment with Company A on 12 or 13 March 1991.</w:t>
      </w:r>
    </w:p>
    <w:p w:rsidR="00BA3EF7" w:rsidRPr="006E278B" w:rsidRDefault="00BA3EF7" w:rsidP="00B320A5">
      <w:pPr>
        <w:tabs>
          <w:tab w:val="left" w:pos="2683"/>
        </w:tabs>
        <w:overflowPunct w:val="0"/>
        <w:autoSpaceDE w:val="0"/>
        <w:autoSpaceDN w:val="0"/>
        <w:ind w:leftChars="878" w:left="2683" w:hangingChars="240" w:hanging="576"/>
        <w:jc w:val="both"/>
        <w:rPr>
          <w:i/>
          <w:iCs/>
        </w:rPr>
      </w:pPr>
    </w:p>
    <w:p w:rsidR="00BA3EF7" w:rsidRPr="006E278B" w:rsidRDefault="00BA3EF7" w:rsidP="00B320A5">
      <w:pPr>
        <w:tabs>
          <w:tab w:val="left" w:pos="2683"/>
        </w:tabs>
        <w:overflowPunct w:val="0"/>
        <w:autoSpaceDE w:val="0"/>
        <w:autoSpaceDN w:val="0"/>
        <w:ind w:leftChars="878" w:left="2683" w:hangingChars="240" w:hanging="576"/>
        <w:jc w:val="both"/>
        <w:rPr>
          <w:i/>
          <w:iCs/>
        </w:rPr>
      </w:pPr>
      <w:r w:rsidRPr="006E278B">
        <w:rPr>
          <w:i/>
          <w:iCs/>
        </w:rPr>
        <w:t>7.9</w:t>
      </w:r>
      <w:r w:rsidRPr="006E278B">
        <w:rPr>
          <w:i/>
          <w:iCs/>
        </w:rPr>
        <w:tab/>
        <w:t xml:space="preserve">By section 11D(b)(ii), the various payments </w:t>
      </w:r>
      <w:proofErr w:type="spellStart"/>
      <w:r w:rsidRPr="006E278B">
        <w:rPr>
          <w:i/>
          <w:iCs/>
        </w:rPr>
        <w:t>totalling</w:t>
      </w:r>
      <w:proofErr w:type="spellEnd"/>
      <w:r w:rsidRPr="006E278B">
        <w:rPr>
          <w:i/>
          <w:iCs/>
        </w:rPr>
        <w:t xml:space="preserve"> $795,000 which were made after 12 March 1991, that is, after the Taxpayer has been deemed by section 11C to cease to derive income, are deemed to have accrued to the Taxpayer on the last day of employment, that is, on 12 March 1991.</w:t>
      </w:r>
    </w:p>
    <w:p w:rsidR="00BA3EF7" w:rsidRPr="006E278B" w:rsidRDefault="00BA3EF7" w:rsidP="00B320A5">
      <w:pPr>
        <w:tabs>
          <w:tab w:val="left" w:pos="2683"/>
        </w:tabs>
        <w:overflowPunct w:val="0"/>
        <w:autoSpaceDE w:val="0"/>
        <w:autoSpaceDN w:val="0"/>
        <w:ind w:leftChars="878" w:left="2683" w:hangingChars="240" w:hanging="576"/>
        <w:jc w:val="both"/>
        <w:rPr>
          <w:i/>
          <w:iCs/>
        </w:rPr>
      </w:pPr>
    </w:p>
    <w:p w:rsidR="00BA3EF7" w:rsidRPr="006E278B" w:rsidRDefault="00BA3EF7" w:rsidP="00B320A5">
      <w:pPr>
        <w:tabs>
          <w:tab w:val="left" w:pos="2683"/>
        </w:tabs>
        <w:overflowPunct w:val="0"/>
        <w:autoSpaceDE w:val="0"/>
        <w:autoSpaceDN w:val="0"/>
        <w:ind w:leftChars="878" w:left="2683" w:hangingChars="240" w:hanging="576"/>
        <w:jc w:val="both"/>
        <w:rPr>
          <w:i/>
          <w:iCs/>
        </w:rPr>
      </w:pPr>
      <w:r w:rsidRPr="006E278B">
        <w:rPr>
          <w:i/>
          <w:iCs/>
        </w:rPr>
        <w:t>7.10</w:t>
      </w:r>
      <w:r w:rsidRPr="006E278B">
        <w:rPr>
          <w:i/>
          <w:iCs/>
        </w:rPr>
        <w:tab/>
        <w:t>By the date of the determination, the Taxpayer had received $795,000 in full.  Section 11D(a) requires an additional assessment to be raised in respect of such income.  This is what the Commissioner has in effect done …</w:t>
      </w:r>
      <w:r w:rsidR="00DA0C67">
        <w:rPr>
          <w:iCs/>
        </w:rPr>
        <w:t>’</w:t>
      </w:r>
    </w:p>
    <w:p w:rsidR="00BA3EF7" w:rsidRPr="006E278B" w:rsidRDefault="00BA3EF7" w:rsidP="00C22AFE">
      <w:pPr>
        <w:overflowPunct w:val="0"/>
        <w:autoSpaceDE w:val="0"/>
        <w:autoSpaceDN w:val="0"/>
        <w:ind w:left="709"/>
        <w:jc w:val="both"/>
      </w:pPr>
    </w:p>
    <w:p w:rsidR="00BA3EF7" w:rsidRPr="006E278B" w:rsidRDefault="00BA3EF7"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In </w:t>
      </w:r>
      <w:r w:rsidRPr="00B320A5">
        <w:rPr>
          <w:u w:val="single"/>
        </w:rPr>
        <w:t>D42/06</w:t>
      </w:r>
      <w:r w:rsidRPr="006E278B">
        <w:t>,</w:t>
      </w:r>
      <w:r w:rsidR="00B320A5">
        <w:t xml:space="preserve"> (2006-07)</w:t>
      </w:r>
      <w:r w:rsidRPr="006E278B">
        <w:t xml:space="preserve"> </w:t>
      </w:r>
      <w:r w:rsidR="00B320A5" w:rsidRPr="006E278B">
        <w:t>IRBRD</w:t>
      </w:r>
      <w:r w:rsidR="00B320A5">
        <w:t xml:space="preserve">, </w:t>
      </w:r>
      <w:proofErr w:type="spellStart"/>
      <w:r w:rsidR="00B320A5">
        <w:t>vol</w:t>
      </w:r>
      <w:proofErr w:type="spellEnd"/>
      <w:r w:rsidR="00B320A5" w:rsidRPr="006E278B">
        <w:t xml:space="preserve"> </w:t>
      </w:r>
      <w:r w:rsidRPr="006E278B">
        <w:t>21</w:t>
      </w:r>
      <w:r w:rsidR="00B320A5">
        <w:t>,</w:t>
      </w:r>
      <w:r w:rsidRPr="006E278B">
        <w:t xml:space="preserve"> 794, the taxpayer’s employment was terminated on 16 March 2004 and he received a sum of money, being his housing allowance for the month of March 2004, on 29 June 2004.  The taxpayer claimed that he had not been entitled </w:t>
      </w:r>
      <w:r w:rsidRPr="006E278B">
        <w:lastRenderedPageBreak/>
        <w:t xml:space="preserve">to claim payment of the housing allowance in the year of assessment 2003/04.  As the allowance had eventually been paid to him in the year of assessment 2004/05, it should be assessed as his income for the same year.  Having considered the decisions in </w:t>
      </w:r>
      <w:r w:rsidRPr="00B320A5">
        <w:rPr>
          <w:u w:val="single"/>
        </w:rPr>
        <w:t>D28/95</w:t>
      </w:r>
      <w:r w:rsidRPr="006E278B">
        <w:t xml:space="preserve"> and </w:t>
      </w:r>
      <w:r w:rsidRPr="00B320A5">
        <w:rPr>
          <w:u w:val="single"/>
        </w:rPr>
        <w:t>D75/04</w:t>
      </w:r>
      <w:r w:rsidRPr="006E278B">
        <w:t xml:space="preserve">, the Board rejected the taxpayer’s claims and held that the housing allowance should be assessed as his income for the year of assessment 2003/04.  </w:t>
      </w:r>
    </w:p>
    <w:p w:rsidR="00BA3EF7" w:rsidRPr="006E278B" w:rsidRDefault="00BA3EF7" w:rsidP="00C22AFE">
      <w:pPr>
        <w:pStyle w:val="afd"/>
        <w:widowControl w:val="0"/>
        <w:overflowPunct w:val="0"/>
        <w:autoSpaceDE w:val="0"/>
        <w:autoSpaceDN w:val="0"/>
        <w:ind w:left="1418"/>
        <w:jc w:val="both"/>
      </w:pPr>
    </w:p>
    <w:p w:rsidR="00BA3EF7" w:rsidRPr="006E278B" w:rsidRDefault="00BA3EF7"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In </w:t>
      </w:r>
      <w:r w:rsidRPr="00B320A5">
        <w:rPr>
          <w:u w:val="single"/>
        </w:rPr>
        <w:t>D1/10</w:t>
      </w:r>
      <w:r w:rsidRPr="006E278B">
        <w:t>,</w:t>
      </w:r>
      <w:r w:rsidR="00B320A5" w:rsidRPr="00B320A5">
        <w:t xml:space="preserve"> </w:t>
      </w:r>
      <w:r w:rsidR="00B320A5">
        <w:t xml:space="preserve">(2010-11) </w:t>
      </w:r>
      <w:r w:rsidR="00B320A5" w:rsidRPr="006E278B">
        <w:t>IRBRD</w:t>
      </w:r>
      <w:r w:rsidR="00B320A5">
        <w:t xml:space="preserve">, </w:t>
      </w:r>
      <w:proofErr w:type="spellStart"/>
      <w:r w:rsidR="00B320A5">
        <w:t>vol</w:t>
      </w:r>
      <w:proofErr w:type="spellEnd"/>
      <w:r w:rsidRPr="006E278B">
        <w:t xml:space="preserve"> 25</w:t>
      </w:r>
      <w:r w:rsidR="00B320A5">
        <w:t>,</w:t>
      </w:r>
      <w:r w:rsidRPr="006E278B">
        <w:t xml:space="preserve"> 144, the taxpayer received a bonus in May 2007, after the cessation of his employment on 31 March 2007.  He claimed that the bonus should be included as assessable income in the year of assessment 2007/08 according to the date of receipt, but not 2006/07 as he was assessed.  He also complained that it was unfair to include bonus for two years under one year of assessment.  In dismissing the appeal, the Board held that the combined effect of sections 11C and 11D of the </w:t>
      </w:r>
      <w:r w:rsidR="0077201B" w:rsidRPr="006E278B">
        <w:t xml:space="preserve">Ordinance </w:t>
      </w:r>
      <w:r w:rsidRPr="006E278B">
        <w:t>was that any payment received by the appellant after his employment ceased was deemed to have accrued to him on the last day of his employment i.e. 31 March 2007, and the bonus was correctly assessed in the year of assessment 2006/07, notwithstanding the actual date of receipt of the bonus.  The Board also commented that there was no unfair treatment to the appellant, and the treatment he received was merely a fiscal consequence raising from his change in employment status.</w:t>
      </w:r>
    </w:p>
    <w:p w:rsidR="009B6F90" w:rsidRPr="006E278B" w:rsidRDefault="009B6F90" w:rsidP="00C22AFE">
      <w:pPr>
        <w:pStyle w:val="afd"/>
        <w:overflowPunct w:val="0"/>
        <w:autoSpaceDE w:val="0"/>
        <w:autoSpaceDN w:val="0"/>
        <w:jc w:val="both"/>
      </w:pPr>
    </w:p>
    <w:p w:rsidR="009B6F90" w:rsidRDefault="009B6F90"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rPr>
          <w:lang w:eastAsia="zh-HK"/>
        </w:rPr>
      </w:pPr>
      <w:r w:rsidRPr="006E278B">
        <w:rPr>
          <w:lang w:eastAsia="zh-HK"/>
        </w:rPr>
        <w:t xml:space="preserve">In </w:t>
      </w:r>
      <w:r w:rsidR="00B320A5">
        <w:rPr>
          <w:u w:val="single"/>
          <w:lang w:eastAsia="zh-HK"/>
        </w:rPr>
        <w:t>EMI Group Electronics Ltd v</w:t>
      </w:r>
      <w:r w:rsidRPr="00B320A5">
        <w:rPr>
          <w:u w:val="single"/>
          <w:lang w:eastAsia="zh-HK"/>
        </w:rPr>
        <w:t xml:space="preserve"> </w:t>
      </w:r>
      <w:proofErr w:type="spellStart"/>
      <w:r w:rsidRPr="00B320A5">
        <w:rPr>
          <w:u w:val="single"/>
          <w:lang w:eastAsia="zh-HK"/>
        </w:rPr>
        <w:t>Coldicott</w:t>
      </w:r>
      <w:proofErr w:type="spellEnd"/>
      <w:r w:rsidR="00B320A5">
        <w:rPr>
          <w:lang w:eastAsia="zh-HK"/>
        </w:rPr>
        <w:t xml:space="preserve"> (HM</w:t>
      </w:r>
      <w:r w:rsidRPr="00B320A5">
        <w:rPr>
          <w:lang w:eastAsia="zh-HK"/>
        </w:rPr>
        <w:t xml:space="preserve"> Inspector of Taxes)</w:t>
      </w:r>
      <w:r w:rsidRPr="006E278B">
        <w:rPr>
          <w:lang w:eastAsia="zh-HK"/>
        </w:rPr>
        <w:t xml:space="preserve"> [1999] STC 803, the English Court of Appeal held that a payment in lieu of notice made in pursuance of a contractual provision, agreed at the outset of the employment, which enabled the employer to terminate the employment on making that payment was properly to be regarded as an emolument fr</w:t>
      </w:r>
      <w:r w:rsidR="00B320A5">
        <w:rPr>
          <w:lang w:eastAsia="zh-HK"/>
        </w:rPr>
        <w:t>om that employment.  Chadwick LJ</w:t>
      </w:r>
      <w:r w:rsidRPr="006E278B">
        <w:rPr>
          <w:lang w:eastAsia="zh-HK"/>
        </w:rPr>
        <w:t xml:space="preserve"> made the point that an employee’s entitlement to a notice of the employer’s intention to terminate his employment, or to a payment in lieu of the notice, was a security which the employee required as an inducement to enter into the contract of employment.</w:t>
      </w:r>
    </w:p>
    <w:p w:rsidR="00B320A5" w:rsidRPr="006E278B" w:rsidRDefault="00B320A5" w:rsidP="00B320A5">
      <w:pPr>
        <w:widowControl w:val="0"/>
        <w:tabs>
          <w:tab w:val="left" w:pos="2107"/>
        </w:tabs>
        <w:overflowPunct w:val="0"/>
        <w:autoSpaceDE w:val="0"/>
        <w:autoSpaceDN w:val="0"/>
        <w:jc w:val="both"/>
        <w:rPr>
          <w:lang w:eastAsia="zh-HK"/>
        </w:rPr>
      </w:pPr>
    </w:p>
    <w:p w:rsidR="00BA3EF7" w:rsidRPr="006E278B" w:rsidRDefault="009B6F90"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rPr>
          <w:lang w:eastAsia="zh-HK"/>
        </w:rPr>
        <w:t xml:space="preserve">In the Court of Final Appeal case </w:t>
      </w:r>
      <w:r w:rsidRPr="00B320A5">
        <w:rPr>
          <w:u w:val="single"/>
          <w:lang w:eastAsia="zh-HK"/>
        </w:rPr>
        <w:t>Fuchs v Commissioner of Inland Revenue (2011)</w:t>
      </w:r>
      <w:r w:rsidRPr="006E278B">
        <w:rPr>
          <w:lang w:eastAsia="zh-HK"/>
        </w:rPr>
        <w:t xml:space="preserve"> 14 HKCFAR 74, Ribeiro PJ </w:t>
      </w:r>
      <w:r w:rsidR="005C60F0" w:rsidRPr="006E278B">
        <w:rPr>
          <w:lang w:eastAsia="zh-HK"/>
        </w:rPr>
        <w:t>held</w:t>
      </w:r>
      <w:r w:rsidRPr="006E278B">
        <w:rPr>
          <w:lang w:eastAsia="zh-HK"/>
        </w:rPr>
        <w:t xml:space="preserve"> that the approach in </w:t>
      </w:r>
      <w:r w:rsidRPr="00B320A5">
        <w:rPr>
          <w:u w:val="single"/>
          <w:lang w:eastAsia="zh-HK"/>
        </w:rPr>
        <w:t>EMI Group</w:t>
      </w:r>
      <w:r w:rsidRPr="006E278B">
        <w:rPr>
          <w:lang w:eastAsia="zh-HK"/>
        </w:rPr>
        <w:t xml:space="preserve"> which concerned the taxation of payment in lieu of notice should be adopted in the construction of section 8(1) of the </w:t>
      </w:r>
      <w:r w:rsidR="0077201B" w:rsidRPr="006E278B">
        <w:t>Ordinance</w:t>
      </w:r>
      <w:r w:rsidRPr="006E278B">
        <w:rPr>
          <w:lang w:eastAsia="zh-HK"/>
        </w:rPr>
        <w:t xml:space="preserve">, i.e. a payment in lieu of notice, contractually agreed from the outset of the employment relationship, fell squarely within it. </w:t>
      </w:r>
    </w:p>
    <w:p w:rsidR="004131E7" w:rsidRDefault="004131E7" w:rsidP="00C22AFE">
      <w:pPr>
        <w:widowControl w:val="0"/>
        <w:overflowPunct w:val="0"/>
        <w:autoSpaceDE w:val="0"/>
        <w:autoSpaceDN w:val="0"/>
        <w:jc w:val="both"/>
      </w:pPr>
    </w:p>
    <w:p w:rsidR="00B76C83" w:rsidRDefault="00B76C83" w:rsidP="00C22AFE">
      <w:pPr>
        <w:widowControl w:val="0"/>
        <w:overflowPunct w:val="0"/>
        <w:autoSpaceDE w:val="0"/>
        <w:autoSpaceDN w:val="0"/>
        <w:jc w:val="both"/>
      </w:pPr>
    </w:p>
    <w:p w:rsidR="00B76C83" w:rsidRDefault="00B76C83" w:rsidP="00C22AFE">
      <w:pPr>
        <w:widowControl w:val="0"/>
        <w:overflowPunct w:val="0"/>
        <w:autoSpaceDE w:val="0"/>
        <w:autoSpaceDN w:val="0"/>
        <w:jc w:val="both"/>
      </w:pPr>
    </w:p>
    <w:p w:rsidR="00B76C83" w:rsidRDefault="00B76C83" w:rsidP="00C22AFE">
      <w:pPr>
        <w:widowControl w:val="0"/>
        <w:overflowPunct w:val="0"/>
        <w:autoSpaceDE w:val="0"/>
        <w:autoSpaceDN w:val="0"/>
        <w:jc w:val="both"/>
      </w:pPr>
    </w:p>
    <w:p w:rsidR="00B76C83" w:rsidRDefault="00B76C83" w:rsidP="00C22AFE">
      <w:pPr>
        <w:widowControl w:val="0"/>
        <w:overflowPunct w:val="0"/>
        <w:autoSpaceDE w:val="0"/>
        <w:autoSpaceDN w:val="0"/>
        <w:jc w:val="both"/>
      </w:pPr>
    </w:p>
    <w:p w:rsidR="00681BDA" w:rsidRPr="00B320A5" w:rsidRDefault="00681BDA" w:rsidP="00B320A5">
      <w:pPr>
        <w:widowControl w:val="0"/>
        <w:numPr>
          <w:ilvl w:val="0"/>
          <w:numId w:val="12"/>
        </w:numPr>
        <w:tabs>
          <w:tab w:val="clear" w:pos="720"/>
        </w:tabs>
        <w:overflowPunct w:val="0"/>
        <w:autoSpaceDE w:val="0"/>
        <w:autoSpaceDN w:val="0"/>
        <w:ind w:left="0" w:firstLine="0"/>
        <w:jc w:val="both"/>
        <w:rPr>
          <w:b/>
          <w:bCs/>
        </w:rPr>
      </w:pPr>
      <w:r w:rsidRPr="00B320A5">
        <w:rPr>
          <w:b/>
          <w:bCs/>
        </w:rPr>
        <w:lastRenderedPageBreak/>
        <w:t>The Case of the Appellant</w:t>
      </w:r>
    </w:p>
    <w:p w:rsidR="00681BDA" w:rsidRPr="006E278B" w:rsidRDefault="00681BDA" w:rsidP="00C22AFE">
      <w:pPr>
        <w:widowControl w:val="0"/>
        <w:overflowPunct w:val="0"/>
        <w:autoSpaceDE w:val="0"/>
        <w:autoSpaceDN w:val="0"/>
        <w:ind w:left="720"/>
        <w:jc w:val="both"/>
        <w:rPr>
          <w:bCs/>
          <w:u w:val="single"/>
        </w:rPr>
      </w:pPr>
    </w:p>
    <w:p w:rsidR="00681BDA" w:rsidRPr="006E278B" w:rsidRDefault="009A5B4C" w:rsidP="00B320A5">
      <w:pPr>
        <w:widowControl w:val="0"/>
        <w:overflowPunct w:val="0"/>
        <w:autoSpaceDE w:val="0"/>
        <w:autoSpaceDN w:val="0"/>
        <w:ind w:leftChars="638" w:left="1531"/>
        <w:jc w:val="both"/>
        <w:rPr>
          <w:bCs/>
        </w:rPr>
      </w:pPr>
      <w:r w:rsidRPr="006E278B">
        <w:rPr>
          <w:bCs/>
        </w:rPr>
        <w:t>The Appellant’s arguments can be summarized as follows:</w:t>
      </w:r>
    </w:p>
    <w:p w:rsidR="009A5B4C" w:rsidRPr="006E278B" w:rsidRDefault="009A5B4C" w:rsidP="00C22AFE">
      <w:pPr>
        <w:pStyle w:val="afd"/>
        <w:widowControl w:val="0"/>
        <w:overflowPunct w:val="0"/>
        <w:autoSpaceDE w:val="0"/>
        <w:autoSpaceDN w:val="0"/>
        <w:ind w:left="1200"/>
        <w:jc w:val="both"/>
        <w:rPr>
          <w:bCs/>
        </w:rPr>
      </w:pPr>
    </w:p>
    <w:p w:rsidR="009A5B4C" w:rsidRPr="006E278B" w:rsidRDefault="009A5B4C"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 xml:space="preserve">His employment was terminated by </w:t>
      </w:r>
      <w:r w:rsidR="00574C82" w:rsidRPr="006E278B">
        <w:rPr>
          <w:lang w:eastAsia="zh-HK"/>
        </w:rPr>
        <w:t>Company B</w:t>
      </w:r>
      <w:r w:rsidRPr="006E278B">
        <w:rPr>
          <w:lang w:eastAsia="zh-HK"/>
        </w:rPr>
        <w:t xml:space="preserve"> by way of payment in lieu of six months’ notice</w:t>
      </w:r>
      <w:r w:rsidR="006A1002" w:rsidRPr="006E278B">
        <w:rPr>
          <w:lang w:eastAsia="zh-HK"/>
        </w:rPr>
        <w:t>.  The six</w:t>
      </w:r>
      <w:r w:rsidR="004131E7" w:rsidRPr="006E278B">
        <w:rPr>
          <w:lang w:eastAsia="zh-HK"/>
        </w:rPr>
        <w:t>-</w:t>
      </w:r>
      <w:r w:rsidR="006A1002" w:rsidRPr="006E278B">
        <w:rPr>
          <w:lang w:eastAsia="zh-HK"/>
        </w:rPr>
        <w:t>month</w:t>
      </w:r>
      <w:r w:rsidRPr="006E278B">
        <w:rPr>
          <w:lang w:eastAsia="zh-HK"/>
        </w:rPr>
        <w:t xml:space="preserve"> salary in lieu was meant to cover the period from November 2018 to May 2019, which was related to the years of assessment 2018/19 and 2019/20.  </w:t>
      </w:r>
    </w:p>
    <w:p w:rsidR="006A1002" w:rsidRPr="006E278B" w:rsidRDefault="006A1002" w:rsidP="00B320A5">
      <w:pPr>
        <w:pStyle w:val="afd"/>
        <w:widowControl w:val="0"/>
        <w:tabs>
          <w:tab w:val="left" w:pos="2107"/>
        </w:tabs>
        <w:overflowPunct w:val="0"/>
        <w:autoSpaceDE w:val="0"/>
        <w:autoSpaceDN w:val="0"/>
        <w:ind w:leftChars="638" w:left="2107" w:hangingChars="240" w:hanging="576"/>
        <w:jc w:val="both"/>
        <w:rPr>
          <w:lang w:eastAsia="zh-HK"/>
        </w:rPr>
      </w:pPr>
    </w:p>
    <w:p w:rsidR="006A1002" w:rsidRPr="006E278B" w:rsidRDefault="006A1002"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The six</w:t>
      </w:r>
      <w:r w:rsidR="00CB76DE" w:rsidRPr="006E278B">
        <w:rPr>
          <w:lang w:eastAsia="zh-HK"/>
        </w:rPr>
        <w:t xml:space="preserve"> </w:t>
      </w:r>
      <w:r w:rsidRPr="006E278B">
        <w:rPr>
          <w:lang w:eastAsia="zh-HK"/>
        </w:rPr>
        <w:t>month</w:t>
      </w:r>
      <w:r w:rsidR="00CB76DE" w:rsidRPr="006E278B">
        <w:rPr>
          <w:lang w:eastAsia="zh-HK"/>
        </w:rPr>
        <w:t>s’</w:t>
      </w:r>
      <w:r w:rsidRPr="006E278B">
        <w:rPr>
          <w:lang w:eastAsia="zh-HK"/>
        </w:rPr>
        <w:t xml:space="preserve"> salary represented wages for the 6 months straddling between the years of assessment of 2018</w:t>
      </w:r>
      <w:r w:rsidR="005F7F85" w:rsidRPr="006E278B">
        <w:rPr>
          <w:lang w:eastAsia="zh-HK"/>
        </w:rPr>
        <w:t>/</w:t>
      </w:r>
      <w:r w:rsidRPr="006E278B">
        <w:rPr>
          <w:lang w:eastAsia="zh-HK"/>
        </w:rPr>
        <w:t>19 and 2019</w:t>
      </w:r>
      <w:r w:rsidR="005F7F85" w:rsidRPr="006E278B">
        <w:rPr>
          <w:lang w:eastAsia="zh-HK"/>
        </w:rPr>
        <w:t>/</w:t>
      </w:r>
      <w:r w:rsidRPr="006E278B">
        <w:rPr>
          <w:lang w:eastAsia="zh-HK"/>
        </w:rPr>
        <w:t>20 and should be apportioned accordingly.</w:t>
      </w:r>
    </w:p>
    <w:p w:rsidR="006A1002" w:rsidRPr="006E278B" w:rsidRDefault="006A1002" w:rsidP="00B320A5">
      <w:pPr>
        <w:pStyle w:val="afd"/>
        <w:tabs>
          <w:tab w:val="left" w:pos="2107"/>
        </w:tabs>
        <w:overflowPunct w:val="0"/>
        <w:autoSpaceDE w:val="0"/>
        <w:autoSpaceDN w:val="0"/>
        <w:ind w:leftChars="638" w:left="2107" w:hangingChars="240" w:hanging="576"/>
        <w:jc w:val="both"/>
        <w:rPr>
          <w:lang w:eastAsia="zh-HK"/>
        </w:rPr>
      </w:pPr>
    </w:p>
    <w:p w:rsidR="006A1002" w:rsidRPr="006E278B" w:rsidRDefault="006A1002"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 xml:space="preserve">Upon his termination, the Appellant signed a Non-Disclosure Agreement (NDA) with </w:t>
      </w:r>
      <w:r w:rsidR="00574C82" w:rsidRPr="006E278B">
        <w:rPr>
          <w:lang w:eastAsia="zh-HK"/>
        </w:rPr>
        <w:t>Company B</w:t>
      </w:r>
      <w:r w:rsidRPr="006E278B">
        <w:rPr>
          <w:lang w:eastAsia="zh-HK"/>
        </w:rPr>
        <w:t xml:space="preserve"> and its parent company </w:t>
      </w:r>
      <w:proofErr w:type="spellStart"/>
      <w:r w:rsidR="00B320A5">
        <w:rPr>
          <w:lang w:eastAsia="zh-HK"/>
        </w:rPr>
        <w:t>Company</w:t>
      </w:r>
      <w:proofErr w:type="spellEnd"/>
      <w:r w:rsidR="00B320A5">
        <w:rPr>
          <w:lang w:eastAsia="zh-HK"/>
        </w:rPr>
        <w:t xml:space="preserve"> D</w:t>
      </w:r>
      <w:r w:rsidR="00CB76DE" w:rsidRPr="006E278B">
        <w:rPr>
          <w:lang w:eastAsia="zh-HK"/>
        </w:rPr>
        <w:t xml:space="preserve"> </w:t>
      </w:r>
      <w:r w:rsidRPr="006E278B">
        <w:rPr>
          <w:lang w:eastAsia="zh-HK"/>
        </w:rPr>
        <w:t xml:space="preserve">which </w:t>
      </w:r>
      <w:r w:rsidR="00483B8D" w:rsidRPr="006E278B">
        <w:rPr>
          <w:lang w:eastAsia="zh-HK"/>
        </w:rPr>
        <w:t xml:space="preserve">provided that the Appellant </w:t>
      </w:r>
      <w:r w:rsidR="00B320A5">
        <w:rPr>
          <w:lang w:eastAsia="zh-HK"/>
        </w:rPr>
        <w:t>‘</w:t>
      </w:r>
      <w:r w:rsidR="00483B8D" w:rsidRPr="006E278B">
        <w:rPr>
          <w:lang w:eastAsia="zh-HK"/>
        </w:rPr>
        <w:t>shall not be engaged with our staff directly or indirectly to join your company or another company for a period of no more than six months after you have left our company</w:t>
      </w:r>
      <w:r w:rsidR="00B320A5">
        <w:rPr>
          <w:lang w:eastAsia="zh-HK"/>
        </w:rPr>
        <w:t>’</w:t>
      </w:r>
      <w:r w:rsidR="00483B8D" w:rsidRPr="006E278B">
        <w:rPr>
          <w:lang w:eastAsia="zh-HK"/>
        </w:rPr>
        <w:t>.</w:t>
      </w:r>
    </w:p>
    <w:p w:rsidR="004C1270" w:rsidRPr="006E278B" w:rsidRDefault="004C1270" w:rsidP="00B320A5">
      <w:pPr>
        <w:pStyle w:val="afd"/>
        <w:tabs>
          <w:tab w:val="left" w:pos="2107"/>
        </w:tabs>
        <w:overflowPunct w:val="0"/>
        <w:autoSpaceDE w:val="0"/>
        <w:autoSpaceDN w:val="0"/>
        <w:ind w:leftChars="638" w:left="2107" w:hangingChars="240" w:hanging="576"/>
        <w:jc w:val="both"/>
        <w:rPr>
          <w:lang w:eastAsia="zh-HK"/>
        </w:rPr>
      </w:pPr>
    </w:p>
    <w:p w:rsidR="004C1270" w:rsidRPr="006E278B" w:rsidRDefault="004C1270"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 xml:space="preserve">The Appellant received an offer on 31 January 2019 from one </w:t>
      </w:r>
      <w:r w:rsidR="00B320A5">
        <w:rPr>
          <w:lang w:eastAsia="zh-HK"/>
        </w:rPr>
        <w:t>Company E</w:t>
      </w:r>
      <w:r w:rsidRPr="006E278B">
        <w:rPr>
          <w:lang w:eastAsia="zh-HK"/>
        </w:rPr>
        <w:t xml:space="preserve"> but he had to turned it down because of the NDA and the fact that he had received </w:t>
      </w:r>
      <w:r w:rsidR="00B320A5">
        <w:rPr>
          <w:lang w:eastAsia="zh-HK"/>
        </w:rPr>
        <w:t>‘</w:t>
      </w:r>
      <w:r w:rsidRPr="006E278B">
        <w:rPr>
          <w:lang w:eastAsia="zh-HK"/>
        </w:rPr>
        <w:t xml:space="preserve">6-month payment from </w:t>
      </w:r>
      <w:r w:rsidR="00502E6C">
        <w:rPr>
          <w:lang w:eastAsia="zh-HK"/>
        </w:rPr>
        <w:t>[</w:t>
      </w:r>
      <w:r w:rsidR="00574C82" w:rsidRPr="006E278B">
        <w:rPr>
          <w:lang w:eastAsia="zh-HK"/>
        </w:rPr>
        <w:t>Company B</w:t>
      </w:r>
      <w:r w:rsidR="00502E6C">
        <w:rPr>
          <w:lang w:eastAsia="zh-HK"/>
        </w:rPr>
        <w:t>]</w:t>
      </w:r>
      <w:r w:rsidRPr="006E278B">
        <w:rPr>
          <w:lang w:eastAsia="zh-HK"/>
        </w:rPr>
        <w:t xml:space="preserve"> till 23 May 2019</w:t>
      </w:r>
      <w:r w:rsidR="00B320A5">
        <w:rPr>
          <w:lang w:eastAsia="zh-HK"/>
        </w:rPr>
        <w:t>’</w:t>
      </w:r>
      <w:r w:rsidRPr="006E278B">
        <w:rPr>
          <w:lang w:eastAsia="zh-HK"/>
        </w:rPr>
        <w:t>.</w:t>
      </w:r>
    </w:p>
    <w:p w:rsidR="004C1270" w:rsidRPr="006E278B" w:rsidRDefault="004C1270" w:rsidP="00B320A5">
      <w:pPr>
        <w:pStyle w:val="afd"/>
        <w:tabs>
          <w:tab w:val="left" w:pos="2107"/>
        </w:tabs>
        <w:overflowPunct w:val="0"/>
        <w:autoSpaceDE w:val="0"/>
        <w:autoSpaceDN w:val="0"/>
        <w:ind w:leftChars="638" w:left="2107" w:hangingChars="240" w:hanging="576"/>
        <w:jc w:val="both"/>
        <w:rPr>
          <w:lang w:eastAsia="zh-HK"/>
        </w:rPr>
      </w:pPr>
    </w:p>
    <w:p w:rsidR="004C1270" w:rsidRPr="006E278B" w:rsidRDefault="007C3BAA"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 xml:space="preserve">The Appellant argued that the 6 </w:t>
      </w:r>
      <w:r w:rsidR="004C1270" w:rsidRPr="006E278B">
        <w:rPr>
          <w:lang w:eastAsia="zh-HK"/>
        </w:rPr>
        <w:t>month</w:t>
      </w:r>
      <w:r w:rsidRPr="006E278B">
        <w:rPr>
          <w:lang w:eastAsia="zh-HK"/>
        </w:rPr>
        <w:t>s’</w:t>
      </w:r>
      <w:r w:rsidR="004C1270" w:rsidRPr="006E278B">
        <w:rPr>
          <w:lang w:eastAsia="zh-HK"/>
        </w:rPr>
        <w:t xml:space="preserve"> payment of salary </w:t>
      </w:r>
      <w:r w:rsidR="00CB76DE" w:rsidRPr="006E278B">
        <w:rPr>
          <w:lang w:eastAsia="zh-HK"/>
        </w:rPr>
        <w:t xml:space="preserve">in lieu of notice precluded him from </w:t>
      </w:r>
      <w:r w:rsidR="004C1270" w:rsidRPr="006E278B">
        <w:rPr>
          <w:lang w:eastAsia="zh-HK"/>
        </w:rPr>
        <w:t xml:space="preserve">being employed in </w:t>
      </w:r>
      <w:r w:rsidRPr="006E278B">
        <w:rPr>
          <w:lang w:eastAsia="zh-HK"/>
        </w:rPr>
        <w:t>a similar capacity as his position</w:t>
      </w:r>
      <w:r w:rsidR="004C1270" w:rsidRPr="006E278B">
        <w:rPr>
          <w:lang w:eastAsia="zh-HK"/>
        </w:rPr>
        <w:t xml:space="preserve"> in </w:t>
      </w:r>
      <w:r w:rsidR="00574C82" w:rsidRPr="006E278B">
        <w:rPr>
          <w:lang w:eastAsia="zh-HK"/>
        </w:rPr>
        <w:t>Company B</w:t>
      </w:r>
      <w:r w:rsidR="004C1270" w:rsidRPr="006E278B">
        <w:rPr>
          <w:lang w:eastAsia="zh-HK"/>
        </w:rPr>
        <w:t xml:space="preserve"> until 23 May 2019.</w:t>
      </w:r>
    </w:p>
    <w:p w:rsidR="004C1270" w:rsidRPr="006E278B" w:rsidRDefault="004C1270" w:rsidP="00B320A5">
      <w:pPr>
        <w:pStyle w:val="afd"/>
        <w:tabs>
          <w:tab w:val="left" w:pos="2107"/>
        </w:tabs>
        <w:overflowPunct w:val="0"/>
        <w:autoSpaceDE w:val="0"/>
        <w:autoSpaceDN w:val="0"/>
        <w:ind w:leftChars="638" w:left="2107" w:hangingChars="240" w:hanging="576"/>
        <w:jc w:val="both"/>
        <w:rPr>
          <w:lang w:eastAsia="zh-HK"/>
        </w:rPr>
      </w:pPr>
    </w:p>
    <w:p w:rsidR="004C1270" w:rsidRPr="006E278B" w:rsidRDefault="004C1270"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The Appellant alleged that he had received payments in lieu of notice upon his termination of employment on two previous occasions in the years of assessment in 1995/96 and 1998/99</w:t>
      </w:r>
      <w:r w:rsidR="003915F7" w:rsidRPr="006E278B">
        <w:rPr>
          <w:lang w:eastAsia="zh-HK"/>
        </w:rPr>
        <w:t xml:space="preserve">.  Neither of them were </w:t>
      </w:r>
      <w:r w:rsidRPr="006E278B">
        <w:rPr>
          <w:lang w:eastAsia="zh-HK"/>
        </w:rPr>
        <w:t>chargeable to any tax.</w:t>
      </w:r>
    </w:p>
    <w:p w:rsidR="004C1270" w:rsidRPr="006E278B" w:rsidRDefault="004C1270" w:rsidP="00B320A5">
      <w:pPr>
        <w:pStyle w:val="afd"/>
        <w:tabs>
          <w:tab w:val="left" w:pos="2107"/>
        </w:tabs>
        <w:overflowPunct w:val="0"/>
        <w:autoSpaceDE w:val="0"/>
        <w:autoSpaceDN w:val="0"/>
        <w:ind w:leftChars="638" w:left="2107" w:hangingChars="240" w:hanging="576"/>
        <w:jc w:val="both"/>
        <w:rPr>
          <w:lang w:eastAsia="zh-HK"/>
        </w:rPr>
      </w:pPr>
    </w:p>
    <w:p w:rsidR="004C1270" w:rsidRPr="006E278B" w:rsidRDefault="00216B02" w:rsidP="00B320A5">
      <w:pPr>
        <w:pStyle w:val="afd"/>
        <w:widowControl w:val="0"/>
        <w:numPr>
          <w:ilvl w:val="5"/>
          <w:numId w:val="12"/>
        </w:numPr>
        <w:tabs>
          <w:tab w:val="left" w:pos="2107"/>
        </w:tabs>
        <w:overflowPunct w:val="0"/>
        <w:autoSpaceDE w:val="0"/>
        <w:autoSpaceDN w:val="0"/>
        <w:ind w:leftChars="638" w:left="2107" w:hangingChars="240" w:hanging="576"/>
        <w:jc w:val="both"/>
        <w:rPr>
          <w:lang w:eastAsia="zh-HK"/>
        </w:rPr>
      </w:pPr>
      <w:r w:rsidRPr="006E278B">
        <w:rPr>
          <w:lang w:eastAsia="zh-HK"/>
        </w:rPr>
        <w:t>With the Res</w:t>
      </w:r>
      <w:r w:rsidR="003915F7" w:rsidRPr="006E278B">
        <w:rPr>
          <w:lang w:eastAsia="zh-HK"/>
        </w:rPr>
        <w:t xml:space="preserve">pondent’s assessment of the six </w:t>
      </w:r>
      <w:r w:rsidRPr="006E278B">
        <w:rPr>
          <w:lang w:eastAsia="zh-HK"/>
        </w:rPr>
        <w:t>month</w:t>
      </w:r>
      <w:r w:rsidR="003915F7" w:rsidRPr="006E278B">
        <w:rPr>
          <w:lang w:eastAsia="zh-HK"/>
        </w:rPr>
        <w:t>s’</w:t>
      </w:r>
      <w:r w:rsidRPr="006E278B">
        <w:rPr>
          <w:lang w:eastAsia="zh-HK"/>
        </w:rPr>
        <w:t xml:space="preserve"> salary in the year of assessment 2018/19, the Appellant had to pay approximately </w:t>
      </w:r>
      <w:r w:rsidR="003915F7" w:rsidRPr="006E278B">
        <w:rPr>
          <w:lang w:eastAsia="zh-HK"/>
        </w:rPr>
        <w:t>$</w:t>
      </w:r>
      <w:r w:rsidRPr="006E278B">
        <w:rPr>
          <w:lang w:eastAsia="zh-HK"/>
        </w:rPr>
        <w:t>20,000 more tax.</w:t>
      </w:r>
    </w:p>
    <w:p w:rsidR="00216B02" w:rsidRPr="006E278B" w:rsidRDefault="00216B02" w:rsidP="00C22AFE">
      <w:pPr>
        <w:pStyle w:val="afd"/>
        <w:overflowPunct w:val="0"/>
        <w:autoSpaceDE w:val="0"/>
        <w:autoSpaceDN w:val="0"/>
        <w:jc w:val="both"/>
        <w:rPr>
          <w:lang w:eastAsia="zh-HK"/>
        </w:rPr>
      </w:pPr>
    </w:p>
    <w:p w:rsidR="00B548DE" w:rsidRPr="00B320A5" w:rsidRDefault="00B548DE" w:rsidP="00B320A5">
      <w:pPr>
        <w:widowControl w:val="0"/>
        <w:numPr>
          <w:ilvl w:val="0"/>
          <w:numId w:val="12"/>
        </w:numPr>
        <w:tabs>
          <w:tab w:val="clear" w:pos="720"/>
        </w:tabs>
        <w:overflowPunct w:val="0"/>
        <w:autoSpaceDE w:val="0"/>
        <w:autoSpaceDN w:val="0"/>
        <w:ind w:left="0" w:firstLine="0"/>
        <w:jc w:val="both"/>
        <w:rPr>
          <w:b/>
          <w:bCs/>
        </w:rPr>
      </w:pPr>
      <w:r w:rsidRPr="00B320A5">
        <w:rPr>
          <w:b/>
          <w:bCs/>
        </w:rPr>
        <w:t>Finding</w:t>
      </w:r>
    </w:p>
    <w:p w:rsidR="00B548DE" w:rsidRPr="006E278B" w:rsidRDefault="00B548DE" w:rsidP="00C22AFE">
      <w:pPr>
        <w:widowControl w:val="0"/>
        <w:overflowPunct w:val="0"/>
        <w:autoSpaceDE w:val="0"/>
        <w:autoSpaceDN w:val="0"/>
        <w:ind w:left="720"/>
        <w:jc w:val="both"/>
        <w:rPr>
          <w:bCs/>
          <w:u w:val="single"/>
        </w:rPr>
      </w:pPr>
    </w:p>
    <w:p w:rsidR="00B548DE" w:rsidRPr="006E278B" w:rsidRDefault="00A17987"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rPr>
          <w:bCs/>
        </w:rPr>
      </w:pPr>
      <w:r w:rsidRPr="006E278B">
        <w:rPr>
          <w:bCs/>
        </w:rPr>
        <w:t xml:space="preserve">This is an open and shut case and the Board has no difficulty in rejecting all the </w:t>
      </w:r>
      <w:r w:rsidRPr="006E278B">
        <w:rPr>
          <w:lang w:eastAsia="zh-HK"/>
        </w:rPr>
        <w:t xml:space="preserve">Appellant’s </w:t>
      </w:r>
      <w:r w:rsidR="003915F7" w:rsidRPr="006E278B">
        <w:rPr>
          <w:lang w:eastAsia="zh-HK"/>
        </w:rPr>
        <w:t>contentions</w:t>
      </w:r>
      <w:r w:rsidRPr="006E278B">
        <w:rPr>
          <w:lang w:eastAsia="zh-HK"/>
        </w:rPr>
        <w:t>.</w:t>
      </w:r>
    </w:p>
    <w:p w:rsidR="00A17987" w:rsidRPr="006E278B" w:rsidRDefault="00A17987" w:rsidP="00B320A5">
      <w:pPr>
        <w:pStyle w:val="afd"/>
        <w:widowControl w:val="0"/>
        <w:tabs>
          <w:tab w:val="left" w:pos="2107"/>
        </w:tabs>
        <w:overflowPunct w:val="0"/>
        <w:autoSpaceDE w:val="0"/>
        <w:autoSpaceDN w:val="0"/>
        <w:ind w:leftChars="638" w:left="2107" w:hangingChars="240" w:hanging="576"/>
        <w:jc w:val="both"/>
        <w:rPr>
          <w:bCs/>
        </w:rPr>
      </w:pPr>
    </w:p>
    <w:p w:rsidR="00A17987" w:rsidRPr="006E278B" w:rsidRDefault="00A17987"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rPr>
          <w:bCs/>
        </w:rPr>
      </w:pPr>
      <w:r w:rsidRPr="006E278B">
        <w:rPr>
          <w:bCs/>
        </w:rPr>
        <w:t xml:space="preserve">As clearly </w:t>
      </w:r>
      <w:r w:rsidR="0045625C" w:rsidRPr="006E278B">
        <w:rPr>
          <w:lang w:eastAsia="zh-HK"/>
        </w:rPr>
        <w:t>stated in the termination l</w:t>
      </w:r>
      <w:r w:rsidRPr="006E278B">
        <w:rPr>
          <w:lang w:eastAsia="zh-HK"/>
        </w:rPr>
        <w:t>etter</w:t>
      </w:r>
      <w:r w:rsidR="003915F7" w:rsidRPr="006E278B">
        <w:rPr>
          <w:lang w:eastAsia="zh-HK"/>
        </w:rPr>
        <w:t xml:space="preserve">, </w:t>
      </w:r>
      <w:r w:rsidRPr="006E278B">
        <w:rPr>
          <w:lang w:eastAsia="zh-HK"/>
        </w:rPr>
        <w:t xml:space="preserve">the Appellant’s employment with </w:t>
      </w:r>
      <w:r w:rsidR="00574C82" w:rsidRPr="006E278B">
        <w:rPr>
          <w:lang w:eastAsia="zh-HK"/>
        </w:rPr>
        <w:t>Company B</w:t>
      </w:r>
      <w:r w:rsidRPr="006E278B">
        <w:rPr>
          <w:lang w:eastAsia="zh-HK"/>
        </w:rPr>
        <w:t xml:space="preserve"> was terminated with effect from 24 November 2018 by way of</w:t>
      </w:r>
      <w:r w:rsidR="0045625C" w:rsidRPr="006E278B">
        <w:rPr>
          <w:lang w:eastAsia="zh-HK"/>
        </w:rPr>
        <w:t xml:space="preserve"> a</w:t>
      </w:r>
      <w:r w:rsidRPr="006E278B">
        <w:rPr>
          <w:lang w:eastAsia="zh-HK"/>
        </w:rPr>
        <w:t xml:space="preserve"> payment in lieu of notice and the Appellant’s last employment date was 23 November 2018.</w:t>
      </w:r>
    </w:p>
    <w:p w:rsidR="00A17987" w:rsidRPr="006E278B" w:rsidRDefault="00A17987" w:rsidP="00B320A5">
      <w:pPr>
        <w:pStyle w:val="afd"/>
        <w:tabs>
          <w:tab w:val="left" w:pos="2107"/>
        </w:tabs>
        <w:overflowPunct w:val="0"/>
        <w:autoSpaceDE w:val="0"/>
        <w:autoSpaceDN w:val="0"/>
        <w:ind w:leftChars="638" w:left="2107" w:hangingChars="240" w:hanging="576"/>
        <w:jc w:val="both"/>
        <w:rPr>
          <w:bCs/>
        </w:rPr>
      </w:pPr>
    </w:p>
    <w:p w:rsidR="00A17987" w:rsidRPr="006E278B" w:rsidRDefault="00981D2A"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rPr>
          <w:lang w:eastAsia="zh-HK"/>
        </w:rPr>
        <w:t xml:space="preserve">According to </w:t>
      </w:r>
      <w:r w:rsidR="00A17987" w:rsidRPr="006E278B">
        <w:rPr>
          <w:lang w:eastAsia="zh-HK"/>
        </w:rPr>
        <w:t xml:space="preserve">the </w:t>
      </w:r>
      <w:r w:rsidRPr="006E278B">
        <w:rPr>
          <w:lang w:eastAsia="zh-HK"/>
        </w:rPr>
        <w:t>breakdown</w:t>
      </w:r>
      <w:r w:rsidR="00A17987" w:rsidRPr="006E278B">
        <w:rPr>
          <w:lang w:eastAsia="zh-HK"/>
        </w:rPr>
        <w:t xml:space="preserve"> of the final payment</w:t>
      </w:r>
      <w:r w:rsidRPr="006E278B">
        <w:rPr>
          <w:lang w:eastAsia="zh-HK"/>
        </w:rPr>
        <w:t>s</w:t>
      </w:r>
      <w:r w:rsidR="00A17987" w:rsidRPr="006E278B">
        <w:rPr>
          <w:lang w:eastAsia="zh-HK"/>
        </w:rPr>
        <w:t xml:space="preserve"> to the Appellant and the total income reported for </w:t>
      </w:r>
      <w:r w:rsidR="00E670B3" w:rsidRPr="006E278B">
        <w:rPr>
          <w:lang w:eastAsia="zh-HK"/>
        </w:rPr>
        <w:t>his</w:t>
      </w:r>
      <w:r w:rsidR="00A17987" w:rsidRPr="006E278B">
        <w:rPr>
          <w:lang w:eastAsia="zh-HK"/>
        </w:rPr>
        <w:t xml:space="preserve"> remuneration for the year of assessment 2018/19</w:t>
      </w:r>
      <w:r w:rsidR="00E670B3" w:rsidRPr="006E278B">
        <w:rPr>
          <w:lang w:eastAsia="zh-HK"/>
        </w:rPr>
        <w:t xml:space="preserve"> including</w:t>
      </w:r>
      <w:r w:rsidRPr="006E278B">
        <w:rPr>
          <w:lang w:eastAsia="zh-HK"/>
        </w:rPr>
        <w:t xml:space="preserve"> his </w:t>
      </w:r>
      <w:r w:rsidR="00A17987" w:rsidRPr="006E278B">
        <w:rPr>
          <w:lang w:eastAsia="zh-HK"/>
        </w:rPr>
        <w:t>basic salary</w:t>
      </w:r>
      <w:r w:rsidR="003915F7" w:rsidRPr="006E278B">
        <w:rPr>
          <w:lang w:eastAsia="zh-HK"/>
        </w:rPr>
        <w:t>,</w:t>
      </w:r>
      <w:r w:rsidR="00A17987" w:rsidRPr="006E278B">
        <w:rPr>
          <w:lang w:eastAsia="zh-HK"/>
        </w:rPr>
        <w:t xml:space="preserve"> annual leave and bonus were accrued up to 23 November 2018</w:t>
      </w:r>
      <w:r w:rsidR="003915F7" w:rsidRPr="006E278B">
        <w:rPr>
          <w:lang w:eastAsia="zh-HK"/>
        </w:rPr>
        <w:t xml:space="preserve">. </w:t>
      </w:r>
      <w:r w:rsidR="00A17987" w:rsidRPr="006E278B">
        <w:rPr>
          <w:lang w:eastAsia="zh-HK"/>
        </w:rPr>
        <w:t xml:space="preserve"> </w:t>
      </w:r>
      <w:r w:rsidR="003915F7" w:rsidRPr="006E278B">
        <w:rPr>
          <w:lang w:eastAsia="zh-HK"/>
        </w:rPr>
        <w:t>T</w:t>
      </w:r>
      <w:r w:rsidR="00A17987" w:rsidRPr="006E278B">
        <w:rPr>
          <w:lang w:eastAsia="zh-HK"/>
        </w:rPr>
        <w:t xml:space="preserve">he contributions to provident fund by the Appellant and </w:t>
      </w:r>
      <w:r w:rsidR="00574C82" w:rsidRPr="006E278B">
        <w:rPr>
          <w:lang w:eastAsia="zh-HK"/>
        </w:rPr>
        <w:t>Company B</w:t>
      </w:r>
      <w:r w:rsidRPr="006E278B">
        <w:rPr>
          <w:lang w:eastAsia="zh-HK"/>
        </w:rPr>
        <w:t xml:space="preserve"> </w:t>
      </w:r>
      <w:r w:rsidR="00A17987" w:rsidRPr="006E278B">
        <w:rPr>
          <w:lang w:eastAsia="zh-HK"/>
        </w:rPr>
        <w:t xml:space="preserve">were </w:t>
      </w:r>
      <w:r w:rsidR="009F7B6E" w:rsidRPr="006E278B">
        <w:rPr>
          <w:lang w:eastAsia="zh-HK"/>
        </w:rPr>
        <w:t xml:space="preserve">also </w:t>
      </w:r>
      <w:r w:rsidR="00A17987" w:rsidRPr="006E278B">
        <w:rPr>
          <w:lang w:eastAsia="zh-HK"/>
        </w:rPr>
        <w:t>accrued up to November 2018</w:t>
      </w:r>
      <w:r w:rsidRPr="006E278B">
        <w:rPr>
          <w:lang w:eastAsia="zh-HK"/>
        </w:rPr>
        <w:t xml:space="preserve">.  </w:t>
      </w:r>
      <w:r w:rsidR="00A17987" w:rsidRPr="006E278B">
        <w:t xml:space="preserve">These findings </w:t>
      </w:r>
      <w:r w:rsidR="003915F7" w:rsidRPr="006E278B">
        <w:t xml:space="preserve">were </w:t>
      </w:r>
      <w:r w:rsidR="00A17987" w:rsidRPr="006E278B">
        <w:t>consistent wit</w:t>
      </w:r>
      <w:r w:rsidRPr="006E278B">
        <w:t xml:space="preserve">h the information </w:t>
      </w:r>
      <w:r w:rsidR="003915F7" w:rsidRPr="006E278B">
        <w:t>contained</w:t>
      </w:r>
      <w:r w:rsidRPr="006E278B">
        <w:t xml:space="preserve"> in the Appellant’s termination l</w:t>
      </w:r>
      <w:r w:rsidR="00A17987" w:rsidRPr="006E278B">
        <w:t>etter.</w:t>
      </w:r>
    </w:p>
    <w:p w:rsidR="00981D2A" w:rsidRPr="006E278B" w:rsidRDefault="00981D2A" w:rsidP="00B320A5">
      <w:pPr>
        <w:pStyle w:val="afd"/>
        <w:tabs>
          <w:tab w:val="left" w:pos="2107"/>
        </w:tabs>
        <w:overflowPunct w:val="0"/>
        <w:autoSpaceDE w:val="0"/>
        <w:autoSpaceDN w:val="0"/>
        <w:ind w:leftChars="638" w:left="2107" w:hangingChars="240" w:hanging="576"/>
        <w:jc w:val="both"/>
      </w:pPr>
    </w:p>
    <w:p w:rsidR="00A17987" w:rsidRPr="006E278B" w:rsidRDefault="00156367"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Based on the above facts and by the operation of section 11C of the </w:t>
      </w:r>
      <w:r w:rsidR="003915F7" w:rsidRPr="006E278B">
        <w:t>Ordinance</w:t>
      </w:r>
      <w:r w:rsidRPr="006E278B">
        <w:t xml:space="preserve">, the Appellant was deemed to cease to derive income from </w:t>
      </w:r>
      <w:r w:rsidR="00574C82" w:rsidRPr="006E278B">
        <w:t>Company B</w:t>
      </w:r>
      <w:r w:rsidRPr="006E278B">
        <w:t xml:space="preserve"> </w:t>
      </w:r>
      <w:r w:rsidR="00E670B3" w:rsidRPr="006E278B">
        <w:t>effective</w:t>
      </w:r>
      <w:r w:rsidR="009F7B6E" w:rsidRPr="006E278B">
        <w:t xml:space="preserve"> from </w:t>
      </w:r>
      <w:r w:rsidRPr="006E278B">
        <w:t xml:space="preserve">24 November 2018.  </w:t>
      </w:r>
      <w:r w:rsidR="0002340D" w:rsidRPr="006E278B">
        <w:t xml:space="preserve">The Sum was made to the Appellant in return for his acting as or being an employee of </w:t>
      </w:r>
      <w:r w:rsidR="00574C82" w:rsidRPr="006E278B">
        <w:t>Company B</w:t>
      </w:r>
      <w:r w:rsidR="0002340D" w:rsidRPr="006E278B">
        <w:t xml:space="preserve">.  </w:t>
      </w:r>
      <w:r w:rsidRPr="006E278B">
        <w:t>By th</w:t>
      </w:r>
      <w:r w:rsidR="00FF421E" w:rsidRPr="006E278B">
        <w:t xml:space="preserve">e operation of </w:t>
      </w:r>
      <w:r w:rsidRPr="006E278B">
        <w:t xml:space="preserve">proviso (ii) </w:t>
      </w:r>
      <w:r w:rsidR="006E54AB">
        <w:t xml:space="preserve">to </w:t>
      </w:r>
      <w:r w:rsidRPr="006E278B">
        <w:t xml:space="preserve">section </w:t>
      </w:r>
      <w:proofErr w:type="gramStart"/>
      <w:r w:rsidRPr="006E278B">
        <w:t>11D(</w:t>
      </w:r>
      <w:proofErr w:type="gramEnd"/>
      <w:r w:rsidRPr="006E278B">
        <w:t>b) of the Ordinance, the Sum was deemed to have accrued to the Appellant on 23 November 2018</w:t>
      </w:r>
      <w:r w:rsidR="003915F7" w:rsidRPr="006E278B">
        <w:t xml:space="preserve"> i.e.</w:t>
      </w:r>
      <w:r w:rsidRPr="006E278B">
        <w:t xml:space="preserve"> the last day of his employment with </w:t>
      </w:r>
      <w:r w:rsidR="00574C82" w:rsidRPr="006E278B">
        <w:t>Company B</w:t>
      </w:r>
      <w:r w:rsidRPr="006E278B">
        <w:t xml:space="preserve">.  It followed that the Sum should be included as the Appellant’s assessable income for the year of assessment 2018/19. </w:t>
      </w:r>
      <w:r w:rsidR="003915F7" w:rsidRPr="006E278B">
        <w:t xml:space="preserve"> There wa</w:t>
      </w:r>
      <w:r w:rsidR="0002340D" w:rsidRPr="006E278B">
        <w:t>s no case for the Sum to be assessed in two tax years.</w:t>
      </w:r>
    </w:p>
    <w:p w:rsidR="0002340D" w:rsidRPr="006E278B" w:rsidRDefault="0002340D" w:rsidP="00B320A5">
      <w:pPr>
        <w:pStyle w:val="afd"/>
        <w:tabs>
          <w:tab w:val="left" w:pos="2107"/>
        </w:tabs>
        <w:overflowPunct w:val="0"/>
        <w:autoSpaceDE w:val="0"/>
        <w:autoSpaceDN w:val="0"/>
        <w:ind w:leftChars="638" w:left="2107" w:hangingChars="240" w:hanging="576"/>
        <w:jc w:val="both"/>
      </w:pPr>
    </w:p>
    <w:p w:rsidR="0002340D" w:rsidRPr="006E278B" w:rsidRDefault="005F3620"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The above conclusion is supported by </w:t>
      </w:r>
      <w:r w:rsidR="003915F7" w:rsidRPr="006E278B">
        <w:t xml:space="preserve">the Board’s previous decisions in </w:t>
      </w:r>
      <w:r w:rsidRPr="008E6387">
        <w:rPr>
          <w:u w:val="single"/>
        </w:rPr>
        <w:t>D28/95</w:t>
      </w:r>
      <w:r w:rsidRPr="008E6387">
        <w:t xml:space="preserve">, </w:t>
      </w:r>
      <w:r w:rsidRPr="008E6387">
        <w:rPr>
          <w:u w:val="single"/>
        </w:rPr>
        <w:t>D42/06</w:t>
      </w:r>
      <w:r w:rsidRPr="008E6387">
        <w:t xml:space="preserve"> and </w:t>
      </w:r>
      <w:r w:rsidRPr="008E6387">
        <w:rPr>
          <w:u w:val="single"/>
        </w:rPr>
        <w:t>D1/10</w:t>
      </w:r>
      <w:r w:rsidRPr="006E278B">
        <w:t>.</w:t>
      </w:r>
    </w:p>
    <w:p w:rsidR="005F3620" w:rsidRPr="006E278B" w:rsidRDefault="005F3620" w:rsidP="00B320A5">
      <w:pPr>
        <w:pStyle w:val="afd"/>
        <w:tabs>
          <w:tab w:val="left" w:pos="2107"/>
        </w:tabs>
        <w:overflowPunct w:val="0"/>
        <w:autoSpaceDE w:val="0"/>
        <w:autoSpaceDN w:val="0"/>
        <w:ind w:leftChars="638" w:left="2107" w:hangingChars="240" w:hanging="576"/>
        <w:jc w:val="both"/>
      </w:pPr>
    </w:p>
    <w:p w:rsidR="005F3620" w:rsidRPr="006E278B" w:rsidRDefault="00760C1E"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The </w:t>
      </w:r>
      <w:r w:rsidR="003915F7" w:rsidRPr="006E278B">
        <w:t xml:space="preserve">Board found it difficult to accept the </w:t>
      </w:r>
      <w:r w:rsidRPr="006E278B">
        <w:t xml:space="preserve">Appellant’s allegation that he had to turn down an offer of employment in January 2019 because of the NDA and the </w:t>
      </w:r>
      <w:r w:rsidR="003915F7" w:rsidRPr="006E278B">
        <w:t xml:space="preserve">Sum </w:t>
      </w:r>
      <w:r w:rsidRPr="006E278B">
        <w:t>he had received</w:t>
      </w:r>
      <w:r w:rsidR="00667EA6" w:rsidRPr="006E278B">
        <w:t>.  There wa</w:t>
      </w:r>
      <w:r w:rsidR="009F7B6E" w:rsidRPr="006E278B">
        <w:t xml:space="preserve">s </w:t>
      </w:r>
      <w:r w:rsidR="00667EA6" w:rsidRPr="006E278B">
        <w:t xml:space="preserve">simply </w:t>
      </w:r>
      <w:r w:rsidR="009F7B6E" w:rsidRPr="006E278B">
        <w:t xml:space="preserve">no </w:t>
      </w:r>
      <w:r w:rsidR="00667EA6" w:rsidRPr="006E278B">
        <w:t xml:space="preserve">sufficient </w:t>
      </w:r>
      <w:r w:rsidRPr="006E278B">
        <w:t xml:space="preserve">evidence to </w:t>
      </w:r>
      <w:r w:rsidR="003E1F84" w:rsidRPr="006E278B">
        <w:t>support such an a</w:t>
      </w:r>
      <w:r w:rsidR="009F7B6E" w:rsidRPr="006E278B">
        <w:t>llegation</w:t>
      </w:r>
      <w:r w:rsidR="003E1F84" w:rsidRPr="006E278B">
        <w:t xml:space="preserve">.  Firstly, the NDA appeared </w:t>
      </w:r>
      <w:r w:rsidR="00C61766" w:rsidRPr="006E278B">
        <w:t xml:space="preserve">only </w:t>
      </w:r>
      <w:r w:rsidR="003E1F84" w:rsidRPr="006E278B">
        <w:t xml:space="preserve">to restrict the Appellant from poaching the employees of </w:t>
      </w:r>
      <w:r w:rsidR="00574C82" w:rsidRPr="006E278B">
        <w:t>Company B</w:t>
      </w:r>
      <w:r w:rsidR="003E1F84" w:rsidRPr="006E278B">
        <w:t xml:space="preserve"> and its parent company.  </w:t>
      </w:r>
      <w:r w:rsidR="00C61766" w:rsidRPr="006E278B">
        <w:t>It did not operate to restrict the Appellant from being employed even from a competitor.  T</w:t>
      </w:r>
      <w:r w:rsidR="003E1F84" w:rsidRPr="006E278B">
        <w:t xml:space="preserve">he Appellant </w:t>
      </w:r>
      <w:r w:rsidR="00C61766" w:rsidRPr="006E278B">
        <w:t xml:space="preserve">also </w:t>
      </w:r>
      <w:r w:rsidR="003E1F84" w:rsidRPr="006E278B">
        <w:t xml:space="preserve">failed to produce </w:t>
      </w:r>
      <w:r w:rsidR="00C61766" w:rsidRPr="006E278B">
        <w:t xml:space="preserve">any </w:t>
      </w:r>
      <w:r w:rsidR="003E1F84" w:rsidRPr="006E278B">
        <w:t xml:space="preserve">evidence </w:t>
      </w:r>
      <w:r w:rsidR="00C61766" w:rsidRPr="006E278B">
        <w:t xml:space="preserve">to prove </w:t>
      </w:r>
      <w:r w:rsidR="003E1F84" w:rsidRPr="006E278B">
        <w:t xml:space="preserve">that the Sum was in any way in the nature of compensation </w:t>
      </w:r>
      <w:r w:rsidR="009F7B6E" w:rsidRPr="006E278B">
        <w:t xml:space="preserve">for </w:t>
      </w:r>
      <w:r w:rsidR="003E1F84" w:rsidRPr="006E278B">
        <w:t xml:space="preserve">or consideration of </w:t>
      </w:r>
      <w:r w:rsidR="00C61766" w:rsidRPr="006E278B">
        <w:t xml:space="preserve">his </w:t>
      </w:r>
      <w:r w:rsidR="003E1F84" w:rsidRPr="006E278B">
        <w:t xml:space="preserve">entering into the NDA.  </w:t>
      </w:r>
      <w:r w:rsidR="00C61766" w:rsidRPr="006E278B">
        <w:t>All the evidence points towards t</w:t>
      </w:r>
      <w:r w:rsidR="003E1F84" w:rsidRPr="006E278B">
        <w:t xml:space="preserve">he Sum </w:t>
      </w:r>
      <w:r w:rsidR="00C61766" w:rsidRPr="006E278B">
        <w:t xml:space="preserve">being no more no less </w:t>
      </w:r>
      <w:r w:rsidR="003E1F84" w:rsidRPr="006E278B">
        <w:t>a payment in lieu of notice</w:t>
      </w:r>
      <w:r w:rsidR="00C61766" w:rsidRPr="006E278B">
        <w:t xml:space="preserve"> and, as such, </w:t>
      </w:r>
      <w:r w:rsidR="003E1F84" w:rsidRPr="006E278B">
        <w:t xml:space="preserve">on the authority of </w:t>
      </w:r>
      <w:r w:rsidR="003E1F84" w:rsidRPr="008E6387">
        <w:rPr>
          <w:u w:val="single"/>
        </w:rPr>
        <w:t>Fuchs</w:t>
      </w:r>
      <w:r w:rsidR="003E1F84" w:rsidRPr="006E278B">
        <w:t>, it was income from employment and chargeabl</w:t>
      </w:r>
      <w:r w:rsidR="00C61766" w:rsidRPr="006E278B">
        <w:t>e to Salaries Tax by virtue of s</w:t>
      </w:r>
      <w:r w:rsidR="003E1F84" w:rsidRPr="006E278B">
        <w:t>ections 8(1)(a) and 9(1)(a) of the Ordinance.</w:t>
      </w:r>
      <w:r w:rsidR="00C61766" w:rsidRPr="006E278B">
        <w:t xml:space="preserve">  There are no two ways about it.</w:t>
      </w:r>
    </w:p>
    <w:p w:rsidR="003B2273" w:rsidRPr="006E278B" w:rsidRDefault="003B2273" w:rsidP="00B320A5">
      <w:pPr>
        <w:pStyle w:val="afd"/>
        <w:widowControl w:val="0"/>
        <w:tabs>
          <w:tab w:val="left" w:pos="2107"/>
        </w:tabs>
        <w:overflowPunct w:val="0"/>
        <w:autoSpaceDE w:val="0"/>
        <w:autoSpaceDN w:val="0"/>
        <w:ind w:leftChars="638" w:left="2107" w:hangingChars="240" w:hanging="576"/>
        <w:jc w:val="both"/>
      </w:pPr>
    </w:p>
    <w:p w:rsidR="003E1F84" w:rsidRPr="006E278B" w:rsidRDefault="003E1F84"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The Appellant claim</w:t>
      </w:r>
      <w:r w:rsidR="004C5313" w:rsidRPr="006E278B">
        <w:t>ed</w:t>
      </w:r>
      <w:r w:rsidRPr="006E278B">
        <w:t xml:space="preserve"> that he would have to pay more tax if the Sum was assessed in the year of assessment 2018/19.  </w:t>
      </w:r>
      <w:r w:rsidR="004C5313" w:rsidRPr="006E278B">
        <w:t xml:space="preserve">It should be noted </w:t>
      </w:r>
      <w:r w:rsidRPr="006E278B">
        <w:t>that the tax treatment received by the A</w:t>
      </w:r>
      <w:r w:rsidR="004C5313" w:rsidRPr="006E278B">
        <w:t>ppellant in respect of the Sum wa</w:t>
      </w:r>
      <w:r w:rsidRPr="006E278B">
        <w:t xml:space="preserve">s merely a fiscal consequence arising from his change in employment status.  In </w:t>
      </w:r>
      <w:r w:rsidRPr="008E6387">
        <w:rPr>
          <w:u w:val="single"/>
        </w:rPr>
        <w:t>D42/06</w:t>
      </w:r>
      <w:r w:rsidRPr="006E278B">
        <w:t xml:space="preserve">, the Board stated that sections 11C and 11D of the </w:t>
      </w:r>
      <w:r w:rsidR="0077201B" w:rsidRPr="006E278B">
        <w:t xml:space="preserve">Ordinance </w:t>
      </w:r>
      <w:r w:rsidRPr="006E278B">
        <w:t xml:space="preserve">were </w:t>
      </w:r>
      <w:r w:rsidR="008E6387">
        <w:t>‘</w:t>
      </w:r>
      <w:r w:rsidRPr="006E278B">
        <w:t xml:space="preserve">all </w:t>
      </w:r>
      <w:r w:rsidR="008E6387">
        <w:t>“</w:t>
      </w:r>
      <w:r w:rsidRPr="006E278B">
        <w:t>deeming</w:t>
      </w:r>
      <w:r w:rsidR="008E6387">
        <w:t>”</w:t>
      </w:r>
      <w:r w:rsidRPr="006E278B">
        <w:t xml:space="preserve"> provisions</w:t>
      </w:r>
      <w:r w:rsidR="008E6387">
        <w:t>’</w:t>
      </w:r>
      <w:r w:rsidRPr="006E278B">
        <w:t xml:space="preserve"> and they could </w:t>
      </w:r>
      <w:r w:rsidR="008E6387">
        <w:t>‘</w:t>
      </w:r>
      <w:r w:rsidRPr="006E278B">
        <w:t xml:space="preserve">work against or in </w:t>
      </w:r>
      <w:proofErr w:type="spellStart"/>
      <w:r w:rsidRPr="006E278B">
        <w:t>favour</w:t>
      </w:r>
      <w:proofErr w:type="spellEnd"/>
      <w:r w:rsidRPr="006E278B">
        <w:t xml:space="preserve"> of a taxpayer depending on the personal circumstances of the individual taxpayer</w:t>
      </w:r>
      <w:r w:rsidR="008E6387">
        <w:t>’</w:t>
      </w:r>
      <w:r w:rsidRPr="006E278B">
        <w:t xml:space="preserve">.  </w:t>
      </w:r>
      <w:r w:rsidR="009F7B6E" w:rsidRPr="006E278B">
        <w:t>In this case, e</w:t>
      </w:r>
      <w:r w:rsidRPr="006E278B">
        <w:t>ven though the subject tax treatment m</w:t>
      </w:r>
      <w:r w:rsidR="00305E4D" w:rsidRPr="006E278B">
        <w:t>ight</w:t>
      </w:r>
      <w:r w:rsidRPr="006E278B">
        <w:t xml:space="preserve"> not </w:t>
      </w:r>
      <w:proofErr w:type="spellStart"/>
      <w:r w:rsidRPr="006E278B">
        <w:t>favour</w:t>
      </w:r>
      <w:proofErr w:type="spellEnd"/>
      <w:r w:rsidRPr="006E278B">
        <w:t xml:space="preserve"> the Appellant, </w:t>
      </w:r>
      <w:r w:rsidR="00305E4D" w:rsidRPr="006E278B">
        <w:t xml:space="preserve">it would not </w:t>
      </w:r>
      <w:r w:rsidR="00305E4D" w:rsidRPr="006E278B">
        <w:lastRenderedPageBreak/>
        <w:t xml:space="preserve">exonerate him from his tax liability.  After all, </w:t>
      </w:r>
      <w:r w:rsidRPr="006E278B">
        <w:t xml:space="preserve">the same </w:t>
      </w:r>
      <w:r w:rsidR="00305E4D" w:rsidRPr="006E278B">
        <w:t xml:space="preserve">treatment </w:t>
      </w:r>
      <w:r w:rsidRPr="006E278B">
        <w:t>w</w:t>
      </w:r>
      <w:r w:rsidR="004C5313" w:rsidRPr="006E278B">
        <w:t>ould</w:t>
      </w:r>
      <w:r w:rsidRPr="006E278B">
        <w:t xml:space="preserve"> apply across the board to all </w:t>
      </w:r>
      <w:r w:rsidR="004C5313" w:rsidRPr="006E278B">
        <w:t>other</w:t>
      </w:r>
      <w:r w:rsidRPr="006E278B">
        <w:t xml:space="preserve"> employees of </w:t>
      </w:r>
      <w:r w:rsidR="00574C82" w:rsidRPr="006E278B">
        <w:t>Company B</w:t>
      </w:r>
      <w:r w:rsidR="004C5313" w:rsidRPr="006E278B">
        <w:t xml:space="preserve"> under</w:t>
      </w:r>
      <w:r w:rsidRPr="006E278B">
        <w:t xml:space="preserve"> similar circumstances.</w:t>
      </w:r>
    </w:p>
    <w:p w:rsidR="004C5313" w:rsidRPr="006E278B" w:rsidRDefault="004C5313" w:rsidP="00B320A5">
      <w:pPr>
        <w:pStyle w:val="afd"/>
        <w:tabs>
          <w:tab w:val="left" w:pos="2107"/>
        </w:tabs>
        <w:overflowPunct w:val="0"/>
        <w:autoSpaceDE w:val="0"/>
        <w:autoSpaceDN w:val="0"/>
        <w:ind w:leftChars="638" w:left="2107" w:hangingChars="240" w:hanging="576"/>
        <w:jc w:val="both"/>
      </w:pPr>
    </w:p>
    <w:p w:rsidR="003E1F84" w:rsidRPr="006E278B" w:rsidRDefault="004C5313" w:rsidP="00B320A5">
      <w:pPr>
        <w:pStyle w:val="afd"/>
        <w:widowControl w:val="0"/>
        <w:numPr>
          <w:ilvl w:val="1"/>
          <w:numId w:val="12"/>
        </w:numPr>
        <w:tabs>
          <w:tab w:val="clear" w:pos="1200"/>
          <w:tab w:val="left" w:pos="2107"/>
        </w:tabs>
        <w:overflowPunct w:val="0"/>
        <w:autoSpaceDE w:val="0"/>
        <w:autoSpaceDN w:val="0"/>
        <w:ind w:leftChars="638" w:left="2107" w:hangingChars="240" w:hanging="576"/>
        <w:jc w:val="both"/>
      </w:pPr>
      <w:r w:rsidRPr="006E278B">
        <w:t xml:space="preserve">As regards the allegations that the Appellant was not chargeable to any tax in respect of payment in lieu of notice on two occasions in the years of assessment 1995/96 and 1998/99, there was not a thread of evidence to support these allegations.  It </w:t>
      </w:r>
      <w:r w:rsidR="00D01C41" w:rsidRPr="006E278B">
        <w:t xml:space="preserve">was impossible </w:t>
      </w:r>
      <w:r w:rsidRPr="006E278B">
        <w:t>for the Respondent to make any comment in reply.  The Board must reject such allegations.  Suffice to say</w:t>
      </w:r>
      <w:r w:rsidR="00D01C41" w:rsidRPr="006E278B">
        <w:t xml:space="preserve">, </w:t>
      </w:r>
      <w:r w:rsidRPr="006E278B">
        <w:t xml:space="preserve">the </w:t>
      </w:r>
      <w:r w:rsidR="00D01C41" w:rsidRPr="006E278B">
        <w:t>Board</w:t>
      </w:r>
      <w:r w:rsidRPr="006E278B">
        <w:t xml:space="preserve"> must follow the judgment of the Court of Final Appeal in the </w:t>
      </w:r>
      <w:r w:rsidRPr="008E6387">
        <w:rPr>
          <w:u w:val="single"/>
        </w:rPr>
        <w:t>Fuchs</w:t>
      </w:r>
      <w:r w:rsidRPr="006E278B">
        <w:t xml:space="preserve"> case which was made in 2011.  On this authority</w:t>
      </w:r>
      <w:r w:rsidR="00D01C41" w:rsidRPr="006E278B">
        <w:t>,</w:t>
      </w:r>
      <w:r w:rsidR="00FA3566" w:rsidRPr="006E278B">
        <w:t xml:space="preserve"> a payment in lieu of notice contractually agreed from the outset of the employment relationship is income from employment chargeable to tax as from the year of assessment 2012/13 onwards.</w:t>
      </w:r>
      <w:r w:rsidR="00D01C41" w:rsidRPr="006E278B">
        <w:t xml:space="preserve">  What happened to the Appellant’s tax treatment in 1995/96 and 1998/99 will have no bearing in this appeal.</w:t>
      </w:r>
    </w:p>
    <w:p w:rsidR="00FA3566" w:rsidRPr="006E278B" w:rsidRDefault="00FA3566" w:rsidP="00C22AFE">
      <w:pPr>
        <w:pStyle w:val="afd"/>
        <w:overflowPunct w:val="0"/>
        <w:autoSpaceDE w:val="0"/>
        <w:autoSpaceDN w:val="0"/>
        <w:jc w:val="both"/>
      </w:pPr>
    </w:p>
    <w:p w:rsidR="00FA3566" w:rsidRPr="00B320A5" w:rsidRDefault="00FA3566" w:rsidP="00B320A5">
      <w:pPr>
        <w:widowControl w:val="0"/>
        <w:numPr>
          <w:ilvl w:val="0"/>
          <w:numId w:val="12"/>
        </w:numPr>
        <w:tabs>
          <w:tab w:val="clear" w:pos="720"/>
        </w:tabs>
        <w:overflowPunct w:val="0"/>
        <w:autoSpaceDE w:val="0"/>
        <w:autoSpaceDN w:val="0"/>
        <w:ind w:left="0" w:firstLine="0"/>
        <w:jc w:val="both"/>
        <w:rPr>
          <w:b/>
          <w:bCs/>
        </w:rPr>
      </w:pPr>
      <w:r w:rsidRPr="00B320A5">
        <w:rPr>
          <w:b/>
          <w:bCs/>
        </w:rPr>
        <w:t>Conclusion</w:t>
      </w:r>
    </w:p>
    <w:p w:rsidR="00FA3566" w:rsidRPr="006E278B" w:rsidRDefault="00FA3566" w:rsidP="00C22AFE">
      <w:pPr>
        <w:widowControl w:val="0"/>
        <w:overflowPunct w:val="0"/>
        <w:autoSpaceDE w:val="0"/>
        <w:autoSpaceDN w:val="0"/>
        <w:ind w:left="720"/>
        <w:jc w:val="both"/>
        <w:rPr>
          <w:bCs/>
          <w:u w:val="single"/>
        </w:rPr>
      </w:pPr>
    </w:p>
    <w:p w:rsidR="00FA3566" w:rsidRPr="006E278B" w:rsidRDefault="00FA3566" w:rsidP="00B320A5">
      <w:pPr>
        <w:widowControl w:val="0"/>
        <w:overflowPunct w:val="0"/>
        <w:autoSpaceDE w:val="0"/>
        <w:autoSpaceDN w:val="0"/>
        <w:ind w:leftChars="638" w:left="1531"/>
        <w:jc w:val="both"/>
        <w:rPr>
          <w:bCs/>
        </w:rPr>
      </w:pPr>
      <w:r w:rsidRPr="006E278B">
        <w:rPr>
          <w:bCs/>
        </w:rPr>
        <w:t xml:space="preserve">The Board finds that the Appellant </w:t>
      </w:r>
      <w:r w:rsidR="00012FE9" w:rsidRPr="006E278B">
        <w:rPr>
          <w:bCs/>
        </w:rPr>
        <w:t>has failed to discharge the burden proving that assessment appealed against is excessive or incorrect.  The appeal is dismissed.</w:t>
      </w:r>
    </w:p>
    <w:p w:rsidR="00012FE9" w:rsidRPr="006E278B" w:rsidRDefault="00012FE9" w:rsidP="00C22AFE">
      <w:pPr>
        <w:widowControl w:val="0"/>
        <w:overflowPunct w:val="0"/>
        <w:autoSpaceDE w:val="0"/>
        <w:autoSpaceDN w:val="0"/>
        <w:ind w:left="720"/>
        <w:jc w:val="both"/>
        <w:rPr>
          <w:bCs/>
        </w:rPr>
      </w:pPr>
    </w:p>
    <w:p w:rsidR="00012FE9" w:rsidRPr="00B320A5" w:rsidRDefault="00012FE9" w:rsidP="00B320A5">
      <w:pPr>
        <w:widowControl w:val="0"/>
        <w:numPr>
          <w:ilvl w:val="0"/>
          <w:numId w:val="12"/>
        </w:numPr>
        <w:tabs>
          <w:tab w:val="clear" w:pos="720"/>
        </w:tabs>
        <w:overflowPunct w:val="0"/>
        <w:autoSpaceDE w:val="0"/>
        <w:autoSpaceDN w:val="0"/>
        <w:ind w:left="0" w:firstLine="0"/>
        <w:jc w:val="both"/>
        <w:rPr>
          <w:b/>
          <w:bCs/>
        </w:rPr>
      </w:pPr>
      <w:r w:rsidRPr="00B320A5">
        <w:rPr>
          <w:b/>
          <w:bCs/>
        </w:rPr>
        <w:t>Costs</w:t>
      </w:r>
    </w:p>
    <w:p w:rsidR="00012FE9" w:rsidRPr="006E278B" w:rsidRDefault="00012FE9" w:rsidP="00C22AFE">
      <w:pPr>
        <w:widowControl w:val="0"/>
        <w:overflowPunct w:val="0"/>
        <w:autoSpaceDE w:val="0"/>
        <w:autoSpaceDN w:val="0"/>
        <w:ind w:left="720"/>
        <w:jc w:val="both"/>
        <w:rPr>
          <w:bCs/>
          <w:u w:val="single"/>
        </w:rPr>
      </w:pPr>
    </w:p>
    <w:p w:rsidR="00191E9E" w:rsidRPr="00B320A5" w:rsidRDefault="00012FE9" w:rsidP="00B320A5">
      <w:pPr>
        <w:widowControl w:val="0"/>
        <w:overflowPunct w:val="0"/>
        <w:autoSpaceDE w:val="0"/>
        <w:autoSpaceDN w:val="0"/>
        <w:ind w:leftChars="638" w:left="1531"/>
        <w:jc w:val="both"/>
        <w:rPr>
          <w:bCs/>
        </w:rPr>
      </w:pPr>
      <w:r w:rsidRPr="006E278B">
        <w:rPr>
          <w:bCs/>
        </w:rPr>
        <w:t xml:space="preserve">Pursuant to </w:t>
      </w:r>
      <w:r w:rsidR="00453852">
        <w:rPr>
          <w:bCs/>
        </w:rPr>
        <w:t>s</w:t>
      </w:r>
      <w:r w:rsidRPr="006E278B">
        <w:rPr>
          <w:bCs/>
        </w:rPr>
        <w:t>ection 68(9) of the Ordinance, the Appellant is ordered to pay costs of the Board in the sum of HK$1</w:t>
      </w:r>
      <w:r w:rsidR="00D01C41" w:rsidRPr="006E278B">
        <w:rPr>
          <w:bCs/>
        </w:rPr>
        <w:t>5</w:t>
      </w:r>
      <w:r w:rsidRPr="006E278B">
        <w:rPr>
          <w:bCs/>
        </w:rPr>
        <w:t>,000.</w:t>
      </w:r>
    </w:p>
    <w:sectPr w:rsidR="00191E9E" w:rsidRPr="00B320A5" w:rsidSect="00B76C83">
      <w:headerReference w:type="default" r:id="rId8"/>
      <w:footerReference w:type="default" r:id="rId9"/>
      <w:pgSz w:w="11906" w:h="16838" w:code="9"/>
      <w:pgMar w:top="1985" w:right="1588" w:bottom="1701" w:left="1588" w:header="1361" w:footer="1134" w:gutter="0"/>
      <w:pgNumType w:start="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45" w:rsidRDefault="00570A45" w:rsidP="00C22C89">
      <w:r>
        <w:separator/>
      </w:r>
    </w:p>
  </w:endnote>
  <w:endnote w:type="continuationSeparator" w:id="0">
    <w:p w:rsidR="00570A45" w:rsidRDefault="00570A45" w:rsidP="00C2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Malgun Gothic Semilight"/>
    <w:charset w:val="88"/>
    <w:family w:val="script"/>
    <w:pitch w:val="fixed"/>
    <w:sig w:usb0="00000000" w:usb1="38CFFDFA" w:usb2="00000016" w:usb3="00000000" w:csb0="0016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175307"/>
      <w:docPartObj>
        <w:docPartGallery w:val="Page Numbers (Bottom of Page)"/>
        <w:docPartUnique/>
      </w:docPartObj>
    </w:sdtPr>
    <w:sdtEndPr>
      <w:rPr>
        <w:sz w:val="20"/>
        <w:szCs w:val="20"/>
      </w:rPr>
    </w:sdtEndPr>
    <w:sdtContent>
      <w:p w:rsidR="00B76C83" w:rsidRPr="00B76C83" w:rsidRDefault="00B76C83">
        <w:pPr>
          <w:pStyle w:val="af3"/>
          <w:jc w:val="center"/>
          <w:rPr>
            <w:sz w:val="20"/>
            <w:szCs w:val="20"/>
          </w:rPr>
        </w:pPr>
        <w:r w:rsidRPr="00B76C83">
          <w:rPr>
            <w:sz w:val="20"/>
            <w:szCs w:val="20"/>
          </w:rPr>
          <w:fldChar w:fldCharType="begin"/>
        </w:r>
        <w:r w:rsidRPr="00B76C83">
          <w:rPr>
            <w:sz w:val="20"/>
            <w:szCs w:val="20"/>
          </w:rPr>
          <w:instrText>PAGE   \* MERGEFORMAT</w:instrText>
        </w:r>
        <w:r w:rsidRPr="00B76C83">
          <w:rPr>
            <w:sz w:val="20"/>
            <w:szCs w:val="20"/>
          </w:rPr>
          <w:fldChar w:fldCharType="separate"/>
        </w:r>
        <w:r w:rsidR="000B6D83" w:rsidRPr="000B6D83">
          <w:rPr>
            <w:noProof/>
            <w:sz w:val="20"/>
            <w:szCs w:val="20"/>
            <w:lang w:val="zh-TW"/>
          </w:rPr>
          <w:t>267</w:t>
        </w:r>
        <w:r w:rsidRPr="00B76C83">
          <w:rPr>
            <w:sz w:val="20"/>
            <w:szCs w:val="20"/>
          </w:rPr>
          <w:fldChar w:fldCharType="end"/>
        </w:r>
      </w:p>
    </w:sdtContent>
  </w:sdt>
  <w:p w:rsidR="00B76C83" w:rsidRDefault="005D76F4" w:rsidP="005D76F4">
    <w:pPr>
      <w:pStyle w:val="af3"/>
      <w:tabs>
        <w:tab w:val="clear" w:pos="4680"/>
        <w:tab w:val="clear" w:pos="9360"/>
        <w:tab w:val="center" w:pos="4320"/>
        <w:tab w:val="right" w:pos="8640"/>
      </w:tabs>
      <w:rPr>
        <w:sz w:val="20"/>
        <w:szCs w:val="20"/>
      </w:rPr>
    </w:pPr>
    <w:r>
      <w:tab/>
    </w:r>
    <w:r w:rsidRPr="008144E0">
      <w:rPr>
        <w:sz w:val="20"/>
        <w:szCs w:val="20"/>
      </w:rPr>
      <w:t>Verif</w:t>
    </w:r>
    <w:r w:rsidR="00BF56B6">
      <w:rPr>
        <w:sz w:val="20"/>
        <w:szCs w:val="20"/>
      </w:rPr>
      <w:t>ied Copy</w:t>
    </w:r>
    <w:r w:rsidR="00BF56B6">
      <w:rPr>
        <w:sz w:val="20"/>
        <w:szCs w:val="20"/>
      </w:rPr>
      <w:tab/>
      <w:t xml:space="preserve">Last reviewed date: </w:t>
    </w:r>
    <w:r w:rsidRPr="008144E0">
      <w:rPr>
        <w:sz w:val="20"/>
        <w:szCs w:val="20"/>
      </w:rPr>
      <w:t>July 2022</w:t>
    </w:r>
  </w:p>
  <w:p w:rsidR="005D76F4" w:rsidRPr="005D76F4" w:rsidRDefault="005D76F4" w:rsidP="005D76F4">
    <w:pPr>
      <w:pStyle w:val="af3"/>
      <w:tabs>
        <w:tab w:val="clear" w:pos="4680"/>
        <w:tab w:val="clear" w:pos="9360"/>
        <w:tab w:val="center" w:pos="4320"/>
        <w:tab w:val="right" w:pos="8640"/>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45" w:rsidRDefault="00570A45" w:rsidP="00C22C89">
      <w:r>
        <w:separator/>
      </w:r>
    </w:p>
  </w:footnote>
  <w:footnote w:type="continuationSeparator" w:id="0">
    <w:p w:rsidR="00570A45" w:rsidRDefault="00570A45" w:rsidP="00C2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875" w:rsidRDefault="00546875" w:rsidP="00546875">
    <w:pPr>
      <w:tabs>
        <w:tab w:val="center" w:pos="4153"/>
        <w:tab w:val="right" w:pos="8306"/>
      </w:tabs>
      <w:overflowPunct w:val="0"/>
      <w:autoSpaceDN w:val="0"/>
      <w:adjustRightInd w:val="0"/>
      <w:jc w:val="center"/>
      <w:textAlignment w:val="baseline"/>
      <w:rPr>
        <w:rFonts w:eastAsia="細明體"/>
        <w:lang w:eastAsia="zh-HK"/>
      </w:rPr>
    </w:pPr>
    <w:r>
      <w:rPr>
        <w:rFonts w:eastAsia="細明體"/>
      </w:rPr>
      <w:t>(20</w:t>
    </w:r>
    <w:r>
      <w:rPr>
        <w:rFonts w:eastAsia="細明體"/>
        <w:lang w:eastAsia="zh-HK"/>
      </w:rPr>
      <w:t>2</w:t>
    </w:r>
    <w:r>
      <w:rPr>
        <w:rFonts w:eastAsia="細明體"/>
      </w:rPr>
      <w:t xml:space="preserve">1-22) VOLUME </w:t>
    </w:r>
    <w:r>
      <w:rPr>
        <w:rFonts w:eastAsia="細明體"/>
        <w:lang w:eastAsia="zh-HK"/>
      </w:rPr>
      <w:t>36</w:t>
    </w:r>
    <w:r>
      <w:rPr>
        <w:rFonts w:eastAsia="細明體"/>
      </w:rPr>
      <w:t xml:space="preserve"> INLAND REVENUE BOARD OF REVIEW DECISIONS</w:t>
    </w:r>
  </w:p>
  <w:p w:rsidR="00546875" w:rsidRPr="005D76F4" w:rsidRDefault="005D76F4" w:rsidP="005D76F4">
    <w:pPr>
      <w:pStyle w:val="af7"/>
      <w:jc w:val="center"/>
    </w:pPr>
    <w:r w:rsidRPr="005D76F4">
      <w:rPr>
        <w:rFonts w:hint="eastAsia"/>
      </w:rPr>
      <w:t>(</w:t>
    </w:r>
    <w:r w:rsidRPr="005D76F4">
      <w:t>PUBLISHED IN AUGUST 2022)</w:t>
    </w:r>
  </w:p>
  <w:p w:rsidR="00546875" w:rsidRPr="005D76F4" w:rsidRDefault="00546875">
    <w:pPr>
      <w:pStyle w:val="af7"/>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F4947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28E198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604012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03A7B7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5DE1F9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48CD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C5AB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004A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0A07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39827A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90953"/>
    <w:multiLevelType w:val="hybridMultilevel"/>
    <w:tmpl w:val="55726D8A"/>
    <w:lvl w:ilvl="0" w:tplc="939076D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D4641F"/>
    <w:multiLevelType w:val="hybridMultilevel"/>
    <w:tmpl w:val="6220C76A"/>
    <w:lvl w:ilvl="0" w:tplc="22440A4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3E3B96"/>
    <w:multiLevelType w:val="hybridMultilevel"/>
    <w:tmpl w:val="176CFD5C"/>
    <w:lvl w:ilvl="0" w:tplc="BE601DE4">
      <w:start w:val="9"/>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0DFB08EB"/>
    <w:multiLevelType w:val="hybridMultilevel"/>
    <w:tmpl w:val="89D433A4"/>
    <w:lvl w:ilvl="0" w:tplc="C6321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296AC2"/>
    <w:multiLevelType w:val="hybridMultilevel"/>
    <w:tmpl w:val="B56A3EA6"/>
    <w:lvl w:ilvl="0" w:tplc="114E34DC">
      <w:start w:val="1"/>
      <w:numFmt w:val="decimal"/>
      <w:lvlText w:val="(%1)"/>
      <w:lvlJc w:val="left"/>
      <w:pPr>
        <w:tabs>
          <w:tab w:val="num" w:pos="1200"/>
        </w:tabs>
        <w:ind w:left="1200" w:hanging="720"/>
      </w:pPr>
      <w:rPr>
        <w:rFonts w:hint="eastAsia"/>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9032D"/>
    <w:multiLevelType w:val="hybridMultilevel"/>
    <w:tmpl w:val="B8869A20"/>
    <w:lvl w:ilvl="0" w:tplc="E0084BE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3927E46"/>
    <w:multiLevelType w:val="hybridMultilevel"/>
    <w:tmpl w:val="26223F78"/>
    <w:lvl w:ilvl="0" w:tplc="7374B156">
      <w:start w:val="1"/>
      <w:numFmt w:val="lowerLetter"/>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65150AC"/>
    <w:multiLevelType w:val="multilevel"/>
    <w:tmpl w:val="486E2B86"/>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1CEF32BB"/>
    <w:multiLevelType w:val="hybridMultilevel"/>
    <w:tmpl w:val="31D8ADE4"/>
    <w:lvl w:ilvl="0" w:tplc="E3DC070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1D20048C"/>
    <w:multiLevelType w:val="hybridMultilevel"/>
    <w:tmpl w:val="2F0E99B6"/>
    <w:lvl w:ilvl="0" w:tplc="CFEE5B04">
      <w:start w:val="1"/>
      <w:numFmt w:val="lowerLetter"/>
      <w:lvlText w:val="(%1)"/>
      <w:lvlJc w:val="left"/>
      <w:pPr>
        <w:ind w:left="2127" w:hanging="709"/>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26386C73"/>
    <w:multiLevelType w:val="hybridMultilevel"/>
    <w:tmpl w:val="FB769CCE"/>
    <w:lvl w:ilvl="0" w:tplc="AAAC225E">
      <w:start w:val="9"/>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273C6270"/>
    <w:multiLevelType w:val="hybridMultilevel"/>
    <w:tmpl w:val="EA8ED52E"/>
    <w:lvl w:ilvl="0" w:tplc="823CB7F0">
      <w:start w:val="3"/>
      <w:numFmt w:val="lowerLetter"/>
      <w:lvlText w:val="(%1)"/>
      <w:lvlJc w:val="left"/>
      <w:pPr>
        <w:tabs>
          <w:tab w:val="num" w:pos="1440"/>
        </w:tabs>
        <w:ind w:left="1440" w:hanging="84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15:restartNumberingAfterBreak="0">
    <w:nsid w:val="27773508"/>
    <w:multiLevelType w:val="hybridMultilevel"/>
    <w:tmpl w:val="8812A33E"/>
    <w:lvl w:ilvl="0" w:tplc="B986F38A">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79672B6"/>
    <w:multiLevelType w:val="hybridMultilevel"/>
    <w:tmpl w:val="9F3EBEE0"/>
    <w:lvl w:ilvl="0" w:tplc="32DC99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966F74"/>
    <w:multiLevelType w:val="hybridMultilevel"/>
    <w:tmpl w:val="0CDEE4CE"/>
    <w:lvl w:ilvl="0" w:tplc="C2967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0427F85"/>
    <w:multiLevelType w:val="hybridMultilevel"/>
    <w:tmpl w:val="F8E86FD2"/>
    <w:lvl w:ilvl="0" w:tplc="E0084BE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2687C60"/>
    <w:multiLevelType w:val="hybridMultilevel"/>
    <w:tmpl w:val="ECFC1674"/>
    <w:lvl w:ilvl="0" w:tplc="BFF6BC44">
      <w:start w:val="1"/>
      <w:numFmt w:val="lowerLetter"/>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343A44DD"/>
    <w:multiLevelType w:val="hybridMultilevel"/>
    <w:tmpl w:val="49FCAD4A"/>
    <w:lvl w:ilvl="0" w:tplc="61BCE09C">
      <w:start w:val="27"/>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49C0DC5"/>
    <w:multiLevelType w:val="hybridMultilevel"/>
    <w:tmpl w:val="A40839DE"/>
    <w:lvl w:ilvl="0" w:tplc="B1605F7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7C530C3"/>
    <w:multiLevelType w:val="hybridMultilevel"/>
    <w:tmpl w:val="1B7EFD6A"/>
    <w:lvl w:ilvl="0" w:tplc="3EB64594">
      <w:start w:val="1"/>
      <w:numFmt w:val="decimal"/>
      <w:lvlText w:val="%1."/>
      <w:lvlJc w:val="left"/>
      <w:pPr>
        <w:tabs>
          <w:tab w:val="num" w:pos="720"/>
        </w:tabs>
        <w:ind w:left="720" w:hanging="720"/>
      </w:pPr>
      <w:rPr>
        <w:rFonts w:hint="eastAsia"/>
        <w:i w:val="0"/>
      </w:rPr>
    </w:lvl>
    <w:lvl w:ilvl="1" w:tplc="114E34DC">
      <w:start w:val="1"/>
      <w:numFmt w:val="decimal"/>
      <w:lvlText w:val="(%2)"/>
      <w:lvlJc w:val="left"/>
      <w:pPr>
        <w:tabs>
          <w:tab w:val="num" w:pos="1200"/>
        </w:tabs>
        <w:ind w:left="1200" w:hanging="720"/>
      </w:pPr>
      <w:rPr>
        <w:rFonts w:hint="eastAsia"/>
        <w:lang w:val="en-GB"/>
      </w:rPr>
    </w:lvl>
    <w:lvl w:ilvl="2" w:tplc="114E34DC">
      <w:start w:val="1"/>
      <w:numFmt w:val="decimal"/>
      <w:lvlText w:val="(%3)"/>
      <w:lvlJc w:val="left"/>
      <w:pPr>
        <w:tabs>
          <w:tab w:val="num" w:pos="1320"/>
        </w:tabs>
        <w:ind w:left="1320" w:hanging="360"/>
      </w:pPr>
      <w:rPr>
        <w:rFonts w:hint="eastAsia"/>
        <w:lang w:val="en-GB"/>
      </w:rPr>
    </w:lvl>
    <w:lvl w:ilvl="3" w:tplc="92C04D64">
      <w:start w:val="1"/>
      <w:numFmt w:val="decimal"/>
      <w:lvlText w:val="%4."/>
      <w:lvlJc w:val="left"/>
      <w:pPr>
        <w:tabs>
          <w:tab w:val="num" w:pos="1920"/>
        </w:tabs>
        <w:ind w:left="1920" w:hanging="480"/>
      </w:pPr>
      <w:rPr>
        <w:rFonts w:hint="eastAsia"/>
      </w:rPr>
    </w:lvl>
    <w:lvl w:ilvl="4" w:tplc="04090019">
      <w:start w:val="1"/>
      <w:numFmt w:val="ideographTraditional"/>
      <w:lvlText w:val="%5、"/>
      <w:lvlJc w:val="left"/>
      <w:pPr>
        <w:tabs>
          <w:tab w:val="num" w:pos="2400"/>
        </w:tabs>
        <w:ind w:left="2400" w:hanging="480"/>
      </w:pPr>
    </w:lvl>
    <w:lvl w:ilvl="5" w:tplc="9380F86E">
      <w:start w:val="1"/>
      <w:numFmt w:val="lowerLetter"/>
      <w:lvlText w:val="(%6)"/>
      <w:lvlJc w:val="left"/>
      <w:pPr>
        <w:ind w:left="1080" w:hanging="360"/>
      </w:pPr>
      <w:rPr>
        <w:rFonts w:hint="default"/>
        <w:b w:val="0"/>
      </w:rPr>
    </w:lvl>
    <w:lvl w:ilvl="6" w:tplc="E2F442F2">
      <w:start w:val="1"/>
      <w:numFmt w:val="lowerLetter"/>
      <w:lvlText w:val="(%7)"/>
      <w:lvlJc w:val="left"/>
      <w:pPr>
        <w:ind w:left="3240" w:hanging="36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C45F3A"/>
    <w:multiLevelType w:val="hybridMultilevel"/>
    <w:tmpl w:val="9800BC86"/>
    <w:lvl w:ilvl="0" w:tplc="114E34DC">
      <w:start w:val="1"/>
      <w:numFmt w:val="decimal"/>
      <w:lvlText w:val="(%1)"/>
      <w:lvlJc w:val="left"/>
      <w:pPr>
        <w:ind w:left="720" w:hanging="360"/>
      </w:pPr>
      <w:rPr>
        <w:rFonts w:hint="eastAsia"/>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FF7081"/>
    <w:multiLevelType w:val="multilevel"/>
    <w:tmpl w:val="3A6C9AF4"/>
    <w:lvl w:ilvl="0">
      <w:start w:val="1"/>
      <w:numFmt w:val="upperRoman"/>
      <w:pStyle w:val="1"/>
      <w:lvlText w:val="%1."/>
      <w:lvlJc w:val="left"/>
      <w:pPr>
        <w:tabs>
          <w:tab w:val="num" w:pos="0"/>
        </w:tabs>
        <w:ind w:left="7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upperLetter"/>
      <w:pStyle w:val="21"/>
      <w:lvlText w:val="%2."/>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decimal"/>
      <w:pStyle w:val="31"/>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pStyle w:val="41"/>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pStyle w:val="51"/>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decimal"/>
      <w:pStyle w:val="6"/>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lowerLetter"/>
      <w:pStyle w:val="7"/>
      <w:lvlText w:val="%7"/>
      <w:lvlJc w:val="left"/>
      <w:pPr>
        <w:tabs>
          <w:tab w:val="num" w:pos="0"/>
        </w:tabs>
        <w:ind w:left="50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Roman"/>
      <w:pStyle w:val="8"/>
      <w:lvlText w:val="%8."/>
      <w:lvlJc w:val="left"/>
      <w:pPr>
        <w:tabs>
          <w:tab w:val="num" w:pos="0"/>
        </w:tabs>
        <w:ind w:left="57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decimal"/>
      <w:pStyle w:val="9"/>
      <w:lvlText w:val="%9."/>
      <w:lvlJc w:val="left"/>
      <w:pPr>
        <w:tabs>
          <w:tab w:val="num" w:pos="0"/>
        </w:tabs>
        <w:ind w:left="64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32" w15:restartNumberingAfterBreak="0">
    <w:nsid w:val="473B6926"/>
    <w:multiLevelType w:val="hybridMultilevel"/>
    <w:tmpl w:val="E9F2ADA2"/>
    <w:lvl w:ilvl="0" w:tplc="04090013">
      <w:start w:val="1"/>
      <w:numFmt w:val="upperRoman"/>
      <w:lvlText w:val="%1."/>
      <w:lvlJc w:val="righ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15:restartNumberingAfterBreak="0">
    <w:nsid w:val="4A3F0F43"/>
    <w:multiLevelType w:val="hybridMultilevel"/>
    <w:tmpl w:val="CB82F32C"/>
    <w:lvl w:ilvl="0" w:tplc="9E745B6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0DC5140"/>
    <w:multiLevelType w:val="hybridMultilevel"/>
    <w:tmpl w:val="BBF423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E82942"/>
    <w:multiLevelType w:val="hybridMultilevel"/>
    <w:tmpl w:val="44C0D336"/>
    <w:lvl w:ilvl="0" w:tplc="E75EC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635C89"/>
    <w:multiLevelType w:val="hybridMultilevel"/>
    <w:tmpl w:val="31DC47D4"/>
    <w:lvl w:ilvl="0" w:tplc="85CED5C2">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E3D132F"/>
    <w:multiLevelType w:val="hybridMultilevel"/>
    <w:tmpl w:val="23968504"/>
    <w:lvl w:ilvl="0" w:tplc="A3BC16F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5D2737B"/>
    <w:multiLevelType w:val="multilevel"/>
    <w:tmpl w:val="FDF403D0"/>
    <w:lvl w:ilvl="0">
      <w:start w:val="8"/>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06C2146"/>
    <w:multiLevelType w:val="hybridMultilevel"/>
    <w:tmpl w:val="594628F2"/>
    <w:lvl w:ilvl="0" w:tplc="AF2A5F2A">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11C12FF"/>
    <w:multiLevelType w:val="hybridMultilevel"/>
    <w:tmpl w:val="32D2195A"/>
    <w:lvl w:ilvl="0" w:tplc="231EBE26">
      <w:start w:val="1"/>
      <w:numFmt w:val="low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64C0C9C"/>
    <w:multiLevelType w:val="hybridMultilevel"/>
    <w:tmpl w:val="4ECC7520"/>
    <w:lvl w:ilvl="0" w:tplc="4D5AF616">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5B6106"/>
    <w:multiLevelType w:val="hybridMultilevel"/>
    <w:tmpl w:val="75C6915C"/>
    <w:lvl w:ilvl="0" w:tplc="5A32C754">
      <w:start w:val="1"/>
      <w:numFmt w:val="lowerRoman"/>
      <w:lvlText w:val="(%1)"/>
      <w:lvlJc w:val="left"/>
      <w:pPr>
        <w:ind w:left="2847" w:hanging="720"/>
      </w:pPr>
      <w:rPr>
        <w:rFonts w:hint="default"/>
      </w:rPr>
    </w:lvl>
    <w:lvl w:ilvl="1" w:tplc="04090019">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start w:val="1"/>
      <w:numFmt w:val="lowerRoman"/>
      <w:lvlText w:val="%6."/>
      <w:lvlJc w:val="right"/>
      <w:pPr>
        <w:ind w:left="5007" w:hanging="480"/>
      </w:pPr>
    </w:lvl>
    <w:lvl w:ilvl="6" w:tplc="0409000F">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43" w15:restartNumberingAfterBreak="0">
    <w:nsid w:val="7EB00522"/>
    <w:multiLevelType w:val="hybridMultilevel"/>
    <w:tmpl w:val="CF3A9178"/>
    <w:lvl w:ilvl="0" w:tplc="4A6C7DB4">
      <w:start w:val="9"/>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26"/>
  </w:num>
  <w:num w:numId="14">
    <w:abstractNumId w:val="27"/>
  </w:num>
  <w:num w:numId="15">
    <w:abstractNumId w:val="20"/>
  </w:num>
  <w:num w:numId="16">
    <w:abstractNumId w:val="39"/>
  </w:num>
  <w:num w:numId="17">
    <w:abstractNumId w:val="10"/>
  </w:num>
  <w:num w:numId="18">
    <w:abstractNumId w:val="22"/>
  </w:num>
  <w:num w:numId="19">
    <w:abstractNumId w:val="42"/>
  </w:num>
  <w:num w:numId="20">
    <w:abstractNumId w:val="19"/>
  </w:num>
  <w:num w:numId="21">
    <w:abstractNumId w:val="16"/>
  </w:num>
  <w:num w:numId="22">
    <w:abstractNumId w:val="33"/>
  </w:num>
  <w:num w:numId="23">
    <w:abstractNumId w:val="40"/>
  </w:num>
  <w:num w:numId="24">
    <w:abstractNumId w:val="23"/>
  </w:num>
  <w:num w:numId="25">
    <w:abstractNumId w:val="15"/>
  </w:num>
  <w:num w:numId="26">
    <w:abstractNumId w:val="32"/>
  </w:num>
  <w:num w:numId="27">
    <w:abstractNumId w:val="11"/>
  </w:num>
  <w:num w:numId="28">
    <w:abstractNumId w:val="36"/>
  </w:num>
  <w:num w:numId="29">
    <w:abstractNumId w:val="30"/>
  </w:num>
  <w:num w:numId="30">
    <w:abstractNumId w:val="17"/>
  </w:num>
  <w:num w:numId="31">
    <w:abstractNumId w:val="12"/>
  </w:num>
  <w:num w:numId="32">
    <w:abstractNumId w:val="43"/>
  </w:num>
  <w:num w:numId="33">
    <w:abstractNumId w:val="28"/>
  </w:num>
  <w:num w:numId="34">
    <w:abstractNumId w:val="37"/>
  </w:num>
  <w:num w:numId="35">
    <w:abstractNumId w:val="25"/>
  </w:num>
  <w:num w:numId="36">
    <w:abstractNumId w:val="24"/>
  </w:num>
  <w:num w:numId="37">
    <w:abstractNumId w:val="38"/>
  </w:num>
  <w:num w:numId="38">
    <w:abstractNumId w:val="35"/>
  </w:num>
  <w:num w:numId="39">
    <w:abstractNumId w:val="13"/>
  </w:num>
  <w:num w:numId="40">
    <w:abstractNumId w:val="41"/>
  </w:num>
  <w:num w:numId="41">
    <w:abstractNumId w:val="21"/>
  </w:num>
  <w:num w:numId="42">
    <w:abstractNumId w:val="14"/>
  </w:num>
  <w:num w:numId="43">
    <w:abstractNumId w:val="18"/>
  </w:num>
  <w:num w:numId="4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xVqSi3GPoWppFHX3WECNnBK2rgImY/mW7JJy+/zjjOUu4gY4Kl/lo38GK4Vf4pVbnzVKV+R6ITAXKMOTnoeKA==" w:salt="JSl+mP05jn8cfOgJ4Dh2ug=="/>
  <w:defaultTabStop w:val="153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20"/>
    <w:rsid w:val="00004A14"/>
    <w:rsid w:val="00007808"/>
    <w:rsid w:val="000122DA"/>
    <w:rsid w:val="00012FE9"/>
    <w:rsid w:val="0001323A"/>
    <w:rsid w:val="00020B7C"/>
    <w:rsid w:val="00021F4B"/>
    <w:rsid w:val="00022489"/>
    <w:rsid w:val="0002340D"/>
    <w:rsid w:val="00025939"/>
    <w:rsid w:val="00027303"/>
    <w:rsid w:val="000274CC"/>
    <w:rsid w:val="0004371D"/>
    <w:rsid w:val="00051B09"/>
    <w:rsid w:val="00055699"/>
    <w:rsid w:val="000562DA"/>
    <w:rsid w:val="00065734"/>
    <w:rsid w:val="00074278"/>
    <w:rsid w:val="00075925"/>
    <w:rsid w:val="00083B0C"/>
    <w:rsid w:val="00085203"/>
    <w:rsid w:val="000A52CB"/>
    <w:rsid w:val="000A5462"/>
    <w:rsid w:val="000A6475"/>
    <w:rsid w:val="000B2ED0"/>
    <w:rsid w:val="000B6D83"/>
    <w:rsid w:val="000C43AA"/>
    <w:rsid w:val="000D493E"/>
    <w:rsid w:val="000E0212"/>
    <w:rsid w:val="000E3C24"/>
    <w:rsid w:val="000E4EC2"/>
    <w:rsid w:val="000E508B"/>
    <w:rsid w:val="000E6AAE"/>
    <w:rsid w:val="000F1679"/>
    <w:rsid w:val="000F2068"/>
    <w:rsid w:val="000F4343"/>
    <w:rsid w:val="000F63D8"/>
    <w:rsid w:val="001030CC"/>
    <w:rsid w:val="0010574F"/>
    <w:rsid w:val="00107217"/>
    <w:rsid w:val="00113FCF"/>
    <w:rsid w:val="001270D9"/>
    <w:rsid w:val="001316B9"/>
    <w:rsid w:val="00131B1F"/>
    <w:rsid w:val="001403EF"/>
    <w:rsid w:val="00143DB5"/>
    <w:rsid w:val="00156367"/>
    <w:rsid w:val="00161860"/>
    <w:rsid w:val="001705F0"/>
    <w:rsid w:val="00181C88"/>
    <w:rsid w:val="00181C9A"/>
    <w:rsid w:val="00191E9E"/>
    <w:rsid w:val="00192CC5"/>
    <w:rsid w:val="001A20C1"/>
    <w:rsid w:val="001B14BD"/>
    <w:rsid w:val="001C5A8D"/>
    <w:rsid w:val="001D5E44"/>
    <w:rsid w:val="001E2BF8"/>
    <w:rsid w:val="001E4469"/>
    <w:rsid w:val="001F073A"/>
    <w:rsid w:val="0020788A"/>
    <w:rsid w:val="00211F16"/>
    <w:rsid w:val="00216B02"/>
    <w:rsid w:val="002170ED"/>
    <w:rsid w:val="002210EB"/>
    <w:rsid w:val="002251CB"/>
    <w:rsid w:val="00237D5E"/>
    <w:rsid w:val="0024148C"/>
    <w:rsid w:val="0024183E"/>
    <w:rsid w:val="00246CD7"/>
    <w:rsid w:val="00252B52"/>
    <w:rsid w:val="0027534F"/>
    <w:rsid w:val="002847B5"/>
    <w:rsid w:val="00294E3B"/>
    <w:rsid w:val="00296AFA"/>
    <w:rsid w:val="002A36CE"/>
    <w:rsid w:val="002B034C"/>
    <w:rsid w:val="002C21EB"/>
    <w:rsid w:val="002D2270"/>
    <w:rsid w:val="002E1FD0"/>
    <w:rsid w:val="002E3CFE"/>
    <w:rsid w:val="002F31B0"/>
    <w:rsid w:val="0030267C"/>
    <w:rsid w:val="00302700"/>
    <w:rsid w:val="00303820"/>
    <w:rsid w:val="00305E4D"/>
    <w:rsid w:val="00307065"/>
    <w:rsid w:val="0031044F"/>
    <w:rsid w:val="00315525"/>
    <w:rsid w:val="00320301"/>
    <w:rsid w:val="0033125B"/>
    <w:rsid w:val="003334CB"/>
    <w:rsid w:val="0033574C"/>
    <w:rsid w:val="00343F79"/>
    <w:rsid w:val="0035691D"/>
    <w:rsid w:val="003573B8"/>
    <w:rsid w:val="00360F22"/>
    <w:rsid w:val="0036681B"/>
    <w:rsid w:val="0037212F"/>
    <w:rsid w:val="003731ED"/>
    <w:rsid w:val="00381857"/>
    <w:rsid w:val="00390036"/>
    <w:rsid w:val="00391136"/>
    <w:rsid w:val="003915F7"/>
    <w:rsid w:val="00392E70"/>
    <w:rsid w:val="00394C91"/>
    <w:rsid w:val="003A28B3"/>
    <w:rsid w:val="003B2273"/>
    <w:rsid w:val="003B3D9E"/>
    <w:rsid w:val="003C3E18"/>
    <w:rsid w:val="003D2263"/>
    <w:rsid w:val="003E1F84"/>
    <w:rsid w:val="003E2D6C"/>
    <w:rsid w:val="003E69E2"/>
    <w:rsid w:val="003F738C"/>
    <w:rsid w:val="00402AD1"/>
    <w:rsid w:val="004131E7"/>
    <w:rsid w:val="00416B20"/>
    <w:rsid w:val="00443C7C"/>
    <w:rsid w:val="00444354"/>
    <w:rsid w:val="0044721F"/>
    <w:rsid w:val="0045177B"/>
    <w:rsid w:val="00453698"/>
    <w:rsid w:val="00453852"/>
    <w:rsid w:val="0045625C"/>
    <w:rsid w:val="0046764E"/>
    <w:rsid w:val="00471BC6"/>
    <w:rsid w:val="004721EA"/>
    <w:rsid w:val="00474659"/>
    <w:rsid w:val="00474B94"/>
    <w:rsid w:val="004824D8"/>
    <w:rsid w:val="00483B8D"/>
    <w:rsid w:val="0048498D"/>
    <w:rsid w:val="004A3A70"/>
    <w:rsid w:val="004A54C2"/>
    <w:rsid w:val="004B4F02"/>
    <w:rsid w:val="004C02F5"/>
    <w:rsid w:val="004C1270"/>
    <w:rsid w:val="004C1A10"/>
    <w:rsid w:val="004C5313"/>
    <w:rsid w:val="004D0A35"/>
    <w:rsid w:val="004D261D"/>
    <w:rsid w:val="00501DB9"/>
    <w:rsid w:val="00502E6C"/>
    <w:rsid w:val="00505D5F"/>
    <w:rsid w:val="00506366"/>
    <w:rsid w:val="00510915"/>
    <w:rsid w:val="00533095"/>
    <w:rsid w:val="005350EA"/>
    <w:rsid w:val="0054125E"/>
    <w:rsid w:val="00541E2B"/>
    <w:rsid w:val="005462A7"/>
    <w:rsid w:val="00546875"/>
    <w:rsid w:val="005534EA"/>
    <w:rsid w:val="0056134F"/>
    <w:rsid w:val="00562615"/>
    <w:rsid w:val="0056440F"/>
    <w:rsid w:val="00565EEE"/>
    <w:rsid w:val="00570A45"/>
    <w:rsid w:val="00574C82"/>
    <w:rsid w:val="00584B4F"/>
    <w:rsid w:val="00593A22"/>
    <w:rsid w:val="00593ECB"/>
    <w:rsid w:val="005B72F9"/>
    <w:rsid w:val="005C60F0"/>
    <w:rsid w:val="005C74FA"/>
    <w:rsid w:val="005D467E"/>
    <w:rsid w:val="005D76F4"/>
    <w:rsid w:val="005F3620"/>
    <w:rsid w:val="005F56CC"/>
    <w:rsid w:val="005F7F85"/>
    <w:rsid w:val="00600B45"/>
    <w:rsid w:val="00610F85"/>
    <w:rsid w:val="00622CC0"/>
    <w:rsid w:val="0064190A"/>
    <w:rsid w:val="00647C62"/>
    <w:rsid w:val="0065040C"/>
    <w:rsid w:val="00653871"/>
    <w:rsid w:val="006578F5"/>
    <w:rsid w:val="0066334C"/>
    <w:rsid w:val="006663DC"/>
    <w:rsid w:val="00667EA6"/>
    <w:rsid w:val="00672DF9"/>
    <w:rsid w:val="0067463F"/>
    <w:rsid w:val="006753F5"/>
    <w:rsid w:val="00676516"/>
    <w:rsid w:val="00681BDA"/>
    <w:rsid w:val="00695F6D"/>
    <w:rsid w:val="00696079"/>
    <w:rsid w:val="00697C9F"/>
    <w:rsid w:val="006A1002"/>
    <w:rsid w:val="006A45DE"/>
    <w:rsid w:val="006B6E16"/>
    <w:rsid w:val="006C2286"/>
    <w:rsid w:val="006C7FDF"/>
    <w:rsid w:val="006E16EF"/>
    <w:rsid w:val="006E278B"/>
    <w:rsid w:val="006E381A"/>
    <w:rsid w:val="006E54AB"/>
    <w:rsid w:val="00701B4A"/>
    <w:rsid w:val="00702ADF"/>
    <w:rsid w:val="00710C93"/>
    <w:rsid w:val="00712306"/>
    <w:rsid w:val="00722ADD"/>
    <w:rsid w:val="0072347B"/>
    <w:rsid w:val="007269F0"/>
    <w:rsid w:val="007362AD"/>
    <w:rsid w:val="007421C1"/>
    <w:rsid w:val="00742CE1"/>
    <w:rsid w:val="00757E55"/>
    <w:rsid w:val="00760C1E"/>
    <w:rsid w:val="0077201B"/>
    <w:rsid w:val="007727D1"/>
    <w:rsid w:val="00773A3A"/>
    <w:rsid w:val="007777E1"/>
    <w:rsid w:val="00780583"/>
    <w:rsid w:val="00780C9A"/>
    <w:rsid w:val="00780E3C"/>
    <w:rsid w:val="00785882"/>
    <w:rsid w:val="007927BB"/>
    <w:rsid w:val="007968CD"/>
    <w:rsid w:val="007A4DD6"/>
    <w:rsid w:val="007B7FE0"/>
    <w:rsid w:val="007C3BAA"/>
    <w:rsid w:val="007D5857"/>
    <w:rsid w:val="007E211B"/>
    <w:rsid w:val="007E4010"/>
    <w:rsid w:val="007E734C"/>
    <w:rsid w:val="0080379A"/>
    <w:rsid w:val="0080544E"/>
    <w:rsid w:val="00811C5D"/>
    <w:rsid w:val="008123B8"/>
    <w:rsid w:val="008128E9"/>
    <w:rsid w:val="00812C34"/>
    <w:rsid w:val="00815070"/>
    <w:rsid w:val="00816397"/>
    <w:rsid w:val="00816C49"/>
    <w:rsid w:val="008254D8"/>
    <w:rsid w:val="00825FEF"/>
    <w:rsid w:val="0083396B"/>
    <w:rsid w:val="00833A48"/>
    <w:rsid w:val="00836DE9"/>
    <w:rsid w:val="00837D79"/>
    <w:rsid w:val="00845ADD"/>
    <w:rsid w:val="00856AB7"/>
    <w:rsid w:val="00864B22"/>
    <w:rsid w:val="00874BE8"/>
    <w:rsid w:val="00876BCF"/>
    <w:rsid w:val="00885A3E"/>
    <w:rsid w:val="00890DF7"/>
    <w:rsid w:val="008A1A93"/>
    <w:rsid w:val="008A5E89"/>
    <w:rsid w:val="008B0E5D"/>
    <w:rsid w:val="008B224C"/>
    <w:rsid w:val="008B6928"/>
    <w:rsid w:val="008C2BDD"/>
    <w:rsid w:val="008C57F7"/>
    <w:rsid w:val="008D3CB9"/>
    <w:rsid w:val="008E6387"/>
    <w:rsid w:val="008E7C4E"/>
    <w:rsid w:val="008F12C4"/>
    <w:rsid w:val="008F3515"/>
    <w:rsid w:val="008F53E1"/>
    <w:rsid w:val="009031EF"/>
    <w:rsid w:val="009114B0"/>
    <w:rsid w:val="00913C86"/>
    <w:rsid w:val="009149F9"/>
    <w:rsid w:val="00916321"/>
    <w:rsid w:val="00932B25"/>
    <w:rsid w:val="00944131"/>
    <w:rsid w:val="00962F51"/>
    <w:rsid w:val="00964534"/>
    <w:rsid w:val="009649FD"/>
    <w:rsid w:val="009650AD"/>
    <w:rsid w:val="00965A56"/>
    <w:rsid w:val="009810D6"/>
    <w:rsid w:val="00981D2A"/>
    <w:rsid w:val="00991954"/>
    <w:rsid w:val="00993051"/>
    <w:rsid w:val="009A5B4C"/>
    <w:rsid w:val="009B36B6"/>
    <w:rsid w:val="009B3A57"/>
    <w:rsid w:val="009B6F90"/>
    <w:rsid w:val="009C1A67"/>
    <w:rsid w:val="009C1C71"/>
    <w:rsid w:val="009D324C"/>
    <w:rsid w:val="009D3AE8"/>
    <w:rsid w:val="009E2582"/>
    <w:rsid w:val="009E4546"/>
    <w:rsid w:val="009E60F1"/>
    <w:rsid w:val="009F10A1"/>
    <w:rsid w:val="009F28D2"/>
    <w:rsid w:val="009F747F"/>
    <w:rsid w:val="009F7B6E"/>
    <w:rsid w:val="00A02CDA"/>
    <w:rsid w:val="00A112B7"/>
    <w:rsid w:val="00A1409F"/>
    <w:rsid w:val="00A1575D"/>
    <w:rsid w:val="00A1720C"/>
    <w:rsid w:val="00A17987"/>
    <w:rsid w:val="00A218C4"/>
    <w:rsid w:val="00A31AAB"/>
    <w:rsid w:val="00A4348B"/>
    <w:rsid w:val="00A50C15"/>
    <w:rsid w:val="00A54657"/>
    <w:rsid w:val="00A648BC"/>
    <w:rsid w:val="00A70E95"/>
    <w:rsid w:val="00A723A8"/>
    <w:rsid w:val="00A74F1E"/>
    <w:rsid w:val="00A86576"/>
    <w:rsid w:val="00A91A2B"/>
    <w:rsid w:val="00A94EA1"/>
    <w:rsid w:val="00AB0E44"/>
    <w:rsid w:val="00AB21F2"/>
    <w:rsid w:val="00AC3A05"/>
    <w:rsid w:val="00AC4879"/>
    <w:rsid w:val="00AE0DD9"/>
    <w:rsid w:val="00B11666"/>
    <w:rsid w:val="00B2288A"/>
    <w:rsid w:val="00B320A5"/>
    <w:rsid w:val="00B33CCD"/>
    <w:rsid w:val="00B421A8"/>
    <w:rsid w:val="00B457FF"/>
    <w:rsid w:val="00B548DE"/>
    <w:rsid w:val="00B65F80"/>
    <w:rsid w:val="00B76C83"/>
    <w:rsid w:val="00B779D5"/>
    <w:rsid w:val="00B81F78"/>
    <w:rsid w:val="00B86C9A"/>
    <w:rsid w:val="00B90A22"/>
    <w:rsid w:val="00B9705D"/>
    <w:rsid w:val="00BA3EF7"/>
    <w:rsid w:val="00BB0461"/>
    <w:rsid w:val="00BC45F3"/>
    <w:rsid w:val="00BC5BE8"/>
    <w:rsid w:val="00BD2FF0"/>
    <w:rsid w:val="00BE59DF"/>
    <w:rsid w:val="00BE6D9D"/>
    <w:rsid w:val="00BE75CA"/>
    <w:rsid w:val="00BF56B6"/>
    <w:rsid w:val="00BF5D33"/>
    <w:rsid w:val="00BF6C6D"/>
    <w:rsid w:val="00C146A8"/>
    <w:rsid w:val="00C16896"/>
    <w:rsid w:val="00C22AFE"/>
    <w:rsid w:val="00C22C89"/>
    <w:rsid w:val="00C248FC"/>
    <w:rsid w:val="00C250B7"/>
    <w:rsid w:val="00C30467"/>
    <w:rsid w:val="00C32126"/>
    <w:rsid w:val="00C33A5E"/>
    <w:rsid w:val="00C33F80"/>
    <w:rsid w:val="00C34CD6"/>
    <w:rsid w:val="00C45AAB"/>
    <w:rsid w:val="00C5385D"/>
    <w:rsid w:val="00C57C92"/>
    <w:rsid w:val="00C61766"/>
    <w:rsid w:val="00C659B6"/>
    <w:rsid w:val="00C82CE4"/>
    <w:rsid w:val="00C83547"/>
    <w:rsid w:val="00C90A5D"/>
    <w:rsid w:val="00CA5C3E"/>
    <w:rsid w:val="00CB0EF8"/>
    <w:rsid w:val="00CB655A"/>
    <w:rsid w:val="00CB76DE"/>
    <w:rsid w:val="00CC163B"/>
    <w:rsid w:val="00CC2416"/>
    <w:rsid w:val="00CD70DE"/>
    <w:rsid w:val="00CF33D2"/>
    <w:rsid w:val="00D00740"/>
    <w:rsid w:val="00D00B76"/>
    <w:rsid w:val="00D00C5C"/>
    <w:rsid w:val="00D01C41"/>
    <w:rsid w:val="00D2397E"/>
    <w:rsid w:val="00D2444C"/>
    <w:rsid w:val="00D32D86"/>
    <w:rsid w:val="00D4363B"/>
    <w:rsid w:val="00D452D4"/>
    <w:rsid w:val="00D45413"/>
    <w:rsid w:val="00D4590B"/>
    <w:rsid w:val="00D45BC8"/>
    <w:rsid w:val="00D46B26"/>
    <w:rsid w:val="00D56CE6"/>
    <w:rsid w:val="00D720A8"/>
    <w:rsid w:val="00D80BAE"/>
    <w:rsid w:val="00D82562"/>
    <w:rsid w:val="00D873A2"/>
    <w:rsid w:val="00D9143F"/>
    <w:rsid w:val="00D939B0"/>
    <w:rsid w:val="00D9576A"/>
    <w:rsid w:val="00DA0C67"/>
    <w:rsid w:val="00DB1A17"/>
    <w:rsid w:val="00DC0427"/>
    <w:rsid w:val="00DC7FDA"/>
    <w:rsid w:val="00DE666D"/>
    <w:rsid w:val="00DE7749"/>
    <w:rsid w:val="00DF05FA"/>
    <w:rsid w:val="00DF1862"/>
    <w:rsid w:val="00E14260"/>
    <w:rsid w:val="00E14BDC"/>
    <w:rsid w:val="00E16F86"/>
    <w:rsid w:val="00E20B97"/>
    <w:rsid w:val="00E2141E"/>
    <w:rsid w:val="00E21974"/>
    <w:rsid w:val="00E27851"/>
    <w:rsid w:val="00E32C47"/>
    <w:rsid w:val="00E41148"/>
    <w:rsid w:val="00E42696"/>
    <w:rsid w:val="00E449BD"/>
    <w:rsid w:val="00E535C5"/>
    <w:rsid w:val="00E5461D"/>
    <w:rsid w:val="00E54C7F"/>
    <w:rsid w:val="00E6562A"/>
    <w:rsid w:val="00E670B3"/>
    <w:rsid w:val="00E751EA"/>
    <w:rsid w:val="00E76517"/>
    <w:rsid w:val="00E95C2B"/>
    <w:rsid w:val="00E96A65"/>
    <w:rsid w:val="00EA4B9D"/>
    <w:rsid w:val="00EA6F63"/>
    <w:rsid w:val="00EA7E17"/>
    <w:rsid w:val="00EC6265"/>
    <w:rsid w:val="00EF3CAF"/>
    <w:rsid w:val="00EF57DE"/>
    <w:rsid w:val="00F336D5"/>
    <w:rsid w:val="00F336DC"/>
    <w:rsid w:val="00F34353"/>
    <w:rsid w:val="00F35947"/>
    <w:rsid w:val="00F3623D"/>
    <w:rsid w:val="00F531AA"/>
    <w:rsid w:val="00F54F47"/>
    <w:rsid w:val="00F62BB3"/>
    <w:rsid w:val="00F66664"/>
    <w:rsid w:val="00F80F08"/>
    <w:rsid w:val="00F83564"/>
    <w:rsid w:val="00F8417C"/>
    <w:rsid w:val="00F90FEB"/>
    <w:rsid w:val="00FA3566"/>
    <w:rsid w:val="00FA761F"/>
    <w:rsid w:val="00FB7189"/>
    <w:rsid w:val="00FC48C4"/>
    <w:rsid w:val="00FD2669"/>
    <w:rsid w:val="00FE771C"/>
    <w:rsid w:val="00FF15EA"/>
    <w:rsid w:val="00FF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CFDEEA-25DF-4E43-B9AC-B28A743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89" w:qFormat="1"/>
    <w:lsdException w:name="Emphasis" w:uiPriority="8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rsid w:val="00416B20"/>
    <w:pPr>
      <w:spacing w:after="0" w:line="240" w:lineRule="auto"/>
    </w:pPr>
    <w:rPr>
      <w:rFonts w:ascii="Times New Roman" w:eastAsia="新細明體" w:hAnsi="Times New Roman" w:cs="Times New Roman"/>
      <w:sz w:val="24"/>
      <w:szCs w:val="24"/>
      <w:lang w:eastAsia="zh-TW" w:bidi="en-US"/>
    </w:rPr>
  </w:style>
  <w:style w:type="paragraph" w:styleId="1">
    <w:name w:val="heading 1"/>
    <w:basedOn w:val="a1"/>
    <w:link w:val="10"/>
    <w:autoRedefine/>
    <w:qFormat/>
    <w:rsid w:val="00B779D5"/>
    <w:pPr>
      <w:keepNext/>
      <w:keepLines/>
      <w:widowControl w:val="0"/>
      <w:numPr>
        <w:numId w:val="1"/>
      </w:numPr>
      <w:spacing w:after="240"/>
      <w:outlineLvl w:val="0"/>
    </w:pPr>
    <w:rPr>
      <w:rFonts w:eastAsiaTheme="majorEastAsia" w:cstheme="majorBidi"/>
      <w:bCs/>
      <w:szCs w:val="28"/>
      <w:lang w:bidi="ar-SA"/>
    </w:rPr>
  </w:style>
  <w:style w:type="paragraph" w:styleId="21">
    <w:name w:val="heading 2"/>
    <w:basedOn w:val="a1"/>
    <w:link w:val="22"/>
    <w:autoRedefine/>
    <w:unhideWhenUsed/>
    <w:qFormat/>
    <w:rsid w:val="00B779D5"/>
    <w:pPr>
      <w:keepNext/>
      <w:keepLines/>
      <w:widowControl w:val="0"/>
      <w:numPr>
        <w:ilvl w:val="1"/>
        <w:numId w:val="1"/>
      </w:numPr>
      <w:spacing w:after="240"/>
      <w:outlineLvl w:val="1"/>
    </w:pPr>
    <w:rPr>
      <w:rFonts w:eastAsiaTheme="majorEastAsia" w:cstheme="majorBidi"/>
      <w:bCs/>
      <w:szCs w:val="26"/>
      <w:lang w:bidi="ar-SA"/>
    </w:rPr>
  </w:style>
  <w:style w:type="paragraph" w:styleId="31">
    <w:name w:val="heading 3"/>
    <w:basedOn w:val="a1"/>
    <w:link w:val="32"/>
    <w:autoRedefine/>
    <w:unhideWhenUsed/>
    <w:qFormat/>
    <w:rsid w:val="00B779D5"/>
    <w:pPr>
      <w:numPr>
        <w:ilvl w:val="2"/>
        <w:numId w:val="1"/>
      </w:numPr>
      <w:spacing w:after="240"/>
      <w:outlineLvl w:val="2"/>
    </w:pPr>
    <w:rPr>
      <w:rFonts w:eastAsiaTheme="majorEastAsia" w:cstheme="majorBidi"/>
      <w:bCs/>
      <w:szCs w:val="22"/>
      <w:lang w:bidi="ar-SA"/>
    </w:rPr>
  </w:style>
  <w:style w:type="paragraph" w:styleId="41">
    <w:name w:val="heading 4"/>
    <w:basedOn w:val="a1"/>
    <w:link w:val="42"/>
    <w:autoRedefine/>
    <w:unhideWhenUsed/>
    <w:qFormat/>
    <w:rsid w:val="00B779D5"/>
    <w:pPr>
      <w:numPr>
        <w:ilvl w:val="3"/>
        <w:numId w:val="1"/>
      </w:numPr>
      <w:spacing w:after="240"/>
      <w:outlineLvl w:val="3"/>
    </w:pPr>
    <w:rPr>
      <w:rFonts w:eastAsiaTheme="majorEastAsia" w:cstheme="majorBidi"/>
      <w:bCs/>
      <w:iCs/>
      <w:szCs w:val="22"/>
      <w:lang w:bidi="ar-SA"/>
    </w:rPr>
  </w:style>
  <w:style w:type="paragraph" w:styleId="51">
    <w:name w:val="heading 5"/>
    <w:basedOn w:val="a1"/>
    <w:link w:val="52"/>
    <w:autoRedefine/>
    <w:unhideWhenUsed/>
    <w:qFormat/>
    <w:rsid w:val="00B779D5"/>
    <w:pPr>
      <w:numPr>
        <w:ilvl w:val="4"/>
        <w:numId w:val="1"/>
      </w:numPr>
      <w:spacing w:after="240"/>
      <w:outlineLvl w:val="4"/>
    </w:pPr>
    <w:rPr>
      <w:rFonts w:eastAsiaTheme="majorEastAsia" w:cstheme="majorBidi"/>
      <w:szCs w:val="22"/>
      <w:lang w:bidi="ar-SA"/>
    </w:rPr>
  </w:style>
  <w:style w:type="paragraph" w:styleId="6">
    <w:name w:val="heading 6"/>
    <w:basedOn w:val="a1"/>
    <w:next w:val="60"/>
    <w:link w:val="61"/>
    <w:autoRedefine/>
    <w:unhideWhenUsed/>
    <w:qFormat/>
    <w:rsid w:val="00B779D5"/>
    <w:pPr>
      <w:numPr>
        <w:ilvl w:val="5"/>
        <w:numId w:val="1"/>
      </w:numPr>
      <w:spacing w:after="240"/>
      <w:outlineLvl w:val="5"/>
    </w:pPr>
    <w:rPr>
      <w:rFonts w:eastAsiaTheme="majorEastAsia" w:cstheme="majorBidi"/>
      <w:iCs/>
      <w:szCs w:val="22"/>
      <w:lang w:bidi="ar-SA"/>
    </w:rPr>
  </w:style>
  <w:style w:type="paragraph" w:styleId="7">
    <w:name w:val="heading 7"/>
    <w:basedOn w:val="a1"/>
    <w:link w:val="70"/>
    <w:autoRedefine/>
    <w:uiPriority w:val="9"/>
    <w:unhideWhenUsed/>
    <w:rsid w:val="00B779D5"/>
    <w:pPr>
      <w:numPr>
        <w:ilvl w:val="6"/>
        <w:numId w:val="1"/>
      </w:numPr>
      <w:spacing w:after="240"/>
      <w:outlineLvl w:val="6"/>
    </w:pPr>
    <w:rPr>
      <w:rFonts w:eastAsiaTheme="majorEastAsia" w:cstheme="majorBidi"/>
      <w:iCs/>
      <w:szCs w:val="22"/>
      <w:lang w:bidi="ar-SA"/>
    </w:rPr>
  </w:style>
  <w:style w:type="paragraph" w:styleId="8">
    <w:name w:val="heading 8"/>
    <w:basedOn w:val="a1"/>
    <w:link w:val="80"/>
    <w:autoRedefine/>
    <w:uiPriority w:val="9"/>
    <w:unhideWhenUsed/>
    <w:rsid w:val="00B779D5"/>
    <w:pPr>
      <w:numPr>
        <w:ilvl w:val="7"/>
        <w:numId w:val="1"/>
      </w:numPr>
      <w:spacing w:after="240"/>
      <w:outlineLvl w:val="7"/>
    </w:pPr>
    <w:rPr>
      <w:rFonts w:eastAsiaTheme="majorEastAsia" w:cstheme="majorBidi"/>
      <w:szCs w:val="20"/>
      <w:lang w:bidi="ar-SA"/>
    </w:rPr>
  </w:style>
  <w:style w:type="paragraph" w:styleId="9">
    <w:name w:val="heading 9"/>
    <w:basedOn w:val="a1"/>
    <w:link w:val="90"/>
    <w:autoRedefine/>
    <w:uiPriority w:val="9"/>
    <w:unhideWhenUsed/>
    <w:rsid w:val="00B779D5"/>
    <w:pPr>
      <w:numPr>
        <w:ilvl w:val="8"/>
        <w:numId w:val="1"/>
      </w:numPr>
      <w:spacing w:after="240"/>
      <w:outlineLvl w:val="8"/>
    </w:pPr>
    <w:rPr>
      <w:rFonts w:eastAsiaTheme="majorEastAsia" w:cstheme="majorBidi"/>
      <w:iCs/>
      <w:szCs w:val="20"/>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B779D5"/>
    <w:rPr>
      <w:rFonts w:ascii="Tahoma" w:hAnsi="Tahoma" w:cs="Tahoma"/>
      <w:sz w:val="16"/>
      <w:szCs w:val="16"/>
    </w:rPr>
  </w:style>
  <w:style w:type="character" w:customStyle="1" w:styleId="a6">
    <w:name w:val="註解方塊文字 字元"/>
    <w:basedOn w:val="a2"/>
    <w:link w:val="a5"/>
    <w:uiPriority w:val="99"/>
    <w:semiHidden/>
    <w:rsid w:val="00B779D5"/>
    <w:rPr>
      <w:rFonts w:ascii="Tahoma" w:hAnsi="Tahoma" w:cs="Tahoma"/>
      <w:sz w:val="16"/>
      <w:szCs w:val="16"/>
      <w:lang w:bidi="en-US"/>
    </w:rPr>
  </w:style>
  <w:style w:type="paragraph" w:styleId="a7">
    <w:name w:val="Block Text"/>
    <w:basedOn w:val="a1"/>
    <w:uiPriority w:val="29"/>
    <w:qFormat/>
    <w:rsid w:val="00B779D5"/>
    <w:pPr>
      <w:spacing w:after="240"/>
      <w:ind w:left="1440" w:right="1440"/>
    </w:pPr>
    <w:rPr>
      <w:rFonts w:eastAsiaTheme="minorEastAsia" w:cstheme="minorBidi"/>
      <w:iCs/>
    </w:rPr>
  </w:style>
  <w:style w:type="paragraph" w:styleId="a8">
    <w:name w:val="Body Text"/>
    <w:basedOn w:val="a1"/>
    <w:link w:val="a9"/>
    <w:uiPriority w:val="19"/>
    <w:qFormat/>
    <w:rsid w:val="00B779D5"/>
    <w:pPr>
      <w:spacing w:after="240"/>
      <w:ind w:firstLine="1440"/>
    </w:pPr>
  </w:style>
  <w:style w:type="character" w:customStyle="1" w:styleId="a9">
    <w:name w:val="本文 字元"/>
    <w:basedOn w:val="a2"/>
    <w:link w:val="a8"/>
    <w:uiPriority w:val="19"/>
    <w:rsid w:val="00B779D5"/>
    <w:rPr>
      <w:rFonts w:ascii="Times New Roman" w:hAnsi="Times New Roman" w:cs="Times New Roman"/>
      <w:sz w:val="24"/>
      <w:szCs w:val="24"/>
      <w:lang w:bidi="en-US"/>
    </w:rPr>
  </w:style>
  <w:style w:type="paragraph" w:styleId="33">
    <w:name w:val="Body Text 3"/>
    <w:basedOn w:val="a1"/>
    <w:link w:val="34"/>
    <w:uiPriority w:val="99"/>
    <w:semiHidden/>
    <w:unhideWhenUsed/>
    <w:rsid w:val="00B779D5"/>
    <w:pPr>
      <w:spacing w:after="240"/>
    </w:pPr>
    <w:rPr>
      <w:szCs w:val="16"/>
    </w:rPr>
  </w:style>
  <w:style w:type="character" w:customStyle="1" w:styleId="34">
    <w:name w:val="本文 3 字元"/>
    <w:basedOn w:val="a2"/>
    <w:link w:val="33"/>
    <w:uiPriority w:val="99"/>
    <w:semiHidden/>
    <w:rsid w:val="00B779D5"/>
    <w:rPr>
      <w:rFonts w:ascii="Times New Roman" w:hAnsi="Times New Roman" w:cs="Times New Roman"/>
      <w:sz w:val="24"/>
      <w:szCs w:val="16"/>
      <w:lang w:bidi="en-US"/>
    </w:rPr>
  </w:style>
  <w:style w:type="paragraph" w:customStyle="1" w:styleId="BodyTextDouble">
    <w:name w:val="Body Text Double"/>
    <w:basedOn w:val="a8"/>
    <w:uiPriority w:val="19"/>
    <w:qFormat/>
    <w:rsid w:val="00B779D5"/>
    <w:pPr>
      <w:spacing w:after="0" w:line="480" w:lineRule="auto"/>
    </w:pPr>
  </w:style>
  <w:style w:type="paragraph" w:styleId="aa">
    <w:name w:val="Body Text First Indent"/>
    <w:basedOn w:val="a1"/>
    <w:link w:val="ab"/>
    <w:uiPriority w:val="19"/>
    <w:qFormat/>
    <w:rsid w:val="00B779D5"/>
    <w:pPr>
      <w:ind w:firstLine="1440"/>
    </w:pPr>
  </w:style>
  <w:style w:type="character" w:customStyle="1" w:styleId="ab">
    <w:name w:val="本文第一層縮排 字元"/>
    <w:basedOn w:val="a9"/>
    <w:link w:val="aa"/>
    <w:uiPriority w:val="19"/>
    <w:rsid w:val="00B779D5"/>
    <w:rPr>
      <w:rFonts w:ascii="Times New Roman" w:hAnsi="Times New Roman" w:cs="Times New Roman"/>
      <w:sz w:val="24"/>
      <w:szCs w:val="24"/>
      <w:lang w:bidi="en-US"/>
    </w:rPr>
  </w:style>
  <w:style w:type="paragraph" w:styleId="ac">
    <w:name w:val="Body Text Indent"/>
    <w:basedOn w:val="a1"/>
    <w:link w:val="ad"/>
    <w:uiPriority w:val="19"/>
    <w:qFormat/>
    <w:rsid w:val="00B779D5"/>
    <w:pPr>
      <w:spacing w:after="120"/>
      <w:ind w:left="360"/>
    </w:pPr>
  </w:style>
  <w:style w:type="character" w:customStyle="1" w:styleId="ad">
    <w:name w:val="本文縮排 字元"/>
    <w:basedOn w:val="a2"/>
    <w:link w:val="ac"/>
    <w:uiPriority w:val="19"/>
    <w:rsid w:val="00B779D5"/>
    <w:rPr>
      <w:rFonts w:ascii="Times New Roman" w:hAnsi="Times New Roman" w:cs="Times New Roman"/>
      <w:sz w:val="24"/>
      <w:szCs w:val="24"/>
      <w:lang w:bidi="en-US"/>
    </w:rPr>
  </w:style>
  <w:style w:type="paragraph" w:styleId="35">
    <w:name w:val="Body Text Indent 3"/>
    <w:basedOn w:val="a1"/>
    <w:link w:val="36"/>
    <w:uiPriority w:val="99"/>
    <w:semiHidden/>
    <w:unhideWhenUsed/>
    <w:rsid w:val="00B779D5"/>
    <w:pPr>
      <w:spacing w:after="240"/>
      <w:ind w:left="360"/>
    </w:pPr>
    <w:rPr>
      <w:szCs w:val="16"/>
    </w:rPr>
  </w:style>
  <w:style w:type="character" w:customStyle="1" w:styleId="36">
    <w:name w:val="本文縮排 3 字元"/>
    <w:basedOn w:val="a2"/>
    <w:link w:val="35"/>
    <w:uiPriority w:val="99"/>
    <w:semiHidden/>
    <w:rsid w:val="00B779D5"/>
    <w:rPr>
      <w:rFonts w:ascii="Times New Roman" w:hAnsi="Times New Roman" w:cs="Times New Roman"/>
      <w:sz w:val="24"/>
      <w:szCs w:val="16"/>
      <w:lang w:bidi="en-US"/>
    </w:rPr>
  </w:style>
  <w:style w:type="paragraph" w:customStyle="1" w:styleId="BodyTextNoIndent">
    <w:name w:val="Body Text No Indent"/>
    <w:basedOn w:val="a8"/>
    <w:uiPriority w:val="19"/>
    <w:qFormat/>
    <w:rsid w:val="00B779D5"/>
    <w:pPr>
      <w:ind w:firstLine="0"/>
    </w:pPr>
  </w:style>
  <w:style w:type="character" w:styleId="ae">
    <w:name w:val="Book Title"/>
    <w:basedOn w:val="a2"/>
    <w:uiPriority w:val="33"/>
    <w:rsid w:val="00B779D5"/>
    <w:rPr>
      <w:rFonts w:asciiTheme="majorHAnsi" w:eastAsiaTheme="majorEastAsia" w:hAnsiTheme="majorHAnsi"/>
      <w:b/>
      <w:i/>
      <w:sz w:val="24"/>
      <w:szCs w:val="24"/>
    </w:rPr>
  </w:style>
  <w:style w:type="paragraph" w:styleId="af">
    <w:name w:val="caption"/>
    <w:basedOn w:val="a1"/>
    <w:next w:val="a1"/>
    <w:uiPriority w:val="35"/>
    <w:semiHidden/>
    <w:unhideWhenUsed/>
    <w:rsid w:val="00B779D5"/>
    <w:pPr>
      <w:spacing w:after="240"/>
    </w:pPr>
    <w:rPr>
      <w:bCs/>
      <w:szCs w:val="18"/>
    </w:rPr>
  </w:style>
  <w:style w:type="character" w:customStyle="1" w:styleId="Citation">
    <w:name w:val="Citation"/>
    <w:basedOn w:val="a2"/>
    <w:uiPriority w:val="89"/>
    <w:qFormat/>
    <w:rsid w:val="00B779D5"/>
    <w:rPr>
      <w:u w:val="single"/>
    </w:rPr>
  </w:style>
  <w:style w:type="character" w:styleId="af0">
    <w:name w:val="Emphasis"/>
    <w:basedOn w:val="a2"/>
    <w:uiPriority w:val="89"/>
    <w:qFormat/>
    <w:rsid w:val="00B779D5"/>
    <w:rPr>
      <w:rFonts w:asciiTheme="minorHAnsi" w:hAnsiTheme="minorHAnsi"/>
      <w:i/>
      <w:iCs/>
    </w:rPr>
  </w:style>
  <w:style w:type="paragraph" w:styleId="af1">
    <w:name w:val="endnote text"/>
    <w:basedOn w:val="a1"/>
    <w:link w:val="af2"/>
    <w:uiPriority w:val="91"/>
    <w:qFormat/>
    <w:rsid w:val="00B779D5"/>
    <w:rPr>
      <w:sz w:val="20"/>
      <w:szCs w:val="20"/>
    </w:rPr>
  </w:style>
  <w:style w:type="character" w:customStyle="1" w:styleId="af2">
    <w:name w:val="章節附註文字 字元"/>
    <w:basedOn w:val="a2"/>
    <w:link w:val="af1"/>
    <w:uiPriority w:val="91"/>
    <w:rsid w:val="00B779D5"/>
    <w:rPr>
      <w:rFonts w:ascii="Times New Roman" w:hAnsi="Times New Roman" w:cs="Times New Roman"/>
      <w:sz w:val="20"/>
      <w:szCs w:val="20"/>
      <w:lang w:bidi="en-US"/>
    </w:rPr>
  </w:style>
  <w:style w:type="paragraph" w:styleId="af3">
    <w:name w:val="footer"/>
    <w:basedOn w:val="a1"/>
    <w:link w:val="af4"/>
    <w:uiPriority w:val="99"/>
    <w:unhideWhenUsed/>
    <w:rsid w:val="00B779D5"/>
    <w:pPr>
      <w:tabs>
        <w:tab w:val="center" w:pos="4680"/>
        <w:tab w:val="right" w:pos="9360"/>
      </w:tabs>
    </w:pPr>
  </w:style>
  <w:style w:type="character" w:customStyle="1" w:styleId="af4">
    <w:name w:val="頁尾 字元"/>
    <w:basedOn w:val="a2"/>
    <w:link w:val="af3"/>
    <w:uiPriority w:val="99"/>
    <w:rsid w:val="00B779D5"/>
    <w:rPr>
      <w:rFonts w:ascii="Times New Roman" w:hAnsi="Times New Roman" w:cs="Times New Roman"/>
      <w:sz w:val="24"/>
      <w:szCs w:val="24"/>
      <w:lang w:bidi="en-US"/>
    </w:rPr>
  </w:style>
  <w:style w:type="paragraph" w:styleId="af5">
    <w:name w:val="footnote text"/>
    <w:basedOn w:val="a1"/>
    <w:link w:val="af6"/>
    <w:uiPriority w:val="91"/>
    <w:qFormat/>
    <w:rsid w:val="00B779D5"/>
    <w:rPr>
      <w:sz w:val="20"/>
      <w:szCs w:val="20"/>
    </w:rPr>
  </w:style>
  <w:style w:type="character" w:customStyle="1" w:styleId="af6">
    <w:name w:val="註腳文字 字元"/>
    <w:basedOn w:val="a2"/>
    <w:link w:val="af5"/>
    <w:uiPriority w:val="91"/>
    <w:rsid w:val="00B779D5"/>
    <w:rPr>
      <w:rFonts w:ascii="Times New Roman" w:hAnsi="Times New Roman" w:cs="Times New Roman"/>
      <w:sz w:val="20"/>
      <w:szCs w:val="20"/>
      <w:lang w:bidi="en-US"/>
    </w:rPr>
  </w:style>
  <w:style w:type="paragraph" w:styleId="af7">
    <w:name w:val="header"/>
    <w:basedOn w:val="a1"/>
    <w:link w:val="af8"/>
    <w:uiPriority w:val="99"/>
    <w:unhideWhenUsed/>
    <w:rsid w:val="00B779D5"/>
    <w:pPr>
      <w:tabs>
        <w:tab w:val="center" w:pos="4680"/>
        <w:tab w:val="right" w:pos="9360"/>
      </w:tabs>
    </w:pPr>
  </w:style>
  <w:style w:type="character" w:customStyle="1" w:styleId="af8">
    <w:name w:val="頁首 字元"/>
    <w:basedOn w:val="a2"/>
    <w:link w:val="af7"/>
    <w:uiPriority w:val="99"/>
    <w:rsid w:val="00B779D5"/>
    <w:rPr>
      <w:rFonts w:ascii="Times New Roman" w:hAnsi="Times New Roman" w:cs="Times New Roman"/>
      <w:sz w:val="24"/>
      <w:szCs w:val="24"/>
      <w:lang w:bidi="en-US"/>
    </w:rPr>
  </w:style>
  <w:style w:type="character" w:customStyle="1" w:styleId="10">
    <w:name w:val="標題 1 字元"/>
    <w:basedOn w:val="a2"/>
    <w:link w:val="1"/>
    <w:rsid w:val="00B779D5"/>
    <w:rPr>
      <w:rFonts w:ascii="Times New Roman" w:eastAsiaTheme="majorEastAsia" w:hAnsi="Times New Roman" w:cstheme="majorBidi"/>
      <w:bCs/>
      <w:sz w:val="24"/>
      <w:szCs w:val="28"/>
      <w:lang w:eastAsia="zh-TW"/>
    </w:rPr>
  </w:style>
  <w:style w:type="paragraph" w:customStyle="1" w:styleId="Heading1notoc">
    <w:name w:val="Heading 1 (no toc)"/>
    <w:basedOn w:val="1"/>
    <w:next w:val="1"/>
    <w:uiPriority w:val="9"/>
    <w:rsid w:val="00B779D5"/>
    <w:pPr>
      <w:outlineLvl w:val="9"/>
    </w:pPr>
  </w:style>
  <w:style w:type="character" w:customStyle="1" w:styleId="22">
    <w:name w:val="標題 2 字元"/>
    <w:basedOn w:val="a2"/>
    <w:link w:val="21"/>
    <w:rsid w:val="00B779D5"/>
    <w:rPr>
      <w:rFonts w:ascii="Times New Roman" w:eastAsiaTheme="majorEastAsia" w:hAnsi="Times New Roman" w:cstheme="majorBidi"/>
      <w:bCs/>
      <w:sz w:val="24"/>
      <w:szCs w:val="26"/>
      <w:lang w:eastAsia="zh-TW"/>
    </w:rPr>
  </w:style>
  <w:style w:type="paragraph" w:customStyle="1" w:styleId="Heading2notoc">
    <w:name w:val="Heading 2 (no toc)"/>
    <w:basedOn w:val="21"/>
    <w:next w:val="21"/>
    <w:uiPriority w:val="9"/>
    <w:rsid w:val="00B779D5"/>
    <w:pPr>
      <w:outlineLvl w:val="9"/>
    </w:pPr>
  </w:style>
  <w:style w:type="character" w:customStyle="1" w:styleId="32">
    <w:name w:val="標題 3 字元"/>
    <w:basedOn w:val="a2"/>
    <w:link w:val="31"/>
    <w:rsid w:val="00B779D5"/>
    <w:rPr>
      <w:rFonts w:ascii="Times New Roman" w:eastAsiaTheme="majorEastAsia" w:hAnsi="Times New Roman" w:cstheme="majorBidi"/>
      <w:bCs/>
      <w:sz w:val="24"/>
      <w:lang w:eastAsia="zh-TW"/>
    </w:rPr>
  </w:style>
  <w:style w:type="paragraph" w:customStyle="1" w:styleId="Heading3notoc">
    <w:name w:val="Heading 3 (no toc)"/>
    <w:basedOn w:val="31"/>
    <w:next w:val="31"/>
    <w:uiPriority w:val="9"/>
    <w:rsid w:val="00B779D5"/>
    <w:pPr>
      <w:outlineLvl w:val="9"/>
    </w:pPr>
  </w:style>
  <w:style w:type="character" w:customStyle="1" w:styleId="42">
    <w:name w:val="標題 4 字元"/>
    <w:basedOn w:val="a2"/>
    <w:link w:val="41"/>
    <w:rsid w:val="00B779D5"/>
    <w:rPr>
      <w:rFonts w:ascii="Times New Roman" w:eastAsiaTheme="majorEastAsia" w:hAnsi="Times New Roman" w:cstheme="majorBidi"/>
      <w:bCs/>
      <w:iCs/>
      <w:sz w:val="24"/>
      <w:lang w:eastAsia="zh-TW"/>
    </w:rPr>
  </w:style>
  <w:style w:type="character" w:customStyle="1" w:styleId="52">
    <w:name w:val="標題 5 字元"/>
    <w:basedOn w:val="a2"/>
    <w:link w:val="51"/>
    <w:rsid w:val="00B779D5"/>
    <w:rPr>
      <w:rFonts w:ascii="Times New Roman" w:eastAsiaTheme="majorEastAsia" w:hAnsi="Times New Roman" w:cstheme="majorBidi"/>
      <w:sz w:val="24"/>
      <w:lang w:eastAsia="zh-TW"/>
    </w:rPr>
  </w:style>
  <w:style w:type="character" w:customStyle="1" w:styleId="61">
    <w:name w:val="標題 6 字元"/>
    <w:basedOn w:val="a2"/>
    <w:link w:val="6"/>
    <w:rsid w:val="00B779D5"/>
    <w:rPr>
      <w:rFonts w:ascii="Times New Roman" w:eastAsiaTheme="majorEastAsia" w:hAnsi="Times New Roman" w:cstheme="majorBidi"/>
      <w:iCs/>
      <w:sz w:val="24"/>
      <w:lang w:eastAsia="zh-TW"/>
    </w:rPr>
  </w:style>
  <w:style w:type="paragraph" w:styleId="60">
    <w:name w:val="index 6"/>
    <w:basedOn w:val="a1"/>
    <w:next w:val="a1"/>
    <w:autoRedefine/>
    <w:uiPriority w:val="99"/>
    <w:semiHidden/>
    <w:unhideWhenUsed/>
    <w:rsid w:val="00B779D5"/>
    <w:pPr>
      <w:ind w:left="1440" w:hanging="240"/>
    </w:pPr>
  </w:style>
  <w:style w:type="character" w:customStyle="1" w:styleId="70">
    <w:name w:val="標題 7 字元"/>
    <w:basedOn w:val="a2"/>
    <w:link w:val="7"/>
    <w:uiPriority w:val="9"/>
    <w:rsid w:val="00B779D5"/>
    <w:rPr>
      <w:rFonts w:ascii="Times New Roman" w:eastAsiaTheme="majorEastAsia" w:hAnsi="Times New Roman" w:cstheme="majorBidi"/>
      <w:iCs/>
      <w:sz w:val="24"/>
      <w:lang w:eastAsia="zh-TW"/>
    </w:rPr>
  </w:style>
  <w:style w:type="character" w:customStyle="1" w:styleId="80">
    <w:name w:val="標題 8 字元"/>
    <w:basedOn w:val="a2"/>
    <w:link w:val="8"/>
    <w:uiPriority w:val="9"/>
    <w:rsid w:val="00B779D5"/>
    <w:rPr>
      <w:rFonts w:ascii="Times New Roman" w:eastAsiaTheme="majorEastAsia" w:hAnsi="Times New Roman" w:cstheme="majorBidi"/>
      <w:sz w:val="24"/>
      <w:szCs w:val="20"/>
      <w:lang w:eastAsia="zh-TW"/>
    </w:rPr>
  </w:style>
  <w:style w:type="character" w:customStyle="1" w:styleId="90">
    <w:name w:val="標題 9 字元"/>
    <w:basedOn w:val="a2"/>
    <w:link w:val="9"/>
    <w:uiPriority w:val="9"/>
    <w:rsid w:val="00B779D5"/>
    <w:rPr>
      <w:rFonts w:ascii="Times New Roman" w:eastAsiaTheme="majorEastAsia" w:hAnsi="Times New Roman" w:cstheme="majorBidi"/>
      <w:iCs/>
      <w:sz w:val="24"/>
      <w:szCs w:val="20"/>
      <w:lang w:eastAsia="zh-TW"/>
    </w:rPr>
  </w:style>
  <w:style w:type="character" w:styleId="af9">
    <w:name w:val="Intense Emphasis"/>
    <w:basedOn w:val="a2"/>
    <w:uiPriority w:val="21"/>
    <w:rsid w:val="00B779D5"/>
    <w:rPr>
      <w:b/>
      <w:i/>
      <w:sz w:val="24"/>
      <w:szCs w:val="24"/>
      <w:u w:val="single"/>
    </w:rPr>
  </w:style>
  <w:style w:type="paragraph" w:styleId="afa">
    <w:name w:val="Intense Quote"/>
    <w:basedOn w:val="a1"/>
    <w:next w:val="a1"/>
    <w:link w:val="afb"/>
    <w:uiPriority w:val="30"/>
    <w:rsid w:val="00B779D5"/>
    <w:pPr>
      <w:ind w:left="720" w:right="720"/>
    </w:pPr>
    <w:rPr>
      <w:b/>
      <w:i/>
      <w:szCs w:val="22"/>
    </w:rPr>
  </w:style>
  <w:style w:type="character" w:customStyle="1" w:styleId="afb">
    <w:name w:val="鮮明引文 字元"/>
    <w:basedOn w:val="a2"/>
    <w:link w:val="afa"/>
    <w:uiPriority w:val="30"/>
    <w:rsid w:val="00B779D5"/>
    <w:rPr>
      <w:rFonts w:ascii="Times New Roman" w:hAnsi="Times New Roman" w:cs="Times New Roman"/>
      <w:b/>
      <w:i/>
      <w:sz w:val="24"/>
      <w:lang w:bidi="en-US"/>
    </w:rPr>
  </w:style>
  <w:style w:type="character" w:styleId="afc">
    <w:name w:val="Intense Reference"/>
    <w:basedOn w:val="a2"/>
    <w:uiPriority w:val="32"/>
    <w:rsid w:val="00B779D5"/>
    <w:rPr>
      <w:b/>
      <w:sz w:val="24"/>
      <w:u w:val="single"/>
    </w:rPr>
  </w:style>
  <w:style w:type="paragraph" w:styleId="afd">
    <w:name w:val="List Paragraph"/>
    <w:basedOn w:val="a1"/>
    <w:qFormat/>
    <w:rsid w:val="00B779D5"/>
    <w:pPr>
      <w:ind w:left="720"/>
      <w:contextualSpacing/>
    </w:pPr>
  </w:style>
  <w:style w:type="paragraph" w:styleId="afe">
    <w:name w:val="No Spacing"/>
    <w:basedOn w:val="a1"/>
    <w:uiPriority w:val="1"/>
    <w:rsid w:val="00B779D5"/>
    <w:rPr>
      <w:szCs w:val="32"/>
    </w:rPr>
  </w:style>
  <w:style w:type="character" w:styleId="aff">
    <w:name w:val="Placeholder Text"/>
    <w:basedOn w:val="a2"/>
    <w:uiPriority w:val="99"/>
    <w:semiHidden/>
    <w:rsid w:val="00B779D5"/>
    <w:rPr>
      <w:color w:val="808080"/>
    </w:rPr>
  </w:style>
  <w:style w:type="paragraph" w:styleId="aff0">
    <w:name w:val="Quote"/>
    <w:basedOn w:val="a1"/>
    <w:next w:val="a1"/>
    <w:link w:val="aff1"/>
    <w:uiPriority w:val="29"/>
    <w:rsid w:val="00B779D5"/>
    <w:rPr>
      <w:i/>
    </w:rPr>
  </w:style>
  <w:style w:type="character" w:customStyle="1" w:styleId="aff1">
    <w:name w:val="引文 字元"/>
    <w:basedOn w:val="a2"/>
    <w:link w:val="aff0"/>
    <w:uiPriority w:val="29"/>
    <w:rsid w:val="00B779D5"/>
    <w:rPr>
      <w:rFonts w:ascii="Times New Roman" w:hAnsi="Times New Roman" w:cs="Times New Roman"/>
      <w:i/>
      <w:sz w:val="24"/>
      <w:szCs w:val="24"/>
      <w:lang w:bidi="en-US"/>
    </w:rPr>
  </w:style>
  <w:style w:type="character" w:styleId="aff2">
    <w:name w:val="Strong"/>
    <w:basedOn w:val="a2"/>
    <w:uiPriority w:val="89"/>
    <w:qFormat/>
    <w:rsid w:val="00B779D5"/>
    <w:rPr>
      <w:b/>
      <w:bCs/>
    </w:rPr>
  </w:style>
  <w:style w:type="paragraph" w:styleId="aff3">
    <w:name w:val="Subtitle"/>
    <w:basedOn w:val="a1"/>
    <w:next w:val="a1"/>
    <w:link w:val="aff4"/>
    <w:uiPriority w:val="24"/>
    <w:qFormat/>
    <w:rsid w:val="00B779D5"/>
    <w:pPr>
      <w:spacing w:after="240"/>
      <w:jc w:val="center"/>
      <w:outlineLvl w:val="1"/>
    </w:pPr>
    <w:rPr>
      <w:rFonts w:eastAsiaTheme="majorEastAsia" w:cstheme="majorBidi"/>
    </w:rPr>
  </w:style>
  <w:style w:type="character" w:customStyle="1" w:styleId="aff4">
    <w:name w:val="副標題 字元"/>
    <w:basedOn w:val="a2"/>
    <w:link w:val="aff3"/>
    <w:uiPriority w:val="24"/>
    <w:rsid w:val="00B779D5"/>
    <w:rPr>
      <w:rFonts w:ascii="Times New Roman" w:eastAsiaTheme="majorEastAsia" w:hAnsi="Times New Roman" w:cstheme="majorBidi"/>
      <w:sz w:val="24"/>
      <w:szCs w:val="24"/>
      <w:lang w:bidi="en-US"/>
    </w:rPr>
  </w:style>
  <w:style w:type="character" w:styleId="aff5">
    <w:name w:val="Subtle Emphasis"/>
    <w:uiPriority w:val="19"/>
    <w:rsid w:val="00B779D5"/>
    <w:rPr>
      <w:i/>
      <w:color w:val="5A5A5A" w:themeColor="text1" w:themeTint="A5"/>
    </w:rPr>
  </w:style>
  <w:style w:type="character" w:styleId="aff6">
    <w:name w:val="Subtle Reference"/>
    <w:basedOn w:val="a2"/>
    <w:uiPriority w:val="31"/>
    <w:rsid w:val="00B779D5"/>
    <w:rPr>
      <w:sz w:val="24"/>
      <w:szCs w:val="24"/>
      <w:u w:val="single"/>
    </w:rPr>
  </w:style>
  <w:style w:type="table" w:styleId="aff7">
    <w:name w:val="Table Grid"/>
    <w:basedOn w:val="a3"/>
    <w:uiPriority w:val="59"/>
    <w:rsid w:val="00B779D5"/>
    <w:pPr>
      <w:spacing w:after="0" w:line="240" w:lineRule="auto"/>
    </w:pPr>
    <w:rPr>
      <w:rFonts w:ascii="Times New Roman" w:hAnsi="Times New Roman" w:cs="Times New Roman"/>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8">
    <w:name w:val="Title"/>
    <w:basedOn w:val="a1"/>
    <w:next w:val="a1"/>
    <w:link w:val="aff9"/>
    <w:qFormat/>
    <w:rsid w:val="00B779D5"/>
    <w:pPr>
      <w:spacing w:after="240"/>
      <w:jc w:val="center"/>
      <w:outlineLvl w:val="0"/>
    </w:pPr>
    <w:rPr>
      <w:rFonts w:eastAsiaTheme="majorEastAsia" w:cstheme="majorBidi"/>
      <w:b/>
      <w:bCs/>
      <w:kern w:val="28"/>
      <w:szCs w:val="32"/>
    </w:rPr>
  </w:style>
  <w:style w:type="character" w:customStyle="1" w:styleId="aff9">
    <w:name w:val="標題 字元"/>
    <w:basedOn w:val="a2"/>
    <w:link w:val="aff8"/>
    <w:rsid w:val="00B779D5"/>
    <w:rPr>
      <w:rFonts w:ascii="Times New Roman" w:eastAsiaTheme="majorEastAsia" w:hAnsi="Times New Roman" w:cstheme="majorBidi"/>
      <w:b/>
      <w:bCs/>
      <w:kern w:val="28"/>
      <w:sz w:val="24"/>
      <w:szCs w:val="32"/>
      <w:lang w:bidi="en-US"/>
    </w:rPr>
  </w:style>
  <w:style w:type="paragraph" w:styleId="affa">
    <w:name w:val="TOC Heading"/>
    <w:basedOn w:val="1"/>
    <w:next w:val="a1"/>
    <w:uiPriority w:val="39"/>
    <w:semiHidden/>
    <w:unhideWhenUsed/>
    <w:rsid w:val="00B779D5"/>
    <w:pPr>
      <w:tabs>
        <w:tab w:val="clear" w:pos="0"/>
      </w:tabs>
      <w:outlineLvl w:val="9"/>
    </w:pPr>
    <w:rPr>
      <w:rFonts w:cs="Times New Roman"/>
    </w:rPr>
  </w:style>
  <w:style w:type="paragraph" w:styleId="affb">
    <w:name w:val="Bibliography"/>
    <w:basedOn w:val="a1"/>
    <w:next w:val="a1"/>
    <w:uiPriority w:val="37"/>
    <w:semiHidden/>
    <w:unhideWhenUsed/>
    <w:rsid w:val="00FD2669"/>
  </w:style>
  <w:style w:type="paragraph" w:styleId="23">
    <w:name w:val="Body Text 2"/>
    <w:basedOn w:val="a1"/>
    <w:link w:val="24"/>
    <w:uiPriority w:val="99"/>
    <w:semiHidden/>
    <w:unhideWhenUsed/>
    <w:rsid w:val="00FD2669"/>
    <w:pPr>
      <w:spacing w:after="120" w:line="480" w:lineRule="auto"/>
    </w:pPr>
  </w:style>
  <w:style w:type="character" w:customStyle="1" w:styleId="24">
    <w:name w:val="本文 2 字元"/>
    <w:basedOn w:val="a2"/>
    <w:link w:val="23"/>
    <w:uiPriority w:val="99"/>
    <w:semiHidden/>
    <w:rsid w:val="00FD2669"/>
    <w:rPr>
      <w:rFonts w:ascii="Times New Roman" w:eastAsia="新細明體" w:hAnsi="Times New Roman" w:cs="Times New Roman"/>
      <w:sz w:val="24"/>
      <w:szCs w:val="24"/>
      <w:lang w:eastAsia="zh-TW" w:bidi="en-US"/>
    </w:rPr>
  </w:style>
  <w:style w:type="paragraph" w:styleId="25">
    <w:name w:val="Body Text First Indent 2"/>
    <w:basedOn w:val="ac"/>
    <w:link w:val="26"/>
    <w:uiPriority w:val="99"/>
    <w:semiHidden/>
    <w:unhideWhenUsed/>
    <w:rsid w:val="00FD2669"/>
    <w:pPr>
      <w:spacing w:after="0"/>
      <w:ind w:firstLine="360"/>
    </w:pPr>
  </w:style>
  <w:style w:type="character" w:customStyle="1" w:styleId="26">
    <w:name w:val="本文第一層縮排 2 字元"/>
    <w:basedOn w:val="ad"/>
    <w:link w:val="25"/>
    <w:uiPriority w:val="99"/>
    <w:semiHidden/>
    <w:rsid w:val="00FD2669"/>
    <w:rPr>
      <w:rFonts w:ascii="Times New Roman" w:eastAsia="新細明體" w:hAnsi="Times New Roman" w:cs="Times New Roman"/>
      <w:sz w:val="24"/>
      <w:szCs w:val="24"/>
      <w:lang w:eastAsia="zh-TW" w:bidi="en-US"/>
    </w:rPr>
  </w:style>
  <w:style w:type="paragraph" w:styleId="27">
    <w:name w:val="Body Text Indent 2"/>
    <w:basedOn w:val="a1"/>
    <w:link w:val="28"/>
    <w:uiPriority w:val="99"/>
    <w:unhideWhenUsed/>
    <w:rsid w:val="00FD2669"/>
    <w:pPr>
      <w:spacing w:after="120" w:line="480" w:lineRule="auto"/>
      <w:ind w:left="283"/>
    </w:pPr>
  </w:style>
  <w:style w:type="character" w:customStyle="1" w:styleId="28">
    <w:name w:val="本文縮排 2 字元"/>
    <w:basedOn w:val="a2"/>
    <w:link w:val="27"/>
    <w:uiPriority w:val="99"/>
    <w:rsid w:val="00FD2669"/>
    <w:rPr>
      <w:rFonts w:ascii="Times New Roman" w:eastAsia="新細明體" w:hAnsi="Times New Roman" w:cs="Times New Roman"/>
      <w:sz w:val="24"/>
      <w:szCs w:val="24"/>
      <w:lang w:eastAsia="zh-TW" w:bidi="en-US"/>
    </w:rPr>
  </w:style>
  <w:style w:type="paragraph" w:styleId="affc">
    <w:name w:val="Closing"/>
    <w:basedOn w:val="a1"/>
    <w:link w:val="affd"/>
    <w:uiPriority w:val="99"/>
    <w:semiHidden/>
    <w:unhideWhenUsed/>
    <w:rsid w:val="00FD2669"/>
    <w:pPr>
      <w:ind w:left="4252"/>
    </w:pPr>
  </w:style>
  <w:style w:type="character" w:customStyle="1" w:styleId="affd">
    <w:name w:val="結語 字元"/>
    <w:basedOn w:val="a2"/>
    <w:link w:val="affc"/>
    <w:uiPriority w:val="99"/>
    <w:semiHidden/>
    <w:rsid w:val="00FD2669"/>
    <w:rPr>
      <w:rFonts w:ascii="Times New Roman" w:eastAsia="新細明體" w:hAnsi="Times New Roman" w:cs="Times New Roman"/>
      <w:sz w:val="24"/>
      <w:szCs w:val="24"/>
      <w:lang w:eastAsia="zh-TW" w:bidi="en-US"/>
    </w:rPr>
  </w:style>
  <w:style w:type="paragraph" w:styleId="affe">
    <w:name w:val="annotation text"/>
    <w:basedOn w:val="a1"/>
    <w:link w:val="afff"/>
    <w:semiHidden/>
    <w:unhideWhenUsed/>
    <w:rsid w:val="00FD2669"/>
    <w:rPr>
      <w:sz w:val="20"/>
      <w:szCs w:val="20"/>
    </w:rPr>
  </w:style>
  <w:style w:type="character" w:customStyle="1" w:styleId="afff">
    <w:name w:val="註解文字 字元"/>
    <w:basedOn w:val="a2"/>
    <w:link w:val="affe"/>
    <w:semiHidden/>
    <w:rsid w:val="00FD2669"/>
    <w:rPr>
      <w:rFonts w:ascii="Times New Roman" w:eastAsia="新細明體" w:hAnsi="Times New Roman" w:cs="Times New Roman"/>
      <w:sz w:val="20"/>
      <w:szCs w:val="20"/>
      <w:lang w:eastAsia="zh-TW" w:bidi="en-US"/>
    </w:rPr>
  </w:style>
  <w:style w:type="paragraph" w:styleId="afff0">
    <w:name w:val="annotation subject"/>
    <w:basedOn w:val="affe"/>
    <w:next w:val="affe"/>
    <w:link w:val="afff1"/>
    <w:uiPriority w:val="99"/>
    <w:semiHidden/>
    <w:unhideWhenUsed/>
    <w:rsid w:val="00FD2669"/>
    <w:rPr>
      <w:b/>
      <w:bCs/>
    </w:rPr>
  </w:style>
  <w:style w:type="character" w:customStyle="1" w:styleId="afff1">
    <w:name w:val="註解主旨 字元"/>
    <w:basedOn w:val="afff"/>
    <w:link w:val="afff0"/>
    <w:uiPriority w:val="99"/>
    <w:semiHidden/>
    <w:rsid w:val="00FD2669"/>
    <w:rPr>
      <w:rFonts w:ascii="Times New Roman" w:eastAsia="新細明體" w:hAnsi="Times New Roman" w:cs="Times New Roman"/>
      <w:b/>
      <w:bCs/>
      <w:sz w:val="20"/>
      <w:szCs w:val="20"/>
      <w:lang w:eastAsia="zh-TW" w:bidi="en-US"/>
    </w:rPr>
  </w:style>
  <w:style w:type="paragraph" w:styleId="afff2">
    <w:name w:val="Date"/>
    <w:basedOn w:val="a1"/>
    <w:next w:val="a1"/>
    <w:link w:val="afff3"/>
    <w:uiPriority w:val="99"/>
    <w:semiHidden/>
    <w:unhideWhenUsed/>
    <w:rsid w:val="00FD2669"/>
  </w:style>
  <w:style w:type="character" w:customStyle="1" w:styleId="afff3">
    <w:name w:val="日期 字元"/>
    <w:basedOn w:val="a2"/>
    <w:link w:val="afff2"/>
    <w:uiPriority w:val="99"/>
    <w:semiHidden/>
    <w:rsid w:val="00FD2669"/>
    <w:rPr>
      <w:rFonts w:ascii="Times New Roman" w:eastAsia="新細明體" w:hAnsi="Times New Roman" w:cs="Times New Roman"/>
      <w:sz w:val="24"/>
      <w:szCs w:val="24"/>
      <w:lang w:eastAsia="zh-TW" w:bidi="en-US"/>
    </w:rPr>
  </w:style>
  <w:style w:type="paragraph" w:styleId="afff4">
    <w:name w:val="Document Map"/>
    <w:basedOn w:val="a1"/>
    <w:link w:val="afff5"/>
    <w:uiPriority w:val="99"/>
    <w:semiHidden/>
    <w:unhideWhenUsed/>
    <w:rsid w:val="00FD2669"/>
    <w:rPr>
      <w:rFonts w:ascii="Segoe UI" w:hAnsi="Segoe UI" w:cs="Segoe UI"/>
      <w:sz w:val="16"/>
      <w:szCs w:val="16"/>
    </w:rPr>
  </w:style>
  <w:style w:type="character" w:customStyle="1" w:styleId="afff5">
    <w:name w:val="文件引導模式 字元"/>
    <w:basedOn w:val="a2"/>
    <w:link w:val="afff4"/>
    <w:uiPriority w:val="99"/>
    <w:semiHidden/>
    <w:rsid w:val="00FD2669"/>
    <w:rPr>
      <w:rFonts w:ascii="Segoe UI" w:eastAsia="新細明體" w:hAnsi="Segoe UI" w:cs="Segoe UI"/>
      <w:sz w:val="16"/>
      <w:szCs w:val="16"/>
      <w:lang w:eastAsia="zh-TW" w:bidi="en-US"/>
    </w:rPr>
  </w:style>
  <w:style w:type="paragraph" w:styleId="afff6">
    <w:name w:val="E-mail Signature"/>
    <w:basedOn w:val="a1"/>
    <w:link w:val="afff7"/>
    <w:uiPriority w:val="99"/>
    <w:semiHidden/>
    <w:unhideWhenUsed/>
    <w:rsid w:val="00FD2669"/>
  </w:style>
  <w:style w:type="character" w:customStyle="1" w:styleId="afff7">
    <w:name w:val="電子郵件簽名 字元"/>
    <w:basedOn w:val="a2"/>
    <w:link w:val="afff6"/>
    <w:uiPriority w:val="99"/>
    <w:semiHidden/>
    <w:rsid w:val="00FD2669"/>
    <w:rPr>
      <w:rFonts w:ascii="Times New Roman" w:eastAsia="新細明體" w:hAnsi="Times New Roman" w:cs="Times New Roman"/>
      <w:sz w:val="24"/>
      <w:szCs w:val="24"/>
      <w:lang w:eastAsia="zh-TW" w:bidi="en-US"/>
    </w:rPr>
  </w:style>
  <w:style w:type="paragraph" w:styleId="afff8">
    <w:name w:val="envelope address"/>
    <w:basedOn w:val="a1"/>
    <w:uiPriority w:val="99"/>
    <w:semiHidden/>
    <w:unhideWhenUsed/>
    <w:rsid w:val="00FD2669"/>
    <w:pPr>
      <w:framePr w:w="7920" w:h="1980" w:hRule="exact" w:hSpace="180" w:wrap="auto" w:hAnchor="page" w:xAlign="center" w:yAlign="bottom"/>
      <w:ind w:left="2880"/>
    </w:pPr>
    <w:rPr>
      <w:rFonts w:asciiTheme="majorHAnsi" w:eastAsiaTheme="majorEastAsia" w:hAnsiTheme="majorHAnsi" w:cstheme="majorBidi"/>
    </w:rPr>
  </w:style>
  <w:style w:type="paragraph" w:styleId="afff9">
    <w:name w:val="envelope return"/>
    <w:basedOn w:val="a1"/>
    <w:uiPriority w:val="99"/>
    <w:semiHidden/>
    <w:unhideWhenUsed/>
    <w:rsid w:val="00FD2669"/>
    <w:rPr>
      <w:rFonts w:asciiTheme="majorHAnsi" w:eastAsiaTheme="majorEastAsia" w:hAnsiTheme="majorHAnsi" w:cstheme="majorBidi"/>
      <w:sz w:val="20"/>
      <w:szCs w:val="20"/>
    </w:rPr>
  </w:style>
  <w:style w:type="paragraph" w:styleId="HTML">
    <w:name w:val="HTML Address"/>
    <w:basedOn w:val="a1"/>
    <w:link w:val="HTML0"/>
    <w:uiPriority w:val="99"/>
    <w:semiHidden/>
    <w:unhideWhenUsed/>
    <w:rsid w:val="00FD2669"/>
    <w:rPr>
      <w:i/>
      <w:iCs/>
    </w:rPr>
  </w:style>
  <w:style w:type="character" w:customStyle="1" w:styleId="HTML0">
    <w:name w:val="HTML 位址 字元"/>
    <w:basedOn w:val="a2"/>
    <w:link w:val="HTML"/>
    <w:uiPriority w:val="99"/>
    <w:semiHidden/>
    <w:rsid w:val="00FD2669"/>
    <w:rPr>
      <w:rFonts w:ascii="Times New Roman" w:eastAsia="新細明體" w:hAnsi="Times New Roman" w:cs="Times New Roman"/>
      <w:i/>
      <w:iCs/>
      <w:sz w:val="24"/>
      <w:szCs w:val="24"/>
      <w:lang w:eastAsia="zh-TW" w:bidi="en-US"/>
    </w:rPr>
  </w:style>
  <w:style w:type="paragraph" w:styleId="HTML1">
    <w:name w:val="HTML Preformatted"/>
    <w:basedOn w:val="a1"/>
    <w:link w:val="HTML2"/>
    <w:uiPriority w:val="99"/>
    <w:semiHidden/>
    <w:unhideWhenUsed/>
    <w:rsid w:val="00FD2669"/>
    <w:rPr>
      <w:rFonts w:ascii="Consolas" w:hAnsi="Consolas"/>
      <w:sz w:val="20"/>
      <w:szCs w:val="20"/>
    </w:rPr>
  </w:style>
  <w:style w:type="character" w:customStyle="1" w:styleId="HTML2">
    <w:name w:val="HTML 預設格式 字元"/>
    <w:basedOn w:val="a2"/>
    <w:link w:val="HTML1"/>
    <w:uiPriority w:val="99"/>
    <w:semiHidden/>
    <w:rsid w:val="00FD2669"/>
    <w:rPr>
      <w:rFonts w:ascii="Consolas" w:eastAsia="新細明體" w:hAnsi="Consolas" w:cs="Times New Roman"/>
      <w:sz w:val="20"/>
      <w:szCs w:val="20"/>
      <w:lang w:eastAsia="zh-TW" w:bidi="en-US"/>
    </w:rPr>
  </w:style>
  <w:style w:type="paragraph" w:styleId="11">
    <w:name w:val="index 1"/>
    <w:basedOn w:val="a1"/>
    <w:next w:val="a1"/>
    <w:autoRedefine/>
    <w:uiPriority w:val="99"/>
    <w:semiHidden/>
    <w:unhideWhenUsed/>
    <w:rsid w:val="00FD2669"/>
    <w:pPr>
      <w:ind w:left="240" w:hanging="240"/>
    </w:pPr>
  </w:style>
  <w:style w:type="paragraph" w:styleId="29">
    <w:name w:val="index 2"/>
    <w:basedOn w:val="a1"/>
    <w:next w:val="a1"/>
    <w:autoRedefine/>
    <w:uiPriority w:val="99"/>
    <w:semiHidden/>
    <w:unhideWhenUsed/>
    <w:rsid w:val="00FD2669"/>
    <w:pPr>
      <w:ind w:left="480" w:hanging="240"/>
    </w:pPr>
  </w:style>
  <w:style w:type="paragraph" w:styleId="37">
    <w:name w:val="index 3"/>
    <w:basedOn w:val="a1"/>
    <w:next w:val="a1"/>
    <w:autoRedefine/>
    <w:uiPriority w:val="99"/>
    <w:semiHidden/>
    <w:unhideWhenUsed/>
    <w:rsid w:val="00FD2669"/>
    <w:pPr>
      <w:ind w:left="720" w:hanging="240"/>
    </w:pPr>
  </w:style>
  <w:style w:type="paragraph" w:styleId="43">
    <w:name w:val="index 4"/>
    <w:basedOn w:val="a1"/>
    <w:next w:val="a1"/>
    <w:autoRedefine/>
    <w:uiPriority w:val="99"/>
    <w:semiHidden/>
    <w:unhideWhenUsed/>
    <w:rsid w:val="00FD2669"/>
    <w:pPr>
      <w:ind w:left="960" w:hanging="240"/>
    </w:pPr>
  </w:style>
  <w:style w:type="paragraph" w:styleId="53">
    <w:name w:val="index 5"/>
    <w:basedOn w:val="a1"/>
    <w:next w:val="a1"/>
    <w:autoRedefine/>
    <w:uiPriority w:val="99"/>
    <w:semiHidden/>
    <w:unhideWhenUsed/>
    <w:rsid w:val="00FD2669"/>
    <w:pPr>
      <w:ind w:left="1200" w:hanging="240"/>
    </w:pPr>
  </w:style>
  <w:style w:type="paragraph" w:styleId="71">
    <w:name w:val="index 7"/>
    <w:basedOn w:val="a1"/>
    <w:next w:val="a1"/>
    <w:autoRedefine/>
    <w:uiPriority w:val="99"/>
    <w:semiHidden/>
    <w:unhideWhenUsed/>
    <w:rsid w:val="00FD2669"/>
    <w:pPr>
      <w:ind w:left="1680" w:hanging="240"/>
    </w:pPr>
  </w:style>
  <w:style w:type="paragraph" w:styleId="81">
    <w:name w:val="index 8"/>
    <w:basedOn w:val="a1"/>
    <w:next w:val="a1"/>
    <w:autoRedefine/>
    <w:uiPriority w:val="99"/>
    <w:semiHidden/>
    <w:unhideWhenUsed/>
    <w:rsid w:val="00FD2669"/>
    <w:pPr>
      <w:ind w:left="1920" w:hanging="240"/>
    </w:pPr>
  </w:style>
  <w:style w:type="paragraph" w:styleId="91">
    <w:name w:val="index 9"/>
    <w:basedOn w:val="a1"/>
    <w:next w:val="a1"/>
    <w:autoRedefine/>
    <w:uiPriority w:val="99"/>
    <w:semiHidden/>
    <w:unhideWhenUsed/>
    <w:rsid w:val="00FD2669"/>
    <w:pPr>
      <w:ind w:left="2160" w:hanging="240"/>
    </w:pPr>
  </w:style>
  <w:style w:type="paragraph" w:styleId="afffa">
    <w:name w:val="index heading"/>
    <w:basedOn w:val="a1"/>
    <w:next w:val="11"/>
    <w:uiPriority w:val="99"/>
    <w:semiHidden/>
    <w:unhideWhenUsed/>
    <w:rsid w:val="00FD2669"/>
    <w:rPr>
      <w:rFonts w:asciiTheme="majorHAnsi" w:eastAsiaTheme="majorEastAsia" w:hAnsiTheme="majorHAnsi" w:cstheme="majorBidi"/>
      <w:b/>
      <w:bCs/>
    </w:rPr>
  </w:style>
  <w:style w:type="paragraph" w:styleId="afffb">
    <w:name w:val="List"/>
    <w:basedOn w:val="a1"/>
    <w:uiPriority w:val="99"/>
    <w:semiHidden/>
    <w:unhideWhenUsed/>
    <w:rsid w:val="00FD2669"/>
    <w:pPr>
      <w:ind w:left="283" w:hanging="283"/>
      <w:contextualSpacing/>
    </w:pPr>
  </w:style>
  <w:style w:type="paragraph" w:styleId="2a">
    <w:name w:val="List 2"/>
    <w:basedOn w:val="a1"/>
    <w:uiPriority w:val="99"/>
    <w:semiHidden/>
    <w:unhideWhenUsed/>
    <w:rsid w:val="00FD2669"/>
    <w:pPr>
      <w:ind w:left="566" w:hanging="283"/>
      <w:contextualSpacing/>
    </w:pPr>
  </w:style>
  <w:style w:type="paragraph" w:styleId="38">
    <w:name w:val="List 3"/>
    <w:basedOn w:val="a1"/>
    <w:uiPriority w:val="99"/>
    <w:semiHidden/>
    <w:unhideWhenUsed/>
    <w:rsid w:val="00FD2669"/>
    <w:pPr>
      <w:ind w:left="849" w:hanging="283"/>
      <w:contextualSpacing/>
    </w:pPr>
  </w:style>
  <w:style w:type="paragraph" w:styleId="44">
    <w:name w:val="List 4"/>
    <w:basedOn w:val="a1"/>
    <w:uiPriority w:val="99"/>
    <w:semiHidden/>
    <w:unhideWhenUsed/>
    <w:rsid w:val="00FD2669"/>
    <w:pPr>
      <w:ind w:left="1132" w:hanging="283"/>
      <w:contextualSpacing/>
    </w:pPr>
  </w:style>
  <w:style w:type="paragraph" w:styleId="54">
    <w:name w:val="List 5"/>
    <w:basedOn w:val="a1"/>
    <w:uiPriority w:val="99"/>
    <w:semiHidden/>
    <w:unhideWhenUsed/>
    <w:rsid w:val="00FD2669"/>
    <w:pPr>
      <w:ind w:left="1415" w:hanging="283"/>
      <w:contextualSpacing/>
    </w:pPr>
  </w:style>
  <w:style w:type="paragraph" w:styleId="a0">
    <w:name w:val="List Bullet"/>
    <w:basedOn w:val="a1"/>
    <w:uiPriority w:val="99"/>
    <w:semiHidden/>
    <w:unhideWhenUsed/>
    <w:rsid w:val="00FD2669"/>
    <w:pPr>
      <w:numPr>
        <w:numId w:val="2"/>
      </w:numPr>
      <w:contextualSpacing/>
    </w:pPr>
  </w:style>
  <w:style w:type="paragraph" w:styleId="20">
    <w:name w:val="List Bullet 2"/>
    <w:basedOn w:val="a1"/>
    <w:uiPriority w:val="99"/>
    <w:semiHidden/>
    <w:unhideWhenUsed/>
    <w:rsid w:val="00FD2669"/>
    <w:pPr>
      <w:numPr>
        <w:numId w:val="3"/>
      </w:numPr>
      <w:contextualSpacing/>
    </w:pPr>
  </w:style>
  <w:style w:type="paragraph" w:styleId="30">
    <w:name w:val="List Bullet 3"/>
    <w:basedOn w:val="a1"/>
    <w:uiPriority w:val="99"/>
    <w:semiHidden/>
    <w:unhideWhenUsed/>
    <w:rsid w:val="00FD2669"/>
    <w:pPr>
      <w:numPr>
        <w:numId w:val="4"/>
      </w:numPr>
      <w:contextualSpacing/>
    </w:pPr>
  </w:style>
  <w:style w:type="paragraph" w:styleId="40">
    <w:name w:val="List Bullet 4"/>
    <w:basedOn w:val="a1"/>
    <w:uiPriority w:val="99"/>
    <w:semiHidden/>
    <w:unhideWhenUsed/>
    <w:rsid w:val="00FD2669"/>
    <w:pPr>
      <w:numPr>
        <w:numId w:val="5"/>
      </w:numPr>
      <w:contextualSpacing/>
    </w:pPr>
  </w:style>
  <w:style w:type="paragraph" w:styleId="50">
    <w:name w:val="List Bullet 5"/>
    <w:basedOn w:val="a1"/>
    <w:uiPriority w:val="99"/>
    <w:semiHidden/>
    <w:unhideWhenUsed/>
    <w:rsid w:val="00FD2669"/>
    <w:pPr>
      <w:numPr>
        <w:numId w:val="6"/>
      </w:numPr>
      <w:contextualSpacing/>
    </w:pPr>
  </w:style>
  <w:style w:type="paragraph" w:styleId="afffc">
    <w:name w:val="List Continue"/>
    <w:basedOn w:val="a1"/>
    <w:uiPriority w:val="99"/>
    <w:semiHidden/>
    <w:unhideWhenUsed/>
    <w:rsid w:val="00FD2669"/>
    <w:pPr>
      <w:spacing w:after="120"/>
      <w:ind w:left="283"/>
      <w:contextualSpacing/>
    </w:pPr>
  </w:style>
  <w:style w:type="paragraph" w:styleId="2b">
    <w:name w:val="List Continue 2"/>
    <w:basedOn w:val="a1"/>
    <w:uiPriority w:val="99"/>
    <w:semiHidden/>
    <w:unhideWhenUsed/>
    <w:rsid w:val="00FD2669"/>
    <w:pPr>
      <w:spacing w:after="120"/>
      <w:ind w:left="566"/>
      <w:contextualSpacing/>
    </w:pPr>
  </w:style>
  <w:style w:type="paragraph" w:styleId="39">
    <w:name w:val="List Continue 3"/>
    <w:basedOn w:val="a1"/>
    <w:uiPriority w:val="99"/>
    <w:semiHidden/>
    <w:unhideWhenUsed/>
    <w:rsid w:val="00FD2669"/>
    <w:pPr>
      <w:spacing w:after="120"/>
      <w:ind w:left="849"/>
      <w:contextualSpacing/>
    </w:pPr>
  </w:style>
  <w:style w:type="paragraph" w:styleId="45">
    <w:name w:val="List Continue 4"/>
    <w:basedOn w:val="a1"/>
    <w:uiPriority w:val="99"/>
    <w:semiHidden/>
    <w:unhideWhenUsed/>
    <w:rsid w:val="00FD2669"/>
    <w:pPr>
      <w:spacing w:after="120"/>
      <w:ind w:left="1132"/>
      <w:contextualSpacing/>
    </w:pPr>
  </w:style>
  <w:style w:type="paragraph" w:styleId="55">
    <w:name w:val="List Continue 5"/>
    <w:basedOn w:val="a1"/>
    <w:uiPriority w:val="99"/>
    <w:semiHidden/>
    <w:unhideWhenUsed/>
    <w:rsid w:val="00FD2669"/>
    <w:pPr>
      <w:spacing w:after="120"/>
      <w:ind w:left="1415"/>
      <w:contextualSpacing/>
    </w:pPr>
  </w:style>
  <w:style w:type="paragraph" w:styleId="a">
    <w:name w:val="List Number"/>
    <w:basedOn w:val="a1"/>
    <w:uiPriority w:val="99"/>
    <w:semiHidden/>
    <w:unhideWhenUsed/>
    <w:rsid w:val="00FD2669"/>
    <w:pPr>
      <w:numPr>
        <w:numId w:val="7"/>
      </w:numPr>
      <w:contextualSpacing/>
    </w:pPr>
  </w:style>
  <w:style w:type="paragraph" w:styleId="2">
    <w:name w:val="List Number 2"/>
    <w:basedOn w:val="a1"/>
    <w:uiPriority w:val="99"/>
    <w:semiHidden/>
    <w:unhideWhenUsed/>
    <w:rsid w:val="00FD2669"/>
    <w:pPr>
      <w:numPr>
        <w:numId w:val="8"/>
      </w:numPr>
      <w:contextualSpacing/>
    </w:pPr>
  </w:style>
  <w:style w:type="paragraph" w:styleId="3">
    <w:name w:val="List Number 3"/>
    <w:basedOn w:val="a1"/>
    <w:uiPriority w:val="99"/>
    <w:semiHidden/>
    <w:unhideWhenUsed/>
    <w:rsid w:val="00FD2669"/>
    <w:pPr>
      <w:numPr>
        <w:numId w:val="9"/>
      </w:numPr>
      <w:contextualSpacing/>
    </w:pPr>
  </w:style>
  <w:style w:type="paragraph" w:styleId="4">
    <w:name w:val="List Number 4"/>
    <w:basedOn w:val="a1"/>
    <w:uiPriority w:val="99"/>
    <w:semiHidden/>
    <w:unhideWhenUsed/>
    <w:rsid w:val="00FD2669"/>
    <w:pPr>
      <w:numPr>
        <w:numId w:val="10"/>
      </w:numPr>
      <w:contextualSpacing/>
    </w:pPr>
  </w:style>
  <w:style w:type="paragraph" w:styleId="5">
    <w:name w:val="List Number 5"/>
    <w:basedOn w:val="a1"/>
    <w:uiPriority w:val="99"/>
    <w:semiHidden/>
    <w:unhideWhenUsed/>
    <w:rsid w:val="00FD2669"/>
    <w:pPr>
      <w:numPr>
        <w:numId w:val="11"/>
      </w:numPr>
      <w:contextualSpacing/>
    </w:pPr>
  </w:style>
  <w:style w:type="paragraph" w:styleId="afffd">
    <w:name w:val="macro"/>
    <w:link w:val="afffe"/>
    <w:uiPriority w:val="99"/>
    <w:semiHidden/>
    <w:unhideWhenUsed/>
    <w:rsid w:val="00FD26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新細明體" w:hAnsi="Consolas" w:cs="Times New Roman"/>
      <w:sz w:val="20"/>
      <w:szCs w:val="20"/>
      <w:lang w:eastAsia="zh-TW" w:bidi="en-US"/>
    </w:rPr>
  </w:style>
  <w:style w:type="character" w:customStyle="1" w:styleId="afffe">
    <w:name w:val="巨集文字 字元"/>
    <w:basedOn w:val="a2"/>
    <w:link w:val="afffd"/>
    <w:uiPriority w:val="99"/>
    <w:semiHidden/>
    <w:rsid w:val="00FD2669"/>
    <w:rPr>
      <w:rFonts w:ascii="Consolas" w:eastAsia="新細明體" w:hAnsi="Consolas" w:cs="Times New Roman"/>
      <w:sz w:val="20"/>
      <w:szCs w:val="20"/>
      <w:lang w:eastAsia="zh-TW" w:bidi="en-US"/>
    </w:rPr>
  </w:style>
  <w:style w:type="paragraph" w:styleId="affff">
    <w:name w:val="Message Header"/>
    <w:basedOn w:val="a1"/>
    <w:link w:val="affff0"/>
    <w:uiPriority w:val="99"/>
    <w:semiHidden/>
    <w:unhideWhenUsed/>
    <w:rsid w:val="00FD26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0">
    <w:name w:val="訊息欄位名稱 字元"/>
    <w:basedOn w:val="a2"/>
    <w:link w:val="affff"/>
    <w:uiPriority w:val="99"/>
    <w:semiHidden/>
    <w:rsid w:val="00FD2669"/>
    <w:rPr>
      <w:rFonts w:asciiTheme="majorHAnsi" w:eastAsiaTheme="majorEastAsia" w:hAnsiTheme="majorHAnsi" w:cstheme="majorBidi"/>
      <w:sz w:val="24"/>
      <w:szCs w:val="24"/>
      <w:shd w:val="pct20" w:color="auto" w:fill="auto"/>
      <w:lang w:eastAsia="zh-TW" w:bidi="en-US"/>
    </w:rPr>
  </w:style>
  <w:style w:type="paragraph" w:styleId="Web">
    <w:name w:val="Normal (Web)"/>
    <w:basedOn w:val="a1"/>
    <w:uiPriority w:val="99"/>
    <w:semiHidden/>
    <w:unhideWhenUsed/>
    <w:rsid w:val="00FD2669"/>
  </w:style>
  <w:style w:type="paragraph" w:styleId="affff1">
    <w:name w:val="Normal Indent"/>
    <w:basedOn w:val="a1"/>
    <w:uiPriority w:val="99"/>
    <w:semiHidden/>
    <w:unhideWhenUsed/>
    <w:rsid w:val="00FD2669"/>
    <w:pPr>
      <w:ind w:left="720"/>
    </w:pPr>
  </w:style>
  <w:style w:type="paragraph" w:styleId="affff2">
    <w:name w:val="Note Heading"/>
    <w:basedOn w:val="a1"/>
    <w:next w:val="a1"/>
    <w:link w:val="affff3"/>
    <w:uiPriority w:val="99"/>
    <w:semiHidden/>
    <w:unhideWhenUsed/>
    <w:rsid w:val="00FD2669"/>
  </w:style>
  <w:style w:type="character" w:customStyle="1" w:styleId="affff3">
    <w:name w:val="註釋標題 字元"/>
    <w:basedOn w:val="a2"/>
    <w:link w:val="affff2"/>
    <w:uiPriority w:val="99"/>
    <w:semiHidden/>
    <w:rsid w:val="00FD2669"/>
    <w:rPr>
      <w:rFonts w:ascii="Times New Roman" w:eastAsia="新細明體" w:hAnsi="Times New Roman" w:cs="Times New Roman"/>
      <w:sz w:val="24"/>
      <w:szCs w:val="24"/>
      <w:lang w:eastAsia="zh-TW" w:bidi="en-US"/>
    </w:rPr>
  </w:style>
  <w:style w:type="paragraph" w:styleId="affff4">
    <w:name w:val="Plain Text"/>
    <w:basedOn w:val="a1"/>
    <w:link w:val="affff5"/>
    <w:uiPriority w:val="99"/>
    <w:semiHidden/>
    <w:unhideWhenUsed/>
    <w:rsid w:val="00FD2669"/>
    <w:rPr>
      <w:rFonts w:ascii="Consolas" w:hAnsi="Consolas"/>
      <w:sz w:val="21"/>
      <w:szCs w:val="21"/>
    </w:rPr>
  </w:style>
  <w:style w:type="character" w:customStyle="1" w:styleId="affff5">
    <w:name w:val="純文字 字元"/>
    <w:basedOn w:val="a2"/>
    <w:link w:val="affff4"/>
    <w:uiPriority w:val="99"/>
    <w:semiHidden/>
    <w:rsid w:val="00FD2669"/>
    <w:rPr>
      <w:rFonts w:ascii="Consolas" w:eastAsia="新細明體" w:hAnsi="Consolas" w:cs="Times New Roman"/>
      <w:sz w:val="21"/>
      <w:szCs w:val="21"/>
      <w:lang w:eastAsia="zh-TW" w:bidi="en-US"/>
    </w:rPr>
  </w:style>
  <w:style w:type="paragraph" w:styleId="affff6">
    <w:name w:val="Salutation"/>
    <w:basedOn w:val="a1"/>
    <w:next w:val="a1"/>
    <w:link w:val="affff7"/>
    <w:uiPriority w:val="99"/>
    <w:semiHidden/>
    <w:unhideWhenUsed/>
    <w:rsid w:val="00FD2669"/>
  </w:style>
  <w:style w:type="character" w:customStyle="1" w:styleId="affff7">
    <w:name w:val="問候 字元"/>
    <w:basedOn w:val="a2"/>
    <w:link w:val="affff6"/>
    <w:uiPriority w:val="99"/>
    <w:semiHidden/>
    <w:rsid w:val="00FD2669"/>
    <w:rPr>
      <w:rFonts w:ascii="Times New Roman" w:eastAsia="新細明體" w:hAnsi="Times New Roman" w:cs="Times New Roman"/>
      <w:sz w:val="24"/>
      <w:szCs w:val="24"/>
      <w:lang w:eastAsia="zh-TW" w:bidi="en-US"/>
    </w:rPr>
  </w:style>
  <w:style w:type="paragraph" w:styleId="affff8">
    <w:name w:val="Signature"/>
    <w:basedOn w:val="a1"/>
    <w:link w:val="affff9"/>
    <w:uiPriority w:val="99"/>
    <w:semiHidden/>
    <w:unhideWhenUsed/>
    <w:rsid w:val="00FD2669"/>
    <w:pPr>
      <w:ind w:left="4252"/>
    </w:pPr>
  </w:style>
  <w:style w:type="character" w:customStyle="1" w:styleId="affff9">
    <w:name w:val="簽名 字元"/>
    <w:basedOn w:val="a2"/>
    <w:link w:val="affff8"/>
    <w:uiPriority w:val="99"/>
    <w:semiHidden/>
    <w:rsid w:val="00FD2669"/>
    <w:rPr>
      <w:rFonts w:ascii="Times New Roman" w:eastAsia="新細明體" w:hAnsi="Times New Roman" w:cs="Times New Roman"/>
      <w:sz w:val="24"/>
      <w:szCs w:val="24"/>
      <w:lang w:eastAsia="zh-TW" w:bidi="en-US"/>
    </w:rPr>
  </w:style>
  <w:style w:type="paragraph" w:styleId="affffa">
    <w:name w:val="table of authorities"/>
    <w:basedOn w:val="a1"/>
    <w:next w:val="a1"/>
    <w:uiPriority w:val="99"/>
    <w:semiHidden/>
    <w:unhideWhenUsed/>
    <w:rsid w:val="00FD2669"/>
    <w:pPr>
      <w:ind w:left="240" w:hanging="240"/>
    </w:pPr>
  </w:style>
  <w:style w:type="paragraph" w:styleId="affffb">
    <w:name w:val="table of figures"/>
    <w:basedOn w:val="a1"/>
    <w:next w:val="a1"/>
    <w:uiPriority w:val="99"/>
    <w:semiHidden/>
    <w:unhideWhenUsed/>
    <w:rsid w:val="00FD2669"/>
  </w:style>
  <w:style w:type="paragraph" w:styleId="affffc">
    <w:name w:val="toa heading"/>
    <w:basedOn w:val="a1"/>
    <w:next w:val="a1"/>
    <w:uiPriority w:val="99"/>
    <w:semiHidden/>
    <w:unhideWhenUsed/>
    <w:rsid w:val="00FD2669"/>
    <w:pPr>
      <w:spacing w:before="120"/>
    </w:pPr>
    <w:rPr>
      <w:rFonts w:asciiTheme="majorHAnsi" w:eastAsiaTheme="majorEastAsia" w:hAnsiTheme="majorHAnsi" w:cstheme="majorBidi"/>
      <w:b/>
      <w:bCs/>
    </w:rPr>
  </w:style>
  <w:style w:type="paragraph" w:styleId="12">
    <w:name w:val="toc 1"/>
    <w:basedOn w:val="a1"/>
    <w:next w:val="a1"/>
    <w:autoRedefine/>
    <w:uiPriority w:val="39"/>
    <w:semiHidden/>
    <w:unhideWhenUsed/>
    <w:rsid w:val="00FD2669"/>
    <w:pPr>
      <w:spacing w:after="100"/>
    </w:pPr>
  </w:style>
  <w:style w:type="paragraph" w:styleId="2c">
    <w:name w:val="toc 2"/>
    <w:basedOn w:val="a1"/>
    <w:next w:val="a1"/>
    <w:autoRedefine/>
    <w:uiPriority w:val="39"/>
    <w:semiHidden/>
    <w:unhideWhenUsed/>
    <w:rsid w:val="00FD2669"/>
    <w:pPr>
      <w:spacing w:after="100"/>
      <w:ind w:left="240"/>
    </w:pPr>
  </w:style>
  <w:style w:type="paragraph" w:styleId="3a">
    <w:name w:val="toc 3"/>
    <w:basedOn w:val="a1"/>
    <w:next w:val="a1"/>
    <w:autoRedefine/>
    <w:uiPriority w:val="39"/>
    <w:semiHidden/>
    <w:unhideWhenUsed/>
    <w:rsid w:val="00FD2669"/>
    <w:pPr>
      <w:spacing w:after="100"/>
      <w:ind w:left="480"/>
    </w:pPr>
  </w:style>
  <w:style w:type="paragraph" w:styleId="46">
    <w:name w:val="toc 4"/>
    <w:basedOn w:val="a1"/>
    <w:next w:val="a1"/>
    <w:autoRedefine/>
    <w:uiPriority w:val="39"/>
    <w:semiHidden/>
    <w:unhideWhenUsed/>
    <w:rsid w:val="00FD2669"/>
    <w:pPr>
      <w:spacing w:after="100"/>
      <w:ind w:left="720"/>
    </w:pPr>
  </w:style>
  <w:style w:type="paragraph" w:styleId="56">
    <w:name w:val="toc 5"/>
    <w:basedOn w:val="a1"/>
    <w:next w:val="a1"/>
    <w:autoRedefine/>
    <w:uiPriority w:val="39"/>
    <w:semiHidden/>
    <w:unhideWhenUsed/>
    <w:rsid w:val="00FD2669"/>
    <w:pPr>
      <w:spacing w:after="100"/>
      <w:ind w:left="960"/>
    </w:pPr>
  </w:style>
  <w:style w:type="paragraph" w:styleId="62">
    <w:name w:val="toc 6"/>
    <w:basedOn w:val="a1"/>
    <w:next w:val="a1"/>
    <w:autoRedefine/>
    <w:uiPriority w:val="39"/>
    <w:semiHidden/>
    <w:unhideWhenUsed/>
    <w:rsid w:val="00FD2669"/>
    <w:pPr>
      <w:spacing w:after="100"/>
      <w:ind w:left="1200"/>
    </w:pPr>
  </w:style>
  <w:style w:type="paragraph" w:styleId="72">
    <w:name w:val="toc 7"/>
    <w:basedOn w:val="a1"/>
    <w:next w:val="a1"/>
    <w:autoRedefine/>
    <w:uiPriority w:val="39"/>
    <w:semiHidden/>
    <w:unhideWhenUsed/>
    <w:rsid w:val="00FD2669"/>
    <w:pPr>
      <w:spacing w:after="100"/>
      <w:ind w:left="1440"/>
    </w:pPr>
  </w:style>
  <w:style w:type="paragraph" w:styleId="82">
    <w:name w:val="toc 8"/>
    <w:basedOn w:val="a1"/>
    <w:next w:val="a1"/>
    <w:autoRedefine/>
    <w:uiPriority w:val="39"/>
    <w:semiHidden/>
    <w:unhideWhenUsed/>
    <w:rsid w:val="00FD2669"/>
    <w:pPr>
      <w:spacing w:after="100"/>
      <w:ind w:left="1680"/>
    </w:pPr>
  </w:style>
  <w:style w:type="paragraph" w:styleId="92">
    <w:name w:val="toc 9"/>
    <w:basedOn w:val="a1"/>
    <w:next w:val="a1"/>
    <w:autoRedefine/>
    <w:uiPriority w:val="39"/>
    <w:semiHidden/>
    <w:unhideWhenUsed/>
    <w:rsid w:val="00FD2669"/>
    <w:pPr>
      <w:spacing w:after="100"/>
      <w:ind w:left="1920"/>
    </w:pPr>
  </w:style>
  <w:style w:type="paragraph" w:customStyle="1" w:styleId="affffd">
    <w:name w:val=":"/>
    <w:rsid w:val="00C82CE4"/>
    <w:pPr>
      <w:widowControl w:val="0"/>
      <w:tabs>
        <w:tab w:val="left" w:pos="480"/>
      </w:tabs>
      <w:adjustRightInd w:val="0"/>
      <w:spacing w:after="0" w:line="240" w:lineRule="auto"/>
      <w:jc w:val="both"/>
      <w:textAlignment w:val="baseline"/>
    </w:pPr>
    <w:rPr>
      <w:rFonts w:ascii="Times New Roman" w:eastAsia="細明體" w:hAnsi="Times New Roman" w:cs="Times New Roman"/>
      <w:spacing w:val="10"/>
      <w:sz w:val="24"/>
      <w:szCs w:val="20"/>
      <w:lang w:eastAsia="zh-TW"/>
    </w:rPr>
  </w:style>
  <w:style w:type="character" w:customStyle="1" w:styleId="hklmref1">
    <w:name w:val="hklm_ref1"/>
    <w:basedOn w:val="a2"/>
    <w:rsid w:val="00913C86"/>
    <w:rPr>
      <w:vanish w:val="0"/>
      <w:webHidden w:val="0"/>
      <w:vertAlign w:val="baseline"/>
      <w:specVanish w:val="0"/>
    </w:rPr>
  </w:style>
  <w:style w:type="character" w:customStyle="1" w:styleId="nowrap">
    <w:name w:val="nowrap"/>
    <w:basedOn w:val="a2"/>
    <w:rsid w:val="00913C86"/>
  </w:style>
  <w:style w:type="table" w:customStyle="1" w:styleId="TableGrid1">
    <w:name w:val="Table Grid1"/>
    <w:basedOn w:val="a3"/>
    <w:next w:val="aff7"/>
    <w:uiPriority w:val="59"/>
    <w:rsid w:val="007D5857"/>
    <w:pPr>
      <w:spacing w:after="0" w:line="240" w:lineRule="auto"/>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本文縮排 25"/>
    <w:basedOn w:val="a1"/>
    <w:rsid w:val="00811C5D"/>
    <w:pPr>
      <w:overflowPunct w:val="0"/>
      <w:autoSpaceDE w:val="0"/>
      <w:autoSpaceDN w:val="0"/>
      <w:adjustRightInd w:val="0"/>
      <w:ind w:left="720" w:hanging="720"/>
      <w:jc w:val="both"/>
      <w:textAlignment w:val="baseline"/>
    </w:pPr>
    <w:rPr>
      <w:szCs w:val="20"/>
      <w:lang w:val="en-GB" w:bidi="ar-SA"/>
    </w:rPr>
  </w:style>
  <w:style w:type="paragraph" w:styleId="affffe">
    <w:name w:val="Revision"/>
    <w:hidden/>
    <w:uiPriority w:val="99"/>
    <w:semiHidden/>
    <w:rsid w:val="00A50C15"/>
    <w:pPr>
      <w:spacing w:after="0" w:line="240" w:lineRule="auto"/>
    </w:pPr>
    <w:rPr>
      <w:rFonts w:ascii="Times New Roman" w:eastAsia="新細明體" w:hAnsi="Times New Roman" w:cs="Times New Roman"/>
      <w:sz w:val="24"/>
      <w:szCs w:val="24"/>
      <w:lang w:eastAsia="zh-TW"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B794-A362-4E92-8754-AC5A31CC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3174</Words>
  <Characters>18093</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PS CHEUNG </cp:lastModifiedBy>
  <cp:revision>8</cp:revision>
  <cp:lastPrinted>2022-07-11T06:22:00Z</cp:lastPrinted>
  <dcterms:created xsi:type="dcterms:W3CDTF">2022-07-08T11:25:00Z</dcterms:created>
  <dcterms:modified xsi:type="dcterms:W3CDTF">2022-07-25T03:00:00Z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