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0032D" w14:textId="77777777" w:rsidR="00532A38" w:rsidRPr="00532A38" w:rsidRDefault="00532A38" w:rsidP="0046026A">
      <w:pPr>
        <w:pStyle w:val="ae"/>
        <w:tabs>
          <w:tab w:val="left" w:pos="1276"/>
        </w:tabs>
        <w:rPr>
          <w:rFonts w:ascii="Times New Roman" w:eastAsia="華康楷書體W5" w:hAnsi="Times New Roman"/>
          <w:szCs w:val="24"/>
        </w:rPr>
      </w:pPr>
      <w:r w:rsidRPr="00532A38">
        <w:rPr>
          <w:rFonts w:ascii="Times New Roman" w:eastAsia="華康楷書體W5" w:hAnsi="Times New Roman"/>
          <w:szCs w:val="24"/>
        </w:rPr>
        <w:t>Case No. D16</w:t>
      </w:r>
      <w:r w:rsidRPr="00532A38">
        <w:rPr>
          <w:rFonts w:ascii="Times New Roman" w:eastAsia="華康楷書體W5" w:hAnsi="Times New Roman"/>
          <w:szCs w:val="24"/>
          <w:lang w:eastAsia="zh-HK"/>
        </w:rPr>
        <w:t>/18</w:t>
      </w:r>
    </w:p>
    <w:p w14:paraId="42C6B34F"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rPr>
      </w:pPr>
    </w:p>
    <w:p w14:paraId="5BD9AEFF"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rPr>
      </w:pPr>
    </w:p>
    <w:p w14:paraId="491B498C" w14:textId="5DBFC120" w:rsidR="00532A38" w:rsidRDefault="00532A38" w:rsidP="0046026A">
      <w:pPr>
        <w:overflowPunct w:val="0"/>
        <w:spacing w:after="0" w:line="240" w:lineRule="auto"/>
        <w:jc w:val="both"/>
        <w:rPr>
          <w:rFonts w:ascii="Times New Roman" w:eastAsia="華康楷書體W5" w:hAnsi="Times New Roman" w:cs="Times New Roman"/>
          <w:sz w:val="24"/>
          <w:szCs w:val="24"/>
        </w:rPr>
      </w:pPr>
    </w:p>
    <w:p w14:paraId="2060C22B" w14:textId="77777777" w:rsidR="00EE12D2" w:rsidRPr="00532A38" w:rsidRDefault="00EE12D2" w:rsidP="0046026A">
      <w:pPr>
        <w:overflowPunct w:val="0"/>
        <w:spacing w:after="0" w:line="240" w:lineRule="auto"/>
        <w:jc w:val="both"/>
        <w:rPr>
          <w:rFonts w:ascii="Times New Roman" w:eastAsia="華康楷書體W5" w:hAnsi="Times New Roman" w:cs="Times New Roman"/>
          <w:sz w:val="24"/>
          <w:szCs w:val="24"/>
        </w:rPr>
      </w:pPr>
    </w:p>
    <w:p w14:paraId="36E162B1" w14:textId="1679DAA3" w:rsidR="00532A38"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rPr>
      </w:pPr>
      <w:r w:rsidRPr="00EE12D2">
        <w:rPr>
          <w:rFonts w:ascii="Times New Roman" w:eastAsia="華康楷書體W5" w:hAnsi="Times New Roman" w:cs="Times New Roman"/>
          <w:b/>
          <w:sz w:val="24"/>
          <w:szCs w:val="24"/>
        </w:rPr>
        <w:t>Profits tax</w:t>
      </w:r>
      <w:r w:rsidRPr="00EE12D2">
        <w:rPr>
          <w:rFonts w:ascii="Times New Roman" w:eastAsia="華康楷書體W5" w:hAnsi="Times New Roman" w:cs="Times New Roman"/>
          <w:sz w:val="24"/>
          <w:szCs w:val="24"/>
        </w:rPr>
        <w:t xml:space="preserve"> – import processing – form of transactions – lease of machinery – sections 2, 14, 16(1), 16G, 17(1), 18F, 39B and 39E</w:t>
      </w:r>
      <w:r w:rsidR="00C54621">
        <w:rPr>
          <w:rFonts w:ascii="Times New Roman" w:eastAsia="華康楷書體W5" w:hAnsi="Times New Roman" w:cs="Times New Roman"/>
          <w:sz w:val="24"/>
          <w:szCs w:val="24"/>
        </w:rPr>
        <w:t xml:space="preserve"> </w:t>
      </w:r>
      <w:r w:rsidRPr="00EE12D2">
        <w:rPr>
          <w:rFonts w:ascii="Times New Roman" w:eastAsia="華康楷書體W5" w:hAnsi="Times New Roman" w:cs="Times New Roman"/>
          <w:sz w:val="24"/>
          <w:szCs w:val="24"/>
        </w:rPr>
        <w:t>of the Inland Revenue Ordinance</w:t>
      </w:r>
    </w:p>
    <w:p w14:paraId="620E6FBE" w14:textId="5EE1BF1D"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rPr>
      </w:pPr>
    </w:p>
    <w:p w14:paraId="156D9561" w14:textId="0F121BEC"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rPr>
      </w:pPr>
      <w:r w:rsidRPr="00EE12D2">
        <w:rPr>
          <w:rFonts w:ascii="Times New Roman" w:eastAsia="華康楷書體W5" w:hAnsi="Times New Roman" w:cs="Times New Roman"/>
          <w:b/>
          <w:sz w:val="24"/>
          <w:szCs w:val="24"/>
        </w:rPr>
        <w:t>Costs</w:t>
      </w:r>
      <w:r w:rsidRPr="00EE12D2">
        <w:rPr>
          <w:rFonts w:ascii="Times New Roman" w:eastAsia="華康楷書體W5" w:hAnsi="Times New Roman" w:cs="Times New Roman"/>
          <w:sz w:val="24"/>
          <w:szCs w:val="24"/>
        </w:rPr>
        <w:t xml:space="preserve"> – unreasonably wrong accusations – produce irrelevant documents and witnesses</w:t>
      </w:r>
    </w:p>
    <w:p w14:paraId="44C5F231" w14:textId="77777777" w:rsidR="00EE12D2" w:rsidRPr="00532A38"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rPr>
      </w:pPr>
    </w:p>
    <w:p w14:paraId="7F93EA2D" w14:textId="77777777" w:rsidR="00532A38" w:rsidRPr="00532A38" w:rsidRDefault="00532A38" w:rsidP="0046026A">
      <w:pPr>
        <w:tabs>
          <w:tab w:val="left" w:pos="840"/>
          <w:tab w:val="left" w:pos="1276"/>
        </w:tabs>
        <w:overflowPunct w:val="0"/>
        <w:spacing w:after="0" w:line="240" w:lineRule="auto"/>
        <w:ind w:left="720" w:hangingChars="300" w:hanging="720"/>
        <w:jc w:val="both"/>
        <w:rPr>
          <w:rFonts w:ascii="Times New Roman" w:eastAsia="華康楷書體W5" w:hAnsi="Times New Roman" w:cs="Times New Roman"/>
          <w:sz w:val="24"/>
          <w:szCs w:val="24"/>
        </w:rPr>
      </w:pPr>
      <w:r w:rsidRPr="00532A38">
        <w:rPr>
          <w:rFonts w:ascii="Times New Roman" w:eastAsia="華康楷書體W5" w:hAnsi="Times New Roman" w:cs="Times New Roman"/>
          <w:sz w:val="24"/>
          <w:szCs w:val="24"/>
        </w:rPr>
        <w:t xml:space="preserve">Panel: </w:t>
      </w:r>
      <w:r w:rsidRPr="00532A38">
        <w:rPr>
          <w:rFonts w:ascii="Times New Roman" w:eastAsia="華康楷書體W5" w:hAnsi="Times New Roman" w:cs="Times New Roman"/>
          <w:sz w:val="24"/>
          <w:szCs w:val="24"/>
          <w:lang w:eastAsia="zh-HK"/>
        </w:rPr>
        <w:t>William M F Wong SC</w:t>
      </w:r>
      <w:r w:rsidRPr="00532A38">
        <w:rPr>
          <w:rFonts w:ascii="Times New Roman" w:eastAsia="華康楷書體W5" w:hAnsi="Times New Roman" w:cs="Times New Roman"/>
          <w:sz w:val="24"/>
          <w:szCs w:val="24"/>
        </w:rPr>
        <w:t xml:space="preserve"> (chairm</w:t>
      </w:r>
      <w:r w:rsidRPr="00532A38">
        <w:rPr>
          <w:rFonts w:ascii="Times New Roman" w:eastAsia="華康楷書體W5" w:hAnsi="Times New Roman" w:cs="Times New Roman"/>
          <w:sz w:val="24"/>
          <w:szCs w:val="24"/>
          <w:lang w:eastAsia="zh-HK"/>
        </w:rPr>
        <w:t>an), Hau Pak Sun and Stephen Suen Man Tak.</w:t>
      </w:r>
    </w:p>
    <w:p w14:paraId="688BC44B" w14:textId="77777777" w:rsidR="00532A38" w:rsidRPr="00532A38" w:rsidRDefault="00532A38" w:rsidP="0046026A">
      <w:pPr>
        <w:tabs>
          <w:tab w:val="left" w:pos="840"/>
          <w:tab w:val="left" w:pos="1276"/>
        </w:tabs>
        <w:overflowPunct w:val="0"/>
        <w:spacing w:after="0" w:line="240" w:lineRule="auto"/>
        <w:jc w:val="both"/>
        <w:rPr>
          <w:rFonts w:ascii="Times New Roman" w:eastAsia="華康楷書體W5" w:hAnsi="Times New Roman" w:cs="Times New Roman"/>
          <w:sz w:val="24"/>
          <w:szCs w:val="24"/>
        </w:rPr>
      </w:pPr>
    </w:p>
    <w:p w14:paraId="54F66C81" w14:textId="202811B4" w:rsidR="00532A38" w:rsidRPr="00532A38" w:rsidRDefault="00532A38" w:rsidP="0046026A">
      <w:pPr>
        <w:tabs>
          <w:tab w:val="left" w:pos="840"/>
          <w:tab w:val="left" w:pos="1276"/>
        </w:tabs>
        <w:overflowPunct w:val="0"/>
        <w:spacing w:after="0" w:line="240" w:lineRule="auto"/>
        <w:jc w:val="both"/>
        <w:rPr>
          <w:rFonts w:ascii="Times New Roman" w:eastAsia="華康楷書體W5" w:hAnsi="Times New Roman" w:cs="Times New Roman"/>
          <w:sz w:val="24"/>
          <w:szCs w:val="24"/>
        </w:rPr>
      </w:pPr>
      <w:r w:rsidRPr="00532A38">
        <w:rPr>
          <w:rFonts w:ascii="Times New Roman" w:eastAsia="華康楷書體W5" w:hAnsi="Times New Roman" w:cs="Times New Roman"/>
          <w:sz w:val="24"/>
          <w:szCs w:val="24"/>
        </w:rPr>
        <w:t>Date</w:t>
      </w:r>
      <w:r w:rsidR="00F03E23">
        <w:rPr>
          <w:rFonts w:ascii="Times New Roman" w:eastAsia="華康楷書體W5" w:hAnsi="Times New Roman" w:cs="Times New Roman"/>
          <w:sz w:val="24"/>
          <w:szCs w:val="24"/>
        </w:rPr>
        <w:t>s</w:t>
      </w:r>
      <w:r w:rsidRPr="00532A38">
        <w:rPr>
          <w:rFonts w:ascii="Times New Roman" w:eastAsia="華康楷書體W5" w:hAnsi="Times New Roman" w:cs="Times New Roman"/>
          <w:sz w:val="24"/>
          <w:szCs w:val="24"/>
        </w:rPr>
        <w:t xml:space="preserve"> of hearing: 6-27 October and 30-31 October 2017</w:t>
      </w:r>
      <w:r w:rsidRPr="00532A38">
        <w:rPr>
          <w:rFonts w:ascii="Times New Roman" w:hAnsi="Times New Roman" w:cs="Times New Roman"/>
          <w:sz w:val="24"/>
          <w:szCs w:val="24"/>
        </w:rPr>
        <w:t>.</w:t>
      </w:r>
    </w:p>
    <w:p w14:paraId="0CAD62FD" w14:textId="77777777" w:rsidR="00532A38" w:rsidRPr="00532A38" w:rsidRDefault="00532A38" w:rsidP="0046026A">
      <w:pPr>
        <w:tabs>
          <w:tab w:val="left" w:pos="840"/>
          <w:tab w:val="left" w:pos="1276"/>
        </w:tabs>
        <w:overflowPunct w:val="0"/>
        <w:spacing w:after="0" w:line="240" w:lineRule="auto"/>
        <w:jc w:val="both"/>
        <w:rPr>
          <w:rFonts w:ascii="Times New Roman" w:eastAsia="華康楷書體W5" w:hAnsi="Times New Roman" w:cs="Times New Roman"/>
          <w:sz w:val="24"/>
          <w:szCs w:val="24"/>
        </w:rPr>
      </w:pPr>
      <w:r w:rsidRPr="00532A38">
        <w:rPr>
          <w:rFonts w:ascii="Times New Roman" w:eastAsia="華康楷書體W5" w:hAnsi="Times New Roman" w:cs="Times New Roman"/>
          <w:sz w:val="24"/>
          <w:szCs w:val="24"/>
        </w:rPr>
        <w:t>Date of decision: 27 November 2018</w:t>
      </w:r>
      <w:r w:rsidRPr="00532A38">
        <w:rPr>
          <w:rFonts w:ascii="Times New Roman" w:hAnsi="Times New Roman" w:cs="Times New Roman"/>
          <w:sz w:val="24"/>
          <w:szCs w:val="24"/>
        </w:rPr>
        <w:t>.</w:t>
      </w:r>
    </w:p>
    <w:p w14:paraId="72BB3A61" w14:textId="77777777" w:rsidR="00532A38" w:rsidRPr="00532A38" w:rsidRDefault="00532A38" w:rsidP="0046026A">
      <w:pPr>
        <w:tabs>
          <w:tab w:val="left" w:pos="840"/>
          <w:tab w:val="left" w:pos="1276"/>
        </w:tabs>
        <w:overflowPunct w:val="0"/>
        <w:spacing w:after="0" w:line="240" w:lineRule="auto"/>
        <w:jc w:val="both"/>
        <w:rPr>
          <w:rFonts w:ascii="Times New Roman" w:eastAsia="華康楷書體W5" w:hAnsi="Times New Roman" w:cs="Times New Roman"/>
          <w:sz w:val="24"/>
          <w:szCs w:val="24"/>
          <w:lang w:eastAsia="zh-HK"/>
        </w:rPr>
      </w:pPr>
    </w:p>
    <w:p w14:paraId="13BB9D77" w14:textId="77777777" w:rsidR="00532A38" w:rsidRPr="00532A38" w:rsidRDefault="00532A38" w:rsidP="0046026A">
      <w:pPr>
        <w:tabs>
          <w:tab w:val="left" w:pos="840"/>
          <w:tab w:val="left" w:pos="1276"/>
        </w:tabs>
        <w:overflowPunct w:val="0"/>
        <w:spacing w:after="0" w:line="240" w:lineRule="auto"/>
        <w:jc w:val="both"/>
        <w:rPr>
          <w:rFonts w:ascii="Times New Roman" w:eastAsia="華康楷書體W5" w:hAnsi="Times New Roman" w:cs="Times New Roman"/>
          <w:sz w:val="24"/>
          <w:szCs w:val="24"/>
          <w:lang w:eastAsia="zh-HK"/>
        </w:rPr>
      </w:pPr>
    </w:p>
    <w:p w14:paraId="1F94AC62" w14:textId="060734C6" w:rsidR="00532A38" w:rsidRDefault="00EE12D2" w:rsidP="00EE12D2">
      <w:pPr>
        <w:overflowPunct w:val="0"/>
        <w:spacing w:after="0" w:line="240" w:lineRule="auto"/>
        <w:ind w:firstLineChars="450" w:firstLine="1080"/>
        <w:jc w:val="both"/>
        <w:rPr>
          <w:rFonts w:ascii="Times New Roman" w:eastAsia="華康楷書體W5" w:hAnsi="Times New Roman" w:cs="Times New Roman"/>
          <w:sz w:val="24"/>
          <w:szCs w:val="24"/>
          <w:lang w:eastAsia="zh-HK"/>
        </w:rPr>
      </w:pPr>
      <w:r w:rsidRPr="00EE12D2">
        <w:rPr>
          <w:rFonts w:ascii="Times New Roman" w:eastAsia="華康楷書體W5" w:hAnsi="Times New Roman" w:cs="Times New Roman"/>
          <w:sz w:val="24"/>
          <w:szCs w:val="24"/>
          <w:lang w:eastAsia="zh-HK"/>
        </w:rPr>
        <w:t>The taxpayer was a private company incorporated in Hong Kong in the business of trading cards and credit cards by adopting the mode of ‘labour and materials inclusive’ or ‘using materials provided by customers’. The taxpayer set up a wholly-owned subsidiary in PRC which maintained a factory in Shenzhen for production and manufacturing card products for the taxpayer through operating in the mode of import processing. The taxpayer would mark up the price of the raw materials it purchased and sell them to the factory for manufacturing purpose. The PRC Subsidiary would sell the finished products to the taxpayer at a profit. All the machinery and equipment purchased by the taxpayer were delivered to the factory for manufacturing of card products. The taxpayer charged the factory rent for the use of such machinery and equipment. The taxpayer’s Profits Tax Assessments were assessed with adjustments on the taxpayer’s claimed offshore profit, depreciation allowance and hire-purchase interest expenses for machinery and equipment and insurance expense. The taxpayer objected and contended that (1) given the business nature, it should be allowed to have its assessable profits to be apportioned on a 50:50 basis as part of its profits was derived from outside Hong Kong; (2) the capital expenditures incurred in respect of the machinery and equipment which were directly owned by the taxpayer but were actually operated and used as ‘tax-bonded imported equipment’ by the factory should be entitled to depreciation allowance and deductions; and (3) it should be entitled to claim deduction of hire-purchase interest of the machinery and equipment. The taxpayer argued that (1) it had not engaged in the business of trading but in manufacturing of card products together with the PRC Subsidiary through import processing which requirement of sale and purchase transactions between the two companies were merely formalities on paper and not reflective of the actual practice between them as there were no genuine sale and purchase transactions; and (2) as the machinery and equipment were delivered to the factory under ‘tax-bonded arrangement’, the PRC Subsidiary had ‘no freedom, no entitlement and therefore no right’ to use the machinery and equipment and therefore the PRC Subsidiary had not been granted the right to use of those and that the machinery and equipment were not ‘fixed asset in which any person holds rights as a lessee under a lease’ and were therefore not ‘excluded fixed asset’ under the meaning of section 16G of IRO and therefore capital expenditure were qualified for the Section 16G Deductions.</w:t>
      </w:r>
    </w:p>
    <w:p w14:paraId="4E22647E" w14:textId="1876020E" w:rsidR="00EE12D2" w:rsidRPr="00EE12D2" w:rsidRDefault="00EE12D2" w:rsidP="00EE12D2">
      <w:pPr>
        <w:overflowPunct w:val="0"/>
        <w:spacing w:after="0" w:line="240" w:lineRule="auto"/>
        <w:ind w:firstLineChars="450" w:firstLine="1080"/>
        <w:jc w:val="both"/>
        <w:rPr>
          <w:rFonts w:ascii="Times New Roman" w:eastAsia="華康楷書體W5" w:hAnsi="Times New Roman" w:cs="Times New Roman"/>
          <w:sz w:val="24"/>
          <w:szCs w:val="24"/>
          <w:lang w:eastAsia="zh-HK"/>
        </w:rPr>
      </w:pPr>
    </w:p>
    <w:p w14:paraId="25A5F063" w14:textId="77777777" w:rsidR="00532A38" w:rsidRPr="00EE12D2" w:rsidRDefault="00532A38" w:rsidP="00EE12D2">
      <w:pPr>
        <w:tabs>
          <w:tab w:val="left" w:pos="840"/>
          <w:tab w:val="left" w:pos="1276"/>
        </w:tabs>
        <w:overflowPunct w:val="0"/>
        <w:spacing w:after="0" w:line="240" w:lineRule="auto"/>
        <w:jc w:val="both"/>
        <w:rPr>
          <w:rFonts w:ascii="Times New Roman" w:eastAsia="華康楷書體W5" w:hAnsi="Times New Roman" w:cs="Times New Roman"/>
          <w:sz w:val="24"/>
          <w:szCs w:val="24"/>
          <w:lang w:eastAsia="zh-HK"/>
        </w:rPr>
      </w:pPr>
    </w:p>
    <w:p w14:paraId="3F7B770D" w14:textId="6DE6AC53" w:rsidR="00EE12D2" w:rsidRPr="00EE12D2" w:rsidRDefault="00EE12D2" w:rsidP="00EE12D2">
      <w:pPr>
        <w:spacing w:after="0" w:line="240" w:lineRule="auto"/>
        <w:ind w:leftChars="450" w:left="990"/>
        <w:jc w:val="both"/>
        <w:rPr>
          <w:rFonts w:ascii="Times New Roman" w:hAnsi="Times New Roman" w:cs="Times New Roman"/>
          <w:b/>
          <w:sz w:val="24"/>
          <w:szCs w:val="24"/>
        </w:rPr>
      </w:pPr>
      <w:r w:rsidRPr="00EE12D2">
        <w:rPr>
          <w:rFonts w:ascii="Times New Roman" w:hAnsi="Times New Roman" w:cs="Times New Roman"/>
          <w:b/>
          <w:sz w:val="24"/>
          <w:szCs w:val="24"/>
        </w:rPr>
        <w:t>Held:</w:t>
      </w:r>
    </w:p>
    <w:p w14:paraId="4CDA4DC7" w14:textId="77777777" w:rsidR="00EE12D2" w:rsidRPr="00EE12D2" w:rsidRDefault="00EE12D2" w:rsidP="00EE12D2">
      <w:pPr>
        <w:spacing w:after="0" w:line="240" w:lineRule="auto"/>
        <w:ind w:left="720"/>
        <w:jc w:val="both"/>
        <w:rPr>
          <w:rFonts w:ascii="Times New Roman" w:hAnsi="Times New Roman" w:cs="Times New Roman"/>
          <w:sz w:val="24"/>
          <w:szCs w:val="24"/>
        </w:rPr>
      </w:pPr>
    </w:p>
    <w:p w14:paraId="7E9314D2" w14:textId="64B79A66" w:rsid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The Board agreed that the Inland Revenue Department is entitled to rely on the practice of taking the form of transactions over their substance in assessment of tax. Since it is clear that the taxpayer had arranged its business transactions with the PRC Subsidiary in such a way to obtain tax-benefit from the Mainland authorities, the taxpayer should likewise be taxed in Hong Kong on the basis of the same transactions. The Board found that according to the contemporaneous documentary evidence produced, there were genuine sale and purchase between the Appellant and the PRC Subsidiary as part of the ‘import processing’. The profit-producing transactions of the taxpayer were the purchase from the PRC Subsidiary and subsequent sale by the taxpayer, and these profit-producing transactions took place in Hong Kong.</w:t>
      </w:r>
    </w:p>
    <w:p w14:paraId="72AB1FFB" w14:textId="77777777" w:rsidR="00EE12D2" w:rsidRPr="00EE12D2" w:rsidRDefault="00EE12D2" w:rsidP="00EE12D2">
      <w:pPr>
        <w:spacing w:after="0" w:line="240" w:lineRule="auto"/>
        <w:ind w:left="1470"/>
        <w:jc w:val="both"/>
        <w:rPr>
          <w:rFonts w:ascii="Times New Roman" w:hAnsi="Times New Roman" w:cs="Times New Roman"/>
          <w:sz w:val="24"/>
          <w:szCs w:val="24"/>
        </w:rPr>
      </w:pPr>
    </w:p>
    <w:p w14:paraId="6B92BA17" w14:textId="3B36C891" w:rsid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Even if the Board were wrong in finding that there were genuine sale and purchase transactions between the taxpayer and the PRC Subsidiary, the Board ruled that whether there were genuine sale and purchase transactions between the taxpayer and the PRC Subsidiary for the raw materials and the manufactured products was irrelevant, because the Board only had to consider, more narrowly, what the taxpayer itself had done to produce those profits. It was clear from the evidence that it was the PRC Subsidiary, and not the taxpayer, that manufactured the card products, any activities of the taxpayer in relation to the process of manufacturing the card products were simply antecedent or incidental to the taxpayer’s profit-producing transactions in Hong Kong. It was clear that the taxpayer’s profit was derived from the price difference between the sale to third party customer and the acquisition of the finished good from the PRC Subsidiary.</w:t>
      </w:r>
    </w:p>
    <w:p w14:paraId="3FB94282" w14:textId="77777777" w:rsidR="00EE12D2" w:rsidRPr="00EE12D2" w:rsidRDefault="00EE12D2" w:rsidP="00EE12D2">
      <w:pPr>
        <w:spacing w:after="0" w:line="240" w:lineRule="auto"/>
        <w:ind w:left="1470"/>
        <w:jc w:val="both"/>
        <w:rPr>
          <w:rFonts w:ascii="Times New Roman" w:hAnsi="Times New Roman" w:cs="Times New Roman"/>
          <w:sz w:val="24"/>
          <w:szCs w:val="24"/>
        </w:rPr>
      </w:pPr>
    </w:p>
    <w:p w14:paraId="76FA03A8" w14:textId="10A8EA72" w:rsid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There was no evidence before the Board that the PRC Subsidiary had ‘no freedom, no entitlement and therefore no right’ to use the machinery and equipment. Indeed, the machinery and equipment were delivered to the PRC Subsidiary for its use. The taxpayer’s argument was s</w:t>
      </w:r>
      <w:r>
        <w:rPr>
          <w:rFonts w:ascii="Times New Roman" w:hAnsi="Times New Roman" w:cs="Times New Roman"/>
          <w:sz w:val="24"/>
          <w:szCs w:val="24"/>
        </w:rPr>
        <w:t>imply wrong as a matter of law.</w:t>
      </w:r>
    </w:p>
    <w:p w14:paraId="1C946ACF" w14:textId="77777777" w:rsidR="00EE12D2" w:rsidRPr="00EE12D2" w:rsidRDefault="00EE12D2" w:rsidP="00EE12D2">
      <w:pPr>
        <w:spacing w:after="0" w:line="240" w:lineRule="auto"/>
        <w:ind w:left="1470"/>
        <w:jc w:val="both"/>
        <w:rPr>
          <w:rFonts w:ascii="Times New Roman" w:hAnsi="Times New Roman" w:cs="Times New Roman"/>
          <w:sz w:val="24"/>
          <w:szCs w:val="24"/>
        </w:rPr>
      </w:pPr>
    </w:p>
    <w:p w14:paraId="706B353F" w14:textId="73ADC70D" w:rsid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It should be noted that the definition of ‘lease’ in s</w:t>
      </w:r>
      <w:r>
        <w:rPr>
          <w:rFonts w:ascii="Times New Roman" w:hAnsi="Times New Roman" w:cs="Times New Roman"/>
          <w:sz w:val="24"/>
          <w:szCs w:val="24"/>
        </w:rPr>
        <w:t xml:space="preserve">ection </w:t>
      </w:r>
      <w:r w:rsidRPr="00EE12D2">
        <w:rPr>
          <w:rFonts w:ascii="Times New Roman" w:hAnsi="Times New Roman" w:cs="Times New Roman"/>
          <w:sz w:val="24"/>
          <w:szCs w:val="24"/>
        </w:rPr>
        <w:t>2(1) of the IRO involves a wider concept of a ‘lease’ than the concept as commonly understood under the general law. As long as arrangement was made under which a right to use the machinery and equipment was granted by the owner to another party, the machinery and equipment could be subject to a ‘lease’ under the meaning of s</w:t>
      </w:r>
      <w:r>
        <w:rPr>
          <w:rFonts w:ascii="Times New Roman" w:hAnsi="Times New Roman" w:cs="Times New Roman"/>
          <w:sz w:val="24"/>
          <w:szCs w:val="24"/>
        </w:rPr>
        <w:t xml:space="preserve">ection </w:t>
      </w:r>
      <w:r w:rsidRPr="00EE12D2">
        <w:rPr>
          <w:rFonts w:ascii="Times New Roman" w:hAnsi="Times New Roman" w:cs="Times New Roman"/>
          <w:sz w:val="24"/>
          <w:szCs w:val="24"/>
        </w:rPr>
        <w:t>2 of the IRO. It was never disputed by the taxpayer that the PRC Subsidiary had the right to use the machinery and equipment to manufacture card products for the taxpayer, the machinery and equipment could be subject to a ‘lease’ under the meaning of s</w:t>
      </w:r>
      <w:r>
        <w:rPr>
          <w:rFonts w:ascii="Times New Roman" w:hAnsi="Times New Roman" w:cs="Times New Roman"/>
          <w:sz w:val="24"/>
          <w:szCs w:val="24"/>
        </w:rPr>
        <w:t xml:space="preserve">ection </w:t>
      </w:r>
      <w:r w:rsidRPr="00EE12D2">
        <w:rPr>
          <w:rFonts w:ascii="Times New Roman" w:hAnsi="Times New Roman" w:cs="Times New Roman"/>
          <w:sz w:val="24"/>
          <w:szCs w:val="24"/>
        </w:rPr>
        <w:t xml:space="preserve">2 of the IRO, and therefore were ‘excluded fixed asset’ under the </w:t>
      </w:r>
      <w:r w:rsidRPr="00EE12D2">
        <w:rPr>
          <w:rFonts w:ascii="Times New Roman" w:hAnsi="Times New Roman" w:cs="Times New Roman"/>
          <w:sz w:val="24"/>
          <w:szCs w:val="24"/>
        </w:rPr>
        <w:lastRenderedPageBreak/>
        <w:t>meaning of s</w:t>
      </w:r>
      <w:r>
        <w:rPr>
          <w:rFonts w:ascii="Times New Roman" w:hAnsi="Times New Roman" w:cs="Times New Roman"/>
          <w:sz w:val="24"/>
          <w:szCs w:val="24"/>
        </w:rPr>
        <w:t xml:space="preserve">ection </w:t>
      </w:r>
      <w:r w:rsidRPr="00EE12D2">
        <w:rPr>
          <w:rFonts w:ascii="Times New Roman" w:hAnsi="Times New Roman" w:cs="Times New Roman"/>
          <w:sz w:val="24"/>
          <w:szCs w:val="24"/>
        </w:rPr>
        <w:t>16G of the IRO and therefore their capital expenditure were not qualified for the s</w:t>
      </w:r>
      <w:r>
        <w:rPr>
          <w:rFonts w:ascii="Times New Roman" w:hAnsi="Times New Roman" w:cs="Times New Roman"/>
          <w:sz w:val="24"/>
          <w:szCs w:val="24"/>
        </w:rPr>
        <w:t xml:space="preserve">ection </w:t>
      </w:r>
      <w:r w:rsidRPr="00EE12D2">
        <w:rPr>
          <w:rFonts w:ascii="Times New Roman" w:hAnsi="Times New Roman" w:cs="Times New Roman"/>
          <w:sz w:val="24"/>
          <w:szCs w:val="24"/>
        </w:rPr>
        <w:t>16G deductions.</w:t>
      </w:r>
    </w:p>
    <w:p w14:paraId="1C00ECCA" w14:textId="77777777" w:rsidR="00EE12D2" w:rsidRPr="00EE12D2" w:rsidRDefault="00EE12D2" w:rsidP="00EE12D2">
      <w:pPr>
        <w:spacing w:after="0" w:line="240" w:lineRule="auto"/>
        <w:ind w:left="1470"/>
        <w:jc w:val="both"/>
        <w:rPr>
          <w:rFonts w:ascii="Times New Roman" w:hAnsi="Times New Roman" w:cs="Times New Roman"/>
          <w:sz w:val="24"/>
          <w:szCs w:val="24"/>
        </w:rPr>
      </w:pPr>
    </w:p>
    <w:p w14:paraId="5BE69D68" w14:textId="61F4E463" w:rsid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As the manufacturing activities were that of the PRC Subsidiary, the hire purchase interest incurred were not expenses incurred for the production of the taxpayer’s own profits and should not be qualified for deduction under s</w:t>
      </w:r>
      <w:r>
        <w:rPr>
          <w:rFonts w:ascii="Times New Roman" w:hAnsi="Times New Roman" w:cs="Times New Roman"/>
          <w:sz w:val="24"/>
          <w:szCs w:val="24"/>
        </w:rPr>
        <w:t xml:space="preserve">ection </w:t>
      </w:r>
      <w:r w:rsidRPr="00EE12D2">
        <w:rPr>
          <w:rFonts w:ascii="Times New Roman" w:hAnsi="Times New Roman" w:cs="Times New Roman"/>
          <w:sz w:val="24"/>
          <w:szCs w:val="24"/>
        </w:rPr>
        <w:t>16(1) of the IRO or should be prohibited from deduction by virtue of s</w:t>
      </w:r>
      <w:r>
        <w:rPr>
          <w:rFonts w:ascii="Times New Roman" w:hAnsi="Times New Roman" w:cs="Times New Roman"/>
          <w:sz w:val="24"/>
          <w:szCs w:val="24"/>
        </w:rPr>
        <w:t xml:space="preserve">ection </w:t>
      </w:r>
      <w:r w:rsidRPr="00EE12D2">
        <w:rPr>
          <w:rFonts w:ascii="Times New Roman" w:hAnsi="Times New Roman" w:cs="Times New Roman"/>
          <w:sz w:val="24"/>
          <w:szCs w:val="24"/>
        </w:rPr>
        <w:t>17(1)(b) of the IRO.</w:t>
      </w:r>
    </w:p>
    <w:p w14:paraId="54F06CF5" w14:textId="77777777" w:rsidR="00EE12D2" w:rsidRPr="00EE12D2" w:rsidRDefault="00EE12D2" w:rsidP="00EE12D2">
      <w:pPr>
        <w:spacing w:after="0" w:line="240" w:lineRule="auto"/>
        <w:ind w:left="1470"/>
        <w:jc w:val="both"/>
        <w:rPr>
          <w:rFonts w:ascii="Times New Roman" w:hAnsi="Times New Roman" w:cs="Times New Roman"/>
          <w:sz w:val="24"/>
          <w:szCs w:val="24"/>
        </w:rPr>
      </w:pPr>
    </w:p>
    <w:p w14:paraId="393191CC" w14:textId="77777777" w:rsidR="00EE12D2" w:rsidRPr="00EE12D2" w:rsidRDefault="00EE12D2" w:rsidP="00EE12D2">
      <w:pPr>
        <w:numPr>
          <w:ilvl w:val="0"/>
          <w:numId w:val="31"/>
        </w:numPr>
        <w:spacing w:after="0" w:line="240" w:lineRule="auto"/>
        <w:ind w:leftChars="450" w:left="1470" w:hangingChars="200"/>
        <w:jc w:val="both"/>
        <w:rPr>
          <w:rFonts w:ascii="Times New Roman" w:hAnsi="Times New Roman" w:cs="Times New Roman"/>
          <w:sz w:val="24"/>
          <w:szCs w:val="24"/>
        </w:rPr>
      </w:pPr>
      <w:r w:rsidRPr="00EE12D2">
        <w:rPr>
          <w:rFonts w:ascii="Times New Roman" w:hAnsi="Times New Roman" w:cs="Times New Roman"/>
          <w:sz w:val="24"/>
          <w:szCs w:val="24"/>
        </w:rPr>
        <w:t>The taxpayer had unreasonably raised many wrong accusations of criminal conduct against the Inland Revenue Department, had produced documents and witnesses which were not relevant to the issues to be determined by the Board and had failed to produce relevant contracts with the PRC Subsidiary. In the circumstances, the Board ordered the taxpayer to pay the costs of $25,000 to the Inland Revenue Department.</w:t>
      </w:r>
    </w:p>
    <w:p w14:paraId="6A03D610" w14:textId="23A31F3F" w:rsidR="00532A38" w:rsidRPr="00EE12D2" w:rsidRDefault="00532A38" w:rsidP="00EE12D2">
      <w:pPr>
        <w:tabs>
          <w:tab w:val="left" w:pos="840"/>
          <w:tab w:val="left" w:pos="1276"/>
        </w:tabs>
        <w:overflowPunct w:val="0"/>
        <w:spacing w:after="0" w:line="240" w:lineRule="auto"/>
        <w:jc w:val="both"/>
        <w:rPr>
          <w:rFonts w:ascii="Times New Roman" w:eastAsia="華康楷書體W5" w:hAnsi="Times New Roman" w:cs="Times New Roman"/>
          <w:sz w:val="24"/>
          <w:szCs w:val="24"/>
          <w:lang w:eastAsia="zh-HK"/>
        </w:rPr>
      </w:pPr>
    </w:p>
    <w:p w14:paraId="30380452" w14:textId="77777777" w:rsidR="00532A38" w:rsidRPr="00EE12D2" w:rsidRDefault="00532A38" w:rsidP="00EE12D2">
      <w:pPr>
        <w:tabs>
          <w:tab w:val="left" w:pos="840"/>
          <w:tab w:val="left" w:pos="1276"/>
        </w:tabs>
        <w:overflowPunct w:val="0"/>
        <w:spacing w:after="0" w:line="240" w:lineRule="auto"/>
        <w:jc w:val="both"/>
        <w:rPr>
          <w:rFonts w:ascii="Times New Roman" w:eastAsia="華康楷書體W5" w:hAnsi="Times New Roman" w:cs="Times New Roman"/>
          <w:sz w:val="24"/>
          <w:szCs w:val="24"/>
          <w:lang w:eastAsia="zh-HK"/>
        </w:rPr>
      </w:pPr>
    </w:p>
    <w:p w14:paraId="0F9C8A10"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b/>
          <w:sz w:val="24"/>
          <w:szCs w:val="24"/>
          <w:lang w:eastAsia="zh-HK"/>
        </w:rPr>
      </w:pPr>
      <w:r w:rsidRPr="00532A38">
        <w:rPr>
          <w:rFonts w:ascii="Times New Roman" w:eastAsia="華康楷書體W5" w:hAnsi="Times New Roman" w:cs="Times New Roman"/>
          <w:b/>
          <w:sz w:val="24"/>
          <w:szCs w:val="24"/>
          <w:lang w:eastAsia="zh-HK"/>
        </w:rPr>
        <w:t>Appeal dismissed and costs order in the amount of $25,000 imposed.</w:t>
      </w:r>
    </w:p>
    <w:p w14:paraId="036934A0"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76148310"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Cases referred to:</w:t>
      </w:r>
    </w:p>
    <w:p w14:paraId="0BF4EBB6" w14:textId="77777777" w:rsidR="00532A38" w:rsidRP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4E035200"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IRC v Duke of Westminster [1936] AC 1</w:t>
      </w:r>
    </w:p>
    <w:p w14:paraId="706D9C45"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Griffin (inspector of Taxes) v Citibank Investments Ltd [2000] STC 1010</w:t>
      </w:r>
    </w:p>
    <w:p w14:paraId="3810EDD7"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Harley Development Inc and Another v Commissioner of Inland Revenue (unreported, CACV 26 of 1993, Court of Appeal judgment dated 29 April 1994)</w:t>
      </w:r>
    </w:p>
    <w:p w14:paraId="7C8124CC"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D23/15, (2016-17) IRBRD, vol 31, 199</w:t>
      </w:r>
    </w:p>
    <w:p w14:paraId="016DA232"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Commissioner of Inland Revenue v HK-TVB International Limited [1992] 2 AC 397</w:t>
      </w:r>
    </w:p>
    <w:p w14:paraId="65F403D8"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ING Baring Securities (Hong Kong) Ltd v Commissioner of Inland Revenue (2007) 10 HKCFAR 417</w:t>
      </w:r>
    </w:p>
    <w:p w14:paraId="5D4471B3"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Commissioner of Inland Revenue v Datatronic Ltd [2009] 4 HKLRD 675</w:t>
      </w:r>
    </w:p>
    <w:p w14:paraId="25CACB7A" w14:textId="0AF496B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Com</w:t>
      </w:r>
      <w:r w:rsidR="00C95C31">
        <w:rPr>
          <w:rFonts w:ascii="Times New Roman" w:eastAsia="華康楷書體W5" w:hAnsi="Times New Roman" w:cs="Times New Roman"/>
          <w:sz w:val="24"/>
          <w:szCs w:val="24"/>
          <w:lang w:eastAsia="zh-HK"/>
        </w:rPr>
        <w:t>missioner of Inland Revenue v C</w:t>
      </w:r>
      <w:r w:rsidRPr="00532A38">
        <w:rPr>
          <w:rFonts w:ascii="Times New Roman" w:eastAsia="華康楷書體W5" w:hAnsi="Times New Roman" w:cs="Times New Roman"/>
          <w:sz w:val="24"/>
          <w:szCs w:val="24"/>
          <w:lang w:eastAsia="zh-HK"/>
        </w:rPr>
        <w:t>G Lighting Ltd [2010] 3 HKLRD 110</w:t>
      </w:r>
    </w:p>
    <w:p w14:paraId="6FECCCED"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Braitrim (Far East) Limited v Commissioner of Inland Revenue (2013) 16 HKCFAR 519</w:t>
      </w:r>
    </w:p>
    <w:p w14:paraId="6A7E967B" w14:textId="77777777" w:rsidR="00532A38" w:rsidRPr="00532A38" w:rsidRDefault="00532A38" w:rsidP="0046026A">
      <w:pPr>
        <w:overflowPunct w:val="0"/>
        <w:spacing w:after="0" w:line="240" w:lineRule="auto"/>
        <w:ind w:leftChars="355" w:left="1141"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D12/12, (2012-13) IRBRD, vol 27, 347</w:t>
      </w:r>
    </w:p>
    <w:p w14:paraId="155FEC97" w14:textId="77777777" w:rsidR="00532A38" w:rsidRPr="00532A38" w:rsidRDefault="00532A38" w:rsidP="0046026A">
      <w:pPr>
        <w:tabs>
          <w:tab w:val="left" w:pos="1276"/>
        </w:tabs>
        <w:overflowPunct w:val="0"/>
        <w:spacing w:after="0" w:line="240" w:lineRule="auto"/>
        <w:ind w:leftChars="425" w:left="935"/>
        <w:jc w:val="both"/>
        <w:rPr>
          <w:rFonts w:ascii="Times New Roman" w:eastAsia="華康楷書體W5" w:hAnsi="Times New Roman" w:cs="Times New Roman"/>
          <w:sz w:val="24"/>
          <w:szCs w:val="24"/>
          <w:lang w:eastAsia="zh-HK"/>
        </w:rPr>
      </w:pPr>
    </w:p>
    <w:p w14:paraId="0805F33A" w14:textId="77777777" w:rsidR="00532A38" w:rsidRPr="00532A38" w:rsidRDefault="00532A38" w:rsidP="0046026A">
      <w:pPr>
        <w:tabs>
          <w:tab w:val="left" w:pos="1276"/>
        </w:tabs>
        <w:overflowPunct w:val="0"/>
        <w:spacing w:after="0" w:line="240" w:lineRule="auto"/>
        <w:ind w:left="360"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H K Yue, Non-executive Taxation Director of the Appellant, for the Appellant.</w:t>
      </w:r>
    </w:p>
    <w:p w14:paraId="6750AB8B" w14:textId="77777777" w:rsidR="00532A38" w:rsidRPr="00532A38" w:rsidRDefault="00532A38" w:rsidP="0046026A">
      <w:pPr>
        <w:tabs>
          <w:tab w:val="left" w:pos="1276"/>
        </w:tabs>
        <w:overflowPunct w:val="0"/>
        <w:spacing w:after="0" w:line="240" w:lineRule="auto"/>
        <w:ind w:left="360" w:hangingChars="150" w:hanging="360"/>
        <w:jc w:val="both"/>
        <w:rPr>
          <w:rFonts w:ascii="Times New Roman" w:eastAsia="華康楷書體W5" w:hAnsi="Times New Roman" w:cs="Times New Roman"/>
          <w:sz w:val="24"/>
          <w:szCs w:val="24"/>
          <w:lang w:eastAsia="zh-HK"/>
        </w:rPr>
      </w:pPr>
      <w:r w:rsidRPr="00532A38">
        <w:rPr>
          <w:rFonts w:ascii="Times New Roman" w:eastAsia="華康楷書體W5" w:hAnsi="Times New Roman" w:cs="Times New Roman"/>
          <w:sz w:val="24"/>
          <w:szCs w:val="24"/>
          <w:lang w:eastAsia="zh-HK"/>
        </w:rPr>
        <w:t>Katherine Chan, Government Counsel and Winnie W Y HO, Senior Government Counsel, of Department of Justice, for the Commissioner of Inland Revenue.</w:t>
      </w:r>
    </w:p>
    <w:p w14:paraId="1CD1EB89" w14:textId="56BC3F38" w:rsidR="00532A38" w:rsidRDefault="00532A38"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0ED22575" w14:textId="6CBA3575" w:rsidR="00B3294E" w:rsidRDefault="00B3294E"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3EA1AD89" w14:textId="5B8B2720"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0468E5F9" w14:textId="474B31C9"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2AC1CBEE" w14:textId="67B9301E"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4677D3C0" w14:textId="7E035951"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61868032" w14:textId="77777777" w:rsidR="00EE12D2" w:rsidRDefault="00EE12D2" w:rsidP="0046026A">
      <w:pPr>
        <w:tabs>
          <w:tab w:val="left" w:pos="1276"/>
        </w:tabs>
        <w:overflowPunct w:val="0"/>
        <w:spacing w:after="0" w:line="240" w:lineRule="auto"/>
        <w:jc w:val="both"/>
        <w:rPr>
          <w:rFonts w:ascii="Times New Roman" w:eastAsia="華康楷書體W5" w:hAnsi="Times New Roman" w:cs="Times New Roman"/>
          <w:sz w:val="24"/>
          <w:szCs w:val="24"/>
          <w:lang w:eastAsia="zh-HK"/>
        </w:rPr>
      </w:pPr>
    </w:p>
    <w:p w14:paraId="718A94B2" w14:textId="2701533E" w:rsidR="00532A38" w:rsidRPr="00532A38" w:rsidRDefault="00212E1E" w:rsidP="0046026A">
      <w:pPr>
        <w:tabs>
          <w:tab w:val="left" w:pos="1276"/>
        </w:tabs>
        <w:overflowPunct w:val="0"/>
        <w:spacing w:after="0" w:line="240" w:lineRule="auto"/>
        <w:jc w:val="both"/>
        <w:rPr>
          <w:rFonts w:ascii="Times New Roman" w:eastAsia="華康楷書體W5" w:hAnsi="Times New Roman" w:cs="Times New Roman"/>
          <w:b/>
          <w:sz w:val="24"/>
          <w:szCs w:val="24"/>
          <w:lang w:eastAsia="zh-HK"/>
        </w:rPr>
      </w:pPr>
      <w:r w:rsidRPr="00532A38">
        <w:rPr>
          <w:rFonts w:ascii="Times New Roman" w:eastAsia="華康楷書體W5" w:hAnsi="Times New Roman" w:cs="Times New Roman"/>
          <w:b/>
          <w:sz w:val="24"/>
          <w:szCs w:val="24"/>
          <w:lang w:eastAsia="zh-HK"/>
        </w:rPr>
        <w:lastRenderedPageBreak/>
        <w:t>Decision</w:t>
      </w:r>
      <w:r w:rsidR="00532A38" w:rsidRPr="00532A38">
        <w:rPr>
          <w:rFonts w:ascii="Times New Roman" w:eastAsia="華康楷書體W5" w:hAnsi="Times New Roman" w:cs="Times New Roman" w:hint="eastAsia"/>
          <w:b/>
          <w:sz w:val="24"/>
          <w:szCs w:val="24"/>
          <w:lang w:eastAsia="zh-HK"/>
        </w:rPr>
        <w:t>:</w:t>
      </w:r>
    </w:p>
    <w:p w14:paraId="5529F555" w14:textId="77777777" w:rsidR="00532A38" w:rsidRPr="00532A38" w:rsidRDefault="00532A38" w:rsidP="0046026A">
      <w:pPr>
        <w:tabs>
          <w:tab w:val="left" w:pos="1276"/>
        </w:tabs>
        <w:overflowPunct w:val="0"/>
        <w:spacing w:after="0" w:line="240" w:lineRule="auto"/>
        <w:jc w:val="both"/>
        <w:rPr>
          <w:rFonts w:ascii="Times New Roman" w:eastAsia="標楷體" w:hAnsi="Times New Roman" w:cs="Times New Roman"/>
          <w:sz w:val="24"/>
          <w:szCs w:val="24"/>
          <w:lang w:eastAsia="zh-HK"/>
        </w:rPr>
      </w:pPr>
    </w:p>
    <w:p w14:paraId="7CCAE717" w14:textId="77777777" w:rsidR="00D06BD1" w:rsidRPr="00532A38" w:rsidRDefault="00D06BD1" w:rsidP="0046026A">
      <w:pPr>
        <w:overflowPunct w:val="0"/>
        <w:spacing w:after="0" w:line="240" w:lineRule="auto"/>
        <w:rPr>
          <w:rFonts w:ascii="Times New Roman" w:hAnsi="Times New Roman" w:cs="Times New Roman"/>
          <w:sz w:val="24"/>
          <w:szCs w:val="24"/>
          <w:u w:val="single"/>
        </w:rPr>
      </w:pPr>
    </w:p>
    <w:p w14:paraId="7CCAE718" w14:textId="77777777" w:rsidR="001B4639" w:rsidRPr="00B3294E" w:rsidRDefault="001B4639" w:rsidP="0046026A">
      <w:pPr>
        <w:overflowPunct w:val="0"/>
        <w:spacing w:after="0" w:line="240" w:lineRule="auto"/>
        <w:jc w:val="both"/>
        <w:rPr>
          <w:rFonts w:ascii="Times New Roman" w:hAnsi="Times New Roman" w:cs="Times New Roman"/>
          <w:b/>
          <w:sz w:val="24"/>
          <w:szCs w:val="24"/>
        </w:rPr>
      </w:pPr>
      <w:r w:rsidRPr="00B3294E">
        <w:rPr>
          <w:rFonts w:ascii="Times New Roman" w:hAnsi="Times New Roman" w:cs="Times New Roman"/>
          <w:b/>
          <w:sz w:val="24"/>
          <w:szCs w:val="24"/>
        </w:rPr>
        <w:t>Facts and Background</w:t>
      </w:r>
    </w:p>
    <w:p w14:paraId="7CCAE719" w14:textId="77777777" w:rsidR="00D06BD1" w:rsidRPr="00532A38" w:rsidRDefault="00D06BD1" w:rsidP="0046026A">
      <w:pPr>
        <w:overflowPunct w:val="0"/>
        <w:spacing w:after="0" w:line="240" w:lineRule="auto"/>
        <w:jc w:val="both"/>
        <w:rPr>
          <w:rFonts w:ascii="Times New Roman" w:hAnsi="Times New Roman" w:cs="Times New Roman"/>
          <w:sz w:val="24"/>
          <w:szCs w:val="24"/>
        </w:rPr>
      </w:pPr>
    </w:p>
    <w:p w14:paraId="7CCAE71A" w14:textId="057CF470" w:rsidR="003E346F" w:rsidRPr="00532A38" w:rsidRDefault="00565D12"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This is an extraordinary appeal by </w:t>
      </w:r>
      <w:r w:rsidR="00B3294E">
        <w:rPr>
          <w:rFonts w:ascii="Times New Roman" w:hAnsi="Times New Roman" w:cs="Times New Roman"/>
          <w:sz w:val="24"/>
          <w:szCs w:val="24"/>
        </w:rPr>
        <w:t>Company A</w:t>
      </w:r>
      <w:r w:rsidR="001B4639" w:rsidRPr="00532A38">
        <w:rPr>
          <w:rFonts w:ascii="Times New Roman" w:hAnsi="Times New Roman" w:cs="Times New Roman"/>
          <w:sz w:val="24"/>
          <w:szCs w:val="24"/>
        </w:rPr>
        <w:t xml:space="preserve"> (</w:t>
      </w:r>
      <w:r w:rsidR="00B3294E">
        <w:rPr>
          <w:rFonts w:ascii="Times New Roman" w:hAnsi="Times New Roman" w:cs="Times New Roman"/>
          <w:sz w:val="24"/>
          <w:szCs w:val="24"/>
        </w:rPr>
        <w:t>‘</w:t>
      </w:r>
      <w:r w:rsidR="001B4639" w:rsidRPr="00B3294E">
        <w:rPr>
          <w:rFonts w:ascii="Times New Roman" w:hAnsi="Times New Roman" w:cs="Times New Roman"/>
          <w:sz w:val="24"/>
          <w:szCs w:val="24"/>
        </w:rPr>
        <w:t>the Appellant</w:t>
      </w:r>
      <w:r w:rsidR="00B3294E">
        <w:rPr>
          <w:rFonts w:ascii="Times New Roman" w:hAnsi="Times New Roman" w:cs="Times New Roman"/>
          <w:sz w:val="24"/>
          <w:szCs w:val="24"/>
        </w:rPr>
        <w:t>’</w:t>
      </w:r>
      <w:r w:rsidR="001B4639" w:rsidRPr="00532A38">
        <w:rPr>
          <w:rFonts w:ascii="Times New Roman" w:hAnsi="Times New Roman" w:cs="Times New Roman"/>
          <w:sz w:val="24"/>
          <w:szCs w:val="24"/>
        </w:rPr>
        <w:t xml:space="preserve">) against the determination of the </w:t>
      </w:r>
      <w:r w:rsidR="0002039A" w:rsidRPr="00532A38">
        <w:rPr>
          <w:rFonts w:ascii="Times New Roman" w:hAnsi="Times New Roman" w:cs="Times New Roman"/>
          <w:sz w:val="24"/>
          <w:szCs w:val="24"/>
        </w:rPr>
        <w:t xml:space="preserve">Deputy </w:t>
      </w:r>
      <w:r w:rsidR="001B4639" w:rsidRPr="00532A38">
        <w:rPr>
          <w:rFonts w:ascii="Times New Roman" w:hAnsi="Times New Roman" w:cs="Times New Roman"/>
          <w:sz w:val="24"/>
          <w:szCs w:val="24"/>
        </w:rPr>
        <w:t xml:space="preserve">Commissioner of Inland Revenue </w:t>
      </w:r>
      <w:r w:rsidR="00C661AA">
        <w:rPr>
          <w:rFonts w:ascii="Times New Roman" w:hAnsi="Times New Roman" w:cs="Times New Roman"/>
          <w:sz w:val="24"/>
          <w:szCs w:val="24"/>
        </w:rPr>
        <w:t>(‘</w:t>
      </w:r>
      <w:r w:rsidR="00C661AA" w:rsidRPr="00532A38">
        <w:rPr>
          <w:rFonts w:ascii="Times New Roman" w:hAnsi="Times New Roman" w:cs="Times New Roman"/>
          <w:sz w:val="24"/>
          <w:szCs w:val="24"/>
        </w:rPr>
        <w:t>the Deputy Commissioner</w:t>
      </w:r>
      <w:r w:rsidR="00C661AA">
        <w:rPr>
          <w:rFonts w:ascii="Times New Roman" w:hAnsi="Times New Roman" w:cs="Times New Roman"/>
          <w:sz w:val="24"/>
          <w:szCs w:val="24"/>
        </w:rPr>
        <w:t xml:space="preserve">’) </w:t>
      </w:r>
      <w:r w:rsidR="001B4639" w:rsidRPr="00532A38">
        <w:rPr>
          <w:rFonts w:ascii="Times New Roman" w:hAnsi="Times New Roman" w:cs="Times New Roman"/>
          <w:sz w:val="24"/>
          <w:szCs w:val="24"/>
        </w:rPr>
        <w:t>dated 25</w:t>
      </w:r>
      <w:r w:rsidR="001B4639" w:rsidRPr="00532A38">
        <w:rPr>
          <w:rFonts w:ascii="Times New Roman" w:hAnsi="Times New Roman" w:cs="Times New Roman"/>
          <w:sz w:val="24"/>
          <w:szCs w:val="24"/>
          <w:vertAlign w:val="superscript"/>
        </w:rPr>
        <w:t>th</w:t>
      </w:r>
      <w:r w:rsidR="001B4639" w:rsidRPr="00532A38">
        <w:rPr>
          <w:rFonts w:ascii="Times New Roman" w:hAnsi="Times New Roman" w:cs="Times New Roman"/>
          <w:sz w:val="24"/>
          <w:szCs w:val="24"/>
        </w:rPr>
        <w:t xml:space="preserve"> January 2017 </w:t>
      </w:r>
      <w:r w:rsidR="003E346F" w:rsidRPr="00532A38">
        <w:rPr>
          <w:rFonts w:ascii="Times New Roman" w:hAnsi="Times New Roman" w:cs="Times New Roman"/>
          <w:sz w:val="24"/>
          <w:szCs w:val="24"/>
        </w:rPr>
        <w:t>(</w:t>
      </w:r>
      <w:r w:rsidR="00E52732">
        <w:rPr>
          <w:rFonts w:ascii="Times New Roman" w:hAnsi="Times New Roman" w:cs="Times New Roman"/>
          <w:sz w:val="24"/>
          <w:szCs w:val="24"/>
        </w:rPr>
        <w:t>‘</w:t>
      </w:r>
      <w:r w:rsidR="003E346F" w:rsidRPr="00E52732">
        <w:rPr>
          <w:rFonts w:ascii="Times New Roman" w:hAnsi="Times New Roman" w:cs="Times New Roman"/>
          <w:sz w:val="24"/>
          <w:szCs w:val="24"/>
        </w:rPr>
        <w:t>the Determination</w:t>
      </w:r>
      <w:r w:rsidR="00E52732">
        <w:rPr>
          <w:rFonts w:ascii="Times New Roman" w:hAnsi="Times New Roman" w:cs="Times New Roman"/>
          <w:sz w:val="24"/>
          <w:szCs w:val="24"/>
        </w:rPr>
        <w:t>’</w:t>
      </w:r>
      <w:r w:rsidR="003E346F" w:rsidRPr="00532A38">
        <w:rPr>
          <w:rFonts w:ascii="Times New Roman" w:hAnsi="Times New Roman" w:cs="Times New Roman"/>
          <w:sz w:val="24"/>
          <w:szCs w:val="24"/>
        </w:rPr>
        <w:t xml:space="preserve">) </w:t>
      </w:r>
      <w:r w:rsidR="00EC32AA" w:rsidRPr="00532A38">
        <w:rPr>
          <w:rFonts w:ascii="Times New Roman" w:hAnsi="Times New Roman" w:cs="Times New Roman"/>
          <w:sz w:val="24"/>
          <w:szCs w:val="24"/>
        </w:rPr>
        <w:t>for the years of assessment 2007/</w:t>
      </w:r>
      <w:r w:rsidR="003B145C" w:rsidRPr="00532A38">
        <w:rPr>
          <w:rFonts w:ascii="Times New Roman" w:hAnsi="Times New Roman" w:cs="Times New Roman"/>
          <w:sz w:val="24"/>
          <w:szCs w:val="24"/>
          <w:lang w:eastAsia="zh-HK"/>
        </w:rPr>
        <w:t>0</w:t>
      </w:r>
      <w:r w:rsidR="00EC32AA" w:rsidRPr="00532A38">
        <w:rPr>
          <w:rFonts w:ascii="Times New Roman" w:hAnsi="Times New Roman" w:cs="Times New Roman"/>
          <w:sz w:val="24"/>
          <w:szCs w:val="24"/>
        </w:rPr>
        <w:t>8 to 2010/11 (</w:t>
      </w:r>
      <w:r w:rsidR="00E52732">
        <w:rPr>
          <w:rFonts w:ascii="Times New Roman" w:hAnsi="Times New Roman" w:cs="Times New Roman"/>
          <w:sz w:val="24"/>
          <w:szCs w:val="24"/>
        </w:rPr>
        <w:t>‘</w:t>
      </w:r>
      <w:r w:rsidR="00EC32AA" w:rsidRPr="00E52732">
        <w:rPr>
          <w:rFonts w:ascii="Times New Roman" w:hAnsi="Times New Roman" w:cs="Times New Roman"/>
          <w:sz w:val="24"/>
          <w:szCs w:val="24"/>
        </w:rPr>
        <w:t>the Relevant Period</w:t>
      </w:r>
      <w:r w:rsidR="00E52732">
        <w:rPr>
          <w:rFonts w:ascii="Times New Roman" w:hAnsi="Times New Roman" w:cs="Times New Roman"/>
          <w:sz w:val="24"/>
          <w:szCs w:val="24"/>
        </w:rPr>
        <w:t>’</w:t>
      </w:r>
      <w:r w:rsidR="00EC32AA" w:rsidRPr="00532A38">
        <w:rPr>
          <w:rFonts w:ascii="Times New Roman" w:hAnsi="Times New Roman" w:cs="Times New Roman"/>
          <w:sz w:val="24"/>
          <w:szCs w:val="24"/>
        </w:rPr>
        <w:t xml:space="preserve">) </w:t>
      </w:r>
      <w:r w:rsidR="00A729D3" w:rsidRPr="00532A38">
        <w:rPr>
          <w:rFonts w:ascii="Times New Roman" w:hAnsi="Times New Roman" w:cs="Times New Roman"/>
          <w:sz w:val="24"/>
          <w:szCs w:val="24"/>
        </w:rPr>
        <w:t>on many grounds, but one of the principal ground</w:t>
      </w:r>
      <w:r w:rsidR="002835D4" w:rsidRPr="00532A38">
        <w:rPr>
          <w:rFonts w:ascii="Times New Roman" w:hAnsi="Times New Roman" w:cs="Times New Roman"/>
          <w:sz w:val="24"/>
          <w:szCs w:val="24"/>
        </w:rPr>
        <w:t>s</w:t>
      </w:r>
      <w:r w:rsidR="00A729D3" w:rsidRPr="00532A38">
        <w:rPr>
          <w:rFonts w:ascii="Times New Roman" w:hAnsi="Times New Roman" w:cs="Times New Roman"/>
          <w:sz w:val="24"/>
          <w:szCs w:val="24"/>
        </w:rPr>
        <w:t xml:space="preserve"> is that the financial statements of the Appellant were fabricated in order to satisfy the requirements of the </w:t>
      </w:r>
      <w:r w:rsidR="003E346F" w:rsidRPr="00532A38">
        <w:rPr>
          <w:rFonts w:ascii="Times New Roman" w:hAnsi="Times New Roman" w:cs="Times New Roman"/>
          <w:sz w:val="24"/>
          <w:szCs w:val="24"/>
        </w:rPr>
        <w:t>Inland Revenue Department</w:t>
      </w:r>
      <w:r w:rsidR="00A729D3" w:rsidRPr="00532A38">
        <w:rPr>
          <w:rFonts w:ascii="Times New Roman" w:hAnsi="Times New Roman" w:cs="Times New Roman"/>
          <w:sz w:val="24"/>
          <w:szCs w:val="24"/>
        </w:rPr>
        <w:t xml:space="preserve">. </w:t>
      </w:r>
    </w:p>
    <w:p w14:paraId="7CCAE71B" w14:textId="77777777" w:rsidR="003E346F" w:rsidRPr="00532A38" w:rsidRDefault="003E346F" w:rsidP="0046026A">
      <w:pPr>
        <w:pStyle w:val="a3"/>
        <w:overflowPunct w:val="0"/>
        <w:spacing w:after="0" w:line="240" w:lineRule="auto"/>
        <w:ind w:left="0"/>
        <w:jc w:val="both"/>
        <w:rPr>
          <w:rFonts w:ascii="Times New Roman" w:hAnsi="Times New Roman" w:cs="Times New Roman"/>
          <w:sz w:val="24"/>
          <w:szCs w:val="24"/>
        </w:rPr>
      </w:pPr>
    </w:p>
    <w:p w14:paraId="7CCAE71C" w14:textId="539FF4A7" w:rsidR="003E346F" w:rsidRPr="00532A38" w:rsidRDefault="003E346F"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The Appellant was represented by Mr H</w:t>
      </w:r>
      <w:r w:rsidR="00E52732">
        <w:rPr>
          <w:rFonts w:ascii="Times New Roman" w:hAnsi="Times New Roman" w:cs="Times New Roman"/>
          <w:sz w:val="24"/>
          <w:szCs w:val="24"/>
        </w:rPr>
        <w:t xml:space="preserve"> </w:t>
      </w:r>
      <w:r w:rsidRPr="00532A38">
        <w:rPr>
          <w:rFonts w:ascii="Times New Roman" w:hAnsi="Times New Roman" w:cs="Times New Roman"/>
          <w:sz w:val="24"/>
          <w:szCs w:val="24"/>
        </w:rPr>
        <w:t>K</w:t>
      </w:r>
      <w:r w:rsidR="00E52732">
        <w:rPr>
          <w:rFonts w:ascii="Times New Roman" w:hAnsi="Times New Roman" w:cs="Times New Roman"/>
          <w:sz w:val="24"/>
          <w:szCs w:val="24"/>
        </w:rPr>
        <w:t xml:space="preserve"> </w:t>
      </w:r>
      <w:r w:rsidRPr="00532A38">
        <w:rPr>
          <w:rFonts w:ascii="Times New Roman" w:hAnsi="Times New Roman" w:cs="Times New Roman"/>
          <w:sz w:val="24"/>
          <w:szCs w:val="24"/>
        </w:rPr>
        <w:t>Yue, Non-Executive Taxation Director of the Appellant who both in the course of his oral submissions and in his written Closing Submissions made various serious allegations of criminal conduct</w:t>
      </w:r>
      <w:r w:rsidR="00C661AA">
        <w:rPr>
          <w:rFonts w:ascii="Times New Roman" w:hAnsi="Times New Roman" w:cs="Times New Roman"/>
          <w:sz w:val="24"/>
          <w:szCs w:val="24"/>
        </w:rPr>
        <w:t>s</w:t>
      </w:r>
      <w:r w:rsidRPr="00532A38">
        <w:rPr>
          <w:rFonts w:ascii="Times New Roman" w:hAnsi="Times New Roman" w:cs="Times New Roman"/>
          <w:sz w:val="24"/>
          <w:szCs w:val="24"/>
        </w:rPr>
        <w:t xml:space="preserve"> against, amongst others, the Commissioner of Inland Revenue. </w:t>
      </w:r>
      <w:r w:rsidR="003B6137" w:rsidRPr="00532A38">
        <w:rPr>
          <w:rFonts w:ascii="Times New Roman" w:hAnsi="Times New Roman" w:cs="Times New Roman"/>
          <w:sz w:val="24"/>
          <w:szCs w:val="24"/>
        </w:rPr>
        <w:t>This Board has told Mr Yue that this Board can and will only deal with matters within its jurisdiction</w:t>
      </w:r>
      <w:r w:rsidR="00B14A6F" w:rsidRPr="00532A38">
        <w:rPr>
          <w:rFonts w:ascii="Times New Roman" w:hAnsi="Times New Roman" w:cs="Times New Roman"/>
          <w:sz w:val="24"/>
          <w:szCs w:val="24"/>
        </w:rPr>
        <w:t xml:space="preserve">. </w:t>
      </w:r>
    </w:p>
    <w:p w14:paraId="7CCAE71D" w14:textId="77777777" w:rsidR="00965D6B" w:rsidRPr="00532A38" w:rsidRDefault="00965D6B" w:rsidP="0046026A">
      <w:pPr>
        <w:pStyle w:val="a3"/>
        <w:overflowPunct w:val="0"/>
        <w:spacing w:after="0" w:line="240" w:lineRule="auto"/>
        <w:ind w:left="0"/>
        <w:rPr>
          <w:rFonts w:ascii="Times New Roman" w:hAnsi="Times New Roman" w:cs="Times New Roman"/>
          <w:sz w:val="24"/>
          <w:szCs w:val="24"/>
        </w:rPr>
      </w:pPr>
    </w:p>
    <w:p w14:paraId="7CCAE71E" w14:textId="15808D6F" w:rsidR="00965D6B" w:rsidRPr="00532A38" w:rsidRDefault="00965D6B"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Mr Yue appears to be laboured under the perception that the Inland Revenue Department has no understanding of </w:t>
      </w:r>
      <w:r w:rsidR="00286B4D" w:rsidRPr="00532A38">
        <w:rPr>
          <w:rFonts w:ascii="Times New Roman" w:hAnsi="Times New Roman" w:cs="Times New Roman"/>
          <w:sz w:val="24"/>
          <w:szCs w:val="24"/>
          <w:lang w:eastAsia="zh-HK"/>
        </w:rPr>
        <w:t xml:space="preserve">the meaning of </w:t>
      </w:r>
      <w:r w:rsidRPr="00532A38">
        <w:rPr>
          <w:rFonts w:ascii="Times New Roman" w:hAnsi="Times New Roman" w:cs="Times New Roman"/>
          <w:sz w:val="24"/>
          <w:szCs w:val="24"/>
        </w:rPr>
        <w:t xml:space="preserve">import processing or worse deliberately chose to misunderstand the actual operation of an import processing transaction. This Board has listened to Mr Yue’s submissions and considered </w:t>
      </w:r>
      <w:r w:rsidR="00286B4D" w:rsidRPr="00532A38">
        <w:rPr>
          <w:rFonts w:ascii="Times New Roman" w:hAnsi="Times New Roman" w:cs="Times New Roman"/>
          <w:sz w:val="24"/>
          <w:szCs w:val="24"/>
          <w:lang w:eastAsia="zh-HK"/>
        </w:rPr>
        <w:t xml:space="preserve">carefully </w:t>
      </w:r>
      <w:r w:rsidRPr="00532A38">
        <w:rPr>
          <w:rFonts w:ascii="Times New Roman" w:hAnsi="Times New Roman" w:cs="Times New Roman"/>
          <w:sz w:val="24"/>
          <w:szCs w:val="24"/>
        </w:rPr>
        <w:t xml:space="preserve">his submissions. But with respect, for the reasons stated below, this Board rejects Mr Yue’s submissions. </w:t>
      </w:r>
    </w:p>
    <w:p w14:paraId="7CCAE71F" w14:textId="77777777" w:rsidR="003E346F" w:rsidRPr="00532A38" w:rsidRDefault="003E346F" w:rsidP="0046026A">
      <w:pPr>
        <w:pStyle w:val="a3"/>
        <w:overflowPunct w:val="0"/>
        <w:spacing w:after="0" w:line="240" w:lineRule="auto"/>
        <w:ind w:left="0"/>
        <w:rPr>
          <w:rFonts w:ascii="Times New Roman" w:hAnsi="Times New Roman" w:cs="Times New Roman"/>
          <w:sz w:val="24"/>
          <w:szCs w:val="24"/>
        </w:rPr>
      </w:pPr>
    </w:p>
    <w:p w14:paraId="7CCAE720" w14:textId="636EF039" w:rsidR="009F4560" w:rsidRPr="00532A38" w:rsidRDefault="00B14A6F"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Cutting to its core, the critical issues in this appeals are that, whether during </w:t>
      </w:r>
      <w:r w:rsidR="009F4560" w:rsidRPr="00532A38">
        <w:rPr>
          <w:rFonts w:ascii="Times New Roman" w:hAnsi="Times New Roman" w:cs="Times New Roman"/>
          <w:sz w:val="24"/>
          <w:szCs w:val="24"/>
        </w:rPr>
        <w:t>the Relevant Period</w:t>
      </w:r>
      <w:r w:rsidRPr="00532A38">
        <w:rPr>
          <w:rFonts w:ascii="Times New Roman" w:hAnsi="Times New Roman" w:cs="Times New Roman"/>
          <w:sz w:val="24"/>
          <w:szCs w:val="24"/>
        </w:rPr>
        <w:t xml:space="preserve">, the Appellant </w:t>
      </w:r>
      <w:r w:rsidR="009F4560" w:rsidRPr="00532A38">
        <w:rPr>
          <w:rFonts w:ascii="Times New Roman" w:hAnsi="Times New Roman" w:cs="Times New Roman"/>
          <w:sz w:val="24"/>
          <w:szCs w:val="24"/>
        </w:rPr>
        <w:t>should be:</w:t>
      </w:r>
    </w:p>
    <w:p w14:paraId="7CCAE721" w14:textId="77777777" w:rsidR="009F4560" w:rsidRPr="00532A38" w:rsidRDefault="009F4560" w:rsidP="0046026A">
      <w:pPr>
        <w:pStyle w:val="a3"/>
        <w:overflowPunct w:val="0"/>
        <w:spacing w:after="0" w:line="240" w:lineRule="auto"/>
        <w:jc w:val="both"/>
        <w:rPr>
          <w:rFonts w:ascii="Times New Roman" w:hAnsi="Times New Roman" w:cs="Times New Roman"/>
          <w:sz w:val="24"/>
          <w:szCs w:val="24"/>
        </w:rPr>
      </w:pPr>
    </w:p>
    <w:p w14:paraId="7CCAE722" w14:textId="3A799332" w:rsidR="009F4560" w:rsidRPr="00532A38" w:rsidRDefault="00B14A6F" w:rsidP="0046026A">
      <w:pPr>
        <w:pStyle w:val="a3"/>
        <w:numPr>
          <w:ilvl w:val="0"/>
          <w:numId w:val="3"/>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a</w:t>
      </w:r>
      <w:r w:rsidR="009F4560" w:rsidRPr="00532A38">
        <w:rPr>
          <w:rFonts w:ascii="Times New Roman" w:hAnsi="Times New Roman" w:cs="Times New Roman"/>
          <w:sz w:val="24"/>
          <w:szCs w:val="24"/>
        </w:rPr>
        <w:t xml:space="preserve">llowed to have its assessable profits to be apportioned on a 50:50 basis as part of its profits </w:t>
      </w:r>
      <w:r w:rsidR="00C661AA" w:rsidRPr="00532A38">
        <w:rPr>
          <w:rFonts w:ascii="Times New Roman" w:hAnsi="Times New Roman" w:cs="Times New Roman"/>
          <w:sz w:val="24"/>
          <w:szCs w:val="24"/>
        </w:rPr>
        <w:t>w</w:t>
      </w:r>
      <w:r w:rsidR="00C661AA">
        <w:rPr>
          <w:rFonts w:ascii="Times New Roman" w:hAnsi="Times New Roman" w:cs="Times New Roman"/>
          <w:sz w:val="24"/>
          <w:szCs w:val="24"/>
        </w:rPr>
        <w:t>ere</w:t>
      </w:r>
      <w:r w:rsidR="00C661AA" w:rsidRPr="00532A38">
        <w:rPr>
          <w:rFonts w:ascii="Times New Roman" w:hAnsi="Times New Roman" w:cs="Times New Roman"/>
          <w:sz w:val="24"/>
          <w:szCs w:val="24"/>
        </w:rPr>
        <w:t xml:space="preserve"> </w:t>
      </w:r>
      <w:r w:rsidR="009F4560" w:rsidRPr="00532A38">
        <w:rPr>
          <w:rFonts w:ascii="Times New Roman" w:hAnsi="Times New Roman" w:cs="Times New Roman"/>
          <w:sz w:val="24"/>
          <w:szCs w:val="24"/>
        </w:rPr>
        <w:t>derived from outside Hong Kong; and</w:t>
      </w:r>
    </w:p>
    <w:p w14:paraId="7CCAE723" w14:textId="77777777" w:rsidR="009F4560" w:rsidRPr="00532A38" w:rsidRDefault="009F4560" w:rsidP="0046026A">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24" w14:textId="02D0E172" w:rsidR="000E2DEE" w:rsidRPr="00532A38" w:rsidRDefault="00B14A6F" w:rsidP="0046026A">
      <w:pPr>
        <w:pStyle w:val="a3"/>
        <w:numPr>
          <w:ilvl w:val="0"/>
          <w:numId w:val="3"/>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e</w:t>
      </w:r>
      <w:r w:rsidR="009F4560" w:rsidRPr="00532A38">
        <w:rPr>
          <w:rFonts w:ascii="Times New Roman" w:hAnsi="Times New Roman" w:cs="Times New Roman"/>
          <w:sz w:val="24"/>
          <w:szCs w:val="24"/>
        </w:rPr>
        <w:t>ntitled to claim depreciation allowance and deductions under section 16G of the Inland Revenue Ordinance</w:t>
      </w:r>
      <w:r w:rsidR="00C661AA">
        <w:rPr>
          <w:rFonts w:ascii="Times New Roman" w:hAnsi="Times New Roman" w:cs="Times New Roman"/>
          <w:sz w:val="24"/>
          <w:szCs w:val="24"/>
        </w:rPr>
        <w:t xml:space="preserve"> (‘the IRO’)</w:t>
      </w:r>
      <w:r w:rsidR="009F4560" w:rsidRPr="00532A38">
        <w:rPr>
          <w:rFonts w:ascii="Times New Roman" w:hAnsi="Times New Roman" w:cs="Times New Roman"/>
          <w:sz w:val="24"/>
          <w:szCs w:val="24"/>
        </w:rPr>
        <w:t xml:space="preserve"> in respect of the machinery and equipment provided to the </w:t>
      </w:r>
      <w:r w:rsidR="000E2DEE" w:rsidRPr="00532A38">
        <w:rPr>
          <w:rFonts w:ascii="Times New Roman" w:hAnsi="Times New Roman" w:cs="Times New Roman"/>
          <w:sz w:val="24"/>
          <w:szCs w:val="24"/>
        </w:rPr>
        <w:t xml:space="preserve">Appellant’s </w:t>
      </w:r>
      <w:r w:rsidR="009F4560" w:rsidRPr="00532A38">
        <w:rPr>
          <w:rFonts w:ascii="Times New Roman" w:hAnsi="Times New Roman" w:cs="Times New Roman"/>
          <w:sz w:val="24"/>
          <w:szCs w:val="24"/>
        </w:rPr>
        <w:t>subsidiary for its use in Mainland China.</w:t>
      </w:r>
    </w:p>
    <w:p w14:paraId="7CCAE725"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6A1F634" w14:textId="2810B84F" w:rsidR="003200E4" w:rsidRPr="003200E4" w:rsidRDefault="00E05C3B"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Appellant is a private company incorporated in Hong Kong </w:t>
      </w:r>
      <w:r w:rsidR="00F03E23">
        <w:rPr>
          <w:rFonts w:ascii="Times New Roman" w:hAnsi="Times New Roman" w:cs="Times New Roman"/>
          <w:sz w:val="24"/>
          <w:szCs w:val="24"/>
        </w:rPr>
        <w:t>in</w:t>
      </w:r>
      <w:r w:rsidRPr="00532A38">
        <w:rPr>
          <w:rFonts w:ascii="Times New Roman" w:hAnsi="Times New Roman" w:cs="Times New Roman"/>
          <w:sz w:val="24"/>
          <w:szCs w:val="24"/>
        </w:rPr>
        <w:t xml:space="preserve"> 1995.</w:t>
      </w:r>
      <w:r w:rsidR="009F4560" w:rsidRPr="00532A38">
        <w:rPr>
          <w:rFonts w:ascii="Times New Roman" w:hAnsi="Times New Roman" w:cs="Times New Roman"/>
          <w:sz w:val="24"/>
          <w:szCs w:val="24"/>
        </w:rPr>
        <w:t xml:space="preserve"> </w:t>
      </w:r>
      <w:r w:rsidR="000E2DEE" w:rsidRPr="00532A38">
        <w:rPr>
          <w:rFonts w:ascii="Times New Roman" w:hAnsi="Times New Roman" w:cs="Times New Roman"/>
          <w:sz w:val="24"/>
          <w:szCs w:val="24"/>
        </w:rPr>
        <w:t xml:space="preserve">During the Relevant Period, the </w:t>
      </w:r>
      <w:r w:rsidR="006A539A" w:rsidRPr="00532A38">
        <w:rPr>
          <w:rFonts w:ascii="Times New Roman" w:hAnsi="Times New Roman" w:cs="Times New Roman"/>
          <w:sz w:val="24"/>
          <w:szCs w:val="24"/>
        </w:rPr>
        <w:t xml:space="preserve">Appellant </w:t>
      </w:r>
      <w:r w:rsidR="000E2DEE" w:rsidRPr="00532A38">
        <w:rPr>
          <w:rFonts w:ascii="Times New Roman" w:hAnsi="Times New Roman" w:cs="Times New Roman"/>
          <w:sz w:val="24"/>
          <w:szCs w:val="24"/>
        </w:rPr>
        <w:t>had two shareholders</w:t>
      </w:r>
      <w:r w:rsidR="006A539A" w:rsidRPr="00532A38">
        <w:rPr>
          <w:rFonts w:ascii="Times New Roman" w:hAnsi="Times New Roman" w:cs="Times New Roman"/>
          <w:sz w:val="24"/>
          <w:szCs w:val="24"/>
        </w:rPr>
        <w:t xml:space="preserve"> and </w:t>
      </w:r>
      <w:r w:rsidR="000E2DEE" w:rsidRPr="00532A38">
        <w:rPr>
          <w:rFonts w:ascii="Times New Roman" w:hAnsi="Times New Roman" w:cs="Times New Roman"/>
          <w:sz w:val="24"/>
          <w:szCs w:val="24"/>
        </w:rPr>
        <w:t>directors, namely Mr</w:t>
      </w:r>
      <w:r w:rsidR="003200E4">
        <w:rPr>
          <w:rFonts w:ascii="Times New Roman" w:hAnsi="Times New Roman" w:cs="Times New Roman"/>
          <w:sz w:val="24"/>
          <w:szCs w:val="24"/>
        </w:rPr>
        <w:t xml:space="preserve"> B</w:t>
      </w:r>
      <w:r w:rsidR="000E2DEE" w:rsidRPr="00532A38">
        <w:rPr>
          <w:rFonts w:ascii="Times New Roman" w:hAnsi="Times New Roman" w:cs="Times New Roman"/>
          <w:sz w:val="24"/>
          <w:szCs w:val="24"/>
        </w:rPr>
        <w:t xml:space="preserve"> and his wife, Ms</w:t>
      </w:r>
      <w:r w:rsidR="003200E4">
        <w:rPr>
          <w:rFonts w:ascii="Times New Roman" w:hAnsi="Times New Roman" w:cs="Times New Roman"/>
          <w:sz w:val="24"/>
          <w:szCs w:val="24"/>
        </w:rPr>
        <w:t xml:space="preserve"> C</w:t>
      </w:r>
      <w:r w:rsidR="000E2DEE" w:rsidRPr="00532A38">
        <w:rPr>
          <w:rFonts w:ascii="Times New Roman" w:hAnsi="Times New Roman" w:cs="Times New Roman"/>
          <w:sz w:val="24"/>
          <w:szCs w:val="24"/>
        </w:rPr>
        <w:t xml:space="preserve"> and had a principal place of business in Kwun Tong, Hong Kong.</w:t>
      </w:r>
    </w:p>
    <w:p w14:paraId="45E4F95E" w14:textId="77777777" w:rsidR="003200E4" w:rsidRPr="00532A38" w:rsidRDefault="003200E4" w:rsidP="0046026A">
      <w:pPr>
        <w:pStyle w:val="a3"/>
        <w:overflowPunct w:val="0"/>
        <w:spacing w:after="0" w:line="240" w:lineRule="auto"/>
        <w:ind w:left="0"/>
        <w:jc w:val="both"/>
        <w:rPr>
          <w:rFonts w:ascii="Times New Roman" w:hAnsi="Times New Roman" w:cs="Times New Roman"/>
          <w:sz w:val="24"/>
          <w:szCs w:val="24"/>
        </w:rPr>
      </w:pPr>
    </w:p>
    <w:p w14:paraId="183443B2" w14:textId="441712F7" w:rsidR="00F03E23" w:rsidRPr="00EE12D2" w:rsidRDefault="00AD2E8C" w:rsidP="00EE12D2">
      <w:pPr>
        <w:pStyle w:val="a3"/>
        <w:widowControl w:val="0"/>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Appellant </w:t>
      </w:r>
      <w:r w:rsidRPr="00532A38">
        <w:rPr>
          <w:rFonts w:ascii="Times New Roman" w:hAnsi="Times New Roman" w:cs="Times New Roman"/>
          <w:sz w:val="24"/>
          <w:szCs w:val="24"/>
          <w:lang w:eastAsia="zh-HK"/>
        </w:rPr>
        <w:t>closed its accounts on</w:t>
      </w:r>
      <w:r w:rsidRPr="00532A38">
        <w:rPr>
          <w:rFonts w:ascii="Times New Roman" w:hAnsi="Times New Roman" w:cs="Times New Roman"/>
          <w:sz w:val="24"/>
          <w:szCs w:val="24"/>
        </w:rPr>
        <w:t xml:space="preserve"> 31 March</w:t>
      </w:r>
      <w:r w:rsidRPr="00532A38">
        <w:rPr>
          <w:rFonts w:ascii="Times New Roman" w:hAnsi="Times New Roman" w:cs="Times New Roman"/>
          <w:sz w:val="24"/>
          <w:szCs w:val="24"/>
          <w:lang w:eastAsia="zh-HK"/>
        </w:rPr>
        <w:t xml:space="preserve"> every year</w:t>
      </w:r>
      <w:r w:rsidRPr="00532A38">
        <w:rPr>
          <w:rFonts w:ascii="Times New Roman" w:hAnsi="Times New Roman" w:cs="Times New Roman"/>
          <w:sz w:val="24"/>
          <w:szCs w:val="24"/>
        </w:rPr>
        <w:t xml:space="preserve">.  </w:t>
      </w:r>
      <w:r w:rsidRPr="00532A38">
        <w:rPr>
          <w:rFonts w:ascii="Times New Roman" w:hAnsi="Times New Roman" w:cs="Times New Roman"/>
          <w:sz w:val="24"/>
          <w:szCs w:val="24"/>
          <w:lang w:eastAsia="zh-HK"/>
        </w:rPr>
        <w:t>Details of i</w:t>
      </w:r>
      <w:r w:rsidRPr="00532A38">
        <w:rPr>
          <w:rFonts w:ascii="Times New Roman" w:hAnsi="Times New Roman" w:cs="Times New Roman"/>
          <w:sz w:val="24"/>
          <w:szCs w:val="24"/>
        </w:rPr>
        <w:t>ts financial statements for the years of assessment 2007/08 to 2010/11</w:t>
      </w:r>
      <w:r w:rsidRPr="00532A38">
        <w:rPr>
          <w:rFonts w:ascii="Times New Roman" w:hAnsi="Times New Roman" w:cs="Times New Roman"/>
          <w:sz w:val="24"/>
          <w:szCs w:val="24"/>
          <w:lang w:eastAsia="zh-HK"/>
        </w:rPr>
        <w:t>,</w:t>
      </w:r>
      <w:r w:rsidRPr="00532A38">
        <w:rPr>
          <w:rFonts w:ascii="Times New Roman" w:hAnsi="Times New Roman" w:cs="Times New Roman"/>
          <w:sz w:val="24"/>
          <w:szCs w:val="24"/>
        </w:rPr>
        <w:t xml:space="preserve"> </w:t>
      </w:r>
      <w:r w:rsidRPr="00532A38">
        <w:rPr>
          <w:rFonts w:ascii="Times New Roman" w:hAnsi="Times New Roman" w:cs="Times New Roman"/>
          <w:sz w:val="24"/>
          <w:szCs w:val="24"/>
          <w:lang w:eastAsia="zh-HK"/>
        </w:rPr>
        <w:t xml:space="preserve">which were </w:t>
      </w:r>
      <w:r w:rsidRPr="00532A38">
        <w:rPr>
          <w:rFonts w:ascii="Times New Roman" w:hAnsi="Times New Roman" w:cs="Times New Roman"/>
          <w:sz w:val="24"/>
          <w:szCs w:val="24"/>
        </w:rPr>
        <w:t>approved by its board of directors</w:t>
      </w:r>
      <w:r w:rsidRPr="00532A38">
        <w:rPr>
          <w:rFonts w:ascii="Times New Roman" w:hAnsi="Times New Roman" w:cs="Times New Roman"/>
          <w:sz w:val="24"/>
          <w:szCs w:val="24"/>
          <w:lang w:eastAsia="zh-HK"/>
        </w:rPr>
        <w:t>, are</w:t>
      </w:r>
      <w:r w:rsidRPr="00532A38">
        <w:rPr>
          <w:rFonts w:ascii="Times New Roman" w:hAnsi="Times New Roman" w:cs="Times New Roman"/>
          <w:sz w:val="24"/>
          <w:szCs w:val="24"/>
        </w:rPr>
        <w:t xml:space="preserve"> </w:t>
      </w:r>
      <w:r w:rsidRPr="00532A38">
        <w:rPr>
          <w:rFonts w:ascii="Times New Roman" w:hAnsi="Times New Roman" w:cs="Times New Roman"/>
          <w:sz w:val="24"/>
          <w:szCs w:val="24"/>
          <w:lang w:eastAsia="zh-HK"/>
        </w:rPr>
        <w:t xml:space="preserve">listed </w:t>
      </w:r>
      <w:r w:rsidRPr="00532A38">
        <w:rPr>
          <w:rFonts w:ascii="Times New Roman" w:hAnsi="Times New Roman" w:cs="Times New Roman"/>
          <w:sz w:val="24"/>
          <w:szCs w:val="24"/>
        </w:rPr>
        <w:t>as follows:</w:t>
      </w:r>
    </w:p>
    <w:p w14:paraId="63481B73" w14:textId="443F5B52" w:rsidR="00F03E23" w:rsidRDefault="00F03E23" w:rsidP="0046026A">
      <w:pPr>
        <w:pStyle w:val="a3"/>
        <w:overflowPunct w:val="0"/>
        <w:topLinePunct/>
        <w:adjustRightInd w:val="0"/>
        <w:snapToGrid w:val="0"/>
        <w:spacing w:after="0" w:line="240" w:lineRule="auto"/>
        <w:ind w:left="0"/>
        <w:rPr>
          <w:rFonts w:ascii="Times New Roman" w:hAnsi="Times New Roman" w:cs="Times New Roman"/>
          <w:sz w:val="24"/>
          <w:szCs w:val="24"/>
          <w:lang w:eastAsia="zh-HK"/>
        </w:rPr>
      </w:pPr>
    </w:p>
    <w:p w14:paraId="4D9F22D1" w14:textId="6D079772" w:rsidR="00EE12D2" w:rsidRDefault="00EE12D2" w:rsidP="0046026A">
      <w:pPr>
        <w:pStyle w:val="a3"/>
        <w:overflowPunct w:val="0"/>
        <w:topLinePunct/>
        <w:adjustRightInd w:val="0"/>
        <w:snapToGrid w:val="0"/>
        <w:spacing w:after="0" w:line="240" w:lineRule="auto"/>
        <w:ind w:left="0"/>
        <w:rPr>
          <w:rFonts w:ascii="Times New Roman" w:hAnsi="Times New Roman" w:cs="Times New Roman"/>
          <w:sz w:val="24"/>
          <w:szCs w:val="24"/>
          <w:lang w:eastAsia="zh-HK"/>
        </w:rPr>
      </w:pPr>
    </w:p>
    <w:p w14:paraId="5749E35A" w14:textId="77777777" w:rsidR="00EE12D2" w:rsidRPr="00EE12D2" w:rsidRDefault="00EE12D2" w:rsidP="0046026A">
      <w:pPr>
        <w:pStyle w:val="a3"/>
        <w:overflowPunct w:val="0"/>
        <w:topLinePunct/>
        <w:adjustRightInd w:val="0"/>
        <w:snapToGrid w:val="0"/>
        <w:spacing w:after="0" w:line="240" w:lineRule="auto"/>
        <w:ind w:left="0"/>
        <w:rPr>
          <w:rFonts w:ascii="Times New Roman" w:hAnsi="Times New Roman" w:cs="Times New Roman"/>
          <w:sz w:val="24"/>
          <w:szCs w:val="24"/>
          <w:lang w:eastAsia="zh-HK"/>
        </w:rPr>
      </w:pPr>
    </w:p>
    <w:tbl>
      <w:tblPr>
        <w:tblW w:w="7513" w:type="dxa"/>
        <w:tblInd w:w="1384" w:type="dxa"/>
        <w:tblLayout w:type="fixed"/>
        <w:tblLook w:val="04A0" w:firstRow="1" w:lastRow="0" w:firstColumn="1" w:lastColumn="0" w:noHBand="0" w:noVBand="1"/>
      </w:tblPr>
      <w:tblGrid>
        <w:gridCol w:w="2126"/>
        <w:gridCol w:w="3261"/>
        <w:gridCol w:w="2126"/>
      </w:tblGrid>
      <w:tr w:rsidR="00AD2E8C" w:rsidRPr="00532A38" w14:paraId="7CCAE72D" w14:textId="77777777" w:rsidTr="003200E4">
        <w:trPr>
          <w:trHeight w:val="346"/>
          <w:tblHeader/>
        </w:trPr>
        <w:tc>
          <w:tcPr>
            <w:tcW w:w="2126" w:type="dxa"/>
            <w:shd w:val="clear" w:color="auto" w:fill="auto"/>
          </w:tcPr>
          <w:p w14:paraId="7CCAE72A"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u w:val="single"/>
              </w:rPr>
            </w:pPr>
            <w:r w:rsidRPr="00532A38">
              <w:rPr>
                <w:rFonts w:ascii="Times New Roman" w:hAnsi="Times New Roman" w:cs="Times New Roman"/>
                <w:sz w:val="24"/>
                <w:szCs w:val="24"/>
                <w:u w:val="single"/>
              </w:rPr>
              <w:lastRenderedPageBreak/>
              <w:t>Year of assessment</w:t>
            </w:r>
          </w:p>
        </w:tc>
        <w:tc>
          <w:tcPr>
            <w:tcW w:w="3261" w:type="dxa"/>
            <w:shd w:val="clear" w:color="auto" w:fill="auto"/>
          </w:tcPr>
          <w:p w14:paraId="04ED573A" w14:textId="77777777" w:rsidR="003C21F6"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u w:val="single"/>
              </w:rPr>
            </w:pPr>
            <w:r w:rsidRPr="00532A38">
              <w:rPr>
                <w:rFonts w:ascii="Times New Roman" w:hAnsi="Times New Roman" w:cs="Times New Roman"/>
                <w:sz w:val="24"/>
                <w:szCs w:val="24"/>
                <w:u w:val="single"/>
              </w:rPr>
              <w:t xml:space="preserve">Period covered by </w:t>
            </w:r>
          </w:p>
          <w:p w14:paraId="7CCAE72B" w14:textId="09D9D5D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rPr>
              <w:t>the financial statement</w:t>
            </w:r>
            <w:r w:rsidRPr="00532A38">
              <w:rPr>
                <w:rFonts w:ascii="Times New Roman" w:hAnsi="Times New Roman" w:cs="Times New Roman"/>
                <w:sz w:val="24"/>
                <w:szCs w:val="24"/>
                <w:u w:val="single"/>
                <w:lang w:eastAsia="zh-HK"/>
              </w:rPr>
              <w:t>s</w:t>
            </w:r>
          </w:p>
        </w:tc>
        <w:tc>
          <w:tcPr>
            <w:tcW w:w="2126" w:type="dxa"/>
            <w:shd w:val="clear" w:color="auto" w:fill="auto"/>
          </w:tcPr>
          <w:p w14:paraId="7CCAE72C"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u w:val="single"/>
              </w:rPr>
            </w:pPr>
            <w:r w:rsidRPr="00532A38">
              <w:rPr>
                <w:rFonts w:ascii="Times New Roman" w:hAnsi="Times New Roman" w:cs="Times New Roman"/>
                <w:sz w:val="24"/>
                <w:szCs w:val="24"/>
                <w:u w:val="single"/>
              </w:rPr>
              <w:t>Date of approval</w:t>
            </w:r>
          </w:p>
        </w:tc>
      </w:tr>
      <w:tr w:rsidR="00AD2E8C" w:rsidRPr="00532A38" w14:paraId="7CCAE731" w14:textId="77777777" w:rsidTr="003200E4">
        <w:trPr>
          <w:trHeight w:val="346"/>
        </w:trPr>
        <w:tc>
          <w:tcPr>
            <w:tcW w:w="2126" w:type="dxa"/>
            <w:shd w:val="clear" w:color="auto" w:fill="auto"/>
          </w:tcPr>
          <w:p w14:paraId="7CCAE72E"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napToGrid w:val="0"/>
                <w:sz w:val="24"/>
                <w:szCs w:val="24"/>
              </w:rPr>
            </w:pPr>
            <w:r w:rsidRPr="00532A38">
              <w:rPr>
                <w:rFonts w:ascii="Times New Roman" w:hAnsi="Times New Roman" w:cs="Times New Roman"/>
                <w:snapToGrid w:val="0"/>
                <w:sz w:val="24"/>
                <w:szCs w:val="24"/>
              </w:rPr>
              <w:t>2007/08</w:t>
            </w:r>
          </w:p>
        </w:tc>
        <w:tc>
          <w:tcPr>
            <w:tcW w:w="3261" w:type="dxa"/>
            <w:shd w:val="clear" w:color="auto" w:fill="auto"/>
          </w:tcPr>
          <w:p w14:paraId="7CCAE72F"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1 April 2007 to 31 March 2008</w:t>
            </w:r>
          </w:p>
        </w:tc>
        <w:tc>
          <w:tcPr>
            <w:tcW w:w="2126" w:type="dxa"/>
            <w:shd w:val="clear" w:color="auto" w:fill="auto"/>
          </w:tcPr>
          <w:p w14:paraId="7CCAE730"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23 March 2009</w:t>
            </w:r>
          </w:p>
        </w:tc>
      </w:tr>
      <w:tr w:rsidR="00AD2E8C" w:rsidRPr="00532A38" w14:paraId="7CCAE735" w14:textId="77777777" w:rsidTr="003200E4">
        <w:trPr>
          <w:trHeight w:val="358"/>
        </w:trPr>
        <w:tc>
          <w:tcPr>
            <w:tcW w:w="2126" w:type="dxa"/>
            <w:shd w:val="clear" w:color="auto" w:fill="auto"/>
          </w:tcPr>
          <w:p w14:paraId="7CCAE732"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napToGrid w:val="0"/>
                <w:sz w:val="24"/>
                <w:szCs w:val="24"/>
              </w:rPr>
            </w:pPr>
            <w:r w:rsidRPr="00532A38">
              <w:rPr>
                <w:rFonts w:ascii="Times New Roman" w:hAnsi="Times New Roman" w:cs="Times New Roman"/>
                <w:snapToGrid w:val="0"/>
                <w:sz w:val="24"/>
                <w:szCs w:val="24"/>
              </w:rPr>
              <w:t>2008/09</w:t>
            </w:r>
          </w:p>
        </w:tc>
        <w:tc>
          <w:tcPr>
            <w:tcW w:w="3261" w:type="dxa"/>
            <w:shd w:val="clear" w:color="auto" w:fill="auto"/>
          </w:tcPr>
          <w:p w14:paraId="7CCAE733"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1 April 2008 to 31 March 2009</w:t>
            </w:r>
          </w:p>
        </w:tc>
        <w:tc>
          <w:tcPr>
            <w:tcW w:w="2126" w:type="dxa"/>
            <w:shd w:val="clear" w:color="auto" w:fill="auto"/>
          </w:tcPr>
          <w:p w14:paraId="7CCAE734"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highlight w:val="yellow"/>
              </w:rPr>
            </w:pPr>
            <w:r w:rsidRPr="00532A38">
              <w:rPr>
                <w:rFonts w:ascii="Times New Roman" w:hAnsi="Times New Roman" w:cs="Times New Roman"/>
                <w:sz w:val="24"/>
                <w:szCs w:val="24"/>
              </w:rPr>
              <w:t>15 November 2009</w:t>
            </w:r>
          </w:p>
        </w:tc>
      </w:tr>
      <w:tr w:rsidR="00AD2E8C" w:rsidRPr="00532A38" w14:paraId="7CCAE739" w14:textId="77777777" w:rsidTr="003200E4">
        <w:trPr>
          <w:trHeight w:val="358"/>
        </w:trPr>
        <w:tc>
          <w:tcPr>
            <w:tcW w:w="2126" w:type="dxa"/>
            <w:shd w:val="clear" w:color="auto" w:fill="auto"/>
          </w:tcPr>
          <w:p w14:paraId="7CCAE736"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napToGrid w:val="0"/>
                <w:sz w:val="24"/>
                <w:szCs w:val="24"/>
              </w:rPr>
            </w:pPr>
            <w:r w:rsidRPr="00532A38">
              <w:rPr>
                <w:rFonts w:ascii="Times New Roman" w:hAnsi="Times New Roman" w:cs="Times New Roman"/>
                <w:snapToGrid w:val="0"/>
                <w:sz w:val="24"/>
                <w:szCs w:val="24"/>
              </w:rPr>
              <w:t>2009/10</w:t>
            </w:r>
          </w:p>
        </w:tc>
        <w:tc>
          <w:tcPr>
            <w:tcW w:w="3261" w:type="dxa"/>
            <w:shd w:val="clear" w:color="auto" w:fill="auto"/>
          </w:tcPr>
          <w:p w14:paraId="7CCAE737"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1 April 2009 to 31 March 2010</w:t>
            </w:r>
          </w:p>
        </w:tc>
        <w:tc>
          <w:tcPr>
            <w:tcW w:w="2126" w:type="dxa"/>
            <w:shd w:val="clear" w:color="auto" w:fill="auto"/>
          </w:tcPr>
          <w:p w14:paraId="7CCAE738"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28 December 2010</w:t>
            </w:r>
          </w:p>
        </w:tc>
      </w:tr>
      <w:tr w:rsidR="00AD2E8C" w:rsidRPr="00532A38" w14:paraId="7CCAE73D" w14:textId="77777777" w:rsidTr="003200E4">
        <w:trPr>
          <w:trHeight w:val="358"/>
        </w:trPr>
        <w:tc>
          <w:tcPr>
            <w:tcW w:w="2126" w:type="dxa"/>
            <w:shd w:val="clear" w:color="auto" w:fill="auto"/>
          </w:tcPr>
          <w:p w14:paraId="7CCAE73A"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napToGrid w:val="0"/>
                <w:sz w:val="24"/>
                <w:szCs w:val="24"/>
              </w:rPr>
            </w:pPr>
            <w:r w:rsidRPr="00532A38">
              <w:rPr>
                <w:rFonts w:ascii="Times New Roman" w:hAnsi="Times New Roman" w:cs="Times New Roman"/>
                <w:snapToGrid w:val="0"/>
                <w:sz w:val="24"/>
                <w:szCs w:val="24"/>
              </w:rPr>
              <w:t>2010/11</w:t>
            </w:r>
          </w:p>
        </w:tc>
        <w:tc>
          <w:tcPr>
            <w:tcW w:w="3261" w:type="dxa"/>
            <w:shd w:val="clear" w:color="auto" w:fill="auto"/>
          </w:tcPr>
          <w:p w14:paraId="7CCAE73B"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1 April 2010 to 31 March 2011</w:t>
            </w:r>
          </w:p>
        </w:tc>
        <w:tc>
          <w:tcPr>
            <w:tcW w:w="2126" w:type="dxa"/>
            <w:shd w:val="clear" w:color="auto" w:fill="auto"/>
          </w:tcPr>
          <w:p w14:paraId="7CCAE73C" w14:textId="77777777" w:rsidR="00AD2E8C" w:rsidRPr="00532A38" w:rsidRDefault="00AD2E8C" w:rsidP="0046026A">
            <w:pPr>
              <w:pStyle w:val="a3"/>
              <w:overflowPunct w:val="0"/>
              <w:topLinePunct/>
              <w:adjustRightInd w:val="0"/>
              <w:snapToGrid w:val="0"/>
              <w:spacing w:after="0" w:line="240" w:lineRule="auto"/>
              <w:ind w:left="0"/>
              <w:jc w:val="center"/>
              <w:rPr>
                <w:rFonts w:ascii="Times New Roman" w:hAnsi="Times New Roman" w:cs="Times New Roman"/>
                <w:sz w:val="24"/>
                <w:szCs w:val="24"/>
              </w:rPr>
            </w:pPr>
            <w:r w:rsidRPr="00532A38">
              <w:rPr>
                <w:rFonts w:ascii="Times New Roman" w:hAnsi="Times New Roman" w:cs="Times New Roman"/>
                <w:sz w:val="24"/>
                <w:szCs w:val="24"/>
              </w:rPr>
              <w:t>23 November 2011</w:t>
            </w:r>
          </w:p>
        </w:tc>
      </w:tr>
    </w:tbl>
    <w:p w14:paraId="28A92DE7" w14:textId="48A2A803" w:rsidR="009535DB" w:rsidRPr="003200E4" w:rsidRDefault="009535DB" w:rsidP="0046026A">
      <w:pPr>
        <w:overflowPunct w:val="0"/>
        <w:spacing w:after="0" w:line="240" w:lineRule="auto"/>
        <w:jc w:val="both"/>
        <w:rPr>
          <w:rFonts w:ascii="Times New Roman" w:hAnsi="Times New Roman" w:cs="Times New Roman"/>
          <w:sz w:val="24"/>
          <w:szCs w:val="24"/>
        </w:rPr>
      </w:pPr>
    </w:p>
    <w:p w14:paraId="7CCAE73F" w14:textId="77777777" w:rsidR="000E2DEE" w:rsidRPr="00532A38" w:rsidRDefault="000E2DEE"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w:t>
      </w:r>
      <w:r w:rsidR="00EF1A17" w:rsidRPr="00532A38">
        <w:rPr>
          <w:rFonts w:ascii="Times New Roman" w:hAnsi="Times New Roman" w:cs="Times New Roman"/>
          <w:sz w:val="24"/>
          <w:szCs w:val="24"/>
        </w:rPr>
        <w:t xml:space="preserve">its </w:t>
      </w:r>
      <w:r w:rsidRPr="00532A38">
        <w:rPr>
          <w:rFonts w:ascii="Times New Roman" w:hAnsi="Times New Roman" w:cs="Times New Roman"/>
          <w:sz w:val="24"/>
          <w:szCs w:val="24"/>
        </w:rPr>
        <w:t xml:space="preserve">profits tax returns for the Relevant Period, </w:t>
      </w:r>
      <w:r w:rsidR="006A539A" w:rsidRPr="00532A38">
        <w:rPr>
          <w:rFonts w:ascii="Times New Roman" w:hAnsi="Times New Roman" w:cs="Times New Roman"/>
          <w:sz w:val="24"/>
          <w:szCs w:val="24"/>
        </w:rPr>
        <w:t xml:space="preserve">it is important to note that </w:t>
      </w:r>
      <w:r w:rsidRPr="00532A38">
        <w:rPr>
          <w:rFonts w:ascii="Times New Roman" w:hAnsi="Times New Roman" w:cs="Times New Roman"/>
          <w:sz w:val="24"/>
          <w:szCs w:val="24"/>
        </w:rPr>
        <w:t xml:space="preserve">the </w:t>
      </w:r>
      <w:r w:rsidR="006A539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reported its principal business activities as follows:</w:t>
      </w:r>
    </w:p>
    <w:p w14:paraId="3CDA6645" w14:textId="77777777" w:rsidR="000C73E4" w:rsidRPr="00532A38" w:rsidRDefault="000C73E4" w:rsidP="0046026A">
      <w:pPr>
        <w:pStyle w:val="a3"/>
        <w:overflowPunct w:val="0"/>
        <w:spacing w:after="0" w:line="240" w:lineRule="auto"/>
        <w:rPr>
          <w:rFonts w:ascii="Times New Roman" w:hAnsi="Times New Roman" w:cs="Times New Roman"/>
          <w:sz w:val="24"/>
          <w:szCs w:val="24"/>
          <w:lang w:eastAsia="zh-HK"/>
        </w:rPr>
      </w:pPr>
    </w:p>
    <w:tbl>
      <w:tblPr>
        <w:tblStyle w:val="a4"/>
        <w:tblW w:w="0" w:type="auto"/>
        <w:tblInd w:w="108" w:type="dxa"/>
        <w:tblLook w:val="04A0" w:firstRow="1" w:lastRow="0" w:firstColumn="1" w:lastColumn="0" w:noHBand="0" w:noVBand="1"/>
      </w:tblPr>
      <w:tblGrid>
        <w:gridCol w:w="2198"/>
        <w:gridCol w:w="3047"/>
        <w:gridCol w:w="3476"/>
      </w:tblGrid>
      <w:tr w:rsidR="000E2DEE" w:rsidRPr="00532A38" w14:paraId="7CCAE744" w14:textId="77777777" w:rsidTr="003C21F6">
        <w:tc>
          <w:tcPr>
            <w:tcW w:w="2198" w:type="dxa"/>
          </w:tcPr>
          <w:p w14:paraId="7CCAE741" w14:textId="05D5824F" w:rsidR="000E2DEE" w:rsidRPr="00532A38" w:rsidRDefault="003200E4" w:rsidP="003C21F6">
            <w:pPr>
              <w:pStyle w:val="a3"/>
              <w:overflowPunct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Year of assessment</w:t>
            </w:r>
          </w:p>
        </w:tc>
        <w:tc>
          <w:tcPr>
            <w:tcW w:w="3047" w:type="dxa"/>
          </w:tcPr>
          <w:p w14:paraId="7CCAE742" w14:textId="77777777" w:rsidR="000E2DEE" w:rsidRPr="00532A38" w:rsidRDefault="000E2DEE" w:rsidP="003C21F6">
            <w:pPr>
              <w:pStyle w:val="a3"/>
              <w:overflowPunct w:val="0"/>
              <w:ind w:left="0"/>
              <w:jc w:val="center"/>
              <w:rPr>
                <w:rFonts w:ascii="Times New Roman" w:hAnsi="Times New Roman" w:cs="Times New Roman"/>
                <w:b/>
                <w:sz w:val="24"/>
                <w:szCs w:val="24"/>
                <w:lang w:val="en-US"/>
              </w:rPr>
            </w:pPr>
            <w:r w:rsidRPr="00532A38">
              <w:rPr>
                <w:rFonts w:ascii="Times New Roman" w:hAnsi="Times New Roman" w:cs="Times New Roman"/>
                <w:b/>
                <w:sz w:val="24"/>
                <w:szCs w:val="24"/>
                <w:lang w:val="en-US"/>
              </w:rPr>
              <w:t>Principal business activities</w:t>
            </w:r>
          </w:p>
        </w:tc>
        <w:tc>
          <w:tcPr>
            <w:tcW w:w="3476" w:type="dxa"/>
          </w:tcPr>
          <w:p w14:paraId="7CCAE743" w14:textId="77777777" w:rsidR="000E2DEE" w:rsidRPr="00532A38" w:rsidRDefault="000E2DEE" w:rsidP="003C21F6">
            <w:pPr>
              <w:pStyle w:val="a3"/>
              <w:overflowPunct w:val="0"/>
              <w:ind w:left="0"/>
              <w:jc w:val="center"/>
              <w:rPr>
                <w:rFonts w:ascii="Times New Roman" w:hAnsi="Times New Roman" w:cs="Times New Roman"/>
                <w:b/>
                <w:sz w:val="24"/>
                <w:szCs w:val="24"/>
                <w:lang w:val="en-US"/>
              </w:rPr>
            </w:pPr>
            <w:r w:rsidRPr="00532A38">
              <w:rPr>
                <w:rFonts w:ascii="Times New Roman" w:hAnsi="Times New Roman" w:cs="Times New Roman"/>
                <w:b/>
                <w:sz w:val="24"/>
                <w:szCs w:val="24"/>
                <w:lang w:val="en-US"/>
              </w:rPr>
              <w:t>Main products or services</w:t>
            </w:r>
          </w:p>
        </w:tc>
      </w:tr>
      <w:tr w:rsidR="000E2DEE" w:rsidRPr="00532A38" w14:paraId="7CCAE748" w14:textId="77777777" w:rsidTr="003C21F6">
        <w:tc>
          <w:tcPr>
            <w:tcW w:w="2198" w:type="dxa"/>
          </w:tcPr>
          <w:p w14:paraId="7CCAE745" w14:textId="77777777" w:rsidR="000E2DEE" w:rsidRPr="00532A38" w:rsidRDefault="000E2DEE" w:rsidP="0046026A">
            <w:pPr>
              <w:pStyle w:val="a3"/>
              <w:overflowPunct w:val="0"/>
              <w:ind w:left="0"/>
              <w:jc w:val="both"/>
              <w:rPr>
                <w:rFonts w:ascii="Times New Roman" w:hAnsi="Times New Roman" w:cs="Times New Roman"/>
                <w:sz w:val="24"/>
                <w:szCs w:val="24"/>
                <w:lang w:val="en-US"/>
              </w:rPr>
            </w:pPr>
            <w:r w:rsidRPr="00532A38">
              <w:rPr>
                <w:rFonts w:ascii="Times New Roman" w:hAnsi="Times New Roman" w:cs="Times New Roman"/>
                <w:sz w:val="24"/>
                <w:szCs w:val="24"/>
                <w:lang w:val="en-US"/>
              </w:rPr>
              <w:t>2007/08</w:t>
            </w:r>
          </w:p>
        </w:tc>
        <w:tc>
          <w:tcPr>
            <w:tcW w:w="3047" w:type="dxa"/>
          </w:tcPr>
          <w:p w14:paraId="7CCAE746" w14:textId="793E4B17" w:rsidR="000E2DEE" w:rsidRPr="00532A38" w:rsidRDefault="003200E4" w:rsidP="0046026A">
            <w:pPr>
              <w:pStyle w:val="a3"/>
              <w:overflowPunct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2DEE" w:rsidRPr="00532A38">
              <w:rPr>
                <w:rFonts w:ascii="Times New Roman" w:hAnsi="Times New Roman" w:cs="Times New Roman"/>
                <w:sz w:val="24"/>
                <w:szCs w:val="24"/>
                <w:lang w:val="en-US"/>
              </w:rPr>
              <w:t>Trading</w:t>
            </w:r>
            <w:r>
              <w:rPr>
                <w:rFonts w:ascii="Times New Roman" w:hAnsi="Times New Roman" w:cs="Times New Roman"/>
                <w:sz w:val="24"/>
                <w:szCs w:val="24"/>
                <w:lang w:val="en-US"/>
              </w:rPr>
              <w:t>’</w:t>
            </w:r>
          </w:p>
        </w:tc>
        <w:tc>
          <w:tcPr>
            <w:tcW w:w="3476" w:type="dxa"/>
          </w:tcPr>
          <w:p w14:paraId="7CCAE747" w14:textId="0FD2EEC5" w:rsidR="000E2DEE" w:rsidRPr="00532A38" w:rsidRDefault="003200E4" w:rsidP="0046026A">
            <w:pPr>
              <w:pStyle w:val="a3"/>
              <w:overflowPunct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2DEE" w:rsidRPr="00532A38">
              <w:rPr>
                <w:rFonts w:ascii="Times New Roman" w:hAnsi="Times New Roman" w:cs="Times New Roman"/>
                <w:sz w:val="24"/>
                <w:szCs w:val="24"/>
                <w:lang w:val="en-US"/>
              </w:rPr>
              <w:t>Cards &amp; printing &amp; credit cards</w:t>
            </w:r>
            <w:r>
              <w:rPr>
                <w:rFonts w:ascii="Times New Roman" w:hAnsi="Times New Roman" w:cs="Times New Roman"/>
                <w:sz w:val="24"/>
                <w:szCs w:val="24"/>
                <w:lang w:val="en-US"/>
              </w:rPr>
              <w:t>’</w:t>
            </w:r>
          </w:p>
        </w:tc>
      </w:tr>
      <w:tr w:rsidR="000E2DEE" w:rsidRPr="00532A38" w14:paraId="7CCAE74B" w14:textId="77777777" w:rsidTr="003C21F6">
        <w:tc>
          <w:tcPr>
            <w:tcW w:w="2198" w:type="dxa"/>
          </w:tcPr>
          <w:p w14:paraId="7CCAE749" w14:textId="77777777" w:rsidR="000E2DEE" w:rsidRPr="00532A38" w:rsidRDefault="000E2DEE" w:rsidP="0046026A">
            <w:pPr>
              <w:pStyle w:val="a3"/>
              <w:overflowPunct w:val="0"/>
              <w:ind w:left="0"/>
              <w:jc w:val="both"/>
              <w:rPr>
                <w:rFonts w:ascii="Times New Roman" w:hAnsi="Times New Roman" w:cs="Times New Roman"/>
                <w:sz w:val="24"/>
                <w:szCs w:val="24"/>
                <w:lang w:val="en-US"/>
              </w:rPr>
            </w:pPr>
            <w:r w:rsidRPr="00532A38">
              <w:rPr>
                <w:rFonts w:ascii="Times New Roman" w:hAnsi="Times New Roman" w:cs="Times New Roman"/>
                <w:sz w:val="24"/>
                <w:szCs w:val="24"/>
                <w:lang w:val="en-US"/>
              </w:rPr>
              <w:t>2008/09</w:t>
            </w:r>
          </w:p>
        </w:tc>
        <w:tc>
          <w:tcPr>
            <w:tcW w:w="6523" w:type="dxa"/>
            <w:gridSpan w:val="2"/>
          </w:tcPr>
          <w:p w14:paraId="7CCAE74A" w14:textId="00658762" w:rsidR="000E2DEE" w:rsidRPr="00532A38" w:rsidRDefault="003200E4" w:rsidP="0046026A">
            <w:pPr>
              <w:pStyle w:val="a3"/>
              <w:overflowPunct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2DEE" w:rsidRPr="00532A38">
              <w:rPr>
                <w:rFonts w:ascii="Times New Roman" w:hAnsi="Times New Roman" w:cs="Times New Roman"/>
                <w:sz w:val="24"/>
                <w:szCs w:val="24"/>
                <w:lang w:val="en-US"/>
              </w:rPr>
              <w:t>Trading of cards and credit cards.  Also acts as an investment holding company</w:t>
            </w:r>
            <w:r>
              <w:rPr>
                <w:rFonts w:ascii="Times New Roman" w:hAnsi="Times New Roman" w:cs="Times New Roman"/>
                <w:sz w:val="24"/>
                <w:szCs w:val="24"/>
                <w:lang w:val="en-US"/>
              </w:rPr>
              <w:t>’</w:t>
            </w:r>
          </w:p>
        </w:tc>
      </w:tr>
      <w:tr w:rsidR="000E2DEE" w:rsidRPr="00532A38" w14:paraId="7CCAE74E" w14:textId="77777777" w:rsidTr="003C21F6">
        <w:tc>
          <w:tcPr>
            <w:tcW w:w="2198" w:type="dxa"/>
          </w:tcPr>
          <w:p w14:paraId="7CCAE74C" w14:textId="77777777" w:rsidR="000E2DEE" w:rsidRPr="00532A38" w:rsidRDefault="000E2DEE" w:rsidP="0046026A">
            <w:pPr>
              <w:pStyle w:val="a3"/>
              <w:overflowPunct w:val="0"/>
              <w:ind w:left="0"/>
              <w:jc w:val="both"/>
              <w:rPr>
                <w:rFonts w:ascii="Times New Roman" w:hAnsi="Times New Roman" w:cs="Times New Roman"/>
                <w:sz w:val="24"/>
                <w:szCs w:val="24"/>
                <w:lang w:val="en-US"/>
              </w:rPr>
            </w:pPr>
            <w:r w:rsidRPr="00532A38">
              <w:rPr>
                <w:rFonts w:ascii="Times New Roman" w:hAnsi="Times New Roman" w:cs="Times New Roman"/>
                <w:sz w:val="24"/>
                <w:szCs w:val="24"/>
                <w:lang w:val="en-US"/>
              </w:rPr>
              <w:t>2009/10</w:t>
            </w:r>
          </w:p>
        </w:tc>
        <w:tc>
          <w:tcPr>
            <w:tcW w:w="6523" w:type="dxa"/>
            <w:gridSpan w:val="2"/>
          </w:tcPr>
          <w:p w14:paraId="7CCAE74D" w14:textId="62E8A474" w:rsidR="000E2DEE" w:rsidRPr="00532A38" w:rsidRDefault="003200E4" w:rsidP="0046026A">
            <w:pPr>
              <w:pStyle w:val="a3"/>
              <w:overflowPunct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2DEE" w:rsidRPr="00532A38">
              <w:rPr>
                <w:rFonts w:ascii="Times New Roman" w:hAnsi="Times New Roman" w:cs="Times New Roman"/>
                <w:sz w:val="24"/>
                <w:szCs w:val="24"/>
                <w:lang w:val="en-US"/>
              </w:rPr>
              <w:t>Design, manufacturing and processing of various types of smart cards and other cards</w:t>
            </w:r>
            <w:r>
              <w:rPr>
                <w:rFonts w:ascii="Times New Roman" w:hAnsi="Times New Roman" w:cs="Times New Roman"/>
                <w:sz w:val="24"/>
                <w:szCs w:val="24"/>
                <w:lang w:val="en-US"/>
              </w:rPr>
              <w:t>’</w:t>
            </w:r>
          </w:p>
        </w:tc>
      </w:tr>
      <w:tr w:rsidR="000E2DEE" w:rsidRPr="00532A38" w14:paraId="7CCAE751" w14:textId="77777777" w:rsidTr="003C21F6">
        <w:tc>
          <w:tcPr>
            <w:tcW w:w="2198" w:type="dxa"/>
          </w:tcPr>
          <w:p w14:paraId="7CCAE74F" w14:textId="77777777" w:rsidR="000E2DEE" w:rsidRPr="00532A38" w:rsidRDefault="000E2DEE" w:rsidP="0046026A">
            <w:pPr>
              <w:pStyle w:val="a3"/>
              <w:overflowPunct w:val="0"/>
              <w:ind w:left="0"/>
              <w:jc w:val="both"/>
              <w:rPr>
                <w:rFonts w:ascii="Times New Roman" w:hAnsi="Times New Roman" w:cs="Times New Roman"/>
                <w:sz w:val="24"/>
                <w:szCs w:val="24"/>
                <w:lang w:val="en-US"/>
              </w:rPr>
            </w:pPr>
            <w:r w:rsidRPr="00532A38">
              <w:rPr>
                <w:rFonts w:ascii="Times New Roman" w:hAnsi="Times New Roman" w:cs="Times New Roman"/>
                <w:sz w:val="24"/>
                <w:szCs w:val="24"/>
                <w:lang w:val="en-US"/>
              </w:rPr>
              <w:t>2010/11</w:t>
            </w:r>
          </w:p>
        </w:tc>
        <w:tc>
          <w:tcPr>
            <w:tcW w:w="6523" w:type="dxa"/>
            <w:gridSpan w:val="2"/>
          </w:tcPr>
          <w:p w14:paraId="7CCAE750" w14:textId="1F12364E" w:rsidR="000E2DEE" w:rsidRPr="00532A38" w:rsidRDefault="003200E4" w:rsidP="0046026A">
            <w:pPr>
              <w:pStyle w:val="a3"/>
              <w:overflowPunct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E2DEE" w:rsidRPr="00532A38">
              <w:rPr>
                <w:rFonts w:ascii="Times New Roman" w:hAnsi="Times New Roman" w:cs="Times New Roman"/>
                <w:sz w:val="24"/>
                <w:szCs w:val="24"/>
                <w:lang w:val="en-US"/>
              </w:rPr>
              <w:t>Design, manufacturing and processing of various types of smart cards and other cards</w:t>
            </w:r>
            <w:r>
              <w:rPr>
                <w:rFonts w:ascii="Times New Roman" w:hAnsi="Times New Roman" w:cs="Times New Roman"/>
                <w:sz w:val="24"/>
                <w:szCs w:val="24"/>
                <w:lang w:val="en-US"/>
              </w:rPr>
              <w:t>’</w:t>
            </w:r>
          </w:p>
        </w:tc>
      </w:tr>
    </w:tbl>
    <w:p w14:paraId="7CCAE752" w14:textId="77777777" w:rsidR="000E2DEE" w:rsidRPr="00532A38" w:rsidRDefault="000E2DEE" w:rsidP="0046026A">
      <w:pPr>
        <w:overflowPunct w:val="0"/>
        <w:spacing w:after="0" w:line="240" w:lineRule="auto"/>
        <w:jc w:val="both"/>
        <w:rPr>
          <w:rFonts w:ascii="Times New Roman" w:hAnsi="Times New Roman" w:cs="Times New Roman"/>
          <w:sz w:val="24"/>
          <w:szCs w:val="24"/>
        </w:rPr>
      </w:pPr>
    </w:p>
    <w:p w14:paraId="7CCAE753" w14:textId="0413A643" w:rsidR="000E2DEE" w:rsidRPr="00532A38" w:rsidRDefault="000E2DEE"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On 11 January 1996, t</w:t>
      </w:r>
      <w:r w:rsidR="002B1461" w:rsidRPr="00532A38">
        <w:rPr>
          <w:rFonts w:ascii="Times New Roman" w:hAnsi="Times New Roman" w:cs="Times New Roman"/>
          <w:sz w:val="24"/>
          <w:szCs w:val="24"/>
        </w:rPr>
        <w:t xml:space="preserve">he </w:t>
      </w:r>
      <w:r w:rsidR="00EF1A17" w:rsidRPr="00532A38">
        <w:rPr>
          <w:rFonts w:ascii="Times New Roman" w:hAnsi="Times New Roman" w:cs="Times New Roman"/>
          <w:sz w:val="24"/>
          <w:szCs w:val="24"/>
        </w:rPr>
        <w:t xml:space="preserve">Appellant </w:t>
      </w:r>
      <w:r w:rsidR="002B1461" w:rsidRPr="00532A38">
        <w:rPr>
          <w:rFonts w:ascii="Times New Roman" w:hAnsi="Times New Roman" w:cs="Times New Roman"/>
          <w:sz w:val="24"/>
          <w:szCs w:val="24"/>
        </w:rPr>
        <w:t>set up a</w:t>
      </w:r>
      <w:r w:rsidRPr="00532A38">
        <w:rPr>
          <w:rFonts w:ascii="Times New Roman" w:hAnsi="Times New Roman" w:cs="Times New Roman"/>
          <w:sz w:val="24"/>
          <w:szCs w:val="24"/>
        </w:rPr>
        <w:t xml:space="preserve"> wholly-owned subsidiary established in the Mainland of the People’s Republic of China.  The wholly-owned enterprise </w:t>
      </w:r>
      <w:r w:rsidR="00F03E23">
        <w:rPr>
          <w:rFonts w:ascii="Times New Roman" w:hAnsi="Times New Roman" w:cs="Times New Roman"/>
          <w:sz w:val="24"/>
          <w:szCs w:val="24"/>
        </w:rPr>
        <w:t>(</w:t>
      </w:r>
      <w:r w:rsidR="0074621D">
        <w:rPr>
          <w:rFonts w:ascii="Times New Roman" w:hAnsi="Times New Roman" w:cs="Times New Roman"/>
          <w:sz w:val="24"/>
          <w:szCs w:val="24"/>
        </w:rPr>
        <w:t>‘</w:t>
      </w:r>
      <w:r w:rsidRPr="0074621D">
        <w:rPr>
          <w:rFonts w:ascii="Times New Roman" w:hAnsi="Times New Roman" w:cs="Times New Roman"/>
          <w:sz w:val="24"/>
          <w:szCs w:val="24"/>
        </w:rPr>
        <w:t>PRC Subsidiary</w:t>
      </w:r>
      <w:r w:rsidR="0074621D">
        <w:rPr>
          <w:rFonts w:ascii="Times New Roman" w:hAnsi="Times New Roman" w:cs="Times New Roman"/>
          <w:sz w:val="24"/>
          <w:szCs w:val="24"/>
        </w:rPr>
        <w:t>’</w:t>
      </w:r>
      <w:r w:rsidR="00F03E23">
        <w:rPr>
          <w:rFonts w:ascii="Times New Roman" w:hAnsi="Times New Roman" w:cs="Times New Roman"/>
          <w:sz w:val="24"/>
          <w:szCs w:val="24"/>
        </w:rPr>
        <w:t>)</w:t>
      </w:r>
      <w:r w:rsidR="0074621D">
        <w:rPr>
          <w:rFonts w:ascii="Times New Roman" w:hAnsi="Times New Roman" w:cs="Times New Roman"/>
          <w:sz w:val="24"/>
          <w:szCs w:val="24"/>
        </w:rPr>
        <w:t xml:space="preserve"> </w:t>
      </w:r>
      <w:r w:rsidRPr="00532A38">
        <w:rPr>
          <w:rFonts w:ascii="Times New Roman" w:hAnsi="Times New Roman" w:cs="Times New Roman"/>
          <w:sz w:val="24"/>
          <w:szCs w:val="24"/>
        </w:rPr>
        <w:t xml:space="preserve">was granted the </w:t>
      </w:r>
      <w:r w:rsidR="0074621D">
        <w:rPr>
          <w:rFonts w:ascii="Times New Roman" w:hAnsi="Times New Roman" w:cs="Times New Roman"/>
          <w:sz w:val="24"/>
          <w:szCs w:val="24"/>
        </w:rPr>
        <w:t>‘</w:t>
      </w:r>
      <w:r w:rsidRPr="00532A38">
        <w:rPr>
          <w:rFonts w:ascii="Times New Roman" w:hAnsi="Times New Roman" w:cs="Times New Roman"/>
          <w:sz w:val="24"/>
          <w:szCs w:val="24"/>
        </w:rPr>
        <w:t>Business Licence for Enterprise which is a Legal Person</w:t>
      </w:r>
      <w:r w:rsidR="0074621D">
        <w:rPr>
          <w:rFonts w:ascii="Times New Roman" w:hAnsi="Times New Roman" w:cs="Times New Roman"/>
          <w:sz w:val="24"/>
          <w:szCs w:val="24"/>
        </w:rPr>
        <w:t>’</w:t>
      </w:r>
      <w:r w:rsidRPr="00532A38">
        <w:rPr>
          <w:rFonts w:ascii="Times New Roman" w:hAnsi="Times New Roman" w:cs="Times New Roman"/>
          <w:sz w:val="24"/>
          <w:szCs w:val="24"/>
        </w:rPr>
        <w:t xml:space="preserve"> issued by the government authority of the Mainland and had a registered capital of HK$10</w:t>
      </w:r>
      <w:r w:rsidR="00EF1A17" w:rsidRPr="00532A38">
        <w:rPr>
          <w:rFonts w:ascii="Times New Roman" w:hAnsi="Times New Roman" w:cs="Times New Roman"/>
          <w:sz w:val="24"/>
          <w:szCs w:val="24"/>
        </w:rPr>
        <w:t xml:space="preserve"> </w:t>
      </w:r>
      <w:r w:rsidRPr="00532A38">
        <w:rPr>
          <w:rFonts w:ascii="Times New Roman" w:hAnsi="Times New Roman" w:cs="Times New Roman"/>
          <w:sz w:val="24"/>
          <w:szCs w:val="24"/>
        </w:rPr>
        <w:t>million.  The PRC Subsidiary’s scope of business covered the manufacturing, processing and trading of plastic cards, magnetic cards, IC Cards, 3D lenticular cards and related plastic products, plus the printing of materials for packaging and decoration.  The PRC Subsidiary maintained a factory in Shenzhen for production and manufacturing.</w:t>
      </w:r>
    </w:p>
    <w:p w14:paraId="7CCAE754" w14:textId="77777777" w:rsidR="000E2DEE" w:rsidRPr="00532A38" w:rsidRDefault="000E2DEE" w:rsidP="0046026A">
      <w:pPr>
        <w:pStyle w:val="a3"/>
        <w:overflowPunct w:val="0"/>
        <w:spacing w:after="0" w:line="240" w:lineRule="auto"/>
        <w:ind w:left="0"/>
        <w:jc w:val="both"/>
        <w:rPr>
          <w:rFonts w:ascii="Times New Roman" w:hAnsi="Times New Roman" w:cs="Times New Roman"/>
          <w:sz w:val="24"/>
          <w:szCs w:val="24"/>
        </w:rPr>
      </w:pPr>
    </w:p>
    <w:p w14:paraId="7CCAE755" w14:textId="507C253D" w:rsidR="0024713D" w:rsidRPr="00532A38" w:rsidRDefault="0024713D"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Inland Revenue Department’s Assessor </w:t>
      </w:r>
      <w:r w:rsidR="00652AD1">
        <w:rPr>
          <w:rFonts w:ascii="Times New Roman" w:hAnsi="Times New Roman" w:cs="Times New Roman"/>
          <w:sz w:val="24"/>
          <w:szCs w:val="24"/>
        </w:rPr>
        <w:t xml:space="preserve">(‘the </w:t>
      </w:r>
      <w:r w:rsidR="00652AD1" w:rsidRPr="00532A38">
        <w:rPr>
          <w:rFonts w:ascii="Times New Roman" w:hAnsi="Times New Roman" w:cs="Times New Roman"/>
          <w:sz w:val="24"/>
          <w:szCs w:val="24"/>
        </w:rPr>
        <w:t>Assessor</w:t>
      </w:r>
      <w:r w:rsidR="00652AD1">
        <w:rPr>
          <w:rFonts w:ascii="Times New Roman" w:hAnsi="Times New Roman" w:cs="Times New Roman"/>
          <w:sz w:val="24"/>
          <w:szCs w:val="24"/>
        </w:rPr>
        <w:t xml:space="preserve">’) </w:t>
      </w:r>
      <w:r w:rsidRPr="00532A38">
        <w:rPr>
          <w:rFonts w:ascii="Times New Roman" w:hAnsi="Times New Roman" w:cs="Times New Roman"/>
          <w:sz w:val="24"/>
          <w:szCs w:val="24"/>
        </w:rPr>
        <w:t>had an initial interview (</w:t>
      </w:r>
      <w:r w:rsidR="0074621D">
        <w:rPr>
          <w:rFonts w:ascii="Times New Roman" w:hAnsi="Times New Roman" w:cs="Times New Roman"/>
          <w:sz w:val="24"/>
          <w:szCs w:val="24"/>
        </w:rPr>
        <w:t>‘</w:t>
      </w:r>
      <w:r w:rsidRPr="00532A38">
        <w:rPr>
          <w:rFonts w:ascii="Times New Roman" w:hAnsi="Times New Roman" w:cs="Times New Roman"/>
          <w:sz w:val="24"/>
          <w:szCs w:val="24"/>
        </w:rPr>
        <w:t>the Initial Interview</w:t>
      </w:r>
      <w:r w:rsidR="0074621D">
        <w:rPr>
          <w:rFonts w:ascii="Times New Roman" w:hAnsi="Times New Roman" w:cs="Times New Roman"/>
          <w:sz w:val="24"/>
          <w:szCs w:val="24"/>
        </w:rPr>
        <w:t>’</w:t>
      </w:r>
      <w:r w:rsidRPr="00532A38">
        <w:rPr>
          <w:rFonts w:ascii="Times New Roman" w:hAnsi="Times New Roman" w:cs="Times New Roman"/>
          <w:sz w:val="24"/>
          <w:szCs w:val="24"/>
        </w:rPr>
        <w:t xml:space="preserve">) with Mr </w:t>
      </w:r>
      <w:r w:rsidR="0046026A">
        <w:rPr>
          <w:rFonts w:ascii="Times New Roman" w:hAnsi="Times New Roman" w:cs="Times New Roman"/>
          <w:sz w:val="24"/>
          <w:szCs w:val="24"/>
        </w:rPr>
        <w:t>B</w:t>
      </w:r>
      <w:r w:rsidRPr="00532A38">
        <w:rPr>
          <w:rFonts w:ascii="Times New Roman" w:hAnsi="Times New Roman" w:cs="Times New Roman"/>
          <w:sz w:val="24"/>
          <w:szCs w:val="24"/>
        </w:rPr>
        <w:t xml:space="preserve"> and Ms </w:t>
      </w:r>
      <w:r w:rsidR="0046026A">
        <w:rPr>
          <w:rFonts w:ascii="Times New Roman" w:hAnsi="Times New Roman" w:cs="Times New Roman"/>
          <w:sz w:val="24"/>
          <w:szCs w:val="24"/>
        </w:rPr>
        <w:t>C</w:t>
      </w:r>
      <w:r w:rsidRPr="00532A38">
        <w:rPr>
          <w:rFonts w:ascii="Times New Roman" w:hAnsi="Times New Roman" w:cs="Times New Roman"/>
          <w:sz w:val="24"/>
          <w:szCs w:val="24"/>
        </w:rPr>
        <w:t xml:space="preserve"> on 3 January 2008. Subsequent to the Initial Interview, the Assessor sent a Note of </w:t>
      </w:r>
      <w:r w:rsidR="00652AD1">
        <w:rPr>
          <w:rFonts w:ascii="Times New Roman" w:hAnsi="Times New Roman" w:cs="Times New Roman"/>
          <w:sz w:val="24"/>
          <w:szCs w:val="24"/>
        </w:rPr>
        <w:t xml:space="preserve">the </w:t>
      </w:r>
      <w:r w:rsidRPr="00532A38">
        <w:rPr>
          <w:rFonts w:ascii="Times New Roman" w:hAnsi="Times New Roman" w:cs="Times New Roman"/>
          <w:sz w:val="24"/>
          <w:szCs w:val="24"/>
        </w:rPr>
        <w:t>Initial Interview (</w:t>
      </w:r>
      <w:r w:rsidR="0046026A">
        <w:rPr>
          <w:rFonts w:ascii="Times New Roman" w:hAnsi="Times New Roman" w:cs="Times New Roman"/>
          <w:sz w:val="24"/>
          <w:szCs w:val="24"/>
        </w:rPr>
        <w:t>‘</w:t>
      </w:r>
      <w:r w:rsidRPr="00532A38">
        <w:rPr>
          <w:rFonts w:ascii="Times New Roman" w:hAnsi="Times New Roman" w:cs="Times New Roman"/>
          <w:sz w:val="24"/>
          <w:szCs w:val="24"/>
        </w:rPr>
        <w:t>the Note</w:t>
      </w:r>
      <w:r w:rsidR="0046026A">
        <w:rPr>
          <w:rFonts w:ascii="Times New Roman" w:hAnsi="Times New Roman" w:cs="Times New Roman"/>
          <w:sz w:val="24"/>
          <w:szCs w:val="24"/>
        </w:rPr>
        <w:t>’</w:t>
      </w:r>
      <w:r w:rsidRPr="00532A38">
        <w:rPr>
          <w:rFonts w:ascii="Times New Roman" w:hAnsi="Times New Roman" w:cs="Times New Roman"/>
          <w:sz w:val="24"/>
          <w:szCs w:val="24"/>
        </w:rPr>
        <w:t xml:space="preserve">) to the Appellant for its perusal. The Note was later signed and confirmed by Mr </w:t>
      </w:r>
      <w:r w:rsidR="0046026A">
        <w:rPr>
          <w:rFonts w:ascii="Times New Roman" w:hAnsi="Times New Roman" w:cs="Times New Roman"/>
          <w:sz w:val="24"/>
          <w:szCs w:val="24"/>
        </w:rPr>
        <w:t>B</w:t>
      </w:r>
      <w:r w:rsidRPr="00532A38">
        <w:rPr>
          <w:rFonts w:ascii="Times New Roman" w:hAnsi="Times New Roman" w:cs="Times New Roman"/>
          <w:sz w:val="24"/>
          <w:szCs w:val="24"/>
        </w:rPr>
        <w:t xml:space="preserve"> and Ms </w:t>
      </w:r>
      <w:r w:rsidR="0046026A">
        <w:rPr>
          <w:rFonts w:ascii="Times New Roman" w:hAnsi="Times New Roman" w:cs="Times New Roman"/>
          <w:sz w:val="24"/>
          <w:szCs w:val="24"/>
        </w:rPr>
        <w:t>C</w:t>
      </w:r>
      <w:r w:rsidRPr="00532A38">
        <w:rPr>
          <w:rFonts w:ascii="Times New Roman" w:hAnsi="Times New Roman" w:cs="Times New Roman"/>
          <w:sz w:val="24"/>
          <w:szCs w:val="24"/>
        </w:rPr>
        <w:t>. According to the Note</w:t>
      </w:r>
      <w:r w:rsidR="00D50F79" w:rsidRPr="00532A38">
        <w:rPr>
          <w:rFonts w:ascii="Times New Roman" w:hAnsi="Times New Roman" w:cs="Times New Roman"/>
          <w:sz w:val="24"/>
          <w:szCs w:val="24"/>
          <w:lang w:eastAsia="zh-HK"/>
        </w:rPr>
        <w:t>:</w:t>
      </w:r>
      <w:r w:rsidRPr="00532A38">
        <w:rPr>
          <w:rFonts w:ascii="Times New Roman" w:hAnsi="Times New Roman" w:cs="Times New Roman"/>
          <w:sz w:val="24"/>
          <w:szCs w:val="24"/>
        </w:rPr>
        <w:t xml:space="preserve"> (See also Paragraph 1(4) of the Determination): </w:t>
      </w:r>
    </w:p>
    <w:p w14:paraId="7CCAE756" w14:textId="77777777" w:rsidR="0024713D" w:rsidRPr="00532A38" w:rsidRDefault="0024713D" w:rsidP="0046026A">
      <w:pPr>
        <w:pStyle w:val="a3"/>
        <w:overflowPunct w:val="0"/>
        <w:spacing w:after="0" w:line="240" w:lineRule="auto"/>
        <w:ind w:left="360"/>
        <w:jc w:val="both"/>
        <w:rPr>
          <w:rFonts w:ascii="Times New Roman" w:hAnsi="Times New Roman" w:cs="Times New Roman"/>
          <w:sz w:val="24"/>
          <w:szCs w:val="24"/>
        </w:rPr>
      </w:pPr>
    </w:p>
    <w:p w14:paraId="7CCAE757" w14:textId="7777777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Appellant was engaged in the trading of SIM cards for mobile phones.</w:t>
      </w:r>
    </w:p>
    <w:p w14:paraId="7CCAE758" w14:textId="77777777" w:rsidR="0024713D" w:rsidRPr="00532A38" w:rsidRDefault="0024713D" w:rsidP="0046026A">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59" w14:textId="6B0C9D7F"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Other than Mr </w:t>
      </w:r>
      <w:r w:rsidR="0046026A">
        <w:rPr>
          <w:rFonts w:ascii="Times New Roman" w:hAnsi="Times New Roman" w:cs="Times New Roman"/>
          <w:sz w:val="24"/>
          <w:szCs w:val="24"/>
        </w:rPr>
        <w:t>B</w:t>
      </w:r>
      <w:r w:rsidRPr="00532A38">
        <w:rPr>
          <w:rFonts w:ascii="Times New Roman" w:hAnsi="Times New Roman" w:cs="Times New Roman"/>
          <w:sz w:val="24"/>
          <w:szCs w:val="24"/>
        </w:rPr>
        <w:t xml:space="preserve"> and Ms </w:t>
      </w:r>
      <w:r w:rsidR="0046026A">
        <w:rPr>
          <w:rFonts w:ascii="Times New Roman" w:hAnsi="Times New Roman" w:cs="Times New Roman"/>
          <w:sz w:val="24"/>
          <w:szCs w:val="24"/>
        </w:rPr>
        <w:t>C</w:t>
      </w:r>
      <w:r w:rsidRPr="00532A38">
        <w:rPr>
          <w:rFonts w:ascii="Times New Roman" w:hAnsi="Times New Roman" w:cs="Times New Roman"/>
          <w:sz w:val="24"/>
          <w:szCs w:val="24"/>
        </w:rPr>
        <w:t>, the Appellant employed two salesmen, two designers, two clerks, one account clerk and two van drivers.</w:t>
      </w:r>
    </w:p>
    <w:p w14:paraId="7CCAE75A" w14:textId="77777777" w:rsidR="0024713D" w:rsidRPr="00532A38" w:rsidRDefault="0024713D" w:rsidP="0046026A">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75B" w14:textId="7777777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Appellant promoted its business through the Internet and the Yellow Page. Orders and enquiries from customers would be followed up by the salesman of the Appellant.</w:t>
      </w:r>
    </w:p>
    <w:p w14:paraId="7CCAE75C" w14:textId="77777777" w:rsidR="0024713D" w:rsidRPr="00532A38" w:rsidRDefault="0024713D" w:rsidP="0046026A">
      <w:pPr>
        <w:pStyle w:val="a3"/>
        <w:overflowPunct w:val="0"/>
        <w:spacing w:after="0" w:line="240" w:lineRule="auto"/>
        <w:rPr>
          <w:rFonts w:ascii="Times New Roman" w:hAnsi="Times New Roman" w:cs="Times New Roman"/>
          <w:sz w:val="24"/>
          <w:szCs w:val="24"/>
        </w:rPr>
      </w:pPr>
    </w:p>
    <w:p w14:paraId="7CCAE75D" w14:textId="7777777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lastRenderedPageBreak/>
        <w:t>The Appellant would mark up the price of the raw materials (such as PVC and ABS) it purchased by 5% to 6% and sell them to the PRC Subsidiary for manufacturing purpose.</w:t>
      </w:r>
    </w:p>
    <w:p w14:paraId="7CCAE75E" w14:textId="77777777" w:rsidR="0024713D" w:rsidRPr="00532A38" w:rsidRDefault="0024713D" w:rsidP="0046026A">
      <w:pPr>
        <w:pStyle w:val="a3"/>
        <w:overflowPunct w:val="0"/>
        <w:spacing w:after="0" w:line="240" w:lineRule="auto"/>
        <w:rPr>
          <w:rFonts w:ascii="Times New Roman" w:hAnsi="Times New Roman" w:cs="Times New Roman"/>
          <w:sz w:val="24"/>
          <w:szCs w:val="24"/>
        </w:rPr>
      </w:pPr>
    </w:p>
    <w:p w14:paraId="7CCAE75F" w14:textId="7777777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PRC Subsidiary would sell the finished products to the Appellant, whereby gaining a gross profit ranging from 20% to 30%. The Appellant would then sell the finished products to its customers at gross profit ratio of some 10%.</w:t>
      </w:r>
    </w:p>
    <w:p w14:paraId="7CCAE760" w14:textId="77777777" w:rsidR="0024713D" w:rsidRPr="00532A38" w:rsidRDefault="0024713D" w:rsidP="0046026A">
      <w:pPr>
        <w:pStyle w:val="a3"/>
        <w:overflowPunct w:val="0"/>
        <w:spacing w:after="0" w:line="240" w:lineRule="auto"/>
        <w:rPr>
          <w:rFonts w:ascii="Times New Roman" w:hAnsi="Times New Roman" w:cs="Times New Roman"/>
          <w:sz w:val="24"/>
          <w:szCs w:val="24"/>
        </w:rPr>
      </w:pPr>
    </w:p>
    <w:p w14:paraId="7CCAE761" w14:textId="42EE38FA" w:rsidR="0024713D" w:rsidRPr="00532A38" w:rsidRDefault="00F03E23"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Company D</w:t>
      </w:r>
      <w:r w:rsidR="0024713D" w:rsidRPr="00532A38">
        <w:rPr>
          <w:rFonts w:ascii="Times New Roman" w:hAnsi="Times New Roman" w:cs="Times New Roman"/>
          <w:sz w:val="24"/>
          <w:szCs w:val="24"/>
        </w:rPr>
        <w:t xml:space="preserve"> used to be the major customer of the Appellant. The sales to </w:t>
      </w:r>
      <w:r w:rsidR="0046026A">
        <w:rPr>
          <w:rFonts w:ascii="Times New Roman" w:hAnsi="Times New Roman" w:cs="Times New Roman"/>
          <w:sz w:val="24"/>
          <w:szCs w:val="24"/>
        </w:rPr>
        <w:t>Company D</w:t>
      </w:r>
      <w:r w:rsidR="0024713D" w:rsidRPr="00532A38">
        <w:rPr>
          <w:rFonts w:ascii="Times New Roman" w:hAnsi="Times New Roman" w:cs="Times New Roman"/>
          <w:sz w:val="24"/>
          <w:szCs w:val="24"/>
        </w:rPr>
        <w:t xml:space="preserve"> represented 70% to 80% of the total sales of the Appellant. However, in 2007, the Appellant ceased its business dealings with </w:t>
      </w:r>
      <w:r w:rsidR="0046026A">
        <w:rPr>
          <w:rFonts w:ascii="Times New Roman" w:hAnsi="Times New Roman" w:cs="Times New Roman"/>
          <w:sz w:val="24"/>
          <w:szCs w:val="24"/>
        </w:rPr>
        <w:t>Company D</w:t>
      </w:r>
      <w:r w:rsidR="0024713D" w:rsidRPr="00532A38">
        <w:rPr>
          <w:rFonts w:ascii="Times New Roman" w:hAnsi="Times New Roman" w:cs="Times New Roman"/>
          <w:sz w:val="24"/>
          <w:szCs w:val="24"/>
        </w:rPr>
        <w:t xml:space="preserve"> and started doing business with another customer </w:t>
      </w:r>
      <w:r>
        <w:rPr>
          <w:rFonts w:ascii="Times New Roman" w:hAnsi="Times New Roman" w:cs="Times New Roman"/>
          <w:sz w:val="24"/>
          <w:szCs w:val="24"/>
        </w:rPr>
        <w:t>Company E</w:t>
      </w:r>
      <w:r w:rsidR="0024713D" w:rsidRPr="00532A38">
        <w:rPr>
          <w:rFonts w:ascii="Times New Roman" w:hAnsi="Times New Roman" w:cs="Times New Roman"/>
          <w:sz w:val="24"/>
          <w:szCs w:val="24"/>
        </w:rPr>
        <w:t>.</w:t>
      </w:r>
    </w:p>
    <w:p w14:paraId="7CCAE762" w14:textId="77777777" w:rsidR="0024713D" w:rsidRPr="00532A38" w:rsidRDefault="0024713D" w:rsidP="0046026A">
      <w:pPr>
        <w:pStyle w:val="a3"/>
        <w:overflowPunct w:val="0"/>
        <w:spacing w:after="0" w:line="240" w:lineRule="auto"/>
        <w:rPr>
          <w:rFonts w:ascii="Times New Roman" w:hAnsi="Times New Roman" w:cs="Times New Roman"/>
          <w:sz w:val="24"/>
          <w:szCs w:val="24"/>
        </w:rPr>
      </w:pPr>
    </w:p>
    <w:p w14:paraId="7CCAE763" w14:textId="79A6325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Appellant would usually send remittances to or receive remittances from the PRC Subsidiary via its bank account opened with </w:t>
      </w:r>
      <w:r w:rsidR="0046026A">
        <w:rPr>
          <w:rFonts w:ascii="Times New Roman" w:hAnsi="Times New Roman" w:cs="Times New Roman"/>
          <w:sz w:val="24"/>
          <w:szCs w:val="24"/>
        </w:rPr>
        <w:t>Bank F</w:t>
      </w:r>
      <w:r w:rsidRPr="00532A38">
        <w:rPr>
          <w:rFonts w:ascii="Times New Roman" w:hAnsi="Times New Roman" w:cs="Times New Roman"/>
          <w:sz w:val="24"/>
          <w:szCs w:val="24"/>
        </w:rPr>
        <w:t>.</w:t>
      </w:r>
    </w:p>
    <w:p w14:paraId="7CCAE764" w14:textId="77777777" w:rsidR="0024713D" w:rsidRPr="00532A38" w:rsidRDefault="0024713D" w:rsidP="0046026A">
      <w:pPr>
        <w:pStyle w:val="a3"/>
        <w:overflowPunct w:val="0"/>
        <w:spacing w:after="0" w:line="240" w:lineRule="auto"/>
        <w:rPr>
          <w:rFonts w:ascii="Times New Roman" w:hAnsi="Times New Roman" w:cs="Times New Roman"/>
          <w:sz w:val="24"/>
          <w:szCs w:val="24"/>
        </w:rPr>
      </w:pPr>
    </w:p>
    <w:p w14:paraId="7CCAE765" w14:textId="77777777" w:rsidR="0024713D" w:rsidRPr="00532A38" w:rsidRDefault="0024713D" w:rsidP="0046026A">
      <w:pPr>
        <w:pStyle w:val="a3"/>
        <w:numPr>
          <w:ilvl w:val="0"/>
          <w:numId w:val="10"/>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All the machinery and equipment purchased by the Appellant were delivered to the factory of the PRC Subsidiary in Shenzhen for manufacturing and printing of card products. Starting from the years of assessment 2005/06 and 2006/07, the Appellant charged the PRC Subsidiary rent for the use of such machinery and equipment.</w:t>
      </w:r>
    </w:p>
    <w:p w14:paraId="7CCAE766" w14:textId="77777777" w:rsidR="0024713D" w:rsidRPr="00532A38" w:rsidRDefault="0024713D" w:rsidP="0046026A">
      <w:pPr>
        <w:pStyle w:val="a3"/>
        <w:overflowPunct w:val="0"/>
        <w:spacing w:after="0" w:line="240" w:lineRule="auto"/>
        <w:ind w:left="360"/>
        <w:jc w:val="both"/>
        <w:rPr>
          <w:rFonts w:ascii="Times New Roman" w:hAnsi="Times New Roman" w:cs="Times New Roman"/>
          <w:sz w:val="24"/>
          <w:szCs w:val="24"/>
        </w:rPr>
      </w:pPr>
    </w:p>
    <w:p w14:paraId="7CCAE767" w14:textId="77777777" w:rsidR="000E2DEE" w:rsidRPr="00532A38" w:rsidRDefault="00D9712D"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During the course of the hearing, and after considering submissions from both sides, it is fair to summarise t</w:t>
      </w:r>
      <w:r w:rsidR="000E2DEE" w:rsidRPr="00532A38">
        <w:rPr>
          <w:rFonts w:ascii="Times New Roman" w:hAnsi="Times New Roman" w:cs="Times New Roman"/>
          <w:sz w:val="24"/>
          <w:szCs w:val="24"/>
        </w:rPr>
        <w:t xml:space="preserve">he </w:t>
      </w:r>
      <w:r w:rsidR="009E4519" w:rsidRPr="00532A38">
        <w:rPr>
          <w:rFonts w:ascii="Times New Roman" w:hAnsi="Times New Roman" w:cs="Times New Roman"/>
          <w:sz w:val="24"/>
          <w:szCs w:val="24"/>
        </w:rPr>
        <w:t xml:space="preserve">Appellant’s </w:t>
      </w:r>
      <w:r w:rsidR="000E2DEE" w:rsidRPr="00532A38">
        <w:rPr>
          <w:rFonts w:ascii="Times New Roman" w:hAnsi="Times New Roman" w:cs="Times New Roman"/>
          <w:sz w:val="24"/>
          <w:szCs w:val="24"/>
        </w:rPr>
        <w:t xml:space="preserve">trading and manufacturing processes for the Relevant Period </w:t>
      </w:r>
      <w:r w:rsidRPr="00532A38">
        <w:rPr>
          <w:rFonts w:ascii="Times New Roman" w:hAnsi="Times New Roman" w:cs="Times New Roman"/>
          <w:sz w:val="24"/>
          <w:szCs w:val="24"/>
        </w:rPr>
        <w:t>a</w:t>
      </w:r>
      <w:r w:rsidR="000E2DEE" w:rsidRPr="00532A38">
        <w:rPr>
          <w:rFonts w:ascii="Times New Roman" w:hAnsi="Times New Roman" w:cs="Times New Roman"/>
          <w:sz w:val="24"/>
          <w:szCs w:val="24"/>
        </w:rPr>
        <w:t>s follows:</w:t>
      </w:r>
    </w:p>
    <w:p w14:paraId="7CCAE768" w14:textId="77777777" w:rsidR="000E2DEE" w:rsidRPr="00532A38" w:rsidRDefault="000E2DEE" w:rsidP="0046026A">
      <w:pPr>
        <w:pStyle w:val="a3"/>
        <w:overflowPunct w:val="0"/>
        <w:spacing w:after="0" w:line="240" w:lineRule="auto"/>
        <w:jc w:val="both"/>
        <w:rPr>
          <w:rFonts w:ascii="Times New Roman" w:hAnsi="Times New Roman" w:cs="Times New Roman"/>
          <w:sz w:val="24"/>
          <w:szCs w:val="24"/>
        </w:rPr>
      </w:pPr>
    </w:p>
    <w:p w14:paraId="7CCAE769"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was mainly engaged in the business of design, production and manufacture of various card products (including colour-printed paper cards, plastic cards and smart cards which can carry information).</w:t>
      </w:r>
    </w:p>
    <w:p w14:paraId="7CCAE76A" w14:textId="77777777" w:rsidR="000E2DEE" w:rsidRPr="00532A38" w:rsidRDefault="000E2DEE" w:rsidP="0046026A">
      <w:pPr>
        <w:pStyle w:val="a3"/>
        <w:overflowPunct w:val="0"/>
        <w:spacing w:after="0" w:line="240" w:lineRule="auto"/>
        <w:jc w:val="both"/>
        <w:rPr>
          <w:rFonts w:ascii="Times New Roman" w:hAnsi="Times New Roman" w:cs="Times New Roman"/>
          <w:sz w:val="24"/>
          <w:szCs w:val="24"/>
        </w:rPr>
      </w:pPr>
    </w:p>
    <w:p w14:paraId="7CCAE76B" w14:textId="3E7C8F41"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produced tailor-made card products for customers either by adopting the mode of </w:t>
      </w:r>
      <w:r w:rsidR="0046026A">
        <w:rPr>
          <w:rFonts w:ascii="Times New Roman" w:hAnsi="Times New Roman" w:cs="Times New Roman"/>
          <w:sz w:val="24"/>
          <w:szCs w:val="24"/>
        </w:rPr>
        <w:t>‘</w:t>
      </w:r>
      <w:r w:rsidRPr="00532A38">
        <w:rPr>
          <w:rFonts w:ascii="Times New Roman" w:hAnsi="Times New Roman" w:cs="Times New Roman"/>
          <w:sz w:val="24"/>
          <w:szCs w:val="24"/>
        </w:rPr>
        <w:t>labour and materials inclusive</w:t>
      </w:r>
      <w:r w:rsidR="0046026A">
        <w:rPr>
          <w:rFonts w:ascii="Times New Roman" w:hAnsi="Times New Roman" w:cs="Times New Roman"/>
          <w:sz w:val="24"/>
          <w:szCs w:val="24"/>
        </w:rPr>
        <w:t>’</w:t>
      </w:r>
      <w:r w:rsidRPr="00532A38">
        <w:rPr>
          <w:rFonts w:ascii="Times New Roman" w:hAnsi="Times New Roman" w:cs="Times New Roman"/>
          <w:sz w:val="24"/>
          <w:szCs w:val="24"/>
        </w:rPr>
        <w:t xml:space="preserve"> or </w:t>
      </w:r>
      <w:r w:rsidR="0046026A">
        <w:rPr>
          <w:rFonts w:ascii="Times New Roman" w:hAnsi="Times New Roman" w:cs="Times New Roman"/>
          <w:sz w:val="24"/>
          <w:szCs w:val="24"/>
        </w:rPr>
        <w:t>‘</w:t>
      </w:r>
      <w:r w:rsidRPr="00532A38">
        <w:rPr>
          <w:rFonts w:ascii="Times New Roman" w:hAnsi="Times New Roman" w:cs="Times New Roman"/>
          <w:sz w:val="24"/>
          <w:szCs w:val="24"/>
        </w:rPr>
        <w:t>using materials provided by customers</w:t>
      </w:r>
      <w:r w:rsidR="0046026A">
        <w:rPr>
          <w:rFonts w:ascii="Times New Roman" w:hAnsi="Times New Roman" w:cs="Times New Roman"/>
          <w:sz w:val="24"/>
          <w:szCs w:val="24"/>
        </w:rPr>
        <w:t>’</w:t>
      </w:r>
      <w:r w:rsidRPr="00532A38">
        <w:rPr>
          <w:rFonts w:ascii="Times New Roman" w:hAnsi="Times New Roman" w:cs="Times New Roman"/>
          <w:sz w:val="24"/>
          <w:szCs w:val="24"/>
        </w:rPr>
        <w:t xml:space="preserve">. The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charged its customers relevant production fees.</w:t>
      </w:r>
    </w:p>
    <w:p w14:paraId="7CCAE76C"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6D"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PRC Subsidiary was the only entity that manufactured and processed card products for the </w:t>
      </w:r>
      <w:r w:rsidR="009E4519"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w:t>
      </w:r>
      <w:r w:rsidR="009E4519" w:rsidRPr="00532A38">
        <w:rPr>
          <w:rFonts w:ascii="Times New Roman" w:hAnsi="Times New Roman" w:cs="Times New Roman"/>
          <w:sz w:val="24"/>
          <w:szCs w:val="24"/>
        </w:rPr>
        <w:t>T</w:t>
      </w:r>
      <w:r w:rsidRPr="00532A38">
        <w:rPr>
          <w:rFonts w:ascii="Times New Roman" w:hAnsi="Times New Roman" w:cs="Times New Roman"/>
          <w:sz w:val="24"/>
          <w:szCs w:val="24"/>
        </w:rPr>
        <w:t xml:space="preserve">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supplied the product drawings and major production materials to the PRC Subsidiary, the PRC Subsidiary then rendered the manufacturing function and industrial process services for the </w:t>
      </w:r>
      <w:r w:rsidR="009E4519" w:rsidRPr="00532A38">
        <w:rPr>
          <w:rFonts w:ascii="Times New Roman" w:hAnsi="Times New Roman" w:cs="Times New Roman"/>
          <w:sz w:val="24"/>
          <w:szCs w:val="24"/>
        </w:rPr>
        <w:t>Appellant</w:t>
      </w:r>
      <w:r w:rsidRPr="00532A38">
        <w:rPr>
          <w:rFonts w:ascii="Times New Roman" w:hAnsi="Times New Roman" w:cs="Times New Roman"/>
          <w:sz w:val="24"/>
          <w:szCs w:val="24"/>
        </w:rPr>
        <w:t>.</w:t>
      </w:r>
    </w:p>
    <w:p w14:paraId="7CCAE76E"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6F"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business of the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would be concluded after a verification process of the quality and functions of the production facilities used </w:t>
      </w:r>
      <w:r w:rsidRPr="00532A38">
        <w:rPr>
          <w:rFonts w:ascii="Times New Roman" w:hAnsi="Times New Roman" w:cs="Times New Roman"/>
          <w:sz w:val="24"/>
          <w:szCs w:val="24"/>
        </w:rPr>
        <w:lastRenderedPageBreak/>
        <w:t xml:space="preserve">by the </w:t>
      </w:r>
      <w:r w:rsidR="009E451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by the customers.  The verification process would be carried out at the factory of the PRC Subsidiary in Shenzhen.  The business negotiation and conclusion of contracts would then be conducted either at the offices of the overseas customers or the factory of the PRC Subsidiary in Shenzhen.</w:t>
      </w:r>
    </w:p>
    <w:p w14:paraId="7CCAE770"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71"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After the conclusion of contracts,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would undertake and conduct artwork and technical design of the products by its Hong Kong staff in Hong Kong office.  The manufacturing of samples and quality verification would be performed by the PRC Subsidiary and carried out at the factory of the PRC Subsidiary, with the on-site technical support and management guidance given by the managerial staff of the </w:t>
      </w:r>
      <w:r w:rsidR="00B81DCA" w:rsidRPr="00532A38">
        <w:rPr>
          <w:rFonts w:ascii="Times New Roman" w:hAnsi="Times New Roman" w:cs="Times New Roman"/>
          <w:sz w:val="24"/>
          <w:szCs w:val="24"/>
        </w:rPr>
        <w:t>Appellant</w:t>
      </w:r>
      <w:r w:rsidRPr="00532A38">
        <w:rPr>
          <w:rFonts w:ascii="Times New Roman" w:hAnsi="Times New Roman" w:cs="Times New Roman"/>
          <w:sz w:val="24"/>
          <w:szCs w:val="24"/>
        </w:rPr>
        <w:t>.  The customers would finalise the products specification based on the samples produced.</w:t>
      </w:r>
    </w:p>
    <w:p w14:paraId="7CCAE772"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73"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Raw materials for the production of cards (such as IC chips, magnetic strips and plastic) were shipped to the PRC Subsidiary or through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after they had been purchased.  The raw materials purchased by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were all used for the purpose of manufacturing card products instead of onward selling for profits.</w:t>
      </w:r>
    </w:p>
    <w:p w14:paraId="7CCAE774"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75" w14:textId="14BDE932"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production and manufacturing process would be conducted by the PRC Subsidiary as the sole manufacturer appointed by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using mainly the machinery and equipment provided by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under </w:t>
      </w:r>
      <w:r w:rsidR="0046026A">
        <w:rPr>
          <w:rFonts w:ascii="Times New Roman" w:hAnsi="Times New Roman" w:cs="Times New Roman"/>
          <w:sz w:val="24"/>
          <w:szCs w:val="24"/>
        </w:rPr>
        <w:t>‘</w:t>
      </w:r>
      <w:r w:rsidRPr="00532A38">
        <w:rPr>
          <w:rFonts w:ascii="Times New Roman" w:hAnsi="Times New Roman" w:cs="Times New Roman"/>
          <w:sz w:val="24"/>
          <w:szCs w:val="24"/>
        </w:rPr>
        <w:t>tax-bonded custody</w:t>
      </w:r>
      <w:r w:rsidR="0046026A">
        <w:rPr>
          <w:rFonts w:ascii="Times New Roman" w:hAnsi="Times New Roman" w:cs="Times New Roman"/>
          <w:sz w:val="24"/>
          <w:szCs w:val="24"/>
        </w:rPr>
        <w:t>’</w:t>
      </w:r>
      <w:r w:rsidRPr="00532A38">
        <w:rPr>
          <w:rFonts w:ascii="Times New Roman" w:hAnsi="Times New Roman" w:cs="Times New Roman"/>
          <w:sz w:val="24"/>
          <w:szCs w:val="24"/>
        </w:rPr>
        <w:t>, and carried out the manufacturing of card products inside the factory in Shenzhen.  The PRC Subsidiary was responsible for the provision of the licenc</w:t>
      </w:r>
      <w:r w:rsidR="002835D4" w:rsidRPr="00532A38">
        <w:rPr>
          <w:rFonts w:ascii="Times New Roman" w:hAnsi="Times New Roman" w:cs="Times New Roman"/>
          <w:sz w:val="24"/>
          <w:szCs w:val="24"/>
        </w:rPr>
        <w:t>es for operating business in</w:t>
      </w:r>
      <w:r w:rsidRPr="00532A38">
        <w:rPr>
          <w:rFonts w:ascii="Times New Roman" w:hAnsi="Times New Roman" w:cs="Times New Roman"/>
          <w:sz w:val="24"/>
          <w:szCs w:val="24"/>
        </w:rPr>
        <w:t xml:space="preserve"> Mainland China, the factory premises, workers and some of the raw materials (e.g. paper, plastic and ink) and would undertake quality verification in the process.</w:t>
      </w:r>
    </w:p>
    <w:p w14:paraId="7CCAE776"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77" w14:textId="77777777"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finished products would then be delivered by the PRC Subsidiary to the customers by van if the customers were in Hong Kong or to overseas customers through forwarders directly by the PRC Subsidiary.</w:t>
      </w:r>
    </w:p>
    <w:p w14:paraId="7CCAE778"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79" w14:textId="6510A78C" w:rsidR="000E2DEE" w:rsidRPr="00532A38" w:rsidRDefault="000E2DEE" w:rsidP="0046026A">
      <w:pPr>
        <w:pStyle w:val="a3"/>
        <w:numPr>
          <w:ilvl w:val="0"/>
          <w:numId w:val="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invoiced and charged its customers a production fee for the finished card products, which was received by the </w:t>
      </w:r>
      <w:r w:rsidR="00B81DC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in Hong Kong.</w:t>
      </w:r>
    </w:p>
    <w:p w14:paraId="7CCAE77A" w14:textId="77777777" w:rsidR="000E2DEE" w:rsidRPr="00532A38" w:rsidRDefault="000E2DEE" w:rsidP="0046026A">
      <w:pPr>
        <w:pStyle w:val="a3"/>
        <w:overflowPunct w:val="0"/>
        <w:spacing w:after="0" w:line="240" w:lineRule="auto"/>
        <w:ind w:left="360"/>
        <w:jc w:val="both"/>
        <w:rPr>
          <w:rFonts w:ascii="Times New Roman" w:hAnsi="Times New Roman" w:cs="Times New Roman"/>
          <w:sz w:val="24"/>
          <w:szCs w:val="24"/>
        </w:rPr>
      </w:pPr>
    </w:p>
    <w:p w14:paraId="7CCAE77B" w14:textId="30CC8F00" w:rsidR="00402BD7" w:rsidRPr="00532A38" w:rsidRDefault="00402BD7"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It is also worth pointing out that at the Initial </w:t>
      </w:r>
      <w:r w:rsidR="00B134F8" w:rsidRPr="00532A38">
        <w:rPr>
          <w:rFonts w:ascii="Times New Roman" w:hAnsi="Times New Roman" w:cs="Times New Roman"/>
          <w:sz w:val="24"/>
          <w:szCs w:val="24"/>
        </w:rPr>
        <w:t xml:space="preserve">Interview, </w:t>
      </w:r>
      <w:r w:rsidR="00494F4F" w:rsidRPr="00532A38">
        <w:rPr>
          <w:rFonts w:ascii="Times New Roman" w:hAnsi="Times New Roman" w:cs="Times New Roman"/>
          <w:sz w:val="24"/>
          <w:szCs w:val="24"/>
        </w:rPr>
        <w:t xml:space="preserve">the Assessor explained to Mr </w:t>
      </w:r>
      <w:r w:rsidR="0046026A">
        <w:rPr>
          <w:rFonts w:ascii="Times New Roman" w:hAnsi="Times New Roman" w:cs="Times New Roman"/>
          <w:sz w:val="24"/>
          <w:szCs w:val="24"/>
        </w:rPr>
        <w:t>B</w:t>
      </w:r>
      <w:r w:rsidR="00494F4F" w:rsidRPr="00532A38">
        <w:rPr>
          <w:rFonts w:ascii="Times New Roman" w:hAnsi="Times New Roman" w:cs="Times New Roman"/>
          <w:sz w:val="24"/>
          <w:szCs w:val="24"/>
        </w:rPr>
        <w:t xml:space="preserve"> and Ms </w:t>
      </w:r>
      <w:r w:rsidR="0046026A">
        <w:rPr>
          <w:rFonts w:ascii="Times New Roman" w:hAnsi="Times New Roman" w:cs="Times New Roman"/>
          <w:sz w:val="24"/>
          <w:szCs w:val="24"/>
        </w:rPr>
        <w:t>C</w:t>
      </w:r>
      <w:r w:rsidR="00494F4F" w:rsidRPr="00532A38">
        <w:rPr>
          <w:rFonts w:ascii="Times New Roman" w:hAnsi="Times New Roman" w:cs="Times New Roman"/>
          <w:sz w:val="24"/>
          <w:szCs w:val="24"/>
        </w:rPr>
        <w:t xml:space="preserve"> that under section 39E of the </w:t>
      </w:r>
      <w:r w:rsidR="0061160E" w:rsidRPr="00532A38">
        <w:rPr>
          <w:rFonts w:ascii="Times New Roman" w:hAnsi="Times New Roman" w:cs="Times New Roman"/>
          <w:sz w:val="24"/>
          <w:szCs w:val="24"/>
          <w:lang w:eastAsia="zh-HK"/>
        </w:rPr>
        <w:t>IR</w:t>
      </w:r>
      <w:r w:rsidR="00494F4F" w:rsidRPr="0046026A">
        <w:rPr>
          <w:rFonts w:ascii="Times New Roman" w:hAnsi="Times New Roman" w:cs="Times New Roman"/>
          <w:sz w:val="24"/>
          <w:szCs w:val="24"/>
        </w:rPr>
        <w:t>O</w:t>
      </w:r>
      <w:r w:rsidR="00494F4F" w:rsidRPr="00532A38">
        <w:rPr>
          <w:rFonts w:ascii="Times New Roman" w:hAnsi="Times New Roman" w:cs="Times New Roman"/>
          <w:sz w:val="24"/>
          <w:szCs w:val="24"/>
        </w:rPr>
        <w:t>, taxpayers were n</w:t>
      </w:r>
      <w:r w:rsidR="008C33B1" w:rsidRPr="00532A38">
        <w:rPr>
          <w:rFonts w:ascii="Times New Roman" w:hAnsi="Times New Roman" w:cs="Times New Roman"/>
          <w:sz w:val="24"/>
          <w:szCs w:val="24"/>
        </w:rPr>
        <w:t>ot entitled to depreciation al</w:t>
      </w:r>
      <w:r w:rsidR="00E915D5" w:rsidRPr="00532A38">
        <w:rPr>
          <w:rFonts w:ascii="Times New Roman" w:hAnsi="Times New Roman" w:cs="Times New Roman"/>
          <w:sz w:val="24"/>
          <w:szCs w:val="24"/>
        </w:rPr>
        <w:t>lowance for machinery and plant</w:t>
      </w:r>
      <w:r w:rsidR="008C33B1" w:rsidRPr="00532A38">
        <w:rPr>
          <w:rFonts w:ascii="Times New Roman" w:hAnsi="Times New Roman" w:cs="Times New Roman"/>
          <w:sz w:val="24"/>
          <w:szCs w:val="24"/>
        </w:rPr>
        <w:t xml:space="preserve"> in respect of the machinery and equipment which were provided for use by other persons outside Hong Kong. Mr </w:t>
      </w:r>
      <w:r w:rsidR="0046026A">
        <w:rPr>
          <w:rFonts w:ascii="Times New Roman" w:hAnsi="Times New Roman" w:cs="Times New Roman"/>
          <w:sz w:val="24"/>
          <w:szCs w:val="24"/>
        </w:rPr>
        <w:t>B</w:t>
      </w:r>
      <w:r w:rsidR="008C33B1" w:rsidRPr="00532A38">
        <w:rPr>
          <w:rFonts w:ascii="Times New Roman" w:hAnsi="Times New Roman" w:cs="Times New Roman"/>
          <w:sz w:val="24"/>
          <w:szCs w:val="24"/>
        </w:rPr>
        <w:t xml:space="preserve"> and Ms </w:t>
      </w:r>
      <w:r w:rsidR="0046026A">
        <w:rPr>
          <w:rFonts w:ascii="Times New Roman" w:hAnsi="Times New Roman" w:cs="Times New Roman"/>
          <w:sz w:val="24"/>
          <w:szCs w:val="24"/>
        </w:rPr>
        <w:t>C</w:t>
      </w:r>
      <w:r w:rsidR="008C33B1" w:rsidRPr="00532A38">
        <w:rPr>
          <w:rFonts w:ascii="Times New Roman" w:hAnsi="Times New Roman" w:cs="Times New Roman"/>
          <w:sz w:val="24"/>
          <w:szCs w:val="24"/>
        </w:rPr>
        <w:t xml:space="preserve"> claimed that they did not know the provision of section 39E of the </w:t>
      </w:r>
      <w:r w:rsidR="0061160E" w:rsidRPr="00532A38">
        <w:rPr>
          <w:rFonts w:ascii="Times New Roman" w:hAnsi="Times New Roman" w:cs="Times New Roman"/>
          <w:sz w:val="24"/>
          <w:szCs w:val="24"/>
          <w:lang w:eastAsia="zh-HK"/>
        </w:rPr>
        <w:t>IRO</w:t>
      </w:r>
      <w:r w:rsidR="008C33B1" w:rsidRPr="00532A38">
        <w:rPr>
          <w:rFonts w:ascii="Times New Roman" w:hAnsi="Times New Roman" w:cs="Times New Roman"/>
          <w:sz w:val="24"/>
          <w:szCs w:val="24"/>
        </w:rPr>
        <w:t>, and would accept the relevant tax adjustment.</w:t>
      </w:r>
    </w:p>
    <w:p w14:paraId="7CCAE77C" w14:textId="77777777" w:rsidR="00402BD7" w:rsidRPr="00532A38" w:rsidRDefault="00402BD7" w:rsidP="0046026A">
      <w:pPr>
        <w:pStyle w:val="a3"/>
        <w:overflowPunct w:val="0"/>
        <w:spacing w:after="0" w:line="240" w:lineRule="auto"/>
        <w:ind w:left="360"/>
        <w:jc w:val="both"/>
        <w:rPr>
          <w:rFonts w:ascii="Times New Roman" w:hAnsi="Times New Roman" w:cs="Times New Roman"/>
          <w:sz w:val="24"/>
          <w:szCs w:val="24"/>
        </w:rPr>
      </w:pPr>
    </w:p>
    <w:p w14:paraId="7CCAE77D" w14:textId="0FB948AB" w:rsidR="000E2DEE" w:rsidRPr="00532A38" w:rsidRDefault="008C33B1"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lastRenderedPageBreak/>
        <w:t>As a matter of fact, s</w:t>
      </w:r>
      <w:r w:rsidR="000E2DEE" w:rsidRPr="00532A38">
        <w:rPr>
          <w:rFonts w:ascii="Times New Roman" w:hAnsi="Times New Roman" w:cs="Times New Roman"/>
          <w:sz w:val="24"/>
          <w:szCs w:val="24"/>
        </w:rPr>
        <w:t xml:space="preserve">ince the commencement of business in 1996 and during the Relevant Period, the PRC Subsidiary had been manufacturing and processing card products for the </w:t>
      </w:r>
      <w:r w:rsidR="00B81DCA" w:rsidRPr="00532A38">
        <w:rPr>
          <w:rFonts w:ascii="Times New Roman" w:hAnsi="Times New Roman" w:cs="Times New Roman"/>
          <w:sz w:val="24"/>
          <w:szCs w:val="24"/>
        </w:rPr>
        <w:t>Appellant</w:t>
      </w:r>
      <w:r w:rsidR="000E2DEE" w:rsidRPr="00532A38">
        <w:rPr>
          <w:rFonts w:ascii="Times New Roman" w:hAnsi="Times New Roman" w:cs="Times New Roman"/>
          <w:sz w:val="24"/>
          <w:szCs w:val="24"/>
        </w:rPr>
        <w:t xml:space="preserve">, through operating in the mode of import processing, one of the processing trade arrangements of Mainland China.  </w:t>
      </w:r>
    </w:p>
    <w:p w14:paraId="7CCAE77E" w14:textId="77777777" w:rsidR="000E2DEE" w:rsidRPr="00532A38" w:rsidRDefault="000E2DEE" w:rsidP="0046026A">
      <w:pPr>
        <w:pStyle w:val="a3"/>
        <w:overflowPunct w:val="0"/>
        <w:spacing w:after="0" w:line="240" w:lineRule="auto"/>
        <w:ind w:left="0"/>
        <w:jc w:val="both"/>
        <w:rPr>
          <w:rFonts w:ascii="Times New Roman" w:hAnsi="Times New Roman" w:cs="Times New Roman"/>
          <w:sz w:val="24"/>
          <w:szCs w:val="24"/>
        </w:rPr>
      </w:pPr>
    </w:p>
    <w:p w14:paraId="7CCAE77F" w14:textId="25639062" w:rsidR="000E2DEE" w:rsidRPr="00532A38" w:rsidRDefault="00245FDD" w:rsidP="0046026A">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It is highly material that a</w:t>
      </w:r>
      <w:r w:rsidR="000E2DEE" w:rsidRPr="00532A38">
        <w:rPr>
          <w:rFonts w:ascii="Times New Roman" w:hAnsi="Times New Roman" w:cs="Times New Roman"/>
          <w:sz w:val="24"/>
          <w:szCs w:val="24"/>
        </w:rPr>
        <w:t xml:space="preserve">s between the </w:t>
      </w:r>
      <w:r w:rsidRPr="00532A38">
        <w:rPr>
          <w:rFonts w:ascii="Times New Roman" w:hAnsi="Times New Roman" w:cs="Times New Roman"/>
          <w:sz w:val="24"/>
          <w:szCs w:val="24"/>
        </w:rPr>
        <w:t xml:space="preserve">Appellant </w:t>
      </w:r>
      <w:r w:rsidR="000E2DEE" w:rsidRPr="00532A38">
        <w:rPr>
          <w:rFonts w:ascii="Times New Roman" w:hAnsi="Times New Roman" w:cs="Times New Roman"/>
          <w:sz w:val="24"/>
          <w:szCs w:val="24"/>
        </w:rPr>
        <w:t xml:space="preserve">and the PRC Subsidiary in relation to the </w:t>
      </w:r>
      <w:r w:rsidR="003C21F6">
        <w:rPr>
          <w:rFonts w:ascii="Times New Roman" w:hAnsi="Times New Roman" w:cs="Times New Roman"/>
          <w:sz w:val="24"/>
          <w:szCs w:val="24"/>
        </w:rPr>
        <w:t>‘</w:t>
      </w:r>
      <w:r w:rsidR="000E2DEE" w:rsidRPr="00532A38">
        <w:rPr>
          <w:rFonts w:ascii="Times New Roman" w:hAnsi="Times New Roman" w:cs="Times New Roman"/>
          <w:sz w:val="24"/>
          <w:szCs w:val="24"/>
        </w:rPr>
        <w:t>taxed-bonded</w:t>
      </w:r>
      <w:r w:rsidR="003C21F6">
        <w:rPr>
          <w:rFonts w:ascii="Times New Roman" w:hAnsi="Times New Roman" w:cs="Times New Roman"/>
          <w:sz w:val="24"/>
          <w:szCs w:val="24"/>
        </w:rPr>
        <w:t>’</w:t>
      </w:r>
      <w:r w:rsidR="000E2DEE" w:rsidRPr="00532A38">
        <w:rPr>
          <w:rFonts w:ascii="Times New Roman" w:hAnsi="Times New Roman" w:cs="Times New Roman"/>
          <w:sz w:val="24"/>
          <w:szCs w:val="24"/>
        </w:rPr>
        <w:t xml:space="preserve"> raw materials and exported products, documentary evidence shows that these </w:t>
      </w:r>
      <w:r w:rsidR="003C21F6">
        <w:rPr>
          <w:rFonts w:ascii="Times New Roman" w:hAnsi="Times New Roman" w:cs="Times New Roman"/>
          <w:sz w:val="24"/>
          <w:szCs w:val="24"/>
        </w:rPr>
        <w:t>‘</w:t>
      </w:r>
      <w:r w:rsidR="000E2DEE" w:rsidRPr="00532A38">
        <w:rPr>
          <w:rFonts w:ascii="Times New Roman" w:hAnsi="Times New Roman" w:cs="Times New Roman"/>
          <w:sz w:val="24"/>
          <w:szCs w:val="24"/>
        </w:rPr>
        <w:t>taxed-bonded</w:t>
      </w:r>
      <w:r w:rsidR="003C21F6">
        <w:rPr>
          <w:rFonts w:ascii="Times New Roman" w:hAnsi="Times New Roman" w:cs="Times New Roman"/>
          <w:sz w:val="24"/>
          <w:szCs w:val="24"/>
        </w:rPr>
        <w:t>’</w:t>
      </w:r>
      <w:r w:rsidR="000E2DEE" w:rsidRPr="00532A38">
        <w:rPr>
          <w:rFonts w:ascii="Times New Roman" w:hAnsi="Times New Roman" w:cs="Times New Roman"/>
          <w:sz w:val="24"/>
          <w:szCs w:val="24"/>
        </w:rPr>
        <w:t xml:space="preserve"> raw materials were sold by the </w:t>
      </w:r>
      <w:r w:rsidRPr="00532A38">
        <w:rPr>
          <w:rFonts w:ascii="Times New Roman" w:hAnsi="Times New Roman" w:cs="Times New Roman"/>
          <w:sz w:val="24"/>
          <w:szCs w:val="24"/>
        </w:rPr>
        <w:t xml:space="preserve">Appellant </w:t>
      </w:r>
      <w:r w:rsidR="000E2DEE" w:rsidRPr="00532A38">
        <w:rPr>
          <w:rFonts w:ascii="Times New Roman" w:hAnsi="Times New Roman" w:cs="Times New Roman"/>
          <w:sz w:val="24"/>
          <w:szCs w:val="24"/>
        </w:rPr>
        <w:t xml:space="preserve">to the PRC Subsidiary, and the finished exported products were sold by the PRC Subsidiary to the </w:t>
      </w:r>
      <w:r w:rsidRPr="00532A38">
        <w:rPr>
          <w:rFonts w:ascii="Times New Roman" w:hAnsi="Times New Roman" w:cs="Times New Roman"/>
          <w:sz w:val="24"/>
          <w:szCs w:val="24"/>
        </w:rPr>
        <w:t>Appellant</w:t>
      </w:r>
      <w:r w:rsidR="000E2DEE" w:rsidRPr="00532A38">
        <w:rPr>
          <w:rFonts w:ascii="Times New Roman" w:hAnsi="Times New Roman" w:cs="Times New Roman"/>
          <w:sz w:val="24"/>
          <w:szCs w:val="24"/>
        </w:rPr>
        <w:t>:</w:t>
      </w:r>
    </w:p>
    <w:p w14:paraId="7CCAE780"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81" w14:textId="77777777" w:rsidR="000E2DEE" w:rsidRPr="00532A38" w:rsidRDefault="000E2DEE" w:rsidP="0046026A">
      <w:pPr>
        <w:pStyle w:val="a3"/>
        <w:numPr>
          <w:ilvl w:val="0"/>
          <w:numId w:val="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In </w:t>
      </w:r>
      <w:r w:rsidR="0047254B" w:rsidRPr="00532A38">
        <w:rPr>
          <w:rFonts w:ascii="Times New Roman" w:hAnsi="Times New Roman" w:cs="Times New Roman"/>
          <w:sz w:val="24"/>
          <w:szCs w:val="24"/>
        </w:rPr>
        <w:t xml:space="preserve">the Note, as outlined above, </w:t>
      </w:r>
      <w:r w:rsidRPr="00532A38">
        <w:rPr>
          <w:rFonts w:ascii="Times New Roman" w:hAnsi="Times New Roman" w:cs="Times New Roman"/>
          <w:sz w:val="24"/>
          <w:szCs w:val="24"/>
        </w:rPr>
        <w:t xml:space="preserve">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confirmed that during the assessment years from 2001/02 to 2005/06:</w:t>
      </w:r>
    </w:p>
    <w:p w14:paraId="7CCAE782" w14:textId="77777777" w:rsidR="000E2DEE" w:rsidRPr="00532A38" w:rsidRDefault="000E2DEE" w:rsidP="0046026A">
      <w:pPr>
        <w:pStyle w:val="a3"/>
        <w:overflowPunct w:val="0"/>
        <w:spacing w:after="0" w:line="240" w:lineRule="auto"/>
        <w:ind w:left="1440"/>
        <w:jc w:val="both"/>
        <w:rPr>
          <w:rFonts w:ascii="Times New Roman" w:hAnsi="Times New Roman" w:cs="Times New Roman"/>
          <w:sz w:val="24"/>
          <w:szCs w:val="24"/>
        </w:rPr>
      </w:pPr>
    </w:p>
    <w:p w14:paraId="7CCAE783" w14:textId="77777777" w:rsidR="000E2DEE" w:rsidRPr="00532A38" w:rsidRDefault="000E2DEE" w:rsidP="0046026A">
      <w:pPr>
        <w:pStyle w:val="a3"/>
        <w:numPr>
          <w:ilvl w:val="1"/>
          <w:numId w:val="4"/>
        </w:numPr>
        <w:tabs>
          <w:tab w:val="left" w:pos="2460"/>
        </w:tabs>
        <w:overflowPunct w:val="0"/>
        <w:spacing w:after="0" w:line="240" w:lineRule="auto"/>
        <w:ind w:leftChars="878" w:left="2460"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would mark up the price of the raw materials it purchased by 5% to 6% and sell them to the PRC Subsidiary for manufacturing purpose;</w:t>
      </w:r>
    </w:p>
    <w:p w14:paraId="7CCAE784" w14:textId="77777777" w:rsidR="000E2DEE" w:rsidRPr="00532A38" w:rsidRDefault="000E2DEE" w:rsidP="0046026A">
      <w:pPr>
        <w:pStyle w:val="a3"/>
        <w:tabs>
          <w:tab w:val="left" w:pos="2460"/>
        </w:tabs>
        <w:overflowPunct w:val="0"/>
        <w:spacing w:after="0" w:line="240" w:lineRule="auto"/>
        <w:ind w:leftChars="878" w:left="2460" w:hangingChars="220" w:hanging="528"/>
        <w:jc w:val="both"/>
        <w:rPr>
          <w:rFonts w:ascii="Times New Roman" w:hAnsi="Times New Roman" w:cs="Times New Roman"/>
          <w:sz w:val="24"/>
          <w:szCs w:val="24"/>
        </w:rPr>
      </w:pPr>
    </w:p>
    <w:p w14:paraId="7CCAE785" w14:textId="77777777" w:rsidR="000E2DEE" w:rsidRPr="00532A38" w:rsidRDefault="000E2DEE" w:rsidP="0046026A">
      <w:pPr>
        <w:pStyle w:val="a3"/>
        <w:numPr>
          <w:ilvl w:val="1"/>
          <w:numId w:val="4"/>
        </w:numPr>
        <w:tabs>
          <w:tab w:val="left" w:pos="2460"/>
        </w:tabs>
        <w:overflowPunct w:val="0"/>
        <w:spacing w:after="0" w:line="240" w:lineRule="auto"/>
        <w:ind w:leftChars="878" w:left="2460"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PRC Subsidiary would sell the finished products to 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at a gross profit ranging from 20% to 30%.  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would then sell them the finished products to its customers at gross profit ratio of about 10%. </w:t>
      </w:r>
    </w:p>
    <w:p w14:paraId="7CCAE786" w14:textId="77777777" w:rsidR="000E2DEE" w:rsidRPr="00532A38" w:rsidRDefault="000E2DEE" w:rsidP="0046026A">
      <w:pPr>
        <w:pStyle w:val="a3"/>
        <w:overflowPunct w:val="0"/>
        <w:spacing w:after="0" w:line="240" w:lineRule="auto"/>
        <w:jc w:val="both"/>
        <w:rPr>
          <w:rFonts w:ascii="Times New Roman" w:hAnsi="Times New Roman" w:cs="Times New Roman"/>
          <w:sz w:val="24"/>
          <w:szCs w:val="24"/>
        </w:rPr>
      </w:pPr>
    </w:p>
    <w:p w14:paraId="7CCAE787" w14:textId="3296BA8F" w:rsidR="000E2DEE" w:rsidRPr="00532A38" w:rsidRDefault="000E2DEE" w:rsidP="0046026A">
      <w:pPr>
        <w:pStyle w:val="a3"/>
        <w:numPr>
          <w:ilvl w:val="0"/>
          <w:numId w:val="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In response to the Assessor’s enquiries, 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confirmed that its mode of operations during the Relevant Period was completely the same as that during the years of assessments from 2001/02 to 2006/07 and that no change has taken place.</w:t>
      </w:r>
    </w:p>
    <w:p w14:paraId="7CCAE788" w14:textId="77777777" w:rsidR="000E2DEE" w:rsidRPr="00532A38" w:rsidRDefault="000E2DEE" w:rsidP="0046026A">
      <w:pPr>
        <w:pStyle w:val="a3"/>
        <w:overflowPunct w:val="0"/>
        <w:spacing w:after="0" w:line="240" w:lineRule="auto"/>
        <w:jc w:val="both"/>
        <w:rPr>
          <w:rFonts w:ascii="Times New Roman" w:hAnsi="Times New Roman" w:cs="Times New Roman"/>
          <w:sz w:val="24"/>
          <w:szCs w:val="24"/>
        </w:rPr>
      </w:pPr>
    </w:p>
    <w:p w14:paraId="7CCAE789" w14:textId="77777777" w:rsidR="000E2DEE" w:rsidRPr="00532A38" w:rsidRDefault="000E2DEE" w:rsidP="0046026A">
      <w:pPr>
        <w:pStyle w:val="a3"/>
        <w:numPr>
          <w:ilvl w:val="0"/>
          <w:numId w:val="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There were invoices with the company chops affixed of the </w:t>
      </w:r>
      <w:r w:rsidR="00104AC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as seller and buyer respectively for the raw materials.  These invoices show the aggregate price of the raw materials and the freight which was expressed to be payable by the PRC Subsidiary to the </w:t>
      </w:r>
      <w:r w:rsidR="00104ACB" w:rsidRPr="00532A38">
        <w:rPr>
          <w:rFonts w:ascii="Times New Roman" w:hAnsi="Times New Roman" w:cs="Times New Roman"/>
          <w:sz w:val="24"/>
          <w:szCs w:val="24"/>
        </w:rPr>
        <w:t>Appellant</w:t>
      </w:r>
      <w:r w:rsidR="002F52BE" w:rsidRPr="00532A38">
        <w:rPr>
          <w:rFonts w:ascii="Times New Roman" w:hAnsi="Times New Roman" w:cs="Times New Roman"/>
          <w:sz w:val="24"/>
          <w:szCs w:val="24"/>
        </w:rPr>
        <w:t>.</w:t>
      </w:r>
    </w:p>
    <w:p w14:paraId="7CCAE78A" w14:textId="77777777" w:rsidR="000E2DEE" w:rsidRPr="00532A38" w:rsidRDefault="000E2DEE" w:rsidP="0046026A">
      <w:pPr>
        <w:pStyle w:val="a3"/>
        <w:overflowPunct w:val="0"/>
        <w:spacing w:after="0" w:line="240" w:lineRule="auto"/>
        <w:jc w:val="both"/>
        <w:rPr>
          <w:rFonts w:ascii="Times New Roman" w:hAnsi="Times New Roman" w:cs="Times New Roman"/>
          <w:sz w:val="24"/>
          <w:szCs w:val="24"/>
        </w:rPr>
      </w:pPr>
    </w:p>
    <w:p w14:paraId="7CCAE78B" w14:textId="77777777" w:rsidR="000E2DEE" w:rsidRPr="00532A38" w:rsidRDefault="000E2DEE" w:rsidP="0046026A">
      <w:pPr>
        <w:pStyle w:val="a3"/>
        <w:numPr>
          <w:ilvl w:val="0"/>
          <w:numId w:val="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There were invoices with company chops affixed of the </w:t>
      </w:r>
      <w:r w:rsidR="0041312E"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as buyer and seller respectively for the finished products.  These invoices show the quantity of card products transacted between the PRC Subsidiary (as seller) and the </w:t>
      </w:r>
      <w:r w:rsidR="0041312E"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(as buyer) and the price expressed to be payable by the </w:t>
      </w:r>
      <w:r w:rsidR="0041312E"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to the PRC Subsidiary.</w:t>
      </w:r>
    </w:p>
    <w:p w14:paraId="7CCAE78C" w14:textId="77777777" w:rsidR="000E2DEE" w:rsidRPr="00532A38" w:rsidRDefault="000E2DEE" w:rsidP="0046026A">
      <w:pPr>
        <w:pStyle w:val="a3"/>
        <w:overflowPunct w:val="0"/>
        <w:spacing w:after="0" w:line="240" w:lineRule="auto"/>
        <w:rPr>
          <w:rFonts w:ascii="Times New Roman" w:hAnsi="Times New Roman" w:cs="Times New Roman"/>
          <w:sz w:val="24"/>
          <w:szCs w:val="24"/>
        </w:rPr>
      </w:pPr>
    </w:p>
    <w:p w14:paraId="7CCAE78D" w14:textId="77777777" w:rsidR="0041312E" w:rsidRPr="00532A38" w:rsidRDefault="007D367C" w:rsidP="0097572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From the above, it is quite clear to this Board that there were actual sales and purchases between the Appellant and the PRC Subsidiary. In order for the PRC Subsidiary to enjoy the tax benefit</w:t>
      </w:r>
      <w:r w:rsidR="00457F35" w:rsidRPr="00532A38">
        <w:rPr>
          <w:rFonts w:ascii="Times New Roman" w:hAnsi="Times New Roman" w:cs="Times New Roman"/>
          <w:sz w:val="24"/>
          <w:szCs w:val="24"/>
        </w:rPr>
        <w:t xml:space="preserve"> in Mainland China</w:t>
      </w:r>
      <w:r w:rsidRPr="00532A38">
        <w:rPr>
          <w:rFonts w:ascii="Times New Roman" w:hAnsi="Times New Roman" w:cs="Times New Roman"/>
          <w:sz w:val="24"/>
          <w:szCs w:val="24"/>
        </w:rPr>
        <w:t>, there has to be real contracts of importing raw materials and real contracts of exporting the finished products</w:t>
      </w:r>
      <w:r w:rsidR="00457F35"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  </w:t>
      </w:r>
    </w:p>
    <w:p w14:paraId="7CCAE78E" w14:textId="77777777" w:rsidR="0041312E" w:rsidRPr="00532A38" w:rsidRDefault="0041312E" w:rsidP="0046026A">
      <w:pPr>
        <w:pStyle w:val="a3"/>
        <w:overflowPunct w:val="0"/>
        <w:spacing w:after="0" w:line="240" w:lineRule="auto"/>
        <w:ind w:left="360"/>
        <w:jc w:val="both"/>
        <w:rPr>
          <w:rFonts w:ascii="Times New Roman" w:hAnsi="Times New Roman" w:cs="Times New Roman"/>
          <w:sz w:val="24"/>
          <w:szCs w:val="24"/>
        </w:rPr>
      </w:pPr>
    </w:p>
    <w:p w14:paraId="7CCAE78F" w14:textId="679FC252" w:rsidR="000E2DEE" w:rsidRPr="00532A38" w:rsidRDefault="00F665C1"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lastRenderedPageBreak/>
        <w:t>Further, a</w:t>
      </w:r>
      <w:r w:rsidR="000E2DEE" w:rsidRPr="00532A38">
        <w:rPr>
          <w:rFonts w:ascii="Times New Roman" w:hAnsi="Times New Roman" w:cs="Times New Roman"/>
          <w:sz w:val="24"/>
          <w:szCs w:val="24"/>
        </w:rPr>
        <w:t>s evidenced by the profits tax return</w:t>
      </w:r>
      <w:r w:rsidR="00652AD1">
        <w:rPr>
          <w:rFonts w:ascii="Times New Roman" w:hAnsi="Times New Roman" w:cs="Times New Roman"/>
          <w:sz w:val="24"/>
          <w:szCs w:val="24"/>
        </w:rPr>
        <w:t>s</w:t>
      </w:r>
      <w:r w:rsidR="000E2DEE" w:rsidRPr="00532A38">
        <w:rPr>
          <w:rFonts w:ascii="Times New Roman" w:hAnsi="Times New Roman" w:cs="Times New Roman"/>
          <w:sz w:val="24"/>
          <w:szCs w:val="24"/>
        </w:rPr>
        <w:t xml:space="preserve"> of the </w:t>
      </w:r>
      <w:r w:rsidRPr="00532A38">
        <w:rPr>
          <w:rFonts w:ascii="Times New Roman" w:hAnsi="Times New Roman" w:cs="Times New Roman"/>
          <w:sz w:val="24"/>
          <w:szCs w:val="24"/>
        </w:rPr>
        <w:t xml:space="preserve">Appellant </w:t>
      </w:r>
      <w:r w:rsidR="000E2DEE" w:rsidRPr="00532A38">
        <w:rPr>
          <w:rFonts w:ascii="Times New Roman" w:hAnsi="Times New Roman" w:cs="Times New Roman"/>
          <w:sz w:val="24"/>
          <w:szCs w:val="24"/>
        </w:rPr>
        <w:t>during the Relevant Period, which were all signed and declared by Mr</w:t>
      </w:r>
      <w:r w:rsidR="00AF4887">
        <w:rPr>
          <w:rFonts w:ascii="Times New Roman" w:hAnsi="Times New Roman" w:cs="Times New Roman"/>
          <w:sz w:val="24"/>
          <w:szCs w:val="24"/>
        </w:rPr>
        <w:t xml:space="preserve"> B</w:t>
      </w:r>
      <w:r w:rsidR="000E2DEE" w:rsidRPr="00532A38">
        <w:rPr>
          <w:rFonts w:ascii="Times New Roman" w:hAnsi="Times New Roman" w:cs="Times New Roman"/>
          <w:sz w:val="24"/>
          <w:szCs w:val="24"/>
        </w:rPr>
        <w:t xml:space="preserve"> and Ms</w:t>
      </w:r>
      <w:r w:rsidR="00AF4887">
        <w:rPr>
          <w:rFonts w:ascii="Times New Roman" w:hAnsi="Times New Roman" w:cs="Times New Roman"/>
          <w:sz w:val="24"/>
          <w:szCs w:val="24"/>
        </w:rPr>
        <w:t xml:space="preserve"> C</w:t>
      </w:r>
      <w:r w:rsidR="000E2DEE" w:rsidRPr="00532A38">
        <w:rPr>
          <w:rFonts w:ascii="Times New Roman" w:hAnsi="Times New Roman" w:cs="Times New Roman"/>
          <w:sz w:val="24"/>
          <w:szCs w:val="24"/>
        </w:rPr>
        <w:t xml:space="preserve"> to be true, correct and complete in their capacity of the </w:t>
      </w:r>
      <w:r w:rsidRPr="00532A38">
        <w:rPr>
          <w:rFonts w:ascii="Times New Roman" w:hAnsi="Times New Roman" w:cs="Times New Roman"/>
          <w:sz w:val="24"/>
          <w:szCs w:val="24"/>
        </w:rPr>
        <w:t xml:space="preserve">Appellant’s </w:t>
      </w:r>
      <w:r w:rsidR="000E2DEE" w:rsidRPr="00532A38">
        <w:rPr>
          <w:rFonts w:ascii="Times New Roman" w:hAnsi="Times New Roman" w:cs="Times New Roman"/>
          <w:sz w:val="24"/>
          <w:szCs w:val="24"/>
        </w:rPr>
        <w:t>directors, in each of the financial year during the Relevant Period</w:t>
      </w:r>
      <w:r w:rsidR="00652AD1">
        <w:rPr>
          <w:rFonts w:ascii="Times New Roman" w:hAnsi="Times New Roman" w:cs="Times New Roman"/>
          <w:sz w:val="24"/>
          <w:szCs w:val="24"/>
        </w:rPr>
        <w:t>,</w:t>
      </w:r>
      <w:r w:rsidR="000E2DEE" w:rsidRPr="00532A38">
        <w:rPr>
          <w:rFonts w:ascii="Times New Roman" w:hAnsi="Times New Roman" w:cs="Times New Roman"/>
          <w:sz w:val="24"/>
          <w:szCs w:val="24"/>
        </w:rPr>
        <w:t xml:space="preserve"> there were related party transactions with the PRC Subsidiary in terms of sales and purchases and amounts receiveable from/</w:t>
      </w:r>
      <w:r w:rsidRPr="00532A38">
        <w:rPr>
          <w:rFonts w:ascii="Times New Roman" w:hAnsi="Times New Roman" w:cs="Times New Roman"/>
          <w:sz w:val="24"/>
          <w:szCs w:val="24"/>
        </w:rPr>
        <w:t>payable to the PRC Subsidiary.</w:t>
      </w:r>
    </w:p>
    <w:p w14:paraId="7CCAE790" w14:textId="77777777" w:rsidR="00F665C1" w:rsidRPr="00532A38" w:rsidRDefault="00F665C1" w:rsidP="00AF4887">
      <w:pPr>
        <w:pStyle w:val="a3"/>
        <w:overflowPunct w:val="0"/>
        <w:spacing w:after="0" w:line="240" w:lineRule="auto"/>
        <w:ind w:left="0"/>
        <w:rPr>
          <w:rFonts w:ascii="Times New Roman" w:hAnsi="Times New Roman" w:cs="Times New Roman"/>
          <w:sz w:val="24"/>
          <w:szCs w:val="24"/>
        </w:rPr>
      </w:pPr>
    </w:p>
    <w:p w14:paraId="7CCAE791" w14:textId="3CAA122C" w:rsidR="00F665C1" w:rsidRPr="00532A38" w:rsidRDefault="007461A8"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Mr </w:t>
      </w:r>
      <w:r w:rsidR="00AF4887">
        <w:rPr>
          <w:rFonts w:ascii="Times New Roman" w:hAnsi="Times New Roman" w:cs="Times New Roman"/>
          <w:sz w:val="24"/>
          <w:szCs w:val="24"/>
        </w:rPr>
        <w:t>B</w:t>
      </w:r>
      <w:r w:rsidRPr="00532A38">
        <w:rPr>
          <w:rFonts w:ascii="Times New Roman" w:hAnsi="Times New Roman" w:cs="Times New Roman"/>
          <w:sz w:val="24"/>
          <w:szCs w:val="24"/>
        </w:rPr>
        <w:t xml:space="preserve"> and Mr </w:t>
      </w:r>
      <w:r w:rsidR="00AF4887">
        <w:rPr>
          <w:rFonts w:ascii="Times New Roman" w:hAnsi="Times New Roman" w:cs="Times New Roman"/>
          <w:sz w:val="24"/>
          <w:szCs w:val="24"/>
        </w:rPr>
        <w:t>C</w:t>
      </w:r>
      <w:r w:rsidRPr="00532A38">
        <w:rPr>
          <w:rFonts w:ascii="Times New Roman" w:hAnsi="Times New Roman" w:cs="Times New Roman"/>
          <w:sz w:val="24"/>
          <w:szCs w:val="24"/>
        </w:rPr>
        <w:t xml:space="preserve"> did not give evidence in this hearing. In view of the absence of testimony from them, it is not right for this Board to ignore </w:t>
      </w:r>
      <w:r w:rsidR="003C2BE5" w:rsidRPr="00532A38">
        <w:rPr>
          <w:rFonts w:ascii="Times New Roman" w:hAnsi="Times New Roman" w:cs="Times New Roman"/>
          <w:sz w:val="24"/>
          <w:szCs w:val="24"/>
        </w:rPr>
        <w:t xml:space="preserve">the fact that </w:t>
      </w:r>
      <w:r w:rsidRPr="00532A38">
        <w:rPr>
          <w:rFonts w:ascii="Times New Roman" w:hAnsi="Times New Roman" w:cs="Times New Roman"/>
          <w:sz w:val="24"/>
          <w:szCs w:val="24"/>
        </w:rPr>
        <w:t xml:space="preserve">the </w:t>
      </w:r>
      <w:r w:rsidR="00C46683" w:rsidRPr="00532A38">
        <w:rPr>
          <w:rFonts w:ascii="Times New Roman" w:hAnsi="Times New Roman" w:cs="Times New Roman"/>
          <w:sz w:val="24"/>
          <w:szCs w:val="24"/>
        </w:rPr>
        <w:t xml:space="preserve">profit tax returns signed and confirmed by them </w:t>
      </w:r>
      <w:r w:rsidR="003C2BE5" w:rsidRPr="00532A38">
        <w:rPr>
          <w:rFonts w:ascii="Times New Roman" w:hAnsi="Times New Roman" w:cs="Times New Roman"/>
          <w:sz w:val="24"/>
          <w:szCs w:val="24"/>
        </w:rPr>
        <w:t xml:space="preserve">were stated </w:t>
      </w:r>
      <w:r w:rsidR="00C46683" w:rsidRPr="00532A38">
        <w:rPr>
          <w:rFonts w:ascii="Times New Roman" w:hAnsi="Times New Roman" w:cs="Times New Roman"/>
          <w:sz w:val="24"/>
          <w:szCs w:val="24"/>
        </w:rPr>
        <w:t xml:space="preserve">to be true and accurate. </w:t>
      </w:r>
    </w:p>
    <w:p w14:paraId="7CCAE792" w14:textId="77777777" w:rsidR="00A85457" w:rsidRPr="00532A38" w:rsidRDefault="00A85457" w:rsidP="00AF4887">
      <w:pPr>
        <w:pStyle w:val="a3"/>
        <w:overflowPunct w:val="0"/>
        <w:spacing w:after="0" w:line="240" w:lineRule="auto"/>
        <w:ind w:left="0"/>
        <w:rPr>
          <w:rFonts w:ascii="Times New Roman" w:hAnsi="Times New Roman" w:cs="Times New Roman"/>
          <w:sz w:val="24"/>
          <w:szCs w:val="24"/>
        </w:rPr>
      </w:pPr>
    </w:p>
    <w:p w14:paraId="7CCAE793" w14:textId="06DBAD8C" w:rsidR="000E2DEE" w:rsidRPr="00532A38" w:rsidRDefault="00C46683"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Further, t</w:t>
      </w:r>
      <w:r w:rsidR="000E2DEE" w:rsidRPr="00532A38">
        <w:rPr>
          <w:rFonts w:ascii="Times New Roman" w:hAnsi="Times New Roman" w:cs="Times New Roman"/>
          <w:sz w:val="24"/>
          <w:szCs w:val="24"/>
        </w:rPr>
        <w:t xml:space="preserve">he </w:t>
      </w:r>
      <w:r w:rsidRPr="00532A38">
        <w:rPr>
          <w:rFonts w:ascii="Times New Roman" w:hAnsi="Times New Roman" w:cs="Times New Roman"/>
          <w:sz w:val="24"/>
          <w:szCs w:val="24"/>
        </w:rPr>
        <w:t xml:space="preserve">Appellant’s </w:t>
      </w:r>
      <w:r w:rsidR="000E2DEE" w:rsidRPr="00532A38">
        <w:rPr>
          <w:rFonts w:ascii="Times New Roman" w:hAnsi="Times New Roman" w:cs="Times New Roman"/>
          <w:sz w:val="24"/>
          <w:szCs w:val="24"/>
        </w:rPr>
        <w:t>profits tax return</w:t>
      </w:r>
      <w:r w:rsidR="00652AD1">
        <w:rPr>
          <w:rFonts w:ascii="Times New Roman" w:hAnsi="Times New Roman" w:cs="Times New Roman"/>
          <w:sz w:val="24"/>
          <w:szCs w:val="24"/>
        </w:rPr>
        <w:t>s</w:t>
      </w:r>
      <w:r w:rsidR="000E2DEE" w:rsidRPr="00532A38">
        <w:rPr>
          <w:rFonts w:ascii="Times New Roman" w:hAnsi="Times New Roman" w:cs="Times New Roman"/>
          <w:sz w:val="24"/>
          <w:szCs w:val="24"/>
        </w:rPr>
        <w:t xml:space="preserve"> of the Relevant Period also provided for details of hire-purchase agreements for the purchase of machinery and equipment.  These machinery and equipment were purchased by the </w:t>
      </w:r>
      <w:r w:rsidRPr="00532A38">
        <w:rPr>
          <w:rFonts w:ascii="Times New Roman" w:hAnsi="Times New Roman" w:cs="Times New Roman"/>
          <w:sz w:val="24"/>
          <w:szCs w:val="24"/>
        </w:rPr>
        <w:t xml:space="preserve">Appellant </w:t>
      </w:r>
      <w:r w:rsidR="000E2DEE" w:rsidRPr="00532A38">
        <w:rPr>
          <w:rFonts w:ascii="Times New Roman" w:hAnsi="Times New Roman" w:cs="Times New Roman"/>
          <w:sz w:val="24"/>
          <w:szCs w:val="24"/>
        </w:rPr>
        <w:t>through hire-purchase arrangements and delivered to the factory of the PRC Subsidiary in Shenzhen, Mainland China.</w:t>
      </w:r>
    </w:p>
    <w:p w14:paraId="7CCAE794" w14:textId="77777777" w:rsidR="000E2DEE" w:rsidRPr="00532A38" w:rsidRDefault="000E2DEE" w:rsidP="00AF4887">
      <w:pPr>
        <w:pStyle w:val="a3"/>
        <w:overflowPunct w:val="0"/>
        <w:spacing w:after="0" w:line="240" w:lineRule="auto"/>
        <w:ind w:left="0"/>
        <w:rPr>
          <w:rFonts w:ascii="Times New Roman" w:hAnsi="Times New Roman" w:cs="Times New Roman"/>
          <w:sz w:val="24"/>
          <w:szCs w:val="24"/>
        </w:rPr>
      </w:pPr>
    </w:p>
    <w:p w14:paraId="7CCAE795" w14:textId="26985908" w:rsidR="000E2DEE" w:rsidRPr="00532A38" w:rsidRDefault="000E2DEE"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A204C4" w:rsidRPr="00532A38">
        <w:rPr>
          <w:rFonts w:ascii="Times New Roman" w:hAnsi="Times New Roman" w:cs="Times New Roman"/>
          <w:sz w:val="24"/>
          <w:szCs w:val="24"/>
        </w:rPr>
        <w:t xml:space="preserve">Appellant’s </w:t>
      </w:r>
      <w:r w:rsidR="003E272D">
        <w:rPr>
          <w:rFonts w:ascii="Times New Roman" w:hAnsi="Times New Roman" w:cs="Times New Roman"/>
          <w:sz w:val="24"/>
          <w:szCs w:val="24"/>
        </w:rPr>
        <w:t>P</w:t>
      </w:r>
      <w:r w:rsidRPr="00532A38">
        <w:rPr>
          <w:rFonts w:ascii="Times New Roman" w:hAnsi="Times New Roman" w:cs="Times New Roman"/>
          <w:sz w:val="24"/>
          <w:szCs w:val="24"/>
        </w:rPr>
        <w:t xml:space="preserve">rofits </w:t>
      </w:r>
      <w:r w:rsidR="003E272D">
        <w:rPr>
          <w:rFonts w:ascii="Times New Roman" w:hAnsi="Times New Roman" w:cs="Times New Roman"/>
          <w:sz w:val="24"/>
          <w:szCs w:val="24"/>
        </w:rPr>
        <w:t>T</w:t>
      </w:r>
      <w:r w:rsidRPr="00532A38">
        <w:rPr>
          <w:rFonts w:ascii="Times New Roman" w:hAnsi="Times New Roman" w:cs="Times New Roman"/>
          <w:sz w:val="24"/>
          <w:szCs w:val="24"/>
        </w:rPr>
        <w:t xml:space="preserve">ax </w:t>
      </w:r>
      <w:r w:rsidR="003E272D">
        <w:rPr>
          <w:rFonts w:ascii="Times New Roman" w:hAnsi="Times New Roman" w:cs="Times New Roman"/>
          <w:sz w:val="24"/>
          <w:szCs w:val="24"/>
        </w:rPr>
        <w:t>A</w:t>
      </w:r>
      <w:r w:rsidRPr="00532A38">
        <w:rPr>
          <w:rFonts w:ascii="Times New Roman" w:hAnsi="Times New Roman" w:cs="Times New Roman"/>
          <w:sz w:val="24"/>
          <w:szCs w:val="24"/>
        </w:rPr>
        <w:t xml:space="preserve">ssessments were assessed with adjustments on the </w:t>
      </w:r>
      <w:r w:rsidR="00A204C4"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claimed offshore profit, depreciation allowance (</w:t>
      </w:r>
      <w:r w:rsidR="00AF4887">
        <w:rPr>
          <w:rFonts w:ascii="Times New Roman" w:hAnsi="Times New Roman" w:cs="Times New Roman"/>
          <w:sz w:val="24"/>
          <w:szCs w:val="24"/>
        </w:rPr>
        <w:t>‘</w:t>
      </w:r>
      <w:r w:rsidRPr="00AF4887">
        <w:rPr>
          <w:rFonts w:ascii="Times New Roman" w:hAnsi="Times New Roman" w:cs="Times New Roman"/>
          <w:sz w:val="24"/>
          <w:szCs w:val="24"/>
        </w:rPr>
        <w:t>DA</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and hire-purchase interest expenses for machinery and equipment and insurance expense.  The </w:t>
      </w:r>
      <w:r w:rsidR="00A204C4"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objected to the </w:t>
      </w:r>
      <w:r w:rsidR="003E272D">
        <w:rPr>
          <w:rFonts w:ascii="Times New Roman" w:hAnsi="Times New Roman" w:cs="Times New Roman"/>
          <w:sz w:val="24"/>
          <w:szCs w:val="24"/>
        </w:rPr>
        <w:t>P</w:t>
      </w:r>
      <w:r w:rsidRPr="00532A38">
        <w:rPr>
          <w:rFonts w:ascii="Times New Roman" w:hAnsi="Times New Roman" w:cs="Times New Roman"/>
          <w:sz w:val="24"/>
          <w:szCs w:val="24"/>
        </w:rPr>
        <w:t xml:space="preserve">rofits </w:t>
      </w:r>
      <w:r w:rsidR="003E272D">
        <w:rPr>
          <w:rFonts w:ascii="Times New Roman" w:hAnsi="Times New Roman" w:cs="Times New Roman"/>
          <w:sz w:val="24"/>
          <w:szCs w:val="24"/>
        </w:rPr>
        <w:t>T</w:t>
      </w:r>
      <w:r w:rsidRPr="00532A38">
        <w:rPr>
          <w:rFonts w:ascii="Times New Roman" w:hAnsi="Times New Roman" w:cs="Times New Roman"/>
          <w:sz w:val="24"/>
          <w:szCs w:val="24"/>
        </w:rPr>
        <w:t>ax</w:t>
      </w:r>
      <w:r w:rsidR="003E272D">
        <w:rPr>
          <w:rFonts w:ascii="Times New Roman" w:hAnsi="Times New Roman" w:cs="Times New Roman"/>
          <w:sz w:val="24"/>
          <w:szCs w:val="24"/>
        </w:rPr>
        <w:t xml:space="preserve"> A</w:t>
      </w:r>
      <w:r w:rsidRPr="00532A38">
        <w:rPr>
          <w:rFonts w:ascii="Times New Roman" w:hAnsi="Times New Roman" w:cs="Times New Roman"/>
          <w:sz w:val="24"/>
          <w:szCs w:val="24"/>
        </w:rPr>
        <w:t xml:space="preserve">ssessment on the grounds that the assessments were excessive.  The </w:t>
      </w:r>
      <w:r w:rsidR="00A204C4"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considered that it should be entitled to deductions of DA computed under Part 6 of the </w:t>
      </w:r>
      <w:r w:rsidR="0041025D" w:rsidRPr="00532A38">
        <w:rPr>
          <w:rFonts w:ascii="Times New Roman" w:hAnsi="Times New Roman" w:cs="Times New Roman"/>
          <w:sz w:val="24"/>
          <w:szCs w:val="24"/>
          <w:lang w:eastAsia="zh-HK"/>
        </w:rPr>
        <w:t>IRO</w:t>
      </w:r>
      <w:r w:rsidRPr="00532A38">
        <w:rPr>
          <w:rFonts w:ascii="Times New Roman" w:hAnsi="Times New Roman" w:cs="Times New Roman"/>
          <w:sz w:val="24"/>
          <w:szCs w:val="24"/>
        </w:rPr>
        <w:t>, deduction of capital expenditure incurred on the provision of prescribed fixed assets under section 16G of the IRO (</w:t>
      </w:r>
      <w:r w:rsidR="00AF4887">
        <w:rPr>
          <w:rFonts w:ascii="Times New Roman" w:hAnsi="Times New Roman" w:cs="Times New Roman"/>
          <w:sz w:val="24"/>
          <w:szCs w:val="24"/>
        </w:rPr>
        <w:t>‘</w:t>
      </w:r>
      <w:r w:rsidRPr="00AF4887">
        <w:rPr>
          <w:rFonts w:ascii="Times New Roman" w:hAnsi="Times New Roman" w:cs="Times New Roman"/>
          <w:sz w:val="24"/>
          <w:szCs w:val="24"/>
        </w:rPr>
        <w:t>Section 16G Deductions</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and </w:t>
      </w:r>
      <w:r w:rsidR="00652AD1">
        <w:rPr>
          <w:rFonts w:ascii="Times New Roman" w:hAnsi="Times New Roman" w:cs="Times New Roman"/>
          <w:sz w:val="24"/>
          <w:szCs w:val="24"/>
        </w:rPr>
        <w:t xml:space="preserve">deduction of </w:t>
      </w:r>
      <w:r w:rsidRPr="00532A38">
        <w:rPr>
          <w:rFonts w:ascii="Times New Roman" w:hAnsi="Times New Roman" w:cs="Times New Roman"/>
          <w:sz w:val="24"/>
          <w:szCs w:val="24"/>
        </w:rPr>
        <w:t xml:space="preserve">hire-purchase interest expenses in respect of all the machinery and equipment it purchased.  Moreover, the </w:t>
      </w:r>
      <w:r w:rsidR="00A204C4"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contended that part of its profits were derived outside Hong Kong, its assessable profits should therefore be apportioned on a 50:50 basis.</w:t>
      </w:r>
      <w:r w:rsidR="00A204C4" w:rsidRPr="00532A38">
        <w:rPr>
          <w:rFonts w:ascii="Times New Roman" w:hAnsi="Times New Roman" w:cs="Times New Roman"/>
          <w:sz w:val="24"/>
          <w:szCs w:val="24"/>
        </w:rPr>
        <w:t xml:space="preserve"> </w:t>
      </w:r>
    </w:p>
    <w:p w14:paraId="7CCAE796" w14:textId="77777777" w:rsidR="001601A1" w:rsidRPr="00532A38" w:rsidRDefault="001601A1" w:rsidP="0046026A">
      <w:pPr>
        <w:pStyle w:val="a3"/>
        <w:overflowPunct w:val="0"/>
        <w:spacing w:after="0" w:line="240" w:lineRule="auto"/>
        <w:rPr>
          <w:rFonts w:ascii="Times New Roman" w:hAnsi="Times New Roman" w:cs="Times New Roman"/>
          <w:sz w:val="24"/>
          <w:szCs w:val="24"/>
        </w:rPr>
      </w:pPr>
    </w:p>
    <w:p w14:paraId="7CCAE797" w14:textId="77777777" w:rsidR="001601A1" w:rsidRPr="00532A38" w:rsidRDefault="001601A1"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There is no evidence that the Appellant has paid any tax in the Mainland. Indeed from the financial statements of the Appellant, it does not appear that the Appellant paid any tax in the Mainland.</w:t>
      </w:r>
    </w:p>
    <w:p w14:paraId="7CCAE798" w14:textId="77777777" w:rsidR="001601A1" w:rsidRPr="00532A38" w:rsidRDefault="001601A1" w:rsidP="0046026A">
      <w:pPr>
        <w:pStyle w:val="a3"/>
        <w:overflowPunct w:val="0"/>
        <w:spacing w:after="0" w:line="240" w:lineRule="auto"/>
        <w:rPr>
          <w:rFonts w:ascii="Times New Roman" w:hAnsi="Times New Roman" w:cs="Times New Roman"/>
          <w:sz w:val="24"/>
          <w:szCs w:val="24"/>
        </w:rPr>
      </w:pPr>
    </w:p>
    <w:p w14:paraId="7CCAE799" w14:textId="6FF8813A" w:rsidR="001601A1" w:rsidRPr="00AF4887" w:rsidRDefault="00AF4887" w:rsidP="0046026A">
      <w:pPr>
        <w:overflowPunct w:val="0"/>
        <w:spacing w:after="0" w:line="240" w:lineRule="auto"/>
        <w:jc w:val="both"/>
        <w:rPr>
          <w:rFonts w:ascii="Times New Roman" w:hAnsi="Times New Roman" w:cs="Times New Roman"/>
          <w:b/>
          <w:sz w:val="24"/>
          <w:szCs w:val="24"/>
        </w:rPr>
      </w:pPr>
      <w:r w:rsidRPr="00AF4887">
        <w:rPr>
          <w:rFonts w:ascii="Times New Roman" w:hAnsi="Times New Roman" w:cs="Times New Roman"/>
          <w:b/>
          <w:sz w:val="24"/>
          <w:szCs w:val="24"/>
        </w:rPr>
        <w:t>The Appeal</w:t>
      </w:r>
    </w:p>
    <w:p w14:paraId="7CCAE79A" w14:textId="77777777" w:rsidR="001601A1" w:rsidRPr="00532A38" w:rsidRDefault="001601A1" w:rsidP="0046026A">
      <w:pPr>
        <w:pStyle w:val="a3"/>
        <w:overflowPunct w:val="0"/>
        <w:spacing w:after="0" w:line="240" w:lineRule="auto"/>
        <w:rPr>
          <w:rFonts w:ascii="Times New Roman" w:hAnsi="Times New Roman" w:cs="Times New Roman"/>
          <w:sz w:val="24"/>
          <w:szCs w:val="24"/>
        </w:rPr>
      </w:pPr>
    </w:p>
    <w:p w14:paraId="7CCAE79B" w14:textId="77777777" w:rsidR="004F51DA" w:rsidRPr="00532A38" w:rsidRDefault="004F51DA"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Appellant appealed to this Board of Review against the Deputy Commissioner’s determination by way of letter dated 24 February 2017.  During the course of this Appeal, the </w:t>
      </w:r>
      <w:r w:rsidR="000309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framed the three issues of contention as follows:</w:t>
      </w:r>
    </w:p>
    <w:p w14:paraId="7CCAE79C" w14:textId="77777777" w:rsidR="004F51DA" w:rsidRPr="00532A38" w:rsidRDefault="004F51DA" w:rsidP="0046026A">
      <w:pPr>
        <w:pStyle w:val="a3"/>
        <w:overflowPunct w:val="0"/>
        <w:spacing w:after="0" w:line="240" w:lineRule="auto"/>
        <w:ind w:left="360"/>
        <w:jc w:val="both"/>
        <w:rPr>
          <w:rFonts w:ascii="Times New Roman" w:hAnsi="Times New Roman" w:cs="Times New Roman"/>
          <w:sz w:val="24"/>
          <w:szCs w:val="24"/>
        </w:rPr>
      </w:pPr>
    </w:p>
    <w:p w14:paraId="7CCAE79D" w14:textId="681C8804" w:rsidR="004F51DA" w:rsidRPr="00532A38" w:rsidRDefault="004F51DA" w:rsidP="00AF4887">
      <w:pPr>
        <w:pStyle w:val="a3"/>
        <w:numPr>
          <w:ilvl w:val="0"/>
          <w:numId w:val="6"/>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Given the nature of the profit-making business as actually conducted by the </w:t>
      </w:r>
      <w:r w:rsidR="000309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based in Hong Kong, should the business income as derived therein be fully subject to profit tax in accordance with section 14 of IRO or should the business income as derived therein be apportioned on a 50/50 basis for charge to Hong Kong profits tax in accordance with section 14 of </w:t>
      </w:r>
      <w:r w:rsidR="00652AD1">
        <w:rPr>
          <w:rFonts w:ascii="Times New Roman" w:hAnsi="Times New Roman" w:cs="Times New Roman"/>
          <w:sz w:val="24"/>
          <w:szCs w:val="24"/>
        </w:rPr>
        <w:t xml:space="preserve">the </w:t>
      </w:r>
      <w:r w:rsidRPr="00532A38">
        <w:rPr>
          <w:rFonts w:ascii="Times New Roman" w:hAnsi="Times New Roman" w:cs="Times New Roman"/>
          <w:sz w:val="24"/>
          <w:szCs w:val="24"/>
        </w:rPr>
        <w:t>IRO? (</w:t>
      </w:r>
      <w:r w:rsidR="00AF4887">
        <w:rPr>
          <w:rFonts w:ascii="Times New Roman" w:hAnsi="Times New Roman" w:cs="Times New Roman"/>
          <w:sz w:val="24"/>
          <w:szCs w:val="24"/>
        </w:rPr>
        <w:t>‘</w:t>
      </w:r>
      <w:r w:rsidRPr="00AF4887">
        <w:rPr>
          <w:rFonts w:ascii="Times New Roman" w:hAnsi="Times New Roman" w:cs="Times New Roman"/>
          <w:sz w:val="24"/>
          <w:szCs w:val="24"/>
        </w:rPr>
        <w:t>Issue 1</w:t>
      </w:r>
      <w:r w:rsidR="00AF4887">
        <w:rPr>
          <w:rFonts w:ascii="Times New Roman" w:hAnsi="Times New Roman" w:cs="Times New Roman"/>
          <w:sz w:val="24"/>
          <w:szCs w:val="24"/>
        </w:rPr>
        <w:t>’</w:t>
      </w:r>
      <w:r w:rsidRPr="00532A38">
        <w:rPr>
          <w:rFonts w:ascii="Times New Roman" w:hAnsi="Times New Roman" w:cs="Times New Roman"/>
          <w:sz w:val="24"/>
          <w:szCs w:val="24"/>
        </w:rPr>
        <w:t>)</w:t>
      </w:r>
    </w:p>
    <w:p w14:paraId="7CCAE79E" w14:textId="77777777" w:rsidR="004F51DA" w:rsidRPr="00532A38" w:rsidRDefault="004F51DA" w:rsidP="0046026A">
      <w:pPr>
        <w:pStyle w:val="a3"/>
        <w:overflowPunct w:val="0"/>
        <w:spacing w:after="0" w:line="240" w:lineRule="auto"/>
        <w:jc w:val="both"/>
        <w:rPr>
          <w:rFonts w:ascii="Times New Roman" w:hAnsi="Times New Roman" w:cs="Times New Roman"/>
          <w:sz w:val="24"/>
          <w:szCs w:val="24"/>
        </w:rPr>
      </w:pPr>
    </w:p>
    <w:p w14:paraId="7CCAE79F" w14:textId="7AA1DCE9" w:rsidR="004F51DA" w:rsidRPr="00532A38" w:rsidRDefault="004F51DA" w:rsidP="00AF4887">
      <w:pPr>
        <w:pStyle w:val="a3"/>
        <w:numPr>
          <w:ilvl w:val="0"/>
          <w:numId w:val="6"/>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lastRenderedPageBreak/>
        <w:t xml:space="preserve">Should capital expenditures incurred by the </w:t>
      </w:r>
      <w:r w:rsidR="00030971"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with respect to those fixed assets of machinery or plant which were directly owned by the </w:t>
      </w:r>
      <w:r w:rsidR="000309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but which were, at the same time, actually operated and used as </w:t>
      </w:r>
      <w:r w:rsidR="00AF4887">
        <w:rPr>
          <w:rFonts w:ascii="Times New Roman" w:hAnsi="Times New Roman" w:cs="Times New Roman"/>
          <w:sz w:val="24"/>
          <w:szCs w:val="24"/>
        </w:rPr>
        <w:t>‘</w:t>
      </w:r>
      <w:r w:rsidRPr="00532A38">
        <w:rPr>
          <w:rFonts w:ascii="Times New Roman" w:hAnsi="Times New Roman" w:cs="Times New Roman"/>
          <w:sz w:val="24"/>
          <w:szCs w:val="24"/>
        </w:rPr>
        <w:t>tax-bonded imported equipment</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by the </w:t>
      </w:r>
      <w:r w:rsidR="00030971" w:rsidRPr="00532A38">
        <w:rPr>
          <w:rFonts w:ascii="Times New Roman" w:hAnsi="Times New Roman" w:cs="Times New Roman"/>
          <w:sz w:val="24"/>
          <w:szCs w:val="24"/>
        </w:rPr>
        <w:t xml:space="preserve">Appellant’s PRC </w:t>
      </w:r>
      <w:r w:rsidRPr="00532A38">
        <w:rPr>
          <w:rFonts w:ascii="Times New Roman" w:hAnsi="Times New Roman" w:cs="Times New Roman"/>
          <w:sz w:val="24"/>
          <w:szCs w:val="24"/>
        </w:rPr>
        <w:t xml:space="preserve">Subsidiary inside the Mainland on a daily basis for purposes of the </w:t>
      </w:r>
      <w:r w:rsidR="00027E73"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taxable business in Hong Kong be entitled (a) either to claim for one-time tax deduction under the stipulations of section 16G of IRO with respect to such cases if those fixed assets of machinery or plant did qualify as </w:t>
      </w:r>
      <w:r w:rsidR="00AF4887">
        <w:rPr>
          <w:rFonts w:ascii="Times New Roman" w:hAnsi="Times New Roman" w:cs="Times New Roman"/>
          <w:sz w:val="24"/>
          <w:szCs w:val="24"/>
        </w:rPr>
        <w:t>‘</w:t>
      </w:r>
      <w:r w:rsidRPr="00532A38">
        <w:rPr>
          <w:rFonts w:ascii="Times New Roman" w:hAnsi="Times New Roman" w:cs="Times New Roman"/>
          <w:sz w:val="24"/>
          <w:szCs w:val="24"/>
        </w:rPr>
        <w:t>prescribed fixed assets</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and the related capital expenditures did also qualify as </w:t>
      </w:r>
      <w:r w:rsidR="00AF4887">
        <w:rPr>
          <w:rFonts w:ascii="Times New Roman" w:hAnsi="Times New Roman" w:cs="Times New Roman"/>
          <w:sz w:val="24"/>
          <w:szCs w:val="24"/>
        </w:rPr>
        <w:t>‘</w:t>
      </w:r>
      <w:r w:rsidRPr="00532A38">
        <w:rPr>
          <w:rFonts w:ascii="Times New Roman" w:hAnsi="Times New Roman" w:cs="Times New Roman"/>
          <w:sz w:val="24"/>
          <w:szCs w:val="24"/>
        </w:rPr>
        <w:t>specified capital expenditures</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under the </w:t>
      </w:r>
      <w:r w:rsidR="0041025D" w:rsidRPr="00532A38">
        <w:rPr>
          <w:rFonts w:ascii="Times New Roman" w:hAnsi="Times New Roman" w:cs="Times New Roman"/>
          <w:sz w:val="24"/>
          <w:szCs w:val="24"/>
          <w:lang w:eastAsia="zh-HK"/>
        </w:rPr>
        <w:t>IRO</w:t>
      </w:r>
      <w:r w:rsidR="0041025D"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or (b) to claim for such tax deductions in the form of depreciation allowances as stipulated under Part 6 of </w:t>
      </w:r>
      <w:r w:rsidR="00652AD1">
        <w:rPr>
          <w:rFonts w:ascii="Times New Roman" w:hAnsi="Times New Roman" w:cs="Times New Roman"/>
          <w:sz w:val="24"/>
          <w:szCs w:val="24"/>
        </w:rPr>
        <w:t xml:space="preserve">the </w:t>
      </w:r>
      <w:r w:rsidRPr="00532A38">
        <w:rPr>
          <w:rFonts w:ascii="Times New Roman" w:hAnsi="Times New Roman" w:cs="Times New Roman"/>
          <w:sz w:val="24"/>
          <w:szCs w:val="24"/>
        </w:rPr>
        <w:t xml:space="preserve">IRO with respect to cases where such criteria of </w:t>
      </w:r>
      <w:r w:rsidR="00AF4887">
        <w:rPr>
          <w:rFonts w:ascii="Times New Roman" w:hAnsi="Times New Roman" w:cs="Times New Roman"/>
          <w:sz w:val="24"/>
          <w:szCs w:val="24"/>
        </w:rPr>
        <w:t>‘</w:t>
      </w:r>
      <w:r w:rsidRPr="00532A38">
        <w:rPr>
          <w:rFonts w:ascii="Times New Roman" w:hAnsi="Times New Roman" w:cs="Times New Roman"/>
          <w:sz w:val="24"/>
          <w:szCs w:val="24"/>
        </w:rPr>
        <w:t>prescribed fixed assets</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and </w:t>
      </w:r>
      <w:r w:rsidR="00AF4887">
        <w:rPr>
          <w:rFonts w:ascii="Times New Roman" w:hAnsi="Times New Roman" w:cs="Times New Roman"/>
          <w:sz w:val="24"/>
          <w:szCs w:val="24"/>
        </w:rPr>
        <w:t>‘</w:t>
      </w:r>
      <w:r w:rsidRPr="00532A38">
        <w:rPr>
          <w:rFonts w:ascii="Times New Roman" w:hAnsi="Times New Roman" w:cs="Times New Roman"/>
          <w:sz w:val="24"/>
          <w:szCs w:val="24"/>
        </w:rPr>
        <w:t>specified capital expenditures</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under the </w:t>
      </w:r>
      <w:r w:rsidR="0041025D" w:rsidRPr="00532A38">
        <w:rPr>
          <w:rFonts w:ascii="Times New Roman" w:hAnsi="Times New Roman" w:cs="Times New Roman"/>
          <w:sz w:val="24"/>
          <w:szCs w:val="24"/>
          <w:lang w:eastAsia="zh-HK"/>
        </w:rPr>
        <w:t>IRO</w:t>
      </w:r>
      <w:r w:rsidR="0041025D" w:rsidRPr="00532A38">
        <w:rPr>
          <w:rFonts w:ascii="Times New Roman" w:hAnsi="Times New Roman" w:cs="Times New Roman"/>
          <w:sz w:val="24"/>
          <w:szCs w:val="24"/>
        </w:rPr>
        <w:t xml:space="preserve"> </w:t>
      </w:r>
      <w:r w:rsidRPr="00532A38">
        <w:rPr>
          <w:rFonts w:ascii="Times New Roman" w:hAnsi="Times New Roman" w:cs="Times New Roman"/>
          <w:sz w:val="24"/>
          <w:szCs w:val="24"/>
        </w:rPr>
        <w:t>were not met at the same time? (</w:t>
      </w:r>
      <w:r w:rsidR="00AF4887">
        <w:rPr>
          <w:rFonts w:ascii="Times New Roman" w:hAnsi="Times New Roman" w:cs="Times New Roman"/>
          <w:sz w:val="24"/>
          <w:szCs w:val="24"/>
        </w:rPr>
        <w:t>‘</w:t>
      </w:r>
      <w:r w:rsidRPr="00AF4887">
        <w:rPr>
          <w:rFonts w:ascii="Times New Roman" w:hAnsi="Times New Roman" w:cs="Times New Roman"/>
          <w:sz w:val="24"/>
          <w:szCs w:val="24"/>
        </w:rPr>
        <w:t>Issue 2</w:t>
      </w:r>
      <w:r w:rsidR="00AF4887">
        <w:rPr>
          <w:rFonts w:ascii="Times New Roman" w:hAnsi="Times New Roman" w:cs="Times New Roman"/>
          <w:sz w:val="24"/>
          <w:szCs w:val="24"/>
        </w:rPr>
        <w:t>’</w:t>
      </w:r>
      <w:r w:rsidRPr="00532A38">
        <w:rPr>
          <w:rFonts w:ascii="Times New Roman" w:hAnsi="Times New Roman" w:cs="Times New Roman"/>
          <w:sz w:val="24"/>
          <w:szCs w:val="24"/>
        </w:rPr>
        <w:t xml:space="preserve">); </w:t>
      </w:r>
    </w:p>
    <w:p w14:paraId="7CCAE7A0" w14:textId="77777777" w:rsidR="004F51DA" w:rsidRPr="00532A38" w:rsidRDefault="004F51DA" w:rsidP="0046026A">
      <w:pPr>
        <w:pStyle w:val="a3"/>
        <w:overflowPunct w:val="0"/>
        <w:spacing w:after="0" w:line="240" w:lineRule="auto"/>
        <w:rPr>
          <w:rFonts w:ascii="Times New Roman" w:hAnsi="Times New Roman" w:cs="Times New Roman"/>
          <w:sz w:val="24"/>
          <w:szCs w:val="24"/>
        </w:rPr>
      </w:pPr>
    </w:p>
    <w:p w14:paraId="7CCAE7A1" w14:textId="01EFF0B4" w:rsidR="004F51DA" w:rsidRPr="00532A38" w:rsidRDefault="004F51DA" w:rsidP="00AF4887">
      <w:pPr>
        <w:pStyle w:val="a3"/>
        <w:numPr>
          <w:ilvl w:val="0"/>
          <w:numId w:val="6"/>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Whether the </w:t>
      </w:r>
      <w:r w:rsidR="00027E73"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is entitled to claim deduction of hire-purchase interest</w:t>
      </w:r>
      <w:r w:rsidR="00652AD1">
        <w:rPr>
          <w:rFonts w:ascii="Times New Roman" w:hAnsi="Times New Roman" w:cs="Times New Roman"/>
          <w:sz w:val="24"/>
          <w:szCs w:val="24"/>
        </w:rPr>
        <w:t xml:space="preserve"> expenses</w:t>
      </w:r>
      <w:r w:rsidRPr="00532A38">
        <w:rPr>
          <w:rFonts w:ascii="Times New Roman" w:hAnsi="Times New Roman" w:cs="Times New Roman"/>
          <w:sz w:val="24"/>
          <w:szCs w:val="24"/>
        </w:rPr>
        <w:t xml:space="preserve"> in respect of the machinery and equipment provided to the PRC Subsidiary for its use in the Mainland (</w:t>
      </w:r>
      <w:r w:rsidR="00AF4887">
        <w:rPr>
          <w:rFonts w:ascii="Times New Roman" w:hAnsi="Times New Roman" w:cs="Times New Roman"/>
          <w:sz w:val="24"/>
          <w:szCs w:val="24"/>
        </w:rPr>
        <w:t>‘</w:t>
      </w:r>
      <w:r w:rsidRPr="00AF4887">
        <w:rPr>
          <w:rFonts w:ascii="Times New Roman" w:hAnsi="Times New Roman" w:cs="Times New Roman"/>
          <w:sz w:val="24"/>
          <w:szCs w:val="24"/>
        </w:rPr>
        <w:t>Issue 3</w:t>
      </w:r>
      <w:r w:rsidR="00AF4887">
        <w:rPr>
          <w:rFonts w:ascii="Times New Roman" w:hAnsi="Times New Roman" w:cs="Times New Roman"/>
          <w:sz w:val="24"/>
          <w:szCs w:val="24"/>
        </w:rPr>
        <w:t>’</w:t>
      </w:r>
      <w:r w:rsidRPr="00532A38">
        <w:rPr>
          <w:rFonts w:ascii="Times New Roman" w:hAnsi="Times New Roman" w:cs="Times New Roman"/>
          <w:sz w:val="24"/>
          <w:szCs w:val="24"/>
        </w:rPr>
        <w:t>).</w:t>
      </w:r>
    </w:p>
    <w:p w14:paraId="7CCAE7A2" w14:textId="77777777" w:rsidR="004F51DA" w:rsidRPr="00532A38" w:rsidRDefault="004F51DA" w:rsidP="0046026A">
      <w:pPr>
        <w:pStyle w:val="a3"/>
        <w:overflowPunct w:val="0"/>
        <w:spacing w:after="0" w:line="240" w:lineRule="auto"/>
        <w:ind w:left="360"/>
        <w:jc w:val="both"/>
        <w:rPr>
          <w:rFonts w:ascii="Times New Roman" w:hAnsi="Times New Roman" w:cs="Times New Roman"/>
          <w:sz w:val="24"/>
          <w:szCs w:val="24"/>
        </w:rPr>
      </w:pPr>
    </w:p>
    <w:p w14:paraId="7CCAE7A3" w14:textId="513DB17E" w:rsidR="004F51DA" w:rsidRPr="00AF4887" w:rsidRDefault="004F51DA" w:rsidP="0046026A">
      <w:pPr>
        <w:overflowPunct w:val="0"/>
        <w:spacing w:after="0" w:line="240" w:lineRule="auto"/>
        <w:rPr>
          <w:rFonts w:ascii="Times New Roman" w:hAnsi="Times New Roman" w:cs="Times New Roman"/>
          <w:b/>
          <w:i/>
          <w:sz w:val="24"/>
          <w:szCs w:val="24"/>
        </w:rPr>
      </w:pPr>
      <w:r w:rsidRPr="00AF4887">
        <w:rPr>
          <w:rFonts w:ascii="Times New Roman" w:hAnsi="Times New Roman" w:cs="Times New Roman"/>
          <w:b/>
          <w:i/>
          <w:sz w:val="24"/>
          <w:szCs w:val="24"/>
        </w:rPr>
        <w:t>Issue 1</w:t>
      </w:r>
    </w:p>
    <w:p w14:paraId="46CF0F81" w14:textId="77777777" w:rsidR="00AF4887" w:rsidRPr="00532A38" w:rsidRDefault="00AF4887" w:rsidP="0046026A">
      <w:pPr>
        <w:overflowPunct w:val="0"/>
        <w:spacing w:after="0" w:line="240" w:lineRule="auto"/>
        <w:rPr>
          <w:rFonts w:ascii="Times New Roman" w:hAnsi="Times New Roman" w:cs="Times New Roman"/>
          <w:b/>
          <w:sz w:val="24"/>
          <w:szCs w:val="24"/>
          <w:u w:val="single"/>
        </w:rPr>
      </w:pPr>
    </w:p>
    <w:p w14:paraId="7CCAE7A4" w14:textId="548D73C2" w:rsidR="00E27070" w:rsidRPr="00AF4887" w:rsidRDefault="00E27070" w:rsidP="0046026A">
      <w:pPr>
        <w:overflowPunct w:val="0"/>
        <w:spacing w:after="0" w:line="240" w:lineRule="auto"/>
        <w:rPr>
          <w:rFonts w:ascii="Times New Roman" w:hAnsi="Times New Roman" w:cs="Times New Roman"/>
          <w:sz w:val="24"/>
          <w:szCs w:val="24"/>
          <w:u w:val="single"/>
        </w:rPr>
      </w:pPr>
      <w:r w:rsidRPr="00AF4887">
        <w:rPr>
          <w:rFonts w:ascii="Times New Roman" w:hAnsi="Times New Roman" w:cs="Times New Roman"/>
          <w:sz w:val="24"/>
          <w:szCs w:val="24"/>
          <w:u w:val="single"/>
        </w:rPr>
        <w:t>The Appellant’s Case</w:t>
      </w:r>
    </w:p>
    <w:p w14:paraId="519EB975" w14:textId="77777777" w:rsidR="00AF4887" w:rsidRPr="00532A38" w:rsidRDefault="00AF4887" w:rsidP="0046026A">
      <w:pPr>
        <w:overflowPunct w:val="0"/>
        <w:spacing w:after="0" w:line="240" w:lineRule="auto"/>
        <w:rPr>
          <w:rFonts w:ascii="Times New Roman" w:hAnsi="Times New Roman" w:cs="Times New Roman"/>
          <w:i/>
          <w:sz w:val="24"/>
          <w:szCs w:val="24"/>
          <w:u w:val="single"/>
        </w:rPr>
      </w:pPr>
    </w:p>
    <w:p w14:paraId="7CCAE7A5" w14:textId="77777777" w:rsidR="007F326D" w:rsidRPr="00532A38" w:rsidRDefault="007F326D" w:rsidP="00AF4887">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It is important to understand the Appellant’s submissions. </w:t>
      </w:r>
    </w:p>
    <w:p w14:paraId="7CCAE7A6" w14:textId="77777777" w:rsidR="007F326D" w:rsidRPr="00532A38" w:rsidRDefault="007F326D" w:rsidP="0046026A">
      <w:pPr>
        <w:pStyle w:val="a3"/>
        <w:overflowPunct w:val="0"/>
        <w:spacing w:after="0" w:line="240" w:lineRule="auto"/>
        <w:ind w:left="360"/>
        <w:jc w:val="both"/>
        <w:rPr>
          <w:rFonts w:ascii="Times New Roman" w:hAnsi="Times New Roman" w:cs="Times New Roman"/>
          <w:sz w:val="24"/>
          <w:szCs w:val="24"/>
        </w:rPr>
      </w:pPr>
    </w:p>
    <w:p w14:paraId="7CCAE7A7" w14:textId="404F6BB0" w:rsidR="007F326D" w:rsidRPr="00532A38" w:rsidRDefault="007F326D" w:rsidP="00AF4887">
      <w:pPr>
        <w:pStyle w:val="a3"/>
        <w:numPr>
          <w:ilvl w:val="0"/>
          <w:numId w:val="8"/>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Appellant submits that all along its profits </w:t>
      </w:r>
      <w:r w:rsidR="00E915D5" w:rsidRPr="00532A38">
        <w:rPr>
          <w:rFonts w:ascii="Times New Roman" w:hAnsi="Times New Roman" w:cs="Times New Roman"/>
          <w:sz w:val="24"/>
          <w:szCs w:val="24"/>
        </w:rPr>
        <w:t xml:space="preserve">during the Relevant Period </w:t>
      </w:r>
      <w:r w:rsidRPr="00532A38">
        <w:rPr>
          <w:rFonts w:ascii="Times New Roman" w:hAnsi="Times New Roman" w:cs="Times New Roman"/>
          <w:sz w:val="24"/>
          <w:szCs w:val="24"/>
        </w:rPr>
        <w:t xml:space="preserve">should be apportioned on a 50/50 basis because it </w:t>
      </w:r>
      <w:r w:rsidR="00E915D5" w:rsidRPr="00532A38">
        <w:rPr>
          <w:rFonts w:ascii="Times New Roman" w:hAnsi="Times New Roman" w:cs="Times New Roman"/>
          <w:sz w:val="24"/>
          <w:szCs w:val="24"/>
        </w:rPr>
        <w:t>had</w:t>
      </w:r>
      <w:r w:rsidRPr="00532A38">
        <w:rPr>
          <w:rFonts w:ascii="Times New Roman" w:hAnsi="Times New Roman" w:cs="Times New Roman"/>
          <w:sz w:val="24"/>
          <w:szCs w:val="24"/>
        </w:rPr>
        <w:t xml:space="preserve"> </w:t>
      </w:r>
      <w:r w:rsidRPr="00532A38">
        <w:rPr>
          <w:rFonts w:ascii="Times New Roman" w:hAnsi="Times New Roman" w:cs="Times New Roman"/>
          <w:sz w:val="24"/>
          <w:szCs w:val="24"/>
          <w:u w:val="single"/>
        </w:rPr>
        <w:t>not</w:t>
      </w:r>
      <w:r w:rsidRPr="00532A38">
        <w:rPr>
          <w:rFonts w:ascii="Times New Roman" w:hAnsi="Times New Roman" w:cs="Times New Roman"/>
          <w:sz w:val="24"/>
          <w:szCs w:val="24"/>
        </w:rPr>
        <w:t xml:space="preserve"> engaged in the business of trading but in manufacturing of card products together with the PRC Subsidiary through import processing</w:t>
      </w:r>
      <w:r w:rsidR="00E915D5" w:rsidRPr="00532A38">
        <w:rPr>
          <w:rFonts w:ascii="Times New Roman" w:hAnsi="Times New Roman" w:cs="Times New Roman"/>
          <w:sz w:val="24"/>
          <w:szCs w:val="24"/>
        </w:rPr>
        <w:t>.</w:t>
      </w:r>
      <w:r w:rsidRPr="00532A38">
        <w:rPr>
          <w:rFonts w:ascii="Times New Roman" w:hAnsi="Times New Roman" w:cs="Times New Roman"/>
          <w:sz w:val="24"/>
          <w:szCs w:val="24"/>
        </w:rPr>
        <w:t xml:space="preserve"> </w:t>
      </w:r>
      <w:r w:rsidR="00E915D5" w:rsidRPr="00532A38">
        <w:rPr>
          <w:rFonts w:ascii="Times New Roman" w:hAnsi="Times New Roman" w:cs="Times New Roman"/>
          <w:sz w:val="24"/>
          <w:szCs w:val="24"/>
        </w:rPr>
        <w:t>I</w:t>
      </w:r>
      <w:r w:rsidRPr="00532A38">
        <w:rPr>
          <w:rFonts w:ascii="Times New Roman" w:hAnsi="Times New Roman" w:cs="Times New Roman"/>
          <w:sz w:val="24"/>
          <w:szCs w:val="24"/>
        </w:rPr>
        <w:t>mport processing’s requirement of sale and purchase transactions between the Taxpayer and the PRC Subsidiary were merely formalities on paper and not reflective of the actual practice between the two companies; and</w:t>
      </w:r>
    </w:p>
    <w:p w14:paraId="7CCAE7A8" w14:textId="77777777" w:rsidR="007F326D" w:rsidRPr="00532A38" w:rsidRDefault="007F326D" w:rsidP="00AF4887">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A9" w14:textId="76EEC530" w:rsidR="007F326D" w:rsidRPr="00532A38" w:rsidRDefault="007F326D" w:rsidP="00AF4887">
      <w:pPr>
        <w:pStyle w:val="a3"/>
        <w:numPr>
          <w:ilvl w:val="0"/>
          <w:numId w:val="8"/>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w:t>
      </w:r>
      <w:r w:rsidR="00C44A12" w:rsidRPr="00532A38">
        <w:rPr>
          <w:rFonts w:ascii="Times New Roman" w:hAnsi="Times New Roman" w:cs="Times New Roman"/>
          <w:sz w:val="24"/>
          <w:szCs w:val="24"/>
        </w:rPr>
        <w:t xml:space="preserve">Appellant further </w:t>
      </w:r>
      <w:r w:rsidRPr="00532A38">
        <w:rPr>
          <w:rFonts w:ascii="Times New Roman" w:hAnsi="Times New Roman" w:cs="Times New Roman"/>
          <w:sz w:val="24"/>
          <w:szCs w:val="24"/>
        </w:rPr>
        <w:t xml:space="preserve">claims that there were </w:t>
      </w:r>
      <w:r w:rsidRPr="00532A38">
        <w:rPr>
          <w:rFonts w:ascii="Times New Roman" w:hAnsi="Times New Roman" w:cs="Times New Roman"/>
          <w:sz w:val="24"/>
          <w:szCs w:val="24"/>
          <w:u w:val="single"/>
        </w:rPr>
        <w:t>no</w:t>
      </w:r>
      <w:r w:rsidRPr="00532A38">
        <w:rPr>
          <w:rFonts w:ascii="Times New Roman" w:hAnsi="Times New Roman" w:cs="Times New Roman"/>
          <w:sz w:val="24"/>
          <w:szCs w:val="24"/>
        </w:rPr>
        <w:t xml:space="preserve"> genuine sale and purchase transactions between the </w:t>
      </w:r>
      <w:r w:rsidR="00C44A12"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w:t>
      </w:r>
      <w:r w:rsidR="00E915D5" w:rsidRPr="00532A38">
        <w:rPr>
          <w:rFonts w:ascii="Times New Roman" w:hAnsi="Times New Roman" w:cs="Times New Roman"/>
          <w:sz w:val="24"/>
          <w:szCs w:val="24"/>
        </w:rPr>
        <w:t>as under the laws of the Mainland,</w:t>
      </w:r>
      <w:r w:rsidRPr="00532A38">
        <w:rPr>
          <w:rFonts w:ascii="Times New Roman" w:hAnsi="Times New Roman" w:cs="Times New Roman"/>
          <w:sz w:val="24"/>
          <w:szCs w:val="24"/>
        </w:rPr>
        <w:t xml:space="preserve"> the sales of tax-bonded goods </w:t>
      </w:r>
      <w:r w:rsidR="00652AD1" w:rsidRPr="00532A38">
        <w:rPr>
          <w:rFonts w:ascii="Times New Roman" w:hAnsi="Times New Roman" w:cs="Times New Roman"/>
          <w:sz w:val="24"/>
          <w:szCs w:val="24"/>
        </w:rPr>
        <w:t>w</w:t>
      </w:r>
      <w:r w:rsidR="00652AD1">
        <w:rPr>
          <w:rFonts w:ascii="Times New Roman" w:hAnsi="Times New Roman" w:cs="Times New Roman"/>
          <w:sz w:val="24"/>
          <w:szCs w:val="24"/>
        </w:rPr>
        <w:t>ere</w:t>
      </w:r>
      <w:r w:rsidR="00652AD1" w:rsidRPr="00532A38">
        <w:rPr>
          <w:rFonts w:ascii="Times New Roman" w:hAnsi="Times New Roman" w:cs="Times New Roman"/>
          <w:sz w:val="24"/>
          <w:szCs w:val="24"/>
        </w:rPr>
        <w:t xml:space="preserve"> </w:t>
      </w:r>
      <w:r w:rsidR="00E915D5" w:rsidRPr="00532A38">
        <w:rPr>
          <w:rFonts w:ascii="Times New Roman" w:hAnsi="Times New Roman" w:cs="Times New Roman"/>
          <w:sz w:val="24"/>
          <w:szCs w:val="24"/>
        </w:rPr>
        <w:t>prohibited</w:t>
      </w:r>
      <w:r w:rsidRPr="00532A38">
        <w:rPr>
          <w:rFonts w:ascii="Times New Roman" w:hAnsi="Times New Roman" w:cs="Times New Roman"/>
          <w:sz w:val="24"/>
          <w:szCs w:val="24"/>
        </w:rPr>
        <w:t xml:space="preserve">, and in so doing the </w:t>
      </w:r>
      <w:r w:rsidR="00C44A12"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would be found guilty of </w:t>
      </w:r>
      <w:r w:rsidR="001773B9">
        <w:rPr>
          <w:rFonts w:ascii="Times New Roman" w:hAnsi="Times New Roman" w:cs="Times New Roman"/>
          <w:sz w:val="24"/>
          <w:szCs w:val="24"/>
        </w:rPr>
        <w:t>‘</w:t>
      </w:r>
      <w:r w:rsidRPr="00532A38">
        <w:rPr>
          <w:rFonts w:ascii="Times New Roman" w:hAnsi="Times New Roman" w:cs="Times New Roman"/>
          <w:sz w:val="24"/>
          <w:szCs w:val="24"/>
        </w:rPr>
        <w:t>smuggling</w:t>
      </w:r>
      <w:r w:rsidR="001773B9">
        <w:rPr>
          <w:rFonts w:ascii="Times New Roman" w:hAnsi="Times New Roman" w:cs="Times New Roman"/>
          <w:sz w:val="24"/>
          <w:szCs w:val="24"/>
        </w:rPr>
        <w:t>’</w:t>
      </w:r>
      <w:r w:rsidRPr="00532A38">
        <w:rPr>
          <w:rFonts w:ascii="Times New Roman" w:hAnsi="Times New Roman" w:cs="Times New Roman"/>
          <w:sz w:val="24"/>
          <w:szCs w:val="24"/>
        </w:rPr>
        <w:t xml:space="preserve"> by the Mainland authorities.</w:t>
      </w:r>
    </w:p>
    <w:p w14:paraId="7CCAE7AA" w14:textId="77777777" w:rsidR="007F326D" w:rsidRPr="001773B9" w:rsidRDefault="007F326D" w:rsidP="0046026A">
      <w:pPr>
        <w:pStyle w:val="a3"/>
        <w:overflowPunct w:val="0"/>
        <w:spacing w:after="0" w:line="240" w:lineRule="auto"/>
        <w:ind w:left="360"/>
        <w:jc w:val="both"/>
        <w:rPr>
          <w:rFonts w:ascii="Times New Roman" w:hAnsi="Times New Roman" w:cs="Times New Roman"/>
          <w:sz w:val="24"/>
          <w:szCs w:val="24"/>
        </w:rPr>
      </w:pPr>
    </w:p>
    <w:p w14:paraId="7CCAE7AB" w14:textId="77777777" w:rsidR="003C2BE5" w:rsidRPr="00AF4887" w:rsidRDefault="003C2BE5" w:rsidP="0046026A">
      <w:pPr>
        <w:overflowPunct w:val="0"/>
        <w:spacing w:after="0" w:line="240" w:lineRule="auto"/>
        <w:jc w:val="both"/>
        <w:rPr>
          <w:rFonts w:ascii="Times New Roman" w:hAnsi="Times New Roman" w:cs="Times New Roman"/>
          <w:sz w:val="24"/>
          <w:szCs w:val="24"/>
          <w:u w:val="single"/>
        </w:rPr>
      </w:pPr>
      <w:r w:rsidRPr="00AF4887">
        <w:rPr>
          <w:rFonts w:ascii="Times New Roman" w:hAnsi="Times New Roman" w:cs="Times New Roman"/>
          <w:sz w:val="24"/>
          <w:szCs w:val="24"/>
          <w:u w:val="single"/>
        </w:rPr>
        <w:t>Preliminary Issue</w:t>
      </w:r>
    </w:p>
    <w:p w14:paraId="7CCAE7AC" w14:textId="77777777" w:rsidR="003C2BE5" w:rsidRPr="00532A38" w:rsidRDefault="003C2BE5" w:rsidP="0046026A">
      <w:pPr>
        <w:pStyle w:val="a3"/>
        <w:overflowPunct w:val="0"/>
        <w:spacing w:after="0" w:line="240" w:lineRule="auto"/>
        <w:ind w:left="360"/>
        <w:jc w:val="both"/>
        <w:rPr>
          <w:rFonts w:ascii="Times New Roman" w:hAnsi="Times New Roman" w:cs="Times New Roman"/>
          <w:sz w:val="24"/>
          <w:szCs w:val="24"/>
        </w:rPr>
      </w:pPr>
    </w:p>
    <w:p w14:paraId="7CCAE7AD" w14:textId="38C8F7D3" w:rsidR="008458F8" w:rsidRPr="00532A38" w:rsidRDefault="00C44A12"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It should be immediately pointed out that the above arguments do not sit well with Mr </w:t>
      </w:r>
      <w:r w:rsidR="001773B9">
        <w:rPr>
          <w:rFonts w:ascii="Times New Roman" w:hAnsi="Times New Roman" w:cs="Times New Roman"/>
          <w:sz w:val="24"/>
          <w:szCs w:val="24"/>
        </w:rPr>
        <w:t>B</w:t>
      </w:r>
      <w:r w:rsidRPr="00532A38">
        <w:rPr>
          <w:rFonts w:ascii="Times New Roman" w:hAnsi="Times New Roman" w:cs="Times New Roman"/>
          <w:sz w:val="24"/>
          <w:szCs w:val="24"/>
        </w:rPr>
        <w:t xml:space="preserve"> and Ms </w:t>
      </w:r>
      <w:r w:rsidR="001773B9">
        <w:rPr>
          <w:rFonts w:ascii="Times New Roman" w:hAnsi="Times New Roman" w:cs="Times New Roman"/>
          <w:sz w:val="24"/>
          <w:szCs w:val="24"/>
        </w:rPr>
        <w:t>C</w:t>
      </w:r>
      <w:r w:rsidRPr="00532A38">
        <w:rPr>
          <w:rFonts w:ascii="Times New Roman" w:hAnsi="Times New Roman" w:cs="Times New Roman"/>
          <w:sz w:val="24"/>
          <w:szCs w:val="24"/>
        </w:rPr>
        <w:t>’s confirmation with the</w:t>
      </w:r>
      <w:r w:rsidR="00DE3562" w:rsidRPr="00532A38">
        <w:rPr>
          <w:rFonts w:ascii="Times New Roman" w:hAnsi="Times New Roman" w:cs="Times New Roman"/>
          <w:sz w:val="24"/>
          <w:szCs w:val="24"/>
          <w:lang w:eastAsia="zh-HK"/>
        </w:rPr>
        <w:t xml:space="preserve"> Inland Revenue Department</w:t>
      </w:r>
      <w:r w:rsidRPr="00532A38">
        <w:rPr>
          <w:rFonts w:ascii="Times New Roman" w:hAnsi="Times New Roman" w:cs="Times New Roman"/>
          <w:sz w:val="24"/>
          <w:szCs w:val="24"/>
        </w:rPr>
        <w:t>, the financial statements of the Appellant and the contracts that were provided to the immigration authority of Mainland China</w:t>
      </w:r>
      <w:r w:rsidR="00E27070" w:rsidRPr="00532A38">
        <w:rPr>
          <w:rFonts w:ascii="Times New Roman" w:hAnsi="Times New Roman" w:cs="Times New Roman"/>
          <w:sz w:val="24"/>
          <w:szCs w:val="24"/>
        </w:rPr>
        <w:t xml:space="preserve">. This Board has warned the Appellant that its </w:t>
      </w:r>
      <w:r w:rsidR="00E27070" w:rsidRPr="00532A38">
        <w:rPr>
          <w:rFonts w:ascii="Times New Roman" w:hAnsi="Times New Roman" w:cs="Times New Roman"/>
          <w:sz w:val="24"/>
          <w:szCs w:val="24"/>
        </w:rPr>
        <w:lastRenderedPageBreak/>
        <w:t>submissions on these factual matters could well amount to a case that it has deliberately deceived not only the IRD, but also the r</w:t>
      </w:r>
      <w:r w:rsidR="008458F8" w:rsidRPr="00532A38">
        <w:rPr>
          <w:rFonts w:ascii="Times New Roman" w:hAnsi="Times New Roman" w:cs="Times New Roman"/>
          <w:sz w:val="24"/>
          <w:szCs w:val="24"/>
        </w:rPr>
        <w:t xml:space="preserve">elevant authorities in the PRC with serious criminal implications. </w:t>
      </w:r>
    </w:p>
    <w:p w14:paraId="7CCAE7AE" w14:textId="77777777" w:rsidR="008458F8" w:rsidRPr="00532A38" w:rsidRDefault="008458F8" w:rsidP="0046026A">
      <w:pPr>
        <w:pStyle w:val="a3"/>
        <w:overflowPunct w:val="0"/>
        <w:spacing w:after="0" w:line="240" w:lineRule="auto"/>
        <w:ind w:left="360"/>
        <w:jc w:val="both"/>
        <w:rPr>
          <w:rFonts w:ascii="Times New Roman" w:hAnsi="Times New Roman" w:cs="Times New Roman"/>
          <w:sz w:val="24"/>
          <w:szCs w:val="24"/>
        </w:rPr>
      </w:pPr>
    </w:p>
    <w:p w14:paraId="7CCAE7AF" w14:textId="10D8343E" w:rsidR="0035159B" w:rsidRPr="00532A38" w:rsidRDefault="008458F8"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The necessary implication of the above submissions is that the Appellant has fabricated documents, whether sales and purchases contracts and/or invoices, receipts, in order to deceive the relevant authorit</w:t>
      </w:r>
      <w:r w:rsidR="00652AD1">
        <w:rPr>
          <w:rFonts w:ascii="Times New Roman" w:hAnsi="Times New Roman" w:cs="Times New Roman"/>
          <w:sz w:val="24"/>
          <w:szCs w:val="24"/>
        </w:rPr>
        <w:t>ies</w:t>
      </w:r>
      <w:r w:rsidRPr="00532A38">
        <w:rPr>
          <w:rFonts w:ascii="Times New Roman" w:hAnsi="Times New Roman" w:cs="Times New Roman"/>
          <w:sz w:val="24"/>
          <w:szCs w:val="24"/>
        </w:rPr>
        <w:t xml:space="preserve"> to obtain tax benefits in the PRC. </w:t>
      </w:r>
      <w:r w:rsidR="0035159B" w:rsidRPr="00532A38">
        <w:rPr>
          <w:rFonts w:ascii="Times New Roman" w:hAnsi="Times New Roman" w:cs="Times New Roman"/>
          <w:sz w:val="24"/>
          <w:szCs w:val="24"/>
        </w:rPr>
        <w:t xml:space="preserve">This is a very serious matter. </w:t>
      </w:r>
    </w:p>
    <w:p w14:paraId="7CCAE7B0" w14:textId="77777777" w:rsidR="00386172" w:rsidRPr="00532A38" w:rsidRDefault="00386172" w:rsidP="001773B9">
      <w:pPr>
        <w:pStyle w:val="a3"/>
        <w:overflowPunct w:val="0"/>
        <w:spacing w:after="0" w:line="240" w:lineRule="auto"/>
        <w:ind w:left="0"/>
        <w:jc w:val="both"/>
        <w:rPr>
          <w:rFonts w:ascii="Times New Roman" w:hAnsi="Times New Roman" w:cs="Times New Roman"/>
          <w:sz w:val="24"/>
          <w:szCs w:val="24"/>
        </w:rPr>
      </w:pPr>
    </w:p>
    <w:p w14:paraId="7CCAE7B1" w14:textId="77777777" w:rsidR="003C2BE5" w:rsidRPr="00532A38" w:rsidRDefault="003C2BE5"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Putting aside the issue of the alleged falsity of the accounts of the Appellant, this Board agrees with the Inland Revenue Department’s submission that since the Appellant and the PRC Subsidiary had chosen to settle its accounts and enter into the sale and purchase contracts with each other in a deliberate manner to obtain tax benefits in the Mainland, it offends any sense of justice that for purpose of the Appellant’s tax liabilities under Hong Kong laws, the Inland Revenue Department should be prevented from assessing the Appellant’s profit tax based on the same sets of accounts and/or sales and purchase contracts.  </w:t>
      </w:r>
    </w:p>
    <w:p w14:paraId="7CCAE7B2" w14:textId="77777777" w:rsidR="00386172" w:rsidRPr="00532A38" w:rsidRDefault="00386172" w:rsidP="001773B9">
      <w:pPr>
        <w:pStyle w:val="a3"/>
        <w:overflowPunct w:val="0"/>
        <w:spacing w:after="0" w:line="240" w:lineRule="auto"/>
        <w:ind w:left="0"/>
        <w:rPr>
          <w:rFonts w:ascii="Times New Roman" w:hAnsi="Times New Roman" w:cs="Times New Roman"/>
          <w:sz w:val="24"/>
          <w:szCs w:val="24"/>
        </w:rPr>
      </w:pPr>
    </w:p>
    <w:p w14:paraId="7CCAE7B3" w14:textId="5225900D" w:rsidR="003C2BE5" w:rsidRPr="00532A38" w:rsidRDefault="00386172"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This Board agrees </w:t>
      </w:r>
      <w:r w:rsidR="002835D4" w:rsidRPr="00532A38">
        <w:rPr>
          <w:rFonts w:ascii="Times New Roman" w:hAnsi="Times New Roman" w:cs="Times New Roman"/>
          <w:sz w:val="24"/>
          <w:szCs w:val="24"/>
        </w:rPr>
        <w:t xml:space="preserve">that </w:t>
      </w:r>
      <w:r w:rsidRPr="00532A38">
        <w:rPr>
          <w:rFonts w:ascii="Times New Roman" w:hAnsi="Times New Roman" w:cs="Times New Roman"/>
          <w:sz w:val="24"/>
          <w:szCs w:val="24"/>
        </w:rPr>
        <w:t xml:space="preserve">the Inland Revenue Department is entitled to rely on the practice of taking </w:t>
      </w:r>
      <w:r w:rsidR="003C2BE5" w:rsidRPr="00532A38">
        <w:rPr>
          <w:rFonts w:ascii="Times New Roman" w:hAnsi="Times New Roman" w:cs="Times New Roman"/>
          <w:sz w:val="24"/>
          <w:szCs w:val="24"/>
        </w:rPr>
        <w:t>the form of transactions over their substance in assessment of tax</w:t>
      </w:r>
      <w:r w:rsidR="002533F1" w:rsidRPr="00532A38">
        <w:rPr>
          <w:rFonts w:ascii="Times New Roman" w:hAnsi="Times New Roman" w:cs="Times New Roman"/>
          <w:sz w:val="24"/>
          <w:szCs w:val="24"/>
          <w:lang w:eastAsia="zh-HK"/>
        </w:rPr>
        <w:t>,</w:t>
      </w:r>
      <w:r w:rsidR="003C2BE5" w:rsidRPr="00532A38">
        <w:rPr>
          <w:rFonts w:ascii="Times New Roman" w:hAnsi="Times New Roman" w:cs="Times New Roman"/>
          <w:sz w:val="24"/>
          <w:szCs w:val="24"/>
        </w:rPr>
        <w:t xml:space="preserve"> a practice that is supported by a series of UK and Hong Kong cases:</w:t>
      </w:r>
    </w:p>
    <w:p w14:paraId="7CCAE7B4" w14:textId="77777777" w:rsidR="003C2BE5" w:rsidRPr="00532A38" w:rsidRDefault="003C2BE5" w:rsidP="0046026A">
      <w:pPr>
        <w:pStyle w:val="a3"/>
        <w:overflowPunct w:val="0"/>
        <w:spacing w:after="0" w:line="240" w:lineRule="auto"/>
        <w:ind w:left="0"/>
        <w:rPr>
          <w:rFonts w:ascii="Times New Roman" w:hAnsi="Times New Roman" w:cs="Times New Roman"/>
          <w:sz w:val="24"/>
          <w:szCs w:val="24"/>
        </w:rPr>
      </w:pPr>
    </w:p>
    <w:p w14:paraId="7CCAE7B5" w14:textId="7FF3572A" w:rsidR="003C2BE5" w:rsidRPr="00532A38" w:rsidRDefault="003C2BE5" w:rsidP="001773B9">
      <w:pPr>
        <w:pStyle w:val="a3"/>
        <w:numPr>
          <w:ilvl w:val="0"/>
          <w:numId w:val="25"/>
        </w:numPr>
        <w:shd w:val="clear" w:color="auto" w:fill="FFFFFF"/>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 case of </w:t>
      </w:r>
      <w:r w:rsidRPr="001773B9">
        <w:rPr>
          <w:rFonts w:ascii="Times New Roman" w:hAnsi="Times New Roman" w:cs="Times New Roman"/>
          <w:sz w:val="24"/>
          <w:szCs w:val="24"/>
          <w:u w:val="single"/>
        </w:rPr>
        <w:t>IRC v</w:t>
      </w:r>
      <w:r w:rsidR="00665C81" w:rsidRPr="001773B9">
        <w:rPr>
          <w:rFonts w:ascii="Times New Roman" w:hAnsi="Times New Roman" w:cs="Times New Roman"/>
          <w:sz w:val="24"/>
          <w:szCs w:val="24"/>
          <w:u w:val="single"/>
        </w:rPr>
        <w:t xml:space="preserve"> Duke of Westminster</w:t>
      </w:r>
      <w:r w:rsidR="00665C81" w:rsidRPr="00532A38">
        <w:rPr>
          <w:rFonts w:ascii="Times New Roman" w:hAnsi="Times New Roman" w:cs="Times New Roman"/>
          <w:i/>
          <w:sz w:val="24"/>
          <w:szCs w:val="24"/>
        </w:rPr>
        <w:t xml:space="preserve"> </w:t>
      </w:r>
      <w:r w:rsidR="00665C81" w:rsidRPr="00532A38">
        <w:rPr>
          <w:rFonts w:ascii="Times New Roman" w:hAnsi="Times New Roman" w:cs="Times New Roman"/>
          <w:sz w:val="24"/>
          <w:szCs w:val="24"/>
        </w:rPr>
        <w:t>[1936] AC 1</w:t>
      </w:r>
      <w:r w:rsidRPr="00532A38">
        <w:rPr>
          <w:rFonts w:ascii="Times New Roman" w:hAnsi="Times New Roman" w:cs="Times New Roman"/>
          <w:sz w:val="24"/>
          <w:szCs w:val="24"/>
        </w:rPr>
        <w:t xml:space="preserve"> is one of the earliest House of Lords’ decisions on charging tax on the form not substance of transactions.  In that case, the Duke of Westminster had made an arrangement to pay his gardener an annuity instead of wages, upon advice by tax experts that the Duke under such arrangement would get tax exemption, because wages of household services were not deductible expenses in the calculation of taxable income.  The IRC argued before the House of Lords that the form of the transaction was not acceptable and the Duke should be taxed on the substance of the transaction instead,</w:t>
      </w:r>
      <w:r w:rsidR="001773B9">
        <w:rPr>
          <w:rFonts w:ascii="Times New Roman" w:hAnsi="Times New Roman" w:cs="Times New Roman"/>
          <w:sz w:val="24"/>
          <w:szCs w:val="24"/>
        </w:rPr>
        <w:t xml:space="preserve"> but this claim was rejected.   </w:t>
      </w:r>
      <w:r w:rsidRPr="00532A38">
        <w:rPr>
          <w:rFonts w:ascii="Times New Roman" w:hAnsi="Times New Roman" w:cs="Times New Roman"/>
          <w:sz w:val="24"/>
          <w:szCs w:val="24"/>
        </w:rPr>
        <w:t>Lord Tomlin</w:t>
      </w:r>
      <w:r w:rsidR="00665C81" w:rsidRPr="00532A38">
        <w:rPr>
          <w:rFonts w:ascii="Times New Roman" w:hAnsi="Times New Roman" w:cs="Times New Roman"/>
          <w:sz w:val="24"/>
          <w:szCs w:val="24"/>
        </w:rPr>
        <w:t xml:space="preserve"> at pages 19-20 said: </w:t>
      </w:r>
    </w:p>
    <w:p w14:paraId="7CCAE7B6" w14:textId="77777777" w:rsidR="003C2BE5" w:rsidRPr="00532A38" w:rsidRDefault="003C2BE5" w:rsidP="0046026A">
      <w:pPr>
        <w:shd w:val="clear" w:color="auto" w:fill="FFFFFF"/>
        <w:overflowPunct w:val="0"/>
        <w:spacing w:after="0" w:line="240" w:lineRule="auto"/>
        <w:jc w:val="both"/>
        <w:rPr>
          <w:rFonts w:ascii="Times New Roman" w:eastAsia="Times New Roman" w:hAnsi="Times New Roman" w:cs="Times New Roman"/>
          <w:sz w:val="24"/>
          <w:szCs w:val="24"/>
        </w:rPr>
      </w:pPr>
    </w:p>
    <w:p w14:paraId="7CCAE7B7" w14:textId="7AF6CFE7" w:rsidR="003C2BE5" w:rsidRDefault="001773B9" w:rsidP="001773B9">
      <w:pPr>
        <w:shd w:val="clear" w:color="auto" w:fill="FFFFFF"/>
        <w:overflowPunct w:val="0"/>
        <w:spacing w:after="0" w:line="240" w:lineRule="auto"/>
        <w:ind w:leftChars="878" w:left="193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3C2BE5" w:rsidRPr="00532A38">
        <w:rPr>
          <w:rFonts w:ascii="Times New Roman" w:eastAsia="Times New Roman" w:hAnsi="Times New Roman" w:cs="Times New Roman"/>
          <w:i/>
          <w:sz w:val="24"/>
          <w:szCs w:val="24"/>
        </w:rPr>
        <w:t>… Every man is entitled if he can to order his affairs so as that the tax attaching under the appropriate Acts is less than it otherwise would be. If he succeeds in ordering them so as to secure this result, then, however unappreciative the Commissioners of Inland Revenue or his fellow taxpayers may be of his ingenuity, he cannot be compelled to pay an increased tax. This so-called doctrine of ‘the substance’ seems to me to be nothing more than an attempt to make a man pay notwithstanding that he has so ordered his affairs that the amount of tax sought fro</w:t>
      </w:r>
      <w:r w:rsidR="00665C81" w:rsidRPr="00532A38">
        <w:rPr>
          <w:rFonts w:ascii="Times New Roman" w:eastAsia="Times New Roman" w:hAnsi="Times New Roman" w:cs="Times New Roman"/>
          <w:i/>
          <w:sz w:val="24"/>
          <w:szCs w:val="24"/>
        </w:rPr>
        <w:t>m him is not legally claimable.</w:t>
      </w:r>
      <w:r>
        <w:rPr>
          <w:rFonts w:ascii="Times New Roman" w:eastAsia="Times New Roman" w:hAnsi="Times New Roman" w:cs="Times New Roman"/>
          <w:sz w:val="24"/>
          <w:szCs w:val="24"/>
        </w:rPr>
        <w:t>’</w:t>
      </w:r>
    </w:p>
    <w:p w14:paraId="6C526189" w14:textId="77777777" w:rsidR="001773B9" w:rsidRPr="00532A38" w:rsidRDefault="001773B9" w:rsidP="001773B9">
      <w:pPr>
        <w:shd w:val="clear" w:color="auto" w:fill="FFFFFF"/>
        <w:overflowPunct w:val="0"/>
        <w:spacing w:after="0" w:line="240" w:lineRule="auto"/>
        <w:ind w:leftChars="878" w:left="1932"/>
        <w:jc w:val="both"/>
        <w:rPr>
          <w:rFonts w:ascii="Times New Roman" w:hAnsi="Times New Roman" w:cs="Times New Roman"/>
          <w:i/>
          <w:sz w:val="24"/>
          <w:szCs w:val="24"/>
        </w:rPr>
      </w:pPr>
    </w:p>
    <w:p w14:paraId="7CCAE7B8" w14:textId="77777777" w:rsidR="003C2BE5" w:rsidRPr="00532A38" w:rsidRDefault="003C2BE5" w:rsidP="001773B9">
      <w:pPr>
        <w:pStyle w:val="a3"/>
        <w:numPr>
          <w:ilvl w:val="0"/>
          <w:numId w:val="25"/>
        </w:numPr>
        <w:shd w:val="clear" w:color="auto" w:fill="FFFFFF"/>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In a more recent case of </w:t>
      </w:r>
      <w:r w:rsidRPr="001773B9">
        <w:rPr>
          <w:rFonts w:ascii="Times New Roman" w:hAnsi="Times New Roman" w:cs="Times New Roman"/>
          <w:sz w:val="24"/>
          <w:szCs w:val="24"/>
          <w:u w:val="single"/>
        </w:rPr>
        <w:t>Griffin (inspector of Taxes) v Citibank Investments Ltd</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[2000] STC 1010</w:t>
      </w:r>
      <w:r w:rsidRPr="00532A38">
        <w:rPr>
          <w:rFonts w:ascii="Times New Roman" w:hAnsi="Times New Roman" w:cs="Times New Roman"/>
          <w:i/>
          <w:sz w:val="24"/>
          <w:szCs w:val="24"/>
        </w:rPr>
        <w:t>,</w:t>
      </w:r>
      <w:r w:rsidRPr="00532A38">
        <w:rPr>
          <w:rFonts w:ascii="Times New Roman" w:hAnsi="Times New Roman" w:cs="Times New Roman"/>
          <w:sz w:val="24"/>
          <w:szCs w:val="24"/>
        </w:rPr>
        <w:t xml:space="preserve"> at page 1030b, it was held that the </w:t>
      </w:r>
      <w:r w:rsidRPr="00532A38">
        <w:rPr>
          <w:rFonts w:ascii="Times New Roman" w:hAnsi="Times New Roman" w:cs="Times New Roman"/>
          <w:sz w:val="24"/>
          <w:szCs w:val="24"/>
        </w:rPr>
        <w:lastRenderedPageBreak/>
        <w:t xml:space="preserve">decision of </w:t>
      </w:r>
      <w:r w:rsidRPr="001773B9">
        <w:rPr>
          <w:rFonts w:ascii="Times New Roman" w:hAnsi="Times New Roman" w:cs="Times New Roman"/>
          <w:sz w:val="24"/>
          <w:szCs w:val="24"/>
          <w:u w:val="single"/>
        </w:rPr>
        <w:t>IRC v Westminster</w:t>
      </w:r>
      <w:r w:rsidRPr="00532A38">
        <w:rPr>
          <w:rFonts w:ascii="Times New Roman" w:hAnsi="Times New Roman" w:cs="Times New Roman"/>
          <w:sz w:val="24"/>
          <w:szCs w:val="24"/>
        </w:rPr>
        <w:t xml:space="preserve"> has not been overruled and still binding.</w:t>
      </w:r>
    </w:p>
    <w:p w14:paraId="7CCAE7B9" w14:textId="77777777" w:rsidR="003C2BE5" w:rsidRPr="00532A38" w:rsidRDefault="003C2BE5" w:rsidP="0046026A">
      <w:pPr>
        <w:pStyle w:val="a3"/>
        <w:shd w:val="clear" w:color="auto" w:fill="FFFFFF"/>
        <w:overflowPunct w:val="0"/>
        <w:spacing w:after="0" w:line="240" w:lineRule="auto"/>
        <w:ind w:left="1200"/>
        <w:jc w:val="both"/>
        <w:rPr>
          <w:rFonts w:ascii="Times New Roman" w:hAnsi="Times New Roman" w:cs="Times New Roman"/>
          <w:sz w:val="24"/>
          <w:szCs w:val="24"/>
        </w:rPr>
      </w:pPr>
    </w:p>
    <w:p w14:paraId="7CCAE7BA" w14:textId="22761BFE" w:rsidR="00AE400A" w:rsidRPr="00532A38" w:rsidRDefault="003C2BE5" w:rsidP="001773B9">
      <w:pPr>
        <w:pStyle w:val="a3"/>
        <w:numPr>
          <w:ilvl w:val="0"/>
          <w:numId w:val="25"/>
        </w:numPr>
        <w:shd w:val="clear" w:color="auto" w:fill="FFFFFF"/>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In Hong Kong, the courts have likewise taken an approach to consider the taxpayer’s </w:t>
      </w:r>
      <w:r w:rsidR="00286B4D" w:rsidRPr="00532A38">
        <w:rPr>
          <w:rFonts w:ascii="Times New Roman" w:hAnsi="Times New Roman" w:cs="Times New Roman"/>
          <w:sz w:val="24"/>
          <w:szCs w:val="24"/>
          <w:lang w:eastAsia="zh-HK"/>
        </w:rPr>
        <w:t xml:space="preserve">tax liability </w:t>
      </w:r>
      <w:r w:rsidRPr="00532A38">
        <w:rPr>
          <w:rFonts w:ascii="Times New Roman" w:hAnsi="Times New Roman" w:cs="Times New Roman"/>
          <w:sz w:val="24"/>
          <w:szCs w:val="24"/>
        </w:rPr>
        <w:t xml:space="preserve">is bound by the form of transactions and not their substance in the assessment of tax.  In the judicial review case of </w:t>
      </w:r>
      <w:r w:rsidRPr="001773B9">
        <w:rPr>
          <w:rFonts w:ascii="Times New Roman" w:hAnsi="Times New Roman" w:cs="Times New Roman"/>
          <w:sz w:val="24"/>
          <w:szCs w:val="24"/>
          <w:u w:val="single"/>
        </w:rPr>
        <w:t>Harley Development Inc and Another v Commissioner of Inland Revenue</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 xml:space="preserve">(unreported, CACV 26 of 1993, Court of Appeal judgment dated 29 April 1994), where the applicants wanted to quash the </w:t>
      </w:r>
      <w:r w:rsidR="00AE400A" w:rsidRPr="00532A38">
        <w:rPr>
          <w:rFonts w:ascii="Times New Roman" w:hAnsi="Times New Roman" w:cs="Times New Roman"/>
          <w:sz w:val="24"/>
          <w:szCs w:val="24"/>
        </w:rPr>
        <w:t xml:space="preserve">Commissioner of </w:t>
      </w:r>
      <w:r w:rsidR="00665C81" w:rsidRPr="00532A38">
        <w:rPr>
          <w:rFonts w:ascii="Times New Roman" w:hAnsi="Times New Roman" w:cs="Times New Roman"/>
          <w:sz w:val="24"/>
          <w:szCs w:val="24"/>
        </w:rPr>
        <w:t>Inland Revenue</w:t>
      </w:r>
      <w:r w:rsidR="00AE400A" w:rsidRPr="00532A38">
        <w:rPr>
          <w:rFonts w:ascii="Times New Roman" w:hAnsi="Times New Roman" w:cs="Times New Roman"/>
          <w:sz w:val="24"/>
          <w:szCs w:val="24"/>
        </w:rPr>
        <w:t xml:space="preserve">’s </w:t>
      </w:r>
      <w:r w:rsidRPr="00532A38">
        <w:rPr>
          <w:rFonts w:ascii="Times New Roman" w:hAnsi="Times New Roman" w:cs="Times New Roman"/>
          <w:sz w:val="24"/>
          <w:szCs w:val="24"/>
        </w:rPr>
        <w:t>decision to raise property tax against them for the sale of an asset.  In issuing the assessment, the C</w:t>
      </w:r>
      <w:r w:rsidR="00AE400A" w:rsidRPr="00532A38">
        <w:rPr>
          <w:rFonts w:ascii="Times New Roman" w:hAnsi="Times New Roman" w:cs="Times New Roman"/>
          <w:sz w:val="24"/>
          <w:szCs w:val="24"/>
        </w:rPr>
        <w:t xml:space="preserve">ommissioner of Inland Revenue </w:t>
      </w:r>
      <w:r w:rsidRPr="00532A38">
        <w:rPr>
          <w:rFonts w:ascii="Times New Roman" w:hAnsi="Times New Roman" w:cs="Times New Roman"/>
          <w:sz w:val="24"/>
          <w:szCs w:val="24"/>
        </w:rPr>
        <w:t>had assessed that while the premiums were capital receipts for the sale of an asset and therefore exempt</w:t>
      </w:r>
      <w:r w:rsidR="00652AD1">
        <w:rPr>
          <w:rFonts w:ascii="Times New Roman" w:hAnsi="Times New Roman" w:cs="Times New Roman"/>
          <w:sz w:val="24"/>
          <w:szCs w:val="24"/>
        </w:rPr>
        <w:t>ed</w:t>
      </w:r>
      <w:r w:rsidRPr="00532A38">
        <w:rPr>
          <w:rFonts w:ascii="Times New Roman" w:hAnsi="Times New Roman" w:cs="Times New Roman"/>
          <w:sz w:val="24"/>
          <w:szCs w:val="24"/>
        </w:rPr>
        <w:t xml:space="preserve"> from profits tax, they were also payments which constituted consideration in respect of the right of use of the property within the meaning of Section 5B(2) of the IRO.  </w:t>
      </w:r>
    </w:p>
    <w:p w14:paraId="7CCAE7BB" w14:textId="77777777" w:rsidR="00AE400A" w:rsidRPr="00532A38" w:rsidRDefault="00AE400A" w:rsidP="0046026A">
      <w:pPr>
        <w:pStyle w:val="a3"/>
        <w:overflowPunct w:val="0"/>
        <w:spacing w:after="0" w:line="240" w:lineRule="auto"/>
        <w:rPr>
          <w:rFonts w:ascii="Times New Roman" w:hAnsi="Times New Roman" w:cs="Times New Roman"/>
          <w:sz w:val="24"/>
          <w:szCs w:val="24"/>
        </w:rPr>
      </w:pPr>
    </w:p>
    <w:p w14:paraId="7CCAE7BC" w14:textId="77777777" w:rsidR="00AE400A" w:rsidRPr="00532A38" w:rsidRDefault="003C2BE5" w:rsidP="001773B9">
      <w:pPr>
        <w:pStyle w:val="a3"/>
        <w:numPr>
          <w:ilvl w:val="0"/>
          <w:numId w:val="25"/>
        </w:numPr>
        <w:shd w:val="clear" w:color="auto" w:fill="FFFFFF"/>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applicants argued that they should be charged with property tax because it was their intention that they would buy the property from a Bank and lease it back to the Bank for 30 years.  Although the date of the purchase was 1 October and the date of the lease was 2</w:t>
      </w:r>
      <w:r w:rsidRPr="00532A38">
        <w:rPr>
          <w:rFonts w:ascii="Times New Roman" w:hAnsi="Times New Roman" w:cs="Times New Roman"/>
          <w:sz w:val="24"/>
          <w:szCs w:val="24"/>
          <w:vertAlign w:val="superscript"/>
        </w:rPr>
        <w:t xml:space="preserve"> </w:t>
      </w:r>
      <w:r w:rsidRPr="00532A38">
        <w:rPr>
          <w:rFonts w:ascii="Times New Roman" w:hAnsi="Times New Roman" w:cs="Times New Roman"/>
          <w:sz w:val="24"/>
          <w:szCs w:val="24"/>
        </w:rPr>
        <w:t xml:space="preserve">October, the difference in the dates </w:t>
      </w:r>
      <w:r w:rsidR="00AE400A" w:rsidRPr="00532A38">
        <w:rPr>
          <w:rFonts w:ascii="Times New Roman" w:hAnsi="Times New Roman" w:cs="Times New Roman"/>
          <w:sz w:val="24"/>
          <w:szCs w:val="24"/>
        </w:rPr>
        <w:t>was</w:t>
      </w:r>
      <w:r w:rsidRPr="00532A38">
        <w:rPr>
          <w:rFonts w:ascii="Times New Roman" w:hAnsi="Times New Roman" w:cs="Times New Roman"/>
          <w:sz w:val="24"/>
          <w:szCs w:val="24"/>
        </w:rPr>
        <w:t xml:space="preserve"> of no consequence and the Court should look at the actual effect of the transactions.  In other words, the applicants were making the argument to the Court that they should be taxed on the substance of their transactions and not the form.  </w:t>
      </w:r>
    </w:p>
    <w:p w14:paraId="7CCAE7BD" w14:textId="77777777" w:rsidR="00AE400A" w:rsidRPr="00532A38" w:rsidRDefault="00AE400A" w:rsidP="0046026A">
      <w:pPr>
        <w:pStyle w:val="a3"/>
        <w:overflowPunct w:val="0"/>
        <w:spacing w:after="0" w:line="240" w:lineRule="auto"/>
        <w:rPr>
          <w:rFonts w:ascii="Times New Roman" w:hAnsi="Times New Roman" w:cs="Times New Roman"/>
          <w:sz w:val="24"/>
          <w:szCs w:val="24"/>
        </w:rPr>
      </w:pPr>
    </w:p>
    <w:p w14:paraId="7CCAE7BE" w14:textId="77777777" w:rsidR="003C2BE5" w:rsidRPr="00532A38" w:rsidRDefault="003C2BE5" w:rsidP="001773B9">
      <w:pPr>
        <w:pStyle w:val="a3"/>
        <w:numPr>
          <w:ilvl w:val="0"/>
          <w:numId w:val="25"/>
        </w:numPr>
        <w:shd w:val="clear" w:color="auto" w:fill="FFFFFF"/>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In dismissing the appeal, the Court of Appeal rejected that argument, and held that applicants are bound by the form of their transaction.</w:t>
      </w:r>
    </w:p>
    <w:p w14:paraId="7CCAE7BF" w14:textId="77777777" w:rsidR="003C2BE5" w:rsidRPr="00532A38" w:rsidRDefault="003C2BE5" w:rsidP="0046026A">
      <w:pPr>
        <w:shd w:val="clear" w:color="auto" w:fill="FFFFFF"/>
        <w:overflowPunct w:val="0"/>
        <w:spacing w:after="0" w:line="240" w:lineRule="auto"/>
        <w:jc w:val="both"/>
        <w:rPr>
          <w:rFonts w:ascii="Times New Roman" w:hAnsi="Times New Roman" w:cs="Times New Roman"/>
          <w:sz w:val="24"/>
          <w:szCs w:val="24"/>
        </w:rPr>
      </w:pPr>
    </w:p>
    <w:p w14:paraId="7CCAE7C0" w14:textId="77777777" w:rsidR="00AE400A" w:rsidRPr="00532A38" w:rsidRDefault="003C2BE5" w:rsidP="001773B9">
      <w:pPr>
        <w:pStyle w:val="a3"/>
        <w:numPr>
          <w:ilvl w:val="0"/>
          <w:numId w:val="2"/>
        </w:numPr>
        <w:shd w:val="clear" w:color="auto" w:fill="FFFFFF"/>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Applying the above cases to the present appeal, since it is clear that the Appellant had arranged its business transactions with </w:t>
      </w:r>
      <w:r w:rsidR="00AE400A" w:rsidRPr="00532A38">
        <w:rPr>
          <w:rFonts w:ascii="Times New Roman" w:hAnsi="Times New Roman" w:cs="Times New Roman"/>
          <w:sz w:val="24"/>
          <w:szCs w:val="24"/>
        </w:rPr>
        <w:t xml:space="preserve">the PRC Subsidiary </w:t>
      </w:r>
      <w:r w:rsidRPr="00532A38">
        <w:rPr>
          <w:rFonts w:ascii="Times New Roman" w:hAnsi="Times New Roman" w:cs="Times New Roman"/>
          <w:sz w:val="24"/>
          <w:szCs w:val="24"/>
        </w:rPr>
        <w:t xml:space="preserve">in such way to obtain tax-benefit from the Mainland authorities, the Appellant should likewise be taxed in Hong Kong on the basis of the same transactions. </w:t>
      </w:r>
    </w:p>
    <w:p w14:paraId="7CCAE7C1" w14:textId="77777777" w:rsidR="00D043BA" w:rsidRPr="00532A38" w:rsidRDefault="00D043BA" w:rsidP="001773B9">
      <w:pPr>
        <w:pStyle w:val="a3"/>
        <w:shd w:val="clear" w:color="auto" w:fill="FFFFFF"/>
        <w:overflowPunct w:val="0"/>
        <w:spacing w:after="0" w:line="240" w:lineRule="auto"/>
        <w:ind w:left="0"/>
        <w:jc w:val="both"/>
        <w:rPr>
          <w:rFonts w:ascii="Times New Roman" w:hAnsi="Times New Roman" w:cs="Times New Roman"/>
          <w:sz w:val="24"/>
          <w:szCs w:val="24"/>
        </w:rPr>
      </w:pPr>
    </w:p>
    <w:p w14:paraId="7CCAE7C2" w14:textId="48F4B4F2" w:rsidR="00D043BA" w:rsidRPr="00532A38" w:rsidRDefault="002835D4" w:rsidP="001773B9">
      <w:pPr>
        <w:pStyle w:val="a3"/>
        <w:numPr>
          <w:ilvl w:val="0"/>
          <w:numId w:val="2"/>
        </w:numPr>
        <w:shd w:val="clear" w:color="auto" w:fill="FFFFFF"/>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Further, g</w:t>
      </w:r>
      <w:r w:rsidR="00D043BA" w:rsidRPr="00532A38">
        <w:rPr>
          <w:rFonts w:ascii="Times New Roman" w:hAnsi="Times New Roman" w:cs="Times New Roman"/>
          <w:sz w:val="24"/>
          <w:szCs w:val="24"/>
        </w:rPr>
        <w:t xml:space="preserve">iven the Appellant’s </w:t>
      </w:r>
      <w:r w:rsidR="00E915D5" w:rsidRPr="00532A38">
        <w:rPr>
          <w:rFonts w:ascii="Times New Roman" w:hAnsi="Times New Roman" w:cs="Times New Roman"/>
          <w:sz w:val="24"/>
          <w:szCs w:val="24"/>
        </w:rPr>
        <w:t>case that it has committed forgery of documents</w:t>
      </w:r>
      <w:r w:rsidR="00D043BA" w:rsidRPr="00532A38">
        <w:rPr>
          <w:rFonts w:ascii="Times New Roman" w:hAnsi="Times New Roman" w:cs="Times New Roman"/>
          <w:sz w:val="24"/>
          <w:szCs w:val="24"/>
        </w:rPr>
        <w:t xml:space="preserve">, this Board </w:t>
      </w:r>
      <w:r w:rsidR="00E915D5" w:rsidRPr="00532A38">
        <w:rPr>
          <w:rFonts w:ascii="Times New Roman" w:hAnsi="Times New Roman" w:cs="Times New Roman"/>
          <w:sz w:val="24"/>
          <w:szCs w:val="24"/>
        </w:rPr>
        <w:t xml:space="preserve">has </w:t>
      </w:r>
      <w:r w:rsidR="00DC3EEB" w:rsidRPr="00532A38">
        <w:rPr>
          <w:rFonts w:ascii="Times New Roman" w:hAnsi="Times New Roman" w:cs="Times New Roman"/>
          <w:sz w:val="24"/>
          <w:szCs w:val="24"/>
        </w:rPr>
        <w:t>carefully</w:t>
      </w:r>
      <w:r w:rsidR="00D043BA" w:rsidRPr="00532A38">
        <w:rPr>
          <w:rFonts w:ascii="Times New Roman" w:hAnsi="Times New Roman" w:cs="Times New Roman"/>
          <w:sz w:val="24"/>
          <w:szCs w:val="24"/>
        </w:rPr>
        <w:t xml:space="preserve"> considered </w:t>
      </w:r>
      <w:r w:rsidR="00E915D5" w:rsidRPr="00532A38">
        <w:rPr>
          <w:rFonts w:ascii="Times New Roman" w:hAnsi="Times New Roman" w:cs="Times New Roman"/>
          <w:sz w:val="24"/>
          <w:szCs w:val="24"/>
        </w:rPr>
        <w:t xml:space="preserve">all of </w:t>
      </w:r>
      <w:r w:rsidR="00D043BA" w:rsidRPr="00532A38">
        <w:rPr>
          <w:rFonts w:ascii="Times New Roman" w:hAnsi="Times New Roman" w:cs="Times New Roman"/>
          <w:sz w:val="24"/>
          <w:szCs w:val="24"/>
        </w:rPr>
        <w:t xml:space="preserve">the Appellant’s evidence to assess whether it can discharge the burden of proof that the sales and purchase transactions between the Appellant and the </w:t>
      </w:r>
      <w:r w:rsidR="007D6826" w:rsidRPr="00532A38">
        <w:rPr>
          <w:rFonts w:ascii="Times New Roman" w:hAnsi="Times New Roman" w:cs="Times New Roman"/>
          <w:sz w:val="24"/>
          <w:szCs w:val="24"/>
        </w:rPr>
        <w:t>PRC Subsidiary</w:t>
      </w:r>
      <w:r w:rsidR="001A2C65" w:rsidRPr="00532A38">
        <w:rPr>
          <w:rFonts w:ascii="Times New Roman" w:hAnsi="Times New Roman" w:cs="Times New Roman"/>
          <w:sz w:val="24"/>
          <w:szCs w:val="24"/>
          <w:lang w:eastAsia="zh-HK"/>
        </w:rPr>
        <w:t xml:space="preserve"> did not </w:t>
      </w:r>
      <w:r w:rsidR="00E915D5" w:rsidRPr="00532A38">
        <w:rPr>
          <w:rFonts w:ascii="Times New Roman" w:hAnsi="Times New Roman" w:cs="Times New Roman"/>
          <w:sz w:val="24"/>
          <w:szCs w:val="24"/>
          <w:lang w:eastAsia="zh-HK"/>
        </w:rPr>
        <w:t xml:space="preserve">actually </w:t>
      </w:r>
      <w:r w:rsidR="001A2C65" w:rsidRPr="00532A38">
        <w:rPr>
          <w:rFonts w:ascii="Times New Roman" w:hAnsi="Times New Roman" w:cs="Times New Roman"/>
          <w:sz w:val="24"/>
          <w:szCs w:val="24"/>
          <w:lang w:eastAsia="zh-HK"/>
        </w:rPr>
        <w:t>take place</w:t>
      </w:r>
      <w:r w:rsidR="007D6826" w:rsidRPr="00532A38">
        <w:rPr>
          <w:rFonts w:ascii="Times New Roman" w:hAnsi="Times New Roman" w:cs="Times New Roman"/>
          <w:sz w:val="24"/>
          <w:szCs w:val="24"/>
        </w:rPr>
        <w:t>.</w:t>
      </w:r>
    </w:p>
    <w:p w14:paraId="7CCAE7C3" w14:textId="77777777" w:rsidR="00AE400A" w:rsidRPr="00532A38" w:rsidRDefault="00AE400A" w:rsidP="0046026A">
      <w:pPr>
        <w:pStyle w:val="a3"/>
        <w:shd w:val="clear" w:color="auto" w:fill="FFFFFF"/>
        <w:overflowPunct w:val="0"/>
        <w:spacing w:after="0" w:line="240" w:lineRule="auto"/>
        <w:ind w:left="360"/>
        <w:jc w:val="both"/>
        <w:rPr>
          <w:rFonts w:ascii="Times New Roman" w:hAnsi="Times New Roman" w:cs="Times New Roman"/>
          <w:sz w:val="24"/>
          <w:szCs w:val="24"/>
        </w:rPr>
      </w:pPr>
    </w:p>
    <w:p w14:paraId="7CCAE7C4" w14:textId="287C70C4" w:rsidR="0047254B" w:rsidRPr="001773B9" w:rsidRDefault="001773B9" w:rsidP="0046026A">
      <w:pPr>
        <w:overflowPunct w:val="0"/>
        <w:spacing w:after="0" w:line="240" w:lineRule="auto"/>
        <w:jc w:val="both"/>
        <w:rPr>
          <w:rFonts w:ascii="Times New Roman" w:hAnsi="Times New Roman" w:cs="Times New Roman"/>
          <w:sz w:val="24"/>
          <w:szCs w:val="24"/>
          <w:u w:val="single"/>
        </w:rPr>
      </w:pPr>
      <w:r w:rsidRPr="001773B9">
        <w:rPr>
          <w:rFonts w:ascii="Times New Roman" w:hAnsi="Times New Roman" w:cs="Times New Roman"/>
          <w:sz w:val="24"/>
          <w:szCs w:val="24"/>
          <w:u w:val="single"/>
        </w:rPr>
        <w:t>The Appellant’s evidence</w:t>
      </w:r>
    </w:p>
    <w:p w14:paraId="48FEE871" w14:textId="77777777" w:rsidR="001773B9" w:rsidRPr="00532A38" w:rsidRDefault="001773B9" w:rsidP="0046026A">
      <w:pPr>
        <w:overflowPunct w:val="0"/>
        <w:spacing w:after="0" w:line="240" w:lineRule="auto"/>
        <w:jc w:val="both"/>
        <w:rPr>
          <w:rFonts w:ascii="Times New Roman" w:hAnsi="Times New Roman" w:cs="Times New Roman"/>
          <w:sz w:val="24"/>
          <w:szCs w:val="24"/>
        </w:rPr>
      </w:pPr>
    </w:p>
    <w:p w14:paraId="7CCAE7C5" w14:textId="7C085662" w:rsidR="0035159B" w:rsidRPr="00532A38" w:rsidRDefault="009E64CC"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To support its case, the Appellant called the following </w:t>
      </w:r>
      <w:r w:rsidR="0035159B" w:rsidRPr="00532A38">
        <w:rPr>
          <w:rFonts w:ascii="Times New Roman" w:hAnsi="Times New Roman" w:cs="Times New Roman"/>
          <w:sz w:val="24"/>
          <w:szCs w:val="24"/>
        </w:rPr>
        <w:t>witnesses:</w:t>
      </w:r>
    </w:p>
    <w:p w14:paraId="7CCAE7C6" w14:textId="77777777" w:rsidR="0035159B" w:rsidRPr="00532A38" w:rsidRDefault="0035159B" w:rsidP="0046026A">
      <w:pPr>
        <w:pStyle w:val="a3"/>
        <w:overflowPunct w:val="0"/>
        <w:spacing w:after="0" w:line="240" w:lineRule="auto"/>
        <w:ind w:left="360"/>
        <w:jc w:val="both"/>
        <w:rPr>
          <w:rFonts w:ascii="Times New Roman" w:hAnsi="Times New Roman" w:cs="Times New Roman"/>
          <w:sz w:val="24"/>
          <w:szCs w:val="24"/>
        </w:rPr>
      </w:pPr>
    </w:p>
    <w:p w14:paraId="7CCAE7C7" w14:textId="4384925A" w:rsidR="0035159B" w:rsidRDefault="0035159B" w:rsidP="001773B9">
      <w:pPr>
        <w:pStyle w:val="a3"/>
        <w:numPr>
          <w:ilvl w:val="0"/>
          <w:numId w:val="9"/>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Ms</w:t>
      </w:r>
      <w:r w:rsidR="001773B9">
        <w:rPr>
          <w:rFonts w:ascii="Times New Roman" w:hAnsi="Times New Roman" w:cs="Times New Roman"/>
          <w:sz w:val="24"/>
          <w:szCs w:val="24"/>
        </w:rPr>
        <w:t xml:space="preserve"> G</w:t>
      </w:r>
      <w:r w:rsidRPr="00532A38">
        <w:rPr>
          <w:rFonts w:ascii="Times New Roman" w:hAnsi="Times New Roman" w:cs="Times New Roman"/>
          <w:sz w:val="24"/>
          <w:szCs w:val="24"/>
        </w:rPr>
        <w:t>;</w:t>
      </w:r>
    </w:p>
    <w:p w14:paraId="7CCAE7C8" w14:textId="653084E6" w:rsidR="0035159B" w:rsidRDefault="0035159B" w:rsidP="001773B9">
      <w:pPr>
        <w:pStyle w:val="a3"/>
        <w:numPr>
          <w:ilvl w:val="0"/>
          <w:numId w:val="9"/>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Mr</w:t>
      </w:r>
      <w:r w:rsidR="001773B9">
        <w:rPr>
          <w:rFonts w:ascii="Times New Roman" w:hAnsi="Times New Roman" w:cs="Times New Roman"/>
          <w:sz w:val="24"/>
          <w:szCs w:val="24"/>
        </w:rPr>
        <w:t xml:space="preserve"> H</w:t>
      </w:r>
      <w:r w:rsidRPr="00532A38">
        <w:rPr>
          <w:rFonts w:ascii="Times New Roman" w:hAnsi="Times New Roman" w:cs="Times New Roman"/>
          <w:sz w:val="24"/>
          <w:szCs w:val="24"/>
        </w:rPr>
        <w:t>;</w:t>
      </w:r>
    </w:p>
    <w:p w14:paraId="7CCAE7C9" w14:textId="2B2AA452" w:rsidR="0035159B" w:rsidRDefault="0035159B" w:rsidP="001773B9">
      <w:pPr>
        <w:pStyle w:val="a3"/>
        <w:numPr>
          <w:ilvl w:val="0"/>
          <w:numId w:val="9"/>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Mr</w:t>
      </w:r>
      <w:r w:rsidR="001773B9">
        <w:rPr>
          <w:rFonts w:ascii="Times New Roman" w:hAnsi="Times New Roman" w:cs="Times New Roman"/>
          <w:sz w:val="24"/>
          <w:szCs w:val="24"/>
        </w:rPr>
        <w:t xml:space="preserve"> J</w:t>
      </w:r>
      <w:r w:rsidRPr="00532A38">
        <w:rPr>
          <w:rFonts w:ascii="Times New Roman" w:hAnsi="Times New Roman" w:cs="Times New Roman"/>
          <w:sz w:val="24"/>
          <w:szCs w:val="24"/>
        </w:rPr>
        <w:t>; and</w:t>
      </w:r>
    </w:p>
    <w:p w14:paraId="7CCAE7CA" w14:textId="6EA683B6" w:rsidR="0035159B" w:rsidRPr="00532A38" w:rsidRDefault="0035159B" w:rsidP="001773B9">
      <w:pPr>
        <w:pStyle w:val="a3"/>
        <w:numPr>
          <w:ilvl w:val="0"/>
          <w:numId w:val="9"/>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Mr</w:t>
      </w:r>
      <w:r w:rsidR="001773B9">
        <w:rPr>
          <w:rFonts w:ascii="Times New Roman" w:hAnsi="Times New Roman" w:cs="Times New Roman"/>
          <w:sz w:val="24"/>
          <w:szCs w:val="24"/>
        </w:rPr>
        <w:t xml:space="preserve"> K</w:t>
      </w:r>
      <w:r w:rsidRPr="00532A38">
        <w:rPr>
          <w:rFonts w:ascii="Times New Roman" w:hAnsi="Times New Roman" w:cs="Times New Roman"/>
          <w:sz w:val="24"/>
          <w:szCs w:val="24"/>
        </w:rPr>
        <w:t>.</w:t>
      </w:r>
    </w:p>
    <w:p w14:paraId="7CCAE7CB" w14:textId="77777777" w:rsidR="0035159B" w:rsidRPr="00532A38" w:rsidRDefault="0035159B" w:rsidP="0046026A">
      <w:pPr>
        <w:pStyle w:val="a3"/>
        <w:overflowPunct w:val="0"/>
        <w:spacing w:after="0" w:line="240" w:lineRule="auto"/>
        <w:ind w:left="360"/>
        <w:jc w:val="both"/>
        <w:rPr>
          <w:rFonts w:ascii="Times New Roman" w:hAnsi="Times New Roman" w:cs="Times New Roman"/>
          <w:sz w:val="24"/>
          <w:szCs w:val="24"/>
        </w:rPr>
      </w:pPr>
    </w:p>
    <w:p w14:paraId="7CCAE7CC" w14:textId="363461BC" w:rsidR="00B5429D" w:rsidRPr="00532A38" w:rsidRDefault="00B5429D"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Among the Appellant’s witnesses, Mr</w:t>
      </w:r>
      <w:r w:rsidR="001773B9">
        <w:rPr>
          <w:rFonts w:ascii="Times New Roman" w:hAnsi="Times New Roman" w:cs="Times New Roman"/>
          <w:sz w:val="24"/>
          <w:szCs w:val="24"/>
        </w:rPr>
        <w:t xml:space="preserve"> H and Mr J</w:t>
      </w:r>
      <w:r w:rsidRPr="00532A38">
        <w:rPr>
          <w:rFonts w:ascii="Times New Roman" w:hAnsi="Times New Roman" w:cs="Times New Roman"/>
          <w:sz w:val="24"/>
          <w:szCs w:val="24"/>
        </w:rPr>
        <w:t xml:space="preserve"> did not appear before the Board to testify.  Nonetheless, the Board admitted their respective witness statements upon the application of the Appellant.</w:t>
      </w:r>
    </w:p>
    <w:p w14:paraId="7CCAE7CD" w14:textId="77777777" w:rsidR="00B5429D" w:rsidRPr="00532A38" w:rsidRDefault="00B5429D" w:rsidP="001773B9">
      <w:pPr>
        <w:pStyle w:val="a3"/>
        <w:overflowPunct w:val="0"/>
        <w:spacing w:after="0" w:line="240" w:lineRule="auto"/>
        <w:ind w:left="0"/>
        <w:jc w:val="both"/>
        <w:rPr>
          <w:rFonts w:ascii="Times New Roman" w:hAnsi="Times New Roman" w:cs="Times New Roman"/>
          <w:sz w:val="24"/>
          <w:szCs w:val="24"/>
        </w:rPr>
      </w:pPr>
    </w:p>
    <w:p w14:paraId="7CCAE7CE" w14:textId="5158F927" w:rsidR="00B5429D" w:rsidRPr="00532A38" w:rsidRDefault="009E64CC" w:rsidP="001773B9">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its Closing Submissions, the Appellant also relied on a total of </w:t>
      </w:r>
      <w:r w:rsidR="006102CC">
        <w:rPr>
          <w:rFonts w:ascii="Times New Roman" w:hAnsi="Times New Roman" w:cs="Times New Roman"/>
          <w:sz w:val="24"/>
          <w:szCs w:val="24"/>
        </w:rPr>
        <w:t>‘</w:t>
      </w:r>
      <w:r w:rsidRPr="00532A38">
        <w:rPr>
          <w:rFonts w:ascii="Times New Roman" w:hAnsi="Times New Roman" w:cs="Times New Roman"/>
          <w:sz w:val="24"/>
          <w:szCs w:val="24"/>
        </w:rPr>
        <w:t>23 pieces of evidence</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in a </w:t>
      </w:r>
      <w:r w:rsidR="00606108" w:rsidRPr="00532A38">
        <w:rPr>
          <w:rFonts w:ascii="Times New Roman" w:hAnsi="Times New Roman" w:cs="Times New Roman"/>
          <w:sz w:val="24"/>
          <w:szCs w:val="24"/>
        </w:rPr>
        <w:t>tabular summary which was attached as Exhibit 1 thereto. The Appellant further elaborated</w:t>
      </w:r>
      <w:r w:rsidR="00B5429D" w:rsidRPr="00532A38">
        <w:rPr>
          <w:rFonts w:ascii="Times New Roman" w:hAnsi="Times New Roman" w:cs="Times New Roman"/>
          <w:sz w:val="24"/>
          <w:szCs w:val="24"/>
        </w:rPr>
        <w:t xml:space="preserve"> its evidence in paragraphs 6 and 7 of its Closing Submissions.</w:t>
      </w:r>
    </w:p>
    <w:p w14:paraId="7CCAE7CF" w14:textId="77777777" w:rsidR="00B5429D" w:rsidRPr="00532A38" w:rsidRDefault="00B5429D" w:rsidP="0046026A">
      <w:pPr>
        <w:pStyle w:val="a3"/>
        <w:overflowPunct w:val="0"/>
        <w:spacing w:after="0" w:line="240" w:lineRule="auto"/>
        <w:rPr>
          <w:rFonts w:ascii="Times New Roman" w:hAnsi="Times New Roman" w:cs="Times New Roman"/>
          <w:sz w:val="24"/>
          <w:szCs w:val="24"/>
        </w:rPr>
      </w:pPr>
    </w:p>
    <w:p w14:paraId="7CCAE7D0" w14:textId="57C1FEA0" w:rsidR="00C35760" w:rsidRPr="006102CC" w:rsidRDefault="006102CC" w:rsidP="0046026A">
      <w:pPr>
        <w:overflowPunct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Evidence of Ms</w:t>
      </w:r>
      <w:r w:rsidR="00C35760" w:rsidRPr="006102CC">
        <w:rPr>
          <w:rFonts w:ascii="Times New Roman" w:hAnsi="Times New Roman" w:cs="Times New Roman"/>
          <w:sz w:val="24"/>
          <w:szCs w:val="24"/>
          <w:u w:val="single"/>
        </w:rPr>
        <w:t xml:space="preserve"> </w:t>
      </w:r>
      <w:r>
        <w:rPr>
          <w:rFonts w:ascii="Times New Roman" w:hAnsi="Times New Roman" w:cs="Times New Roman"/>
          <w:sz w:val="24"/>
          <w:szCs w:val="24"/>
          <w:u w:val="single"/>
        </w:rPr>
        <w:t>G</w:t>
      </w:r>
    </w:p>
    <w:p w14:paraId="7CCAE7D1"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r w:rsidRPr="00532A38">
        <w:rPr>
          <w:rFonts w:ascii="Times New Roman" w:hAnsi="Times New Roman" w:cs="Times New Roman"/>
          <w:sz w:val="24"/>
          <w:szCs w:val="24"/>
        </w:rPr>
        <w:t xml:space="preserve"> </w:t>
      </w:r>
    </w:p>
    <w:p w14:paraId="7CCAE7D2" w14:textId="54E156B8"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was </w:t>
      </w:r>
      <w:r w:rsidR="00CF5031" w:rsidRPr="00532A38">
        <w:rPr>
          <w:rFonts w:ascii="Times New Roman" w:hAnsi="Times New Roman" w:cs="Times New Roman"/>
          <w:sz w:val="24"/>
          <w:szCs w:val="24"/>
        </w:rPr>
        <w:t xml:space="preserve">the only factual witness </w:t>
      </w:r>
      <w:r w:rsidRPr="00532A38">
        <w:rPr>
          <w:rFonts w:ascii="Times New Roman" w:hAnsi="Times New Roman" w:cs="Times New Roman"/>
          <w:sz w:val="24"/>
          <w:szCs w:val="24"/>
        </w:rPr>
        <w:t xml:space="preserve">called by the </w:t>
      </w:r>
      <w:r w:rsidR="0056196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to give evidence on the operation and accounts of the </w:t>
      </w:r>
      <w:r w:rsidR="00561965" w:rsidRPr="00532A38">
        <w:rPr>
          <w:rFonts w:ascii="Times New Roman" w:hAnsi="Times New Roman" w:cs="Times New Roman"/>
          <w:sz w:val="24"/>
          <w:szCs w:val="24"/>
        </w:rPr>
        <w:t>Appellant</w:t>
      </w:r>
      <w:r w:rsidRPr="00532A38">
        <w:rPr>
          <w:rFonts w:ascii="Times New Roman" w:hAnsi="Times New Roman" w:cs="Times New Roman"/>
          <w:sz w:val="24"/>
          <w:szCs w:val="24"/>
        </w:rPr>
        <w:t>.</w:t>
      </w:r>
    </w:p>
    <w:p w14:paraId="7CCAE7D3" w14:textId="77777777" w:rsidR="00C35760" w:rsidRPr="00532A38" w:rsidRDefault="00C35760" w:rsidP="006102CC">
      <w:pPr>
        <w:pStyle w:val="a3"/>
        <w:overflowPunct w:val="0"/>
        <w:spacing w:after="0" w:line="240" w:lineRule="auto"/>
        <w:ind w:left="0"/>
        <w:jc w:val="both"/>
        <w:rPr>
          <w:rFonts w:ascii="Times New Roman" w:hAnsi="Times New Roman" w:cs="Times New Roman"/>
          <w:sz w:val="24"/>
          <w:szCs w:val="24"/>
        </w:rPr>
      </w:pPr>
    </w:p>
    <w:p w14:paraId="7CCAE7D4" w14:textId="30EE9252"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testified that she has worked as the </w:t>
      </w:r>
      <w:r w:rsidR="00561965"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accounting officer since 2000, although she admitted that she is not a qualified accountant.  She claimed to be familiar with the operations and accounts of the </w:t>
      </w:r>
      <w:r w:rsidR="0056196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she confirmed that the business operation of the </w:t>
      </w:r>
      <w:r w:rsidR="0056196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had remained unchanged since 2000.</w:t>
      </w:r>
    </w:p>
    <w:p w14:paraId="7CCAE7D5" w14:textId="77777777" w:rsidR="00C35760" w:rsidRPr="00532A38" w:rsidRDefault="00C35760" w:rsidP="006102CC">
      <w:pPr>
        <w:pStyle w:val="a3"/>
        <w:overflowPunct w:val="0"/>
        <w:spacing w:after="0" w:line="240" w:lineRule="auto"/>
        <w:ind w:left="0"/>
        <w:rPr>
          <w:rFonts w:ascii="Times New Roman" w:hAnsi="Times New Roman" w:cs="Times New Roman"/>
          <w:sz w:val="24"/>
          <w:szCs w:val="24"/>
        </w:rPr>
      </w:pPr>
    </w:p>
    <w:p w14:paraId="7CCAE7D6" w14:textId="1EB247A4"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described that the import processing is the most cost-effective way of manufacturing the </w:t>
      </w:r>
      <w:r w:rsidR="00561965"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card products, in which no import tax/ tariff would be levied for imported raw materials and parts used by the PRC Subsidiary for the production of goods for export which likewise are tax exempted.  </w:t>
      </w:r>
      <w:r w:rsidR="006102CC">
        <w:rPr>
          <w:rFonts w:ascii="Times New Roman" w:hAnsi="Times New Roman" w:cs="Times New Roman"/>
          <w:sz w:val="24"/>
          <w:szCs w:val="24"/>
        </w:rPr>
        <w:t>‘</w:t>
      </w:r>
      <w:r w:rsidRPr="00532A38">
        <w:rPr>
          <w:rFonts w:ascii="Times New Roman" w:hAnsi="Times New Roman" w:cs="Times New Roman"/>
          <w:sz w:val="24"/>
          <w:szCs w:val="24"/>
        </w:rPr>
        <w:t>Tax-bonded</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raw materials</w:t>
      </w:r>
      <w:r w:rsidR="002835D4" w:rsidRPr="00532A38">
        <w:rPr>
          <w:rFonts w:ascii="Times New Roman" w:hAnsi="Times New Roman" w:cs="Times New Roman"/>
          <w:sz w:val="24"/>
          <w:szCs w:val="24"/>
        </w:rPr>
        <w:t xml:space="preserve">, </w:t>
      </w:r>
      <w:r w:rsidRPr="00532A38">
        <w:rPr>
          <w:rFonts w:ascii="Times New Roman" w:hAnsi="Times New Roman" w:cs="Times New Roman"/>
          <w:sz w:val="24"/>
          <w:szCs w:val="24"/>
        </w:rPr>
        <w:t>parts and their finished products for export are under monitoring and supervision by the Mainland authorities.  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further explained the </w:t>
      </w:r>
      <w:r w:rsidR="006102CC">
        <w:rPr>
          <w:rFonts w:ascii="Times New Roman" w:hAnsi="Times New Roman" w:cs="Times New Roman"/>
          <w:sz w:val="24"/>
          <w:szCs w:val="24"/>
        </w:rPr>
        <w:t>‘</w:t>
      </w:r>
      <w:r w:rsidRPr="00532A38">
        <w:rPr>
          <w:rFonts w:ascii="Times New Roman" w:hAnsi="Times New Roman" w:cs="Times New Roman"/>
          <w:sz w:val="24"/>
          <w:szCs w:val="24"/>
        </w:rPr>
        <w:t>three steps to tax bonding</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in her witness statement as follows:</w:t>
      </w:r>
    </w:p>
    <w:p w14:paraId="7CCAE7D7" w14:textId="77777777" w:rsidR="00C35760" w:rsidRPr="00532A38" w:rsidRDefault="00C35760" w:rsidP="0046026A">
      <w:pPr>
        <w:pStyle w:val="a3"/>
        <w:overflowPunct w:val="0"/>
        <w:spacing w:after="0" w:line="240" w:lineRule="auto"/>
        <w:ind w:left="1080"/>
        <w:jc w:val="both"/>
        <w:rPr>
          <w:rFonts w:ascii="Times New Roman" w:hAnsi="Times New Roman" w:cs="Times New Roman"/>
          <w:sz w:val="24"/>
          <w:szCs w:val="24"/>
        </w:rPr>
      </w:pPr>
    </w:p>
    <w:p w14:paraId="7CCAE7D8" w14:textId="75DC6F0A" w:rsidR="00C35760" w:rsidRPr="00532A38" w:rsidRDefault="00C35760" w:rsidP="006102CC">
      <w:pPr>
        <w:pStyle w:val="a3"/>
        <w:numPr>
          <w:ilvl w:val="1"/>
          <w:numId w:val="2"/>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Step 1 – The PRC Subsidiary would import raw materials which are </w:t>
      </w:r>
      <w:r w:rsidR="006102CC">
        <w:rPr>
          <w:rFonts w:ascii="Times New Roman" w:hAnsi="Times New Roman" w:cs="Times New Roman"/>
          <w:sz w:val="24"/>
          <w:szCs w:val="24"/>
        </w:rPr>
        <w:t>‘</w:t>
      </w:r>
      <w:r w:rsidRPr="00532A38">
        <w:rPr>
          <w:rFonts w:ascii="Times New Roman" w:hAnsi="Times New Roman" w:cs="Times New Roman"/>
          <w:sz w:val="24"/>
          <w:szCs w:val="24"/>
        </w:rPr>
        <w:t>tax-bonded</w:t>
      </w:r>
      <w:r w:rsidR="006102CC">
        <w:rPr>
          <w:rFonts w:ascii="Times New Roman" w:hAnsi="Times New Roman" w:cs="Times New Roman"/>
          <w:sz w:val="24"/>
          <w:szCs w:val="24"/>
        </w:rPr>
        <w:t>’</w:t>
      </w:r>
      <w:r w:rsidRPr="00532A38">
        <w:rPr>
          <w:rFonts w:ascii="Times New Roman" w:hAnsi="Times New Roman" w:cs="Times New Roman"/>
          <w:sz w:val="24"/>
          <w:szCs w:val="24"/>
        </w:rPr>
        <w:t>, i.e. the related tax usually levied on such imports would be suspended;</w:t>
      </w:r>
    </w:p>
    <w:p w14:paraId="7CCAE7D9" w14:textId="77777777" w:rsidR="00C35760" w:rsidRPr="00532A38" w:rsidRDefault="00C35760" w:rsidP="006102CC">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DA" w14:textId="281C91C7" w:rsidR="00C35760" w:rsidRPr="00532A38" w:rsidRDefault="00C35760" w:rsidP="006102CC">
      <w:pPr>
        <w:pStyle w:val="a3"/>
        <w:numPr>
          <w:ilvl w:val="1"/>
          <w:numId w:val="2"/>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Step 2 – The PRC Subsidiary would manufacture product</w:t>
      </w:r>
      <w:r w:rsidR="00652AD1">
        <w:rPr>
          <w:rFonts w:ascii="Times New Roman" w:hAnsi="Times New Roman" w:cs="Times New Roman"/>
          <w:sz w:val="24"/>
          <w:szCs w:val="24"/>
        </w:rPr>
        <w:t>s</w:t>
      </w:r>
      <w:r w:rsidRPr="00532A38">
        <w:rPr>
          <w:rFonts w:ascii="Times New Roman" w:hAnsi="Times New Roman" w:cs="Times New Roman"/>
          <w:sz w:val="24"/>
          <w:szCs w:val="24"/>
        </w:rPr>
        <w:t xml:space="preserve"> using those </w:t>
      </w:r>
      <w:r w:rsidR="006102CC">
        <w:rPr>
          <w:rFonts w:ascii="Times New Roman" w:hAnsi="Times New Roman" w:cs="Times New Roman"/>
          <w:sz w:val="24"/>
          <w:szCs w:val="24"/>
        </w:rPr>
        <w:t>‘</w:t>
      </w:r>
      <w:r w:rsidRPr="00532A38">
        <w:rPr>
          <w:rFonts w:ascii="Times New Roman" w:hAnsi="Times New Roman" w:cs="Times New Roman"/>
          <w:sz w:val="24"/>
          <w:szCs w:val="24"/>
        </w:rPr>
        <w:t>tax-bonded</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raw materials and at this juncture, the related tax against those raw materials </w:t>
      </w:r>
      <w:r w:rsidR="006B48A7" w:rsidRPr="00532A38">
        <w:rPr>
          <w:rFonts w:ascii="Times New Roman" w:hAnsi="Times New Roman" w:cs="Times New Roman"/>
          <w:sz w:val="24"/>
          <w:szCs w:val="24"/>
        </w:rPr>
        <w:t xml:space="preserve">were </w:t>
      </w:r>
      <w:r w:rsidRPr="00532A38">
        <w:rPr>
          <w:rFonts w:ascii="Times New Roman" w:hAnsi="Times New Roman" w:cs="Times New Roman"/>
          <w:sz w:val="24"/>
          <w:szCs w:val="24"/>
        </w:rPr>
        <w:t>suspended</w:t>
      </w:r>
      <w:r w:rsidR="006B48A7" w:rsidRPr="00532A38">
        <w:rPr>
          <w:rFonts w:ascii="Times New Roman" w:hAnsi="Times New Roman" w:cs="Times New Roman"/>
          <w:sz w:val="24"/>
          <w:szCs w:val="24"/>
        </w:rPr>
        <w:t xml:space="preserve"> only</w:t>
      </w:r>
      <w:r w:rsidRPr="00532A38">
        <w:rPr>
          <w:rFonts w:ascii="Times New Roman" w:hAnsi="Times New Roman" w:cs="Times New Roman"/>
          <w:sz w:val="24"/>
          <w:szCs w:val="24"/>
        </w:rPr>
        <w:t>;</w:t>
      </w:r>
    </w:p>
    <w:p w14:paraId="7CCAE7DB" w14:textId="77777777" w:rsidR="00C35760" w:rsidRPr="00532A38" w:rsidRDefault="00C35760" w:rsidP="006102CC">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DC" w14:textId="73C9D333" w:rsidR="00C35760" w:rsidRPr="00532A38" w:rsidRDefault="00C35760" w:rsidP="006102CC">
      <w:pPr>
        <w:pStyle w:val="a3"/>
        <w:numPr>
          <w:ilvl w:val="1"/>
          <w:numId w:val="2"/>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Step 3 – The PRC Subsidiary would export the manufactured products made from the </w:t>
      </w:r>
      <w:r w:rsidR="006102CC">
        <w:rPr>
          <w:rFonts w:ascii="Times New Roman" w:hAnsi="Times New Roman" w:cs="Times New Roman"/>
          <w:sz w:val="24"/>
          <w:szCs w:val="24"/>
        </w:rPr>
        <w:t>‘</w:t>
      </w:r>
      <w:r w:rsidRPr="00532A38">
        <w:rPr>
          <w:rFonts w:ascii="Times New Roman" w:hAnsi="Times New Roman" w:cs="Times New Roman"/>
          <w:sz w:val="24"/>
          <w:szCs w:val="24"/>
        </w:rPr>
        <w:t>tax-bonded</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raw materials whereupon tax-free status for the raw materials and exported products </w:t>
      </w:r>
      <w:r w:rsidR="006B48A7" w:rsidRPr="00532A38">
        <w:rPr>
          <w:rFonts w:ascii="Times New Roman" w:hAnsi="Times New Roman" w:cs="Times New Roman"/>
          <w:sz w:val="24"/>
          <w:szCs w:val="24"/>
        </w:rPr>
        <w:t xml:space="preserve">would be </w:t>
      </w:r>
      <w:r w:rsidRPr="00532A38">
        <w:rPr>
          <w:rFonts w:ascii="Times New Roman" w:hAnsi="Times New Roman" w:cs="Times New Roman"/>
          <w:sz w:val="24"/>
          <w:szCs w:val="24"/>
        </w:rPr>
        <w:t>finally secured.</w:t>
      </w:r>
    </w:p>
    <w:p w14:paraId="7CCAE7DD"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7DE" w14:textId="42928B04"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order for both the </w:t>
      </w:r>
      <w:r w:rsidR="006B48A7"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to take advantage of the tax benefits conferred by import process, a set of documents has to be submitted to the relevant Mainland authorities for vetting purpose and clearance.   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described the documentary process with the Mainland authorities:</w:t>
      </w:r>
    </w:p>
    <w:p w14:paraId="7CCAE7DF"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7E0" w14:textId="0600C238" w:rsidR="00C35760" w:rsidRPr="00532A38" w:rsidRDefault="00C35760" w:rsidP="006102CC">
      <w:pPr>
        <w:pStyle w:val="a3"/>
        <w:numPr>
          <w:ilvl w:val="0"/>
          <w:numId w:val="11"/>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A </w:t>
      </w:r>
      <w:r w:rsidR="006102CC">
        <w:rPr>
          <w:rFonts w:ascii="Times New Roman" w:hAnsi="Times New Roman" w:cs="Times New Roman"/>
          <w:sz w:val="24"/>
          <w:szCs w:val="24"/>
        </w:rPr>
        <w:t>‘</w:t>
      </w:r>
      <w:r w:rsidRPr="00532A38">
        <w:rPr>
          <w:rFonts w:ascii="Times New Roman" w:hAnsi="Times New Roman" w:cs="Times New Roman"/>
          <w:sz w:val="24"/>
          <w:szCs w:val="24"/>
        </w:rPr>
        <w:t>Processing Trade Enterprise Operation Status and Productivity Certificate</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to be completed by the PRC Subsidiary;</w:t>
      </w:r>
    </w:p>
    <w:p w14:paraId="7CCAE7E1" w14:textId="77777777" w:rsidR="00C35760" w:rsidRPr="00532A38" w:rsidRDefault="00C35760" w:rsidP="006102CC">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E2" w14:textId="0E471497" w:rsidR="00C35760" w:rsidRPr="00532A38" w:rsidRDefault="00C35760" w:rsidP="006102CC">
      <w:pPr>
        <w:pStyle w:val="a3"/>
        <w:numPr>
          <w:ilvl w:val="0"/>
          <w:numId w:val="11"/>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An </w:t>
      </w:r>
      <w:r w:rsidR="006102CC">
        <w:rPr>
          <w:rFonts w:ascii="Times New Roman" w:hAnsi="Times New Roman" w:cs="Times New Roman"/>
          <w:sz w:val="24"/>
          <w:szCs w:val="24"/>
        </w:rPr>
        <w:t>‘</w:t>
      </w:r>
      <w:r w:rsidRPr="00532A38">
        <w:rPr>
          <w:rFonts w:ascii="Times New Roman" w:hAnsi="Times New Roman" w:cs="Times New Roman"/>
          <w:sz w:val="24"/>
          <w:szCs w:val="24"/>
        </w:rPr>
        <w:t>Application Form for Operating in Processing Trade</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which would be submitted together by the PRC Subsidiary together with export and</w:t>
      </w:r>
      <w:r w:rsidRPr="00D4428D">
        <w:rPr>
          <w:rFonts w:ascii="Times New Roman" w:hAnsi="Times New Roman" w:cs="Times New Roman"/>
          <w:sz w:val="24"/>
          <w:szCs w:val="24"/>
        </w:rPr>
        <w:t xml:space="preserve"> </w:t>
      </w:r>
      <w:r w:rsidRPr="00532A38">
        <w:rPr>
          <w:rFonts w:ascii="Times New Roman" w:hAnsi="Times New Roman" w:cs="Times New Roman"/>
          <w:sz w:val="24"/>
          <w:szCs w:val="24"/>
        </w:rPr>
        <w:t xml:space="preserve">import contracts between the </w:t>
      </w:r>
      <w:r w:rsidR="006B48A7"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Enclosed with those contracts is a detailed list of raw materials and the finished products;</w:t>
      </w:r>
    </w:p>
    <w:p w14:paraId="7CCAE7E3" w14:textId="77777777" w:rsidR="00C35760" w:rsidRPr="00532A38" w:rsidRDefault="00C35760" w:rsidP="006102C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7E4" w14:textId="77777777" w:rsidR="00C35760" w:rsidRPr="00532A38" w:rsidRDefault="00C35760" w:rsidP="006102CC">
      <w:pPr>
        <w:pStyle w:val="a3"/>
        <w:numPr>
          <w:ilvl w:val="0"/>
          <w:numId w:val="11"/>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Once the Mainland authorities had vetted the documents and approved the application, they would issue to the PRC Subsidiary: </w:t>
      </w:r>
    </w:p>
    <w:p w14:paraId="7CCAE7E5"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7E6" w14:textId="3BF081DE" w:rsidR="00C35760" w:rsidRPr="00532A38" w:rsidRDefault="00C35760" w:rsidP="006102CC">
      <w:pPr>
        <w:pStyle w:val="a3"/>
        <w:numPr>
          <w:ilvl w:val="1"/>
          <w:numId w:val="11"/>
        </w:numPr>
        <w:tabs>
          <w:tab w:val="left" w:pos="2460"/>
        </w:tabs>
        <w:overflowPunct w:val="0"/>
        <w:spacing w:after="0" w:line="240" w:lineRule="auto"/>
        <w:ind w:leftChars="878" w:left="2460"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a </w:t>
      </w:r>
      <w:r w:rsidR="006102CC">
        <w:rPr>
          <w:rFonts w:ascii="Times New Roman" w:hAnsi="Times New Roman" w:cs="Times New Roman"/>
          <w:sz w:val="24"/>
          <w:szCs w:val="24"/>
        </w:rPr>
        <w:t>‘</w:t>
      </w:r>
      <w:r w:rsidRPr="00532A38">
        <w:rPr>
          <w:rFonts w:ascii="Times New Roman" w:hAnsi="Times New Roman" w:cs="Times New Roman"/>
          <w:sz w:val="24"/>
          <w:szCs w:val="24"/>
        </w:rPr>
        <w:t>Certificate of Approval to Carry on Processing Trade</w:t>
      </w:r>
      <w:r w:rsidR="006102CC">
        <w:rPr>
          <w:rFonts w:ascii="Times New Roman" w:hAnsi="Times New Roman" w:cs="Times New Roman"/>
          <w:sz w:val="24"/>
          <w:szCs w:val="24"/>
        </w:rPr>
        <w:t>’</w:t>
      </w:r>
      <w:r w:rsidRPr="00532A38">
        <w:rPr>
          <w:rFonts w:ascii="Times New Roman" w:hAnsi="Times New Roman" w:cs="Times New Roman"/>
          <w:sz w:val="24"/>
          <w:szCs w:val="24"/>
        </w:rPr>
        <w:t>;</w:t>
      </w:r>
    </w:p>
    <w:p w14:paraId="7CCAE7E7" w14:textId="77777777" w:rsidR="00C35760" w:rsidRPr="00532A38" w:rsidRDefault="00C35760" w:rsidP="006102CC">
      <w:pPr>
        <w:pStyle w:val="a3"/>
        <w:tabs>
          <w:tab w:val="left" w:pos="2460"/>
        </w:tabs>
        <w:overflowPunct w:val="0"/>
        <w:spacing w:after="0" w:line="240" w:lineRule="auto"/>
        <w:ind w:leftChars="878" w:left="2460" w:hangingChars="220" w:hanging="528"/>
        <w:jc w:val="both"/>
        <w:rPr>
          <w:rFonts w:ascii="Times New Roman" w:hAnsi="Times New Roman" w:cs="Times New Roman"/>
          <w:sz w:val="24"/>
          <w:szCs w:val="24"/>
        </w:rPr>
      </w:pPr>
    </w:p>
    <w:p w14:paraId="7CCAE7E8" w14:textId="6C376430" w:rsidR="00C35760" w:rsidRPr="00532A38" w:rsidRDefault="00C35760" w:rsidP="006102CC">
      <w:pPr>
        <w:pStyle w:val="a3"/>
        <w:numPr>
          <w:ilvl w:val="1"/>
          <w:numId w:val="11"/>
        </w:numPr>
        <w:tabs>
          <w:tab w:val="left" w:pos="2460"/>
        </w:tabs>
        <w:overflowPunct w:val="0"/>
        <w:spacing w:after="0" w:line="240" w:lineRule="auto"/>
        <w:ind w:leftChars="878" w:left="2460"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a </w:t>
      </w:r>
      <w:r w:rsidR="006102CC">
        <w:rPr>
          <w:rFonts w:ascii="Times New Roman" w:hAnsi="Times New Roman" w:cs="Times New Roman"/>
          <w:sz w:val="24"/>
          <w:szCs w:val="24"/>
        </w:rPr>
        <w:t>‘</w:t>
      </w:r>
      <w:r w:rsidRPr="00532A38">
        <w:rPr>
          <w:rFonts w:ascii="Times New Roman" w:hAnsi="Times New Roman" w:cs="Times New Roman"/>
          <w:sz w:val="24"/>
          <w:szCs w:val="24"/>
        </w:rPr>
        <w:t>Processing Trade Handbook</w:t>
      </w:r>
      <w:r w:rsidR="006102CC">
        <w:rPr>
          <w:rFonts w:ascii="Times New Roman" w:hAnsi="Times New Roman" w:cs="Times New Roman"/>
          <w:sz w:val="24"/>
          <w:szCs w:val="24"/>
        </w:rPr>
        <w:t>’</w:t>
      </w:r>
      <w:r w:rsidRPr="00532A38">
        <w:rPr>
          <w:rFonts w:ascii="Times New Roman" w:hAnsi="Times New Roman" w:cs="Times New Roman"/>
          <w:sz w:val="24"/>
          <w:szCs w:val="24"/>
        </w:rPr>
        <w:t>, which would be needed by the PRC Subsidiary for clearance at customs when transporting the raw materials and manufactured products in an</w:t>
      </w:r>
      <w:r w:rsidR="002C198A" w:rsidRPr="00532A38">
        <w:rPr>
          <w:rFonts w:ascii="Times New Roman" w:hAnsi="Times New Roman" w:cs="Times New Roman"/>
          <w:sz w:val="24"/>
          <w:szCs w:val="24"/>
        </w:rPr>
        <w:t>d</w:t>
      </w:r>
      <w:r w:rsidRPr="00532A38">
        <w:rPr>
          <w:rFonts w:ascii="Times New Roman" w:hAnsi="Times New Roman" w:cs="Times New Roman"/>
          <w:sz w:val="24"/>
          <w:szCs w:val="24"/>
        </w:rPr>
        <w:t xml:space="preserve"> out of the Mainland as proof that all procedures are complied with in order to obtain the benefit of not having to pay tax under </w:t>
      </w:r>
      <w:r w:rsidR="002C198A" w:rsidRPr="00532A38">
        <w:rPr>
          <w:rFonts w:ascii="Times New Roman" w:hAnsi="Times New Roman" w:cs="Times New Roman"/>
          <w:sz w:val="24"/>
          <w:szCs w:val="24"/>
        </w:rPr>
        <w:t xml:space="preserve">import </w:t>
      </w:r>
      <w:r w:rsidRPr="00532A38">
        <w:rPr>
          <w:rFonts w:ascii="Times New Roman" w:hAnsi="Times New Roman" w:cs="Times New Roman"/>
          <w:sz w:val="24"/>
          <w:szCs w:val="24"/>
        </w:rPr>
        <w:t>processing trade.</w:t>
      </w:r>
    </w:p>
    <w:p w14:paraId="7CCAE7E9" w14:textId="77777777" w:rsidR="00C35760" w:rsidRPr="006102CC" w:rsidRDefault="00C35760" w:rsidP="0046026A">
      <w:pPr>
        <w:pStyle w:val="a3"/>
        <w:overflowPunct w:val="0"/>
        <w:spacing w:after="0" w:line="240" w:lineRule="auto"/>
        <w:ind w:left="360"/>
        <w:jc w:val="both"/>
        <w:rPr>
          <w:rFonts w:ascii="Times New Roman" w:hAnsi="Times New Roman" w:cs="Times New Roman"/>
          <w:sz w:val="24"/>
          <w:szCs w:val="24"/>
        </w:rPr>
      </w:pPr>
    </w:p>
    <w:p w14:paraId="7CCAE7EA" w14:textId="0C75CF18" w:rsidR="00DC1698"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further testified that corresponding with the export and import contracts between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submitted to the Mainland Authorities, she would prepare the invoices from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to the PRC Subsidiary for the raw materials, invoices from the PRC Subsidiary to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for the finished products which </w:t>
      </w:r>
      <w:r w:rsidR="00652AD1" w:rsidRPr="00532A38">
        <w:rPr>
          <w:rFonts w:ascii="Times New Roman" w:hAnsi="Times New Roman" w:cs="Times New Roman"/>
          <w:sz w:val="24"/>
          <w:szCs w:val="24"/>
        </w:rPr>
        <w:t>w</w:t>
      </w:r>
      <w:r w:rsidR="00652AD1">
        <w:rPr>
          <w:rFonts w:ascii="Times New Roman" w:hAnsi="Times New Roman" w:cs="Times New Roman"/>
          <w:sz w:val="24"/>
          <w:szCs w:val="24"/>
        </w:rPr>
        <w:t>ere</w:t>
      </w:r>
      <w:r w:rsidR="00652AD1"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prepared on the letterhead of the PRC Subsidiary stamped with the chops of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and payment  notices issued by the PRC Subsidiary to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 which documented a payment made by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to the PRC Subsidiary on the contracts which were the subject of the Processing Trade Handbook.  Of the invoices issued by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to the PRC Subsidiary of the raw materials, 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claimed that the </w:t>
      </w:r>
      <w:r w:rsidR="00181E0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made no profits from the sale, but the profit</w:t>
      </w:r>
      <w:r w:rsidR="00652AD1">
        <w:rPr>
          <w:rFonts w:ascii="Times New Roman" w:hAnsi="Times New Roman" w:cs="Times New Roman"/>
          <w:sz w:val="24"/>
          <w:szCs w:val="24"/>
        </w:rPr>
        <w:t>s</w:t>
      </w:r>
      <w:r w:rsidRPr="00532A38">
        <w:rPr>
          <w:rFonts w:ascii="Times New Roman" w:hAnsi="Times New Roman" w:cs="Times New Roman"/>
          <w:sz w:val="24"/>
          <w:szCs w:val="24"/>
        </w:rPr>
        <w:t xml:space="preserve"> </w:t>
      </w:r>
      <w:r w:rsidR="00652AD1" w:rsidRPr="00532A38">
        <w:rPr>
          <w:rFonts w:ascii="Times New Roman" w:hAnsi="Times New Roman" w:cs="Times New Roman"/>
          <w:sz w:val="24"/>
          <w:szCs w:val="24"/>
        </w:rPr>
        <w:t>w</w:t>
      </w:r>
      <w:r w:rsidR="00652AD1">
        <w:rPr>
          <w:rFonts w:ascii="Times New Roman" w:hAnsi="Times New Roman" w:cs="Times New Roman"/>
          <w:sz w:val="24"/>
          <w:szCs w:val="24"/>
        </w:rPr>
        <w:t>ere</w:t>
      </w:r>
      <w:r w:rsidR="00652AD1"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made in charging the PRC Subsidiary for the delivery.  </w:t>
      </w:r>
    </w:p>
    <w:p w14:paraId="7CCAE7EB" w14:textId="77777777" w:rsidR="00DC1698" w:rsidRPr="00532A38" w:rsidRDefault="00DC1698" w:rsidP="006102CC">
      <w:pPr>
        <w:pStyle w:val="a3"/>
        <w:overflowPunct w:val="0"/>
        <w:spacing w:after="0" w:line="240" w:lineRule="auto"/>
        <w:ind w:left="0"/>
        <w:jc w:val="both"/>
        <w:rPr>
          <w:rFonts w:ascii="Times New Roman" w:hAnsi="Times New Roman" w:cs="Times New Roman"/>
          <w:sz w:val="24"/>
          <w:szCs w:val="24"/>
        </w:rPr>
      </w:pPr>
    </w:p>
    <w:p w14:paraId="7CCAE7EC" w14:textId="1E967442"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Of the invoices and payment notices issued by the PRC Subsidiary to the </w:t>
      </w:r>
      <w:r w:rsidR="00181E0F" w:rsidRPr="00532A38">
        <w:rPr>
          <w:rFonts w:ascii="Times New Roman" w:hAnsi="Times New Roman" w:cs="Times New Roman"/>
          <w:sz w:val="24"/>
          <w:szCs w:val="24"/>
        </w:rPr>
        <w:t>Appellant</w:t>
      </w:r>
      <w:r w:rsidRPr="00532A38">
        <w:rPr>
          <w:rFonts w:ascii="Times New Roman" w:hAnsi="Times New Roman" w:cs="Times New Roman"/>
          <w:sz w:val="24"/>
          <w:szCs w:val="24"/>
        </w:rPr>
        <w:t>, 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claimed that in reality no payment had been made by the </w:t>
      </w:r>
      <w:r w:rsidR="00DC1698"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to the PRC Subsidiary pursuant to these invoices and payment notices as single transactions, although from time to time random amount of say HK$100,000 or HK$200,000 were paid by the </w:t>
      </w:r>
      <w:r w:rsidR="00DC1698"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to the PRC Subsidiary on a need basis.</w:t>
      </w:r>
    </w:p>
    <w:p w14:paraId="7CCAE7ED"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7EE" w14:textId="1896444A"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sought to explain that the relevant invoices prepared between the </w:t>
      </w:r>
      <w:r w:rsidR="00DC1698"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were </w:t>
      </w:r>
      <w:r w:rsidR="00DC1698" w:rsidRPr="00532A38">
        <w:rPr>
          <w:rFonts w:ascii="Times New Roman" w:hAnsi="Times New Roman" w:cs="Times New Roman"/>
          <w:sz w:val="24"/>
          <w:szCs w:val="24"/>
        </w:rPr>
        <w:t xml:space="preserve">fabricated or </w:t>
      </w:r>
      <w:r w:rsidRPr="00532A38">
        <w:rPr>
          <w:rFonts w:ascii="Times New Roman" w:hAnsi="Times New Roman" w:cs="Times New Roman"/>
          <w:sz w:val="24"/>
          <w:szCs w:val="24"/>
        </w:rPr>
        <w:t xml:space="preserve">falsified in order to satisfy the requirements of the Inland Revenue Department, and therefore no actual payments were being made by the PRC Subsidiary to the </w:t>
      </w:r>
      <w:r w:rsidR="00DC1698"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on those invoices.</w:t>
      </w:r>
      <w:r w:rsidR="00DC1698" w:rsidRPr="00532A38">
        <w:rPr>
          <w:rFonts w:ascii="Times New Roman" w:hAnsi="Times New Roman" w:cs="Times New Roman"/>
          <w:sz w:val="24"/>
          <w:szCs w:val="24"/>
        </w:rPr>
        <w:t xml:space="preserve"> This Board pauses to note that there is no requirement from the Inland Revenue Department to any taxpayers to fabricate or falsify any documents. It is the duty of every taxpayer to present a true and fair view of their financial position in their tax returns to the Inland Revenue Department. </w:t>
      </w:r>
    </w:p>
    <w:p w14:paraId="7CCAE7EF"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7F0" w14:textId="792D6515"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w:t>
      </w:r>
      <w:r w:rsidR="00F9221C" w:rsidRPr="00532A38">
        <w:rPr>
          <w:rFonts w:ascii="Times New Roman" w:hAnsi="Times New Roman" w:cs="Times New Roman"/>
          <w:sz w:val="24"/>
          <w:szCs w:val="24"/>
        </w:rPr>
        <w:t xml:space="preserve">further gave evidence </w:t>
      </w:r>
      <w:r w:rsidRPr="00532A38">
        <w:rPr>
          <w:rFonts w:ascii="Times New Roman" w:hAnsi="Times New Roman" w:cs="Times New Roman"/>
          <w:sz w:val="24"/>
          <w:szCs w:val="24"/>
        </w:rPr>
        <w:t xml:space="preserve">that the business of the </w:t>
      </w:r>
      <w:r w:rsidR="00F9221C"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was not trading, but manufacturing of card products.  She sought to support this statement by </w:t>
      </w:r>
      <w:r w:rsidRPr="00532A38">
        <w:rPr>
          <w:rFonts w:ascii="Times New Roman" w:hAnsi="Times New Roman" w:cs="Times New Roman"/>
          <w:sz w:val="24"/>
          <w:szCs w:val="24"/>
        </w:rPr>
        <w:lastRenderedPageBreak/>
        <w:t xml:space="preserve">reference to the volume of card products produced by the PRC Subsidiary, in that only 10% of the card products involved the use of chips that were provided by the </w:t>
      </w:r>
      <w:r w:rsidR="00F9221C"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The other 57% of the </w:t>
      </w:r>
      <w:r w:rsidR="00F9221C"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products involved card products without IC Chips and for the production of around 33% of card products it was the client</w:t>
      </w:r>
      <w:r w:rsidR="00F9221C" w:rsidRPr="00532A38">
        <w:rPr>
          <w:rFonts w:ascii="Times New Roman" w:hAnsi="Times New Roman" w:cs="Times New Roman"/>
          <w:sz w:val="24"/>
          <w:szCs w:val="24"/>
        </w:rPr>
        <w:t>s</w:t>
      </w:r>
      <w:r w:rsidRPr="00532A38">
        <w:rPr>
          <w:rFonts w:ascii="Times New Roman" w:hAnsi="Times New Roman" w:cs="Times New Roman"/>
          <w:sz w:val="24"/>
          <w:szCs w:val="24"/>
        </w:rPr>
        <w:t xml:space="preserve"> of </w:t>
      </w:r>
      <w:r w:rsidR="00F9221C" w:rsidRPr="00532A38">
        <w:rPr>
          <w:rFonts w:ascii="Times New Roman" w:hAnsi="Times New Roman" w:cs="Times New Roman"/>
          <w:sz w:val="24"/>
          <w:szCs w:val="24"/>
        </w:rPr>
        <w:t xml:space="preserve">the Appellant </w:t>
      </w:r>
      <w:r w:rsidRPr="00532A38">
        <w:rPr>
          <w:rFonts w:ascii="Times New Roman" w:hAnsi="Times New Roman" w:cs="Times New Roman"/>
          <w:sz w:val="24"/>
          <w:szCs w:val="24"/>
        </w:rPr>
        <w:t>who provided the chip.  Ms</w:t>
      </w:r>
      <w:r w:rsidR="006102CC">
        <w:rPr>
          <w:rFonts w:ascii="Times New Roman" w:hAnsi="Times New Roman" w:cs="Times New Roman"/>
          <w:sz w:val="24"/>
          <w:szCs w:val="24"/>
        </w:rPr>
        <w:t xml:space="preserve"> G</w:t>
      </w:r>
      <w:r w:rsidRPr="00532A38">
        <w:rPr>
          <w:rFonts w:ascii="Times New Roman" w:hAnsi="Times New Roman" w:cs="Times New Roman"/>
          <w:sz w:val="24"/>
          <w:szCs w:val="24"/>
        </w:rPr>
        <w:t xml:space="preserve"> further claimed that the representations from the </w:t>
      </w:r>
      <w:r w:rsidR="00F9221C"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directors to the Commissioner that the </w:t>
      </w:r>
      <w:r w:rsidR="00F9221C"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was </w:t>
      </w:r>
      <w:r w:rsidR="002C198A" w:rsidRPr="00532A38">
        <w:rPr>
          <w:rFonts w:ascii="Times New Roman" w:hAnsi="Times New Roman" w:cs="Times New Roman"/>
          <w:sz w:val="24"/>
          <w:szCs w:val="24"/>
        </w:rPr>
        <w:t>in the business of</w:t>
      </w:r>
      <w:r w:rsidRPr="00532A38">
        <w:rPr>
          <w:rFonts w:ascii="Times New Roman" w:hAnsi="Times New Roman" w:cs="Times New Roman"/>
          <w:sz w:val="24"/>
          <w:szCs w:val="24"/>
        </w:rPr>
        <w:t xml:space="preserve"> </w:t>
      </w:r>
      <w:r w:rsidR="00D4428D">
        <w:rPr>
          <w:rFonts w:ascii="Times New Roman" w:hAnsi="Times New Roman" w:cs="Times New Roman"/>
          <w:sz w:val="24"/>
          <w:szCs w:val="24"/>
        </w:rPr>
        <w:t>‘</w:t>
      </w:r>
      <w:r w:rsidRPr="00532A38">
        <w:rPr>
          <w:rFonts w:ascii="Times New Roman" w:hAnsi="Times New Roman" w:cs="Times New Roman"/>
          <w:sz w:val="24"/>
          <w:szCs w:val="24"/>
        </w:rPr>
        <w:t>trading of SIM card products</w:t>
      </w:r>
      <w:r w:rsidR="00D4428D">
        <w:rPr>
          <w:rFonts w:ascii="Times New Roman" w:hAnsi="Times New Roman" w:cs="Times New Roman"/>
          <w:sz w:val="24"/>
          <w:szCs w:val="24"/>
        </w:rPr>
        <w:t>’</w:t>
      </w:r>
      <w:r w:rsidRPr="00532A38">
        <w:rPr>
          <w:rFonts w:ascii="Times New Roman" w:hAnsi="Times New Roman" w:cs="Times New Roman"/>
          <w:sz w:val="24"/>
          <w:szCs w:val="24"/>
        </w:rPr>
        <w:t xml:space="preserve"> </w:t>
      </w:r>
      <w:r w:rsidR="002C198A" w:rsidRPr="00532A38">
        <w:rPr>
          <w:rFonts w:ascii="Times New Roman" w:hAnsi="Times New Roman" w:cs="Times New Roman"/>
          <w:sz w:val="24"/>
          <w:szCs w:val="24"/>
        </w:rPr>
        <w:t>was</w:t>
      </w:r>
      <w:r w:rsidRPr="00532A38">
        <w:rPr>
          <w:rFonts w:ascii="Times New Roman" w:hAnsi="Times New Roman" w:cs="Times New Roman"/>
          <w:sz w:val="24"/>
          <w:szCs w:val="24"/>
        </w:rPr>
        <w:t xml:space="preserve"> </w:t>
      </w:r>
      <w:r w:rsidR="00F9221C" w:rsidRPr="00532A38">
        <w:rPr>
          <w:rFonts w:ascii="Times New Roman" w:hAnsi="Times New Roman" w:cs="Times New Roman"/>
          <w:sz w:val="24"/>
          <w:szCs w:val="24"/>
        </w:rPr>
        <w:t>false</w:t>
      </w:r>
      <w:r w:rsidRPr="00532A38">
        <w:rPr>
          <w:rFonts w:ascii="Times New Roman" w:hAnsi="Times New Roman" w:cs="Times New Roman"/>
          <w:sz w:val="24"/>
          <w:szCs w:val="24"/>
        </w:rPr>
        <w:t>.</w:t>
      </w:r>
      <w:r w:rsidR="00F9221C" w:rsidRPr="00532A38">
        <w:rPr>
          <w:rFonts w:ascii="Times New Roman" w:hAnsi="Times New Roman" w:cs="Times New Roman"/>
          <w:sz w:val="24"/>
          <w:szCs w:val="24"/>
        </w:rPr>
        <w:t xml:space="preserve"> This Board again pauses to note that this is a serious allegation against the </w:t>
      </w:r>
      <w:r w:rsidR="00F84389" w:rsidRPr="00532A38">
        <w:rPr>
          <w:rFonts w:ascii="Times New Roman" w:hAnsi="Times New Roman" w:cs="Times New Roman"/>
          <w:sz w:val="24"/>
          <w:szCs w:val="24"/>
        </w:rPr>
        <w:t>two directors of the Appellant and curiously those two directors were not called as witnesses.</w:t>
      </w:r>
    </w:p>
    <w:p w14:paraId="7CCAE7F1"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7F2" w14:textId="2BD00A4E" w:rsidR="00C35760" w:rsidRPr="006102CC" w:rsidRDefault="00F84389" w:rsidP="0046026A">
      <w:pPr>
        <w:overflowPunct w:val="0"/>
        <w:spacing w:after="0" w:line="240" w:lineRule="auto"/>
        <w:jc w:val="both"/>
        <w:rPr>
          <w:rFonts w:ascii="Times New Roman" w:hAnsi="Times New Roman" w:cs="Times New Roman"/>
          <w:sz w:val="24"/>
          <w:szCs w:val="24"/>
          <w:u w:val="single"/>
        </w:rPr>
      </w:pPr>
      <w:r w:rsidRPr="006102CC">
        <w:rPr>
          <w:rFonts w:ascii="Times New Roman" w:hAnsi="Times New Roman" w:cs="Times New Roman"/>
          <w:sz w:val="24"/>
          <w:szCs w:val="24"/>
          <w:u w:val="single"/>
        </w:rPr>
        <w:t xml:space="preserve">The Evidence of </w:t>
      </w:r>
      <w:r w:rsidR="00C35760" w:rsidRPr="006102CC">
        <w:rPr>
          <w:rFonts w:ascii="Times New Roman" w:hAnsi="Times New Roman" w:cs="Times New Roman"/>
          <w:sz w:val="24"/>
          <w:szCs w:val="24"/>
          <w:u w:val="single"/>
        </w:rPr>
        <w:t>Mr</w:t>
      </w:r>
      <w:r w:rsidR="006102CC">
        <w:rPr>
          <w:rFonts w:ascii="Times New Roman" w:hAnsi="Times New Roman" w:cs="Times New Roman"/>
          <w:sz w:val="24"/>
          <w:szCs w:val="24"/>
          <w:u w:val="single"/>
        </w:rPr>
        <w:t xml:space="preserve"> H</w:t>
      </w:r>
    </w:p>
    <w:p w14:paraId="3DADBDC6" w14:textId="77777777" w:rsidR="006102CC" w:rsidRPr="00532A38" w:rsidRDefault="006102CC" w:rsidP="0046026A">
      <w:pPr>
        <w:overflowPunct w:val="0"/>
        <w:spacing w:after="0" w:line="240" w:lineRule="auto"/>
        <w:jc w:val="both"/>
        <w:rPr>
          <w:rFonts w:ascii="Times New Roman" w:hAnsi="Times New Roman" w:cs="Times New Roman"/>
          <w:i/>
          <w:sz w:val="24"/>
          <w:szCs w:val="24"/>
        </w:rPr>
      </w:pPr>
    </w:p>
    <w:p w14:paraId="7CCAE7F3" w14:textId="247E8D13" w:rsidR="00F84389"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Mr</w:t>
      </w:r>
      <w:r w:rsidR="006102CC">
        <w:rPr>
          <w:rFonts w:ascii="Times New Roman" w:hAnsi="Times New Roman" w:cs="Times New Roman"/>
          <w:sz w:val="24"/>
          <w:szCs w:val="24"/>
        </w:rPr>
        <w:t xml:space="preserve"> H</w:t>
      </w:r>
      <w:r w:rsidRPr="00532A38">
        <w:rPr>
          <w:rFonts w:ascii="Times New Roman" w:hAnsi="Times New Roman" w:cs="Times New Roman"/>
          <w:sz w:val="24"/>
          <w:szCs w:val="24"/>
        </w:rPr>
        <w:t>’s witness statement (which was admitted by this Board as evidence despite he did not appear to testify), he described himself as a retired civil servant of the General Tax Bureau of the People’s Republic of China.  Mr</w:t>
      </w:r>
      <w:r w:rsidR="006102CC">
        <w:rPr>
          <w:rFonts w:ascii="Times New Roman" w:hAnsi="Times New Roman" w:cs="Times New Roman"/>
          <w:sz w:val="24"/>
          <w:szCs w:val="24"/>
        </w:rPr>
        <w:t xml:space="preserve"> H</w:t>
      </w:r>
      <w:r w:rsidRPr="00532A38">
        <w:rPr>
          <w:rFonts w:ascii="Times New Roman" w:hAnsi="Times New Roman" w:cs="Times New Roman"/>
          <w:sz w:val="24"/>
          <w:szCs w:val="24"/>
        </w:rPr>
        <w:t xml:space="preserve"> referred to a Notice of the General Tax Bureau of the People’s Republic of China dated 4 April 2017 on the interpretation and implementation of the </w:t>
      </w:r>
      <w:r w:rsidR="006102CC">
        <w:rPr>
          <w:rFonts w:ascii="Times New Roman" w:hAnsi="Times New Roman" w:cs="Times New Roman"/>
          <w:sz w:val="24"/>
          <w:szCs w:val="24"/>
        </w:rPr>
        <w:t>‘</w:t>
      </w:r>
      <w:r w:rsidRPr="00532A38">
        <w:rPr>
          <w:rFonts w:ascii="Times New Roman" w:hAnsi="Times New Roman" w:cs="Times New Roman"/>
          <w:sz w:val="24"/>
          <w:szCs w:val="24"/>
        </w:rPr>
        <w:t>Arrangement between the Mainland and the Hong Kong Special Administrative Region in relation to avoidance of double taxation of profit tax and the prevention of avoidance of tax</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w:t>
      </w:r>
      <w:r w:rsidR="006102CC">
        <w:rPr>
          <w:rFonts w:ascii="Times New Roman" w:hAnsi="Times New Roman" w:cs="Times New Roman"/>
          <w:sz w:val="24"/>
          <w:szCs w:val="24"/>
        </w:rPr>
        <w:t>‘</w:t>
      </w:r>
      <w:r w:rsidRPr="006102CC">
        <w:rPr>
          <w:rFonts w:ascii="Times New Roman" w:hAnsi="Times New Roman" w:cs="Times New Roman"/>
          <w:sz w:val="24"/>
          <w:szCs w:val="24"/>
        </w:rPr>
        <w:t>the PRC Double Taxation Arrangement</w:t>
      </w:r>
      <w:r w:rsidR="006102CC">
        <w:rPr>
          <w:rFonts w:ascii="Times New Roman" w:hAnsi="Times New Roman" w:cs="Times New Roman"/>
          <w:sz w:val="24"/>
          <w:szCs w:val="24"/>
        </w:rPr>
        <w:t>’</w:t>
      </w:r>
      <w:r w:rsidRPr="00532A38">
        <w:rPr>
          <w:rFonts w:ascii="Times New Roman" w:hAnsi="Times New Roman" w:cs="Times New Roman"/>
          <w:sz w:val="24"/>
          <w:szCs w:val="24"/>
        </w:rPr>
        <w:t>).  Mr</w:t>
      </w:r>
      <w:r w:rsidR="006102CC">
        <w:rPr>
          <w:rFonts w:ascii="Times New Roman" w:hAnsi="Times New Roman" w:cs="Times New Roman"/>
          <w:sz w:val="24"/>
          <w:szCs w:val="24"/>
        </w:rPr>
        <w:t xml:space="preserve"> H</w:t>
      </w:r>
      <w:r w:rsidRPr="00532A38">
        <w:rPr>
          <w:rFonts w:ascii="Times New Roman" w:hAnsi="Times New Roman" w:cs="Times New Roman"/>
          <w:sz w:val="24"/>
          <w:szCs w:val="24"/>
        </w:rPr>
        <w:t xml:space="preserve"> </w:t>
      </w:r>
      <w:r w:rsidR="00F84389" w:rsidRPr="00532A38">
        <w:rPr>
          <w:rFonts w:ascii="Times New Roman" w:hAnsi="Times New Roman" w:cs="Times New Roman"/>
          <w:sz w:val="24"/>
          <w:szCs w:val="24"/>
        </w:rPr>
        <w:t xml:space="preserve">also </w:t>
      </w:r>
      <w:r w:rsidRPr="00532A38">
        <w:rPr>
          <w:rFonts w:ascii="Times New Roman" w:hAnsi="Times New Roman" w:cs="Times New Roman"/>
          <w:sz w:val="24"/>
          <w:szCs w:val="24"/>
        </w:rPr>
        <w:t xml:space="preserve">referred to Articles 5 and 23 of the PRC Double Taxation Arrangement and opined that in the course of </w:t>
      </w:r>
      <w:r w:rsidR="006102CC">
        <w:rPr>
          <w:rFonts w:ascii="Times New Roman" w:hAnsi="Times New Roman" w:cs="Times New Roman"/>
          <w:sz w:val="24"/>
          <w:szCs w:val="24"/>
        </w:rPr>
        <w:t>‘</w:t>
      </w:r>
      <w:r w:rsidRPr="00532A38">
        <w:rPr>
          <w:rFonts w:ascii="Times New Roman" w:hAnsi="Times New Roman" w:cs="Times New Roman"/>
          <w:sz w:val="24"/>
          <w:szCs w:val="24"/>
        </w:rPr>
        <w:t>import processing</w:t>
      </w:r>
      <w:r w:rsidR="006102CC">
        <w:rPr>
          <w:rFonts w:ascii="Times New Roman" w:hAnsi="Times New Roman" w:cs="Times New Roman"/>
          <w:sz w:val="24"/>
          <w:szCs w:val="24"/>
        </w:rPr>
        <w:t>’</w:t>
      </w:r>
      <w:r w:rsidR="00652AD1">
        <w:rPr>
          <w:rFonts w:ascii="Times New Roman" w:hAnsi="Times New Roman" w:cs="Times New Roman"/>
          <w:sz w:val="24"/>
          <w:szCs w:val="24"/>
        </w:rPr>
        <w:t>,</w:t>
      </w:r>
      <w:r w:rsidRPr="00532A38">
        <w:rPr>
          <w:rFonts w:ascii="Times New Roman" w:hAnsi="Times New Roman" w:cs="Times New Roman"/>
          <w:sz w:val="24"/>
          <w:szCs w:val="24"/>
        </w:rPr>
        <w:t xml:space="preserve"> a Hong Kong enterprise has participated in the manufacturing, supervision, management and the sale of products of the PRC entity, then the Hong Kong enterprise can be treated as a permanent establishment in the PRC subject to profit tax in </w:t>
      </w:r>
      <w:r w:rsidR="00652AD1">
        <w:rPr>
          <w:rFonts w:ascii="Times New Roman" w:hAnsi="Times New Roman" w:cs="Times New Roman"/>
          <w:sz w:val="24"/>
          <w:szCs w:val="24"/>
        </w:rPr>
        <w:t xml:space="preserve">the </w:t>
      </w:r>
      <w:r w:rsidRPr="00532A38">
        <w:rPr>
          <w:rFonts w:ascii="Times New Roman" w:hAnsi="Times New Roman" w:cs="Times New Roman"/>
          <w:sz w:val="24"/>
          <w:szCs w:val="24"/>
        </w:rPr>
        <w:t xml:space="preserve">PRC, in which case the taxpayer may submit the case to the relevant PRC Tax Bureau.  </w:t>
      </w:r>
    </w:p>
    <w:p w14:paraId="7CCAE7F4" w14:textId="77777777" w:rsidR="00F84389" w:rsidRPr="00532A38" w:rsidRDefault="00F84389" w:rsidP="006102CC">
      <w:pPr>
        <w:pStyle w:val="a3"/>
        <w:overflowPunct w:val="0"/>
        <w:spacing w:after="0" w:line="240" w:lineRule="auto"/>
        <w:ind w:left="0"/>
        <w:jc w:val="both"/>
        <w:rPr>
          <w:rFonts w:ascii="Times New Roman" w:hAnsi="Times New Roman" w:cs="Times New Roman"/>
          <w:sz w:val="24"/>
          <w:szCs w:val="24"/>
        </w:rPr>
      </w:pPr>
    </w:p>
    <w:p w14:paraId="7CCAE7F5" w14:textId="0CF6C5B9"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the event that the relevant divisional PRC Tax Bureau may have </w:t>
      </w:r>
      <w:r w:rsidR="002C198A" w:rsidRPr="00532A38">
        <w:rPr>
          <w:rFonts w:ascii="Times New Roman" w:hAnsi="Times New Roman" w:cs="Times New Roman"/>
          <w:sz w:val="24"/>
          <w:szCs w:val="24"/>
        </w:rPr>
        <w:t>difficulties</w:t>
      </w:r>
      <w:r w:rsidRPr="00532A38">
        <w:rPr>
          <w:rFonts w:ascii="Times New Roman" w:hAnsi="Times New Roman" w:cs="Times New Roman"/>
          <w:sz w:val="24"/>
          <w:szCs w:val="24"/>
        </w:rPr>
        <w:t xml:space="preserve"> in enforcing the relevant provisions under the Arrangement between the Mainland and the Hong Kong Special Administrative Region in relation to avoidance of double taxation of profit tax and the prevention of </w:t>
      </w:r>
      <w:r w:rsidR="002C198A" w:rsidRPr="00532A38">
        <w:rPr>
          <w:rFonts w:ascii="Times New Roman" w:hAnsi="Times New Roman" w:cs="Times New Roman"/>
          <w:sz w:val="24"/>
          <w:szCs w:val="24"/>
        </w:rPr>
        <w:t>tax evasion</w:t>
      </w:r>
      <w:r w:rsidRPr="00532A38">
        <w:rPr>
          <w:rFonts w:ascii="Times New Roman" w:hAnsi="Times New Roman" w:cs="Times New Roman"/>
          <w:sz w:val="24"/>
          <w:szCs w:val="24"/>
        </w:rPr>
        <w:t xml:space="preserve"> which requires communications with the Inland Revenue Department of Hong Kong, then it shall report to the General Tax Bureau of the PRC to negotiate with the Inland R</w:t>
      </w:r>
      <w:r w:rsidR="002C198A" w:rsidRPr="00532A38">
        <w:rPr>
          <w:rFonts w:ascii="Times New Roman" w:hAnsi="Times New Roman" w:cs="Times New Roman"/>
          <w:sz w:val="24"/>
          <w:szCs w:val="24"/>
        </w:rPr>
        <w:t xml:space="preserve">evenue Department of Hong Kong. </w:t>
      </w:r>
      <w:r w:rsidRPr="00532A38">
        <w:rPr>
          <w:rFonts w:ascii="Times New Roman" w:hAnsi="Times New Roman" w:cs="Times New Roman"/>
          <w:sz w:val="24"/>
          <w:szCs w:val="24"/>
        </w:rPr>
        <w:t>Mr</w:t>
      </w:r>
      <w:r w:rsidR="00D4428D">
        <w:rPr>
          <w:rFonts w:ascii="Times New Roman" w:hAnsi="Times New Roman" w:cs="Times New Roman"/>
          <w:sz w:val="24"/>
          <w:szCs w:val="24"/>
        </w:rPr>
        <w:t xml:space="preserve"> H</w:t>
      </w:r>
      <w:r w:rsidRPr="00532A38">
        <w:rPr>
          <w:rFonts w:ascii="Times New Roman" w:hAnsi="Times New Roman" w:cs="Times New Roman"/>
          <w:sz w:val="24"/>
          <w:szCs w:val="24"/>
        </w:rPr>
        <w:t xml:space="preserve"> </w:t>
      </w:r>
      <w:r w:rsidR="002C198A" w:rsidRPr="00532A38">
        <w:rPr>
          <w:rFonts w:ascii="Times New Roman" w:hAnsi="Times New Roman" w:cs="Times New Roman"/>
          <w:sz w:val="24"/>
          <w:szCs w:val="24"/>
        </w:rPr>
        <w:t>opined</w:t>
      </w:r>
      <w:r w:rsidRPr="00532A38">
        <w:rPr>
          <w:rFonts w:ascii="Times New Roman" w:hAnsi="Times New Roman" w:cs="Times New Roman"/>
          <w:sz w:val="24"/>
          <w:szCs w:val="24"/>
        </w:rPr>
        <w:t xml:space="preserve"> that the Inland Revenue Department of Hong Kong has not published the result of </w:t>
      </w:r>
      <w:r w:rsidR="002C198A" w:rsidRPr="00532A38">
        <w:rPr>
          <w:rFonts w:ascii="Times New Roman" w:hAnsi="Times New Roman" w:cs="Times New Roman"/>
          <w:sz w:val="24"/>
          <w:szCs w:val="24"/>
        </w:rPr>
        <w:t xml:space="preserve">any </w:t>
      </w:r>
      <w:r w:rsidRPr="00532A38">
        <w:rPr>
          <w:rFonts w:ascii="Times New Roman" w:hAnsi="Times New Roman" w:cs="Times New Roman"/>
          <w:sz w:val="24"/>
          <w:szCs w:val="24"/>
        </w:rPr>
        <w:t>negotiation with the PRC Tax Bureau under Article 23 of the PRC Double Taxation Arrangement, and in failing to do so Mr</w:t>
      </w:r>
      <w:r w:rsidR="00D4428D">
        <w:rPr>
          <w:rFonts w:ascii="Times New Roman" w:hAnsi="Times New Roman" w:cs="Times New Roman"/>
          <w:sz w:val="24"/>
          <w:szCs w:val="24"/>
        </w:rPr>
        <w:t xml:space="preserve"> H</w:t>
      </w:r>
      <w:r w:rsidRPr="00532A38">
        <w:rPr>
          <w:rFonts w:ascii="Times New Roman" w:hAnsi="Times New Roman" w:cs="Times New Roman"/>
          <w:sz w:val="24"/>
          <w:szCs w:val="24"/>
        </w:rPr>
        <w:t xml:space="preserve"> opined that there was selective enforcement of tax law on the part of the Inland Revenue Department.</w:t>
      </w:r>
    </w:p>
    <w:p w14:paraId="7CCAE7F6"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7F7" w14:textId="1A61D207" w:rsidR="00C35760" w:rsidRPr="00532A38" w:rsidRDefault="00C35760" w:rsidP="006102C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the witness statement of Mr</w:t>
      </w:r>
      <w:r w:rsidR="006102CC">
        <w:rPr>
          <w:rFonts w:ascii="Times New Roman" w:hAnsi="Times New Roman" w:cs="Times New Roman"/>
          <w:sz w:val="24"/>
          <w:szCs w:val="24"/>
        </w:rPr>
        <w:t xml:space="preserve"> H</w:t>
      </w:r>
      <w:r w:rsidRPr="00532A38">
        <w:rPr>
          <w:rFonts w:ascii="Times New Roman" w:hAnsi="Times New Roman" w:cs="Times New Roman"/>
          <w:sz w:val="24"/>
          <w:szCs w:val="24"/>
        </w:rPr>
        <w:t>, Mr</w:t>
      </w:r>
      <w:r w:rsidR="006102CC">
        <w:rPr>
          <w:rFonts w:ascii="Times New Roman" w:hAnsi="Times New Roman" w:cs="Times New Roman"/>
          <w:sz w:val="24"/>
          <w:szCs w:val="24"/>
        </w:rPr>
        <w:t xml:space="preserve"> H</w:t>
      </w:r>
      <w:r w:rsidRPr="00532A38">
        <w:rPr>
          <w:rFonts w:ascii="Times New Roman" w:hAnsi="Times New Roman" w:cs="Times New Roman"/>
          <w:sz w:val="24"/>
          <w:szCs w:val="24"/>
        </w:rPr>
        <w:t xml:space="preserve"> further summarized his understanding of </w:t>
      </w:r>
      <w:r w:rsidR="006102CC">
        <w:rPr>
          <w:rFonts w:ascii="Times New Roman" w:hAnsi="Times New Roman" w:cs="Times New Roman"/>
          <w:sz w:val="24"/>
          <w:szCs w:val="24"/>
        </w:rPr>
        <w:t>‘</w:t>
      </w:r>
      <w:r w:rsidRPr="00532A38">
        <w:rPr>
          <w:rFonts w:ascii="Times New Roman" w:hAnsi="Times New Roman" w:cs="Times New Roman"/>
          <w:sz w:val="24"/>
          <w:szCs w:val="24"/>
        </w:rPr>
        <w:t>import processing</w:t>
      </w:r>
      <w:r w:rsidR="006102CC">
        <w:rPr>
          <w:rFonts w:ascii="Times New Roman" w:hAnsi="Times New Roman" w:cs="Times New Roman"/>
          <w:sz w:val="24"/>
          <w:szCs w:val="24"/>
        </w:rPr>
        <w:t>’</w:t>
      </w:r>
      <w:r w:rsidRPr="00532A38">
        <w:rPr>
          <w:rFonts w:ascii="Times New Roman" w:hAnsi="Times New Roman" w:cs="Times New Roman"/>
          <w:sz w:val="24"/>
          <w:szCs w:val="24"/>
        </w:rPr>
        <w:t xml:space="preserve"> as follows:</w:t>
      </w:r>
    </w:p>
    <w:p w14:paraId="7CCAE7F8"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7F9" w14:textId="37214FDB" w:rsidR="00C35760" w:rsidRPr="00532A38" w:rsidRDefault="006102CC" w:rsidP="006102CC">
      <w:pPr>
        <w:pStyle w:val="a3"/>
        <w:numPr>
          <w:ilvl w:val="0"/>
          <w:numId w:val="12"/>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w:t>
      </w:r>
      <w:r w:rsidR="00B6731D" w:rsidRPr="00B6731D">
        <w:rPr>
          <w:rFonts w:ascii="Times New Roman" w:hAnsi="Times New Roman" w:cs="Times New Roman"/>
          <w:sz w:val="24"/>
          <w:szCs w:val="24"/>
        </w:rPr>
        <w:t>“</w:t>
      </w:r>
      <w:r w:rsidR="00C35760" w:rsidRPr="00B6731D">
        <w:rPr>
          <w:rFonts w:ascii="Times New Roman" w:hAnsi="Times New Roman" w:cs="Times New Roman"/>
          <w:sz w:val="24"/>
          <w:szCs w:val="24"/>
        </w:rPr>
        <w:t>Import processing</w:t>
      </w:r>
      <w:r w:rsidR="00B6731D" w:rsidRPr="00B6731D">
        <w:rPr>
          <w:rFonts w:ascii="Times New Roman" w:hAnsi="Times New Roman" w:cs="Times New Roman"/>
          <w:sz w:val="24"/>
          <w:szCs w:val="24"/>
        </w:rPr>
        <w:t>”</w:t>
      </w:r>
      <w:r w:rsidR="00C35760" w:rsidRPr="00B6731D">
        <w:rPr>
          <w:rFonts w:ascii="Times New Roman" w:hAnsi="Times New Roman" w:cs="Times New Roman"/>
          <w:sz w:val="24"/>
          <w:szCs w:val="24"/>
        </w:rPr>
        <w:t xml:space="preserve"> refers to such </w:t>
      </w:r>
      <w:r w:rsidR="00B6731D" w:rsidRPr="00B6731D">
        <w:rPr>
          <w:rFonts w:ascii="Times New Roman" w:hAnsi="Times New Roman" w:cs="Times New Roman"/>
          <w:sz w:val="24"/>
          <w:szCs w:val="24"/>
        </w:rPr>
        <w:t>“</w:t>
      </w:r>
      <w:r w:rsidR="00C35760" w:rsidRPr="00B6731D">
        <w:rPr>
          <w:rFonts w:ascii="Times New Roman" w:hAnsi="Times New Roman" w:cs="Times New Roman"/>
          <w:sz w:val="24"/>
          <w:szCs w:val="24"/>
        </w:rPr>
        <w:t>processing trade</w:t>
      </w:r>
      <w:r w:rsidR="00B6731D" w:rsidRPr="00B6731D">
        <w:rPr>
          <w:rFonts w:ascii="Times New Roman" w:hAnsi="Times New Roman" w:cs="Times New Roman"/>
          <w:sz w:val="24"/>
          <w:szCs w:val="24"/>
        </w:rPr>
        <w:t>”</w:t>
      </w:r>
      <w:r w:rsidR="00C35760" w:rsidRPr="00B6731D">
        <w:rPr>
          <w:rFonts w:ascii="Times New Roman" w:hAnsi="Times New Roman" w:cs="Times New Roman"/>
          <w:sz w:val="24"/>
          <w:szCs w:val="24"/>
        </w:rPr>
        <w:t xml:space="preserve"> operation which would bear such features that the imported materials and parts (from the foreign enterprise) are paid for import by the processing enterprise (in the Mainland) and the corresponding resultant products are also sold for export (to the same foreign enterprise)</w:t>
      </w:r>
      <w:r w:rsidR="00B6731D">
        <w:rPr>
          <w:rFonts w:ascii="Times New Roman" w:hAnsi="Times New Roman" w:cs="Times New Roman"/>
          <w:sz w:val="24"/>
          <w:szCs w:val="24"/>
        </w:rPr>
        <w:t>’</w:t>
      </w:r>
      <w:r w:rsidR="00134A18">
        <w:rPr>
          <w:rFonts w:ascii="Times New Roman" w:hAnsi="Times New Roman" w:cs="Times New Roman"/>
          <w:sz w:val="24"/>
          <w:szCs w:val="24"/>
        </w:rPr>
        <w:t>;</w:t>
      </w:r>
    </w:p>
    <w:p w14:paraId="7CCAE7FA" w14:textId="77777777" w:rsidR="00C35760" w:rsidRPr="00532A38" w:rsidRDefault="00C35760" w:rsidP="006102CC">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7FB" w14:textId="6E2A8378" w:rsidR="00C35760" w:rsidRPr="00532A38" w:rsidRDefault="00B6731D" w:rsidP="006102CC">
      <w:pPr>
        <w:pStyle w:val="a3"/>
        <w:numPr>
          <w:ilvl w:val="0"/>
          <w:numId w:val="12"/>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lastRenderedPageBreak/>
        <w:t>‘</w:t>
      </w:r>
      <w:r w:rsidR="00C35760" w:rsidRPr="00B6731D">
        <w:rPr>
          <w:rFonts w:ascii="Times New Roman" w:hAnsi="Times New Roman" w:cs="Times New Roman"/>
          <w:sz w:val="24"/>
          <w:szCs w:val="24"/>
        </w:rPr>
        <w:t xml:space="preserve">As for the characteristics of “contract processing” and </w:t>
      </w:r>
      <w:r w:rsidR="00134A18" w:rsidRPr="00B6731D">
        <w:rPr>
          <w:rFonts w:ascii="Times New Roman" w:hAnsi="Times New Roman" w:cs="Times New Roman"/>
          <w:sz w:val="24"/>
          <w:szCs w:val="24"/>
        </w:rPr>
        <w:t>“</w:t>
      </w:r>
      <w:r w:rsidR="00C35760" w:rsidRPr="00B6731D">
        <w:rPr>
          <w:rFonts w:ascii="Times New Roman" w:hAnsi="Times New Roman" w:cs="Times New Roman"/>
          <w:sz w:val="24"/>
          <w:szCs w:val="24"/>
        </w:rPr>
        <w:t>import processing”, they are just different settlement methods of actual business activity under “processing trade”</w:t>
      </w:r>
      <w:r>
        <w:rPr>
          <w:rFonts w:ascii="Times New Roman" w:hAnsi="Times New Roman" w:cs="Times New Roman"/>
          <w:sz w:val="24"/>
          <w:szCs w:val="24"/>
        </w:rPr>
        <w:t>’</w:t>
      </w:r>
      <w:r w:rsidR="00C35760" w:rsidRPr="00532A38">
        <w:rPr>
          <w:rFonts w:ascii="Times New Roman" w:hAnsi="Times New Roman" w:cs="Times New Roman"/>
          <w:i/>
          <w:sz w:val="24"/>
          <w:szCs w:val="24"/>
        </w:rPr>
        <w:t>.</w:t>
      </w:r>
    </w:p>
    <w:p w14:paraId="7CCAE7FC" w14:textId="77777777" w:rsidR="00C35760" w:rsidRPr="00532A38" w:rsidRDefault="00C35760" w:rsidP="0046026A">
      <w:pPr>
        <w:pStyle w:val="a3"/>
        <w:overflowPunct w:val="0"/>
        <w:spacing w:after="0" w:line="240" w:lineRule="auto"/>
        <w:ind w:left="360"/>
        <w:rPr>
          <w:rFonts w:ascii="Times New Roman" w:hAnsi="Times New Roman" w:cs="Times New Roman"/>
          <w:b/>
          <w:sz w:val="24"/>
          <w:szCs w:val="24"/>
          <w:u w:val="single"/>
        </w:rPr>
      </w:pPr>
    </w:p>
    <w:p w14:paraId="7CCAE7FD" w14:textId="32A326D0" w:rsidR="00C35760" w:rsidRPr="00532A38" w:rsidRDefault="00C35760" w:rsidP="00B6731D">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Board </w:t>
      </w:r>
      <w:r w:rsidR="002C198A" w:rsidRPr="00532A38">
        <w:rPr>
          <w:rFonts w:ascii="Times New Roman" w:hAnsi="Times New Roman" w:cs="Times New Roman"/>
          <w:sz w:val="24"/>
          <w:szCs w:val="24"/>
        </w:rPr>
        <w:t>agrees with</w:t>
      </w:r>
      <w:r w:rsidRPr="00532A38">
        <w:rPr>
          <w:rFonts w:ascii="Times New Roman" w:hAnsi="Times New Roman" w:cs="Times New Roman"/>
          <w:sz w:val="24"/>
          <w:szCs w:val="24"/>
        </w:rPr>
        <w:t xml:space="preserve"> the </w:t>
      </w:r>
      <w:r w:rsidR="002A2720" w:rsidRPr="00532A38">
        <w:rPr>
          <w:rFonts w:ascii="Times New Roman" w:hAnsi="Times New Roman" w:cs="Times New Roman"/>
          <w:sz w:val="24"/>
          <w:szCs w:val="24"/>
        </w:rPr>
        <w:t xml:space="preserve">Inland Revenue Department’s </w:t>
      </w:r>
      <w:r w:rsidRPr="00532A38">
        <w:rPr>
          <w:rFonts w:ascii="Times New Roman" w:hAnsi="Times New Roman" w:cs="Times New Roman"/>
          <w:sz w:val="24"/>
          <w:szCs w:val="24"/>
        </w:rPr>
        <w:t>submission that Mr</w:t>
      </w:r>
      <w:r w:rsidR="00B6731D">
        <w:rPr>
          <w:rFonts w:ascii="Times New Roman" w:hAnsi="Times New Roman" w:cs="Times New Roman"/>
          <w:sz w:val="24"/>
          <w:szCs w:val="24"/>
        </w:rPr>
        <w:t xml:space="preserve"> H</w:t>
      </w:r>
      <w:r w:rsidRPr="00532A38">
        <w:rPr>
          <w:rFonts w:ascii="Times New Roman" w:hAnsi="Times New Roman" w:cs="Times New Roman"/>
          <w:sz w:val="24"/>
          <w:szCs w:val="24"/>
        </w:rPr>
        <w:t>’s evidence is irrelevant to this appeal:</w:t>
      </w:r>
    </w:p>
    <w:p w14:paraId="7CCAE7FE" w14:textId="77777777" w:rsidR="00C35760" w:rsidRPr="00532A38" w:rsidRDefault="00C35760" w:rsidP="0046026A">
      <w:pPr>
        <w:pStyle w:val="a3"/>
        <w:overflowPunct w:val="0"/>
        <w:spacing w:after="0" w:line="240" w:lineRule="auto"/>
        <w:jc w:val="both"/>
        <w:rPr>
          <w:rFonts w:ascii="Times New Roman" w:hAnsi="Times New Roman" w:cs="Times New Roman"/>
          <w:b/>
          <w:sz w:val="24"/>
          <w:szCs w:val="24"/>
          <w:u w:val="single"/>
        </w:rPr>
      </w:pPr>
    </w:p>
    <w:p w14:paraId="7CCAE7FF" w14:textId="1A7268F9" w:rsidR="00C35760" w:rsidRPr="00532A38" w:rsidRDefault="00C35760" w:rsidP="00B6731D">
      <w:pPr>
        <w:pStyle w:val="a3"/>
        <w:numPr>
          <w:ilvl w:val="0"/>
          <w:numId w:val="13"/>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assessment was made based on section 14 of the IRO and the principles lay down by case law on the identification of the </w:t>
      </w:r>
      <w:r w:rsidR="002A272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source of profit, which Mr</w:t>
      </w:r>
      <w:r w:rsidR="00F75A48">
        <w:rPr>
          <w:rFonts w:ascii="Times New Roman" w:hAnsi="Times New Roman" w:cs="Times New Roman"/>
          <w:sz w:val="24"/>
          <w:szCs w:val="24"/>
        </w:rPr>
        <w:t xml:space="preserve"> H</w:t>
      </w:r>
      <w:r w:rsidRPr="00532A38">
        <w:rPr>
          <w:rFonts w:ascii="Times New Roman" w:hAnsi="Times New Roman" w:cs="Times New Roman"/>
          <w:sz w:val="24"/>
          <w:szCs w:val="24"/>
        </w:rPr>
        <w:t xml:space="preserve"> is not qualified to give opinion; and</w:t>
      </w:r>
    </w:p>
    <w:p w14:paraId="7CCAE800" w14:textId="77777777" w:rsidR="00C35760" w:rsidRPr="00532A38" w:rsidRDefault="00C35760" w:rsidP="00B6731D">
      <w:pPr>
        <w:pStyle w:val="a3"/>
        <w:tabs>
          <w:tab w:val="left" w:pos="1932"/>
        </w:tabs>
        <w:overflowPunct w:val="0"/>
        <w:spacing w:after="0" w:line="240" w:lineRule="auto"/>
        <w:ind w:leftChars="638" w:left="1933" w:hangingChars="220" w:hanging="529"/>
        <w:jc w:val="both"/>
        <w:rPr>
          <w:rFonts w:ascii="Times New Roman" w:hAnsi="Times New Roman" w:cs="Times New Roman"/>
          <w:b/>
          <w:sz w:val="24"/>
          <w:szCs w:val="24"/>
          <w:u w:val="single"/>
        </w:rPr>
      </w:pPr>
    </w:p>
    <w:p w14:paraId="7CCAE801" w14:textId="77777777" w:rsidR="00C35760" w:rsidRPr="00532A38" w:rsidRDefault="00C35760" w:rsidP="00B6731D">
      <w:pPr>
        <w:pStyle w:val="a3"/>
        <w:numPr>
          <w:ilvl w:val="0"/>
          <w:numId w:val="13"/>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The understanding and practice of processing trade and/or import processing in the Mainland is not relevant to the chargeability and assessment of profits in Hong Kong.</w:t>
      </w:r>
    </w:p>
    <w:p w14:paraId="7CCAE802"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803" w14:textId="77777777" w:rsidR="00C35760" w:rsidRPr="00532A38" w:rsidRDefault="00C35760" w:rsidP="00B6731D">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Insofar as the evidence on the PRC Double Taxation Arrangement is concerned, it does not support the </w:t>
      </w:r>
      <w:r w:rsidR="002A272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position:</w:t>
      </w:r>
    </w:p>
    <w:p w14:paraId="7CCAE804" w14:textId="77777777" w:rsidR="00C35760" w:rsidRPr="00532A38" w:rsidRDefault="00C35760" w:rsidP="0046026A">
      <w:pPr>
        <w:pStyle w:val="a3"/>
        <w:overflowPunct w:val="0"/>
        <w:spacing w:after="0" w:line="240" w:lineRule="auto"/>
        <w:jc w:val="both"/>
        <w:rPr>
          <w:rFonts w:ascii="Times New Roman" w:hAnsi="Times New Roman" w:cs="Times New Roman"/>
          <w:sz w:val="24"/>
          <w:szCs w:val="24"/>
        </w:rPr>
      </w:pPr>
    </w:p>
    <w:p w14:paraId="7CCAE805" w14:textId="77777777" w:rsidR="00C35760" w:rsidRPr="00532A38" w:rsidRDefault="00C35760" w:rsidP="00B6731D">
      <w:pPr>
        <w:pStyle w:val="a3"/>
        <w:numPr>
          <w:ilvl w:val="0"/>
          <w:numId w:val="1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There is no evidence that the </w:t>
      </w:r>
      <w:r w:rsidR="002A272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is subject to Mainland profit tax.  No suggestion whatsoever has been made by the </w:t>
      </w:r>
      <w:r w:rsidR="002A272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that the </w:t>
      </w:r>
      <w:r w:rsidR="002A272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has paid Mainland profit tax;</w:t>
      </w:r>
    </w:p>
    <w:p w14:paraId="7CCAE806" w14:textId="77777777" w:rsidR="00C35760" w:rsidRPr="00532A38" w:rsidRDefault="00C35760" w:rsidP="00B6731D">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807" w14:textId="77777777" w:rsidR="00C35760" w:rsidRPr="00532A38" w:rsidRDefault="00C35760" w:rsidP="00B6731D">
      <w:pPr>
        <w:pStyle w:val="a3"/>
        <w:numPr>
          <w:ilvl w:val="0"/>
          <w:numId w:val="1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There is no evidence from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that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has participated in the manufacturing, supervision, management and the sale of products of the PRC entity which would render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potentially subject to Mainland profit tax;</w:t>
      </w:r>
    </w:p>
    <w:p w14:paraId="7CCAE808" w14:textId="77777777" w:rsidR="00C35760" w:rsidRPr="00532A38" w:rsidRDefault="00C35760" w:rsidP="00B6731D">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09" w14:textId="77777777" w:rsidR="00C35760" w:rsidRPr="00532A38" w:rsidRDefault="00C35760" w:rsidP="00B6731D">
      <w:pPr>
        <w:pStyle w:val="a3"/>
        <w:numPr>
          <w:ilvl w:val="0"/>
          <w:numId w:val="1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There is no evidence that </w:t>
      </w:r>
      <w:r w:rsidR="007933C5" w:rsidRPr="00532A38">
        <w:rPr>
          <w:rFonts w:ascii="Times New Roman" w:hAnsi="Times New Roman" w:cs="Times New Roman"/>
          <w:sz w:val="24"/>
          <w:szCs w:val="24"/>
        </w:rPr>
        <w:t xml:space="preserve">the Appellant </w:t>
      </w:r>
      <w:r w:rsidRPr="00532A38">
        <w:rPr>
          <w:rFonts w:ascii="Times New Roman" w:hAnsi="Times New Roman" w:cs="Times New Roman"/>
          <w:sz w:val="24"/>
          <w:szCs w:val="24"/>
        </w:rPr>
        <w:t>has submitted its case to the relevant PRC Tax Bureau for tax objection or assessment;</w:t>
      </w:r>
    </w:p>
    <w:p w14:paraId="7CCAE80A" w14:textId="77777777" w:rsidR="00C35760" w:rsidRPr="00532A38" w:rsidRDefault="00C35760" w:rsidP="00B6731D">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80B" w14:textId="6899922C" w:rsidR="00C35760" w:rsidRPr="00532A38" w:rsidRDefault="00C35760" w:rsidP="00B6731D">
      <w:pPr>
        <w:pStyle w:val="a3"/>
        <w:numPr>
          <w:ilvl w:val="0"/>
          <w:numId w:val="14"/>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 xml:space="preserve">Even if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could potentially have been subject to profit tax under PRC law, the Arrangement does not derogate the power of the Inland Revenue Department of Hong Kong to charge profit tax under section 14 of the IRO.  Putting Mr</w:t>
      </w:r>
      <w:r w:rsidR="006C6253">
        <w:rPr>
          <w:rFonts w:ascii="Times New Roman" w:hAnsi="Times New Roman" w:cs="Times New Roman"/>
          <w:sz w:val="24"/>
          <w:szCs w:val="24"/>
        </w:rPr>
        <w:t xml:space="preserve"> H</w:t>
      </w:r>
      <w:r w:rsidRPr="00532A38">
        <w:rPr>
          <w:rFonts w:ascii="Times New Roman" w:hAnsi="Times New Roman" w:cs="Times New Roman"/>
          <w:sz w:val="24"/>
          <w:szCs w:val="24"/>
        </w:rPr>
        <w:t xml:space="preserve">’s evidence to the highest, the Arrangement is at most a matter between the two tax authorities of the Mainland and Hong Kong. </w:t>
      </w:r>
    </w:p>
    <w:p w14:paraId="7CCAE80C"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80D" w14:textId="77B3CF29"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Further, Mr</w:t>
      </w:r>
      <w:r w:rsidR="006C6253">
        <w:rPr>
          <w:rFonts w:ascii="Times New Roman" w:hAnsi="Times New Roman" w:cs="Times New Roman"/>
          <w:sz w:val="24"/>
          <w:szCs w:val="24"/>
        </w:rPr>
        <w:t xml:space="preserve"> H</w:t>
      </w:r>
      <w:r w:rsidRPr="00532A38">
        <w:rPr>
          <w:rFonts w:ascii="Times New Roman" w:hAnsi="Times New Roman" w:cs="Times New Roman"/>
          <w:sz w:val="24"/>
          <w:szCs w:val="24"/>
        </w:rPr>
        <w:t xml:space="preserve">’s evidence does not support the </w:t>
      </w:r>
      <w:r w:rsidR="007933C5"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case.  Neither the Commissioner nor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disputes that the </w:t>
      </w:r>
      <w:r w:rsidR="007933C5"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engaged in import processing.  Even according to Mr</w:t>
      </w:r>
      <w:r w:rsidR="006C6253">
        <w:rPr>
          <w:rFonts w:ascii="Times New Roman" w:hAnsi="Times New Roman" w:cs="Times New Roman"/>
          <w:sz w:val="24"/>
          <w:szCs w:val="24"/>
        </w:rPr>
        <w:t xml:space="preserve"> H</w:t>
      </w:r>
      <w:r w:rsidRPr="00532A38">
        <w:rPr>
          <w:rFonts w:ascii="Times New Roman" w:hAnsi="Times New Roman" w:cs="Times New Roman"/>
          <w:sz w:val="24"/>
          <w:szCs w:val="24"/>
        </w:rPr>
        <w:t xml:space="preserve">, the PRC Subsidiary would have purchased materials from the </w:t>
      </w:r>
      <w:r w:rsidR="006B1E1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that it would have sold the manufactured products back to the </w:t>
      </w:r>
      <w:r w:rsidR="006B1E1F" w:rsidRPr="00532A38">
        <w:rPr>
          <w:rFonts w:ascii="Times New Roman" w:hAnsi="Times New Roman" w:cs="Times New Roman"/>
          <w:sz w:val="24"/>
          <w:szCs w:val="24"/>
        </w:rPr>
        <w:t>Appellant</w:t>
      </w:r>
      <w:r w:rsidRPr="00532A38">
        <w:rPr>
          <w:rFonts w:ascii="Times New Roman" w:hAnsi="Times New Roman" w:cs="Times New Roman"/>
          <w:sz w:val="24"/>
          <w:szCs w:val="24"/>
        </w:rPr>
        <w:t>.</w:t>
      </w:r>
    </w:p>
    <w:p w14:paraId="7CCAE80E" w14:textId="609BC7C5" w:rsidR="00C35760" w:rsidRDefault="00C35760" w:rsidP="0046026A">
      <w:pPr>
        <w:overflowPunct w:val="0"/>
        <w:spacing w:after="0" w:line="240" w:lineRule="auto"/>
        <w:jc w:val="both"/>
        <w:rPr>
          <w:rFonts w:ascii="Times New Roman" w:hAnsi="Times New Roman" w:cs="Times New Roman"/>
          <w:sz w:val="24"/>
          <w:szCs w:val="24"/>
        </w:rPr>
      </w:pPr>
    </w:p>
    <w:p w14:paraId="42967F8B" w14:textId="77777777" w:rsidR="00E6078D" w:rsidRDefault="00E6078D" w:rsidP="0046026A">
      <w:pPr>
        <w:overflowPunct w:val="0"/>
        <w:spacing w:after="0" w:line="240" w:lineRule="auto"/>
        <w:jc w:val="both"/>
        <w:rPr>
          <w:rFonts w:ascii="Times New Roman" w:hAnsi="Times New Roman" w:cs="Times New Roman"/>
          <w:sz w:val="24"/>
          <w:szCs w:val="24"/>
        </w:rPr>
      </w:pPr>
    </w:p>
    <w:p w14:paraId="4DA85979" w14:textId="77777777" w:rsidR="00E6078D" w:rsidRDefault="00E6078D" w:rsidP="0046026A">
      <w:pPr>
        <w:overflowPunct w:val="0"/>
        <w:spacing w:after="0" w:line="240" w:lineRule="auto"/>
        <w:jc w:val="both"/>
        <w:rPr>
          <w:rFonts w:ascii="Times New Roman" w:hAnsi="Times New Roman" w:cs="Times New Roman"/>
          <w:sz w:val="24"/>
          <w:szCs w:val="24"/>
        </w:rPr>
      </w:pPr>
    </w:p>
    <w:p w14:paraId="5558E657" w14:textId="77777777" w:rsidR="00E6078D" w:rsidRDefault="00E6078D" w:rsidP="0046026A">
      <w:pPr>
        <w:overflowPunct w:val="0"/>
        <w:spacing w:after="0" w:line="240" w:lineRule="auto"/>
        <w:jc w:val="both"/>
        <w:rPr>
          <w:rFonts w:ascii="Times New Roman" w:hAnsi="Times New Roman" w:cs="Times New Roman"/>
          <w:sz w:val="24"/>
          <w:szCs w:val="24"/>
        </w:rPr>
      </w:pPr>
    </w:p>
    <w:p w14:paraId="7CCAE80F" w14:textId="627FA139" w:rsidR="00C35760" w:rsidRPr="006C6253" w:rsidRDefault="006B1E1F" w:rsidP="0046026A">
      <w:pPr>
        <w:overflowPunct w:val="0"/>
        <w:spacing w:after="0" w:line="240" w:lineRule="auto"/>
        <w:jc w:val="both"/>
        <w:rPr>
          <w:rFonts w:ascii="Times New Roman" w:hAnsi="Times New Roman" w:cs="Times New Roman"/>
          <w:sz w:val="24"/>
          <w:szCs w:val="24"/>
          <w:u w:val="single"/>
        </w:rPr>
      </w:pPr>
      <w:r w:rsidRPr="006C6253">
        <w:rPr>
          <w:rFonts w:ascii="Times New Roman" w:hAnsi="Times New Roman" w:cs="Times New Roman"/>
          <w:sz w:val="24"/>
          <w:szCs w:val="24"/>
          <w:u w:val="single"/>
        </w:rPr>
        <w:lastRenderedPageBreak/>
        <w:t xml:space="preserve">The Evidence of </w:t>
      </w:r>
      <w:r w:rsidR="00C35760" w:rsidRPr="006C6253">
        <w:rPr>
          <w:rFonts w:ascii="Times New Roman" w:hAnsi="Times New Roman" w:cs="Times New Roman"/>
          <w:sz w:val="24"/>
          <w:szCs w:val="24"/>
          <w:u w:val="single"/>
        </w:rPr>
        <w:t>Mr</w:t>
      </w:r>
      <w:r w:rsidR="006C6253" w:rsidRPr="006C6253">
        <w:rPr>
          <w:rFonts w:ascii="Times New Roman" w:hAnsi="Times New Roman" w:cs="Times New Roman"/>
          <w:sz w:val="24"/>
          <w:szCs w:val="24"/>
          <w:u w:val="single"/>
        </w:rPr>
        <w:t xml:space="preserve"> J</w:t>
      </w:r>
    </w:p>
    <w:p w14:paraId="76792DD3" w14:textId="77777777" w:rsidR="006C6253" w:rsidRPr="00532A38" w:rsidRDefault="006C6253" w:rsidP="0046026A">
      <w:pPr>
        <w:overflowPunct w:val="0"/>
        <w:spacing w:after="0" w:line="240" w:lineRule="auto"/>
        <w:jc w:val="both"/>
        <w:rPr>
          <w:rFonts w:ascii="Times New Roman" w:hAnsi="Times New Roman" w:cs="Times New Roman"/>
          <w:i/>
          <w:sz w:val="24"/>
          <w:szCs w:val="24"/>
        </w:rPr>
      </w:pPr>
    </w:p>
    <w:p w14:paraId="7CCAE810" w14:textId="700274F9"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’s witness statement (which was admitted by the Board as evidence despite he did not appear to testify),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described himself to have been experienced in accounting, audit of financial statements and tax audit in the Mainland for 20 years notwithstanding he has not been qualified as an accountant.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has been engaged in the financial statement audit and tax audit o</w:t>
      </w:r>
      <w:r w:rsidR="00520D87" w:rsidRPr="00532A38">
        <w:rPr>
          <w:rFonts w:ascii="Times New Roman" w:hAnsi="Times New Roman" w:cs="Times New Roman"/>
          <w:sz w:val="24"/>
          <w:szCs w:val="24"/>
        </w:rPr>
        <w:t xml:space="preserve">f the PRC Subsidiary since 2011. He </w:t>
      </w:r>
      <w:r w:rsidRPr="00532A38">
        <w:rPr>
          <w:rFonts w:ascii="Times New Roman" w:hAnsi="Times New Roman" w:cs="Times New Roman"/>
          <w:sz w:val="24"/>
          <w:szCs w:val="24"/>
        </w:rPr>
        <w:t>sought to explain the accounting methods adopted by the PRC Subsidiary after 2011 (ie. beyond the Relevant Period).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also explained his understanding of the various Mainland regulations of accounting.  In particular</w:t>
      </w:r>
      <w:r w:rsidR="00134A18">
        <w:rPr>
          <w:rFonts w:ascii="Times New Roman" w:hAnsi="Times New Roman" w:cs="Times New Roman"/>
          <w:sz w:val="24"/>
          <w:szCs w:val="24"/>
        </w:rPr>
        <w:t>,</w:t>
      </w:r>
      <w:r w:rsidRPr="00532A38">
        <w:rPr>
          <w:rFonts w:ascii="Times New Roman" w:hAnsi="Times New Roman" w:cs="Times New Roman"/>
          <w:sz w:val="24"/>
          <w:szCs w:val="24"/>
        </w:rPr>
        <w:t xml:space="preserve"> Mr</w:t>
      </w:r>
      <w:r w:rsidR="00F75A48">
        <w:rPr>
          <w:rFonts w:ascii="Times New Roman" w:hAnsi="Times New Roman" w:cs="Times New Roman"/>
          <w:sz w:val="24"/>
          <w:szCs w:val="24"/>
        </w:rPr>
        <w:t xml:space="preserve"> J</w:t>
      </w:r>
      <w:r w:rsidRPr="00532A38">
        <w:rPr>
          <w:rFonts w:ascii="Times New Roman" w:hAnsi="Times New Roman" w:cs="Times New Roman"/>
          <w:sz w:val="24"/>
          <w:szCs w:val="24"/>
        </w:rPr>
        <w:t xml:space="preserve"> claimed that the accounts of the PRC Subsidiary may have been falsified in order to legally obtain the benefit of export tax refund.</w:t>
      </w:r>
    </w:p>
    <w:p w14:paraId="7CCAE811" w14:textId="77777777" w:rsidR="00C35760" w:rsidRPr="00532A38" w:rsidRDefault="00C35760" w:rsidP="006C6253">
      <w:pPr>
        <w:pStyle w:val="a3"/>
        <w:overflowPunct w:val="0"/>
        <w:spacing w:after="0" w:line="240" w:lineRule="auto"/>
        <w:ind w:left="0"/>
        <w:jc w:val="both"/>
        <w:rPr>
          <w:rFonts w:ascii="Times New Roman" w:hAnsi="Times New Roman" w:cs="Times New Roman"/>
          <w:sz w:val="24"/>
          <w:szCs w:val="24"/>
        </w:rPr>
      </w:pPr>
    </w:p>
    <w:p w14:paraId="7CCAE812" w14:textId="73C2C500"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Board accepts the </w:t>
      </w:r>
      <w:r w:rsidR="00520D87" w:rsidRPr="00532A38">
        <w:rPr>
          <w:rFonts w:ascii="Times New Roman" w:hAnsi="Times New Roman" w:cs="Times New Roman"/>
          <w:sz w:val="24"/>
          <w:szCs w:val="24"/>
        </w:rPr>
        <w:t xml:space="preserve">Inland Revenue Department’s </w:t>
      </w:r>
      <w:r w:rsidRPr="00532A38">
        <w:rPr>
          <w:rFonts w:ascii="Times New Roman" w:hAnsi="Times New Roman" w:cs="Times New Roman"/>
          <w:sz w:val="24"/>
          <w:szCs w:val="24"/>
        </w:rPr>
        <w:t>submissio</w:t>
      </w:r>
      <w:r w:rsidR="006C6253">
        <w:rPr>
          <w:rFonts w:ascii="Times New Roman" w:hAnsi="Times New Roman" w:cs="Times New Roman"/>
          <w:sz w:val="24"/>
          <w:szCs w:val="24"/>
        </w:rPr>
        <w:t>ns that Mr</w:t>
      </w:r>
      <w:r w:rsidRPr="00532A38">
        <w:rPr>
          <w:rFonts w:ascii="Times New Roman" w:hAnsi="Times New Roman" w:cs="Times New Roman"/>
          <w:sz w:val="24"/>
          <w:szCs w:val="24"/>
        </w:rPr>
        <w:t xml:space="preserve"> </w:t>
      </w:r>
      <w:r w:rsidR="006C6253">
        <w:rPr>
          <w:rFonts w:ascii="Times New Roman" w:hAnsi="Times New Roman" w:cs="Times New Roman"/>
          <w:sz w:val="24"/>
          <w:szCs w:val="24"/>
        </w:rPr>
        <w:t>J</w:t>
      </w:r>
      <w:r w:rsidRPr="00532A38">
        <w:rPr>
          <w:rFonts w:ascii="Times New Roman" w:hAnsi="Times New Roman" w:cs="Times New Roman"/>
          <w:sz w:val="24"/>
          <w:szCs w:val="24"/>
        </w:rPr>
        <w:t>’s evidence is either irrelevant or of no value, for these reasons:</w:t>
      </w:r>
    </w:p>
    <w:p w14:paraId="7CCAE813" w14:textId="77777777" w:rsidR="00C35760" w:rsidRPr="00532A38" w:rsidRDefault="00C35760" w:rsidP="0046026A">
      <w:pPr>
        <w:pStyle w:val="a3"/>
        <w:overflowPunct w:val="0"/>
        <w:spacing w:after="0" w:line="240" w:lineRule="auto"/>
        <w:jc w:val="both"/>
        <w:rPr>
          <w:rFonts w:ascii="Times New Roman" w:hAnsi="Times New Roman" w:cs="Times New Roman"/>
          <w:sz w:val="24"/>
          <w:szCs w:val="24"/>
        </w:rPr>
      </w:pPr>
    </w:p>
    <w:p w14:paraId="7CCAE814" w14:textId="64230747" w:rsidR="00C35760" w:rsidRPr="00532A38" w:rsidRDefault="00C35760" w:rsidP="006C6253">
      <w:pPr>
        <w:pStyle w:val="a3"/>
        <w:numPr>
          <w:ilvl w:val="0"/>
          <w:numId w:val="1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Insofar as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’s opinion on the various Mainland regulations of accounting </w:t>
      </w:r>
      <w:r w:rsidR="002C198A" w:rsidRPr="00532A38">
        <w:rPr>
          <w:rFonts w:ascii="Times New Roman" w:hAnsi="Times New Roman" w:cs="Times New Roman"/>
          <w:sz w:val="24"/>
          <w:szCs w:val="24"/>
        </w:rPr>
        <w:t xml:space="preserve">practice </w:t>
      </w:r>
      <w:r w:rsidRPr="00532A38">
        <w:rPr>
          <w:rFonts w:ascii="Times New Roman" w:hAnsi="Times New Roman" w:cs="Times New Roman"/>
          <w:sz w:val="24"/>
          <w:szCs w:val="24"/>
        </w:rPr>
        <w:t>is concerned, this Board gives no weight to his evidence as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is not a qualified accountant </w:t>
      </w:r>
      <w:r w:rsidR="00520D87" w:rsidRPr="00532A38">
        <w:rPr>
          <w:rFonts w:ascii="Times New Roman" w:hAnsi="Times New Roman" w:cs="Times New Roman"/>
          <w:sz w:val="24"/>
          <w:szCs w:val="24"/>
        </w:rPr>
        <w:t xml:space="preserve">in the </w:t>
      </w:r>
      <w:r w:rsidRPr="00532A38">
        <w:rPr>
          <w:rFonts w:ascii="Times New Roman" w:hAnsi="Times New Roman" w:cs="Times New Roman"/>
          <w:sz w:val="24"/>
          <w:szCs w:val="24"/>
        </w:rPr>
        <w:t>Mainland.</w:t>
      </w:r>
    </w:p>
    <w:p w14:paraId="7CCAE815" w14:textId="77777777" w:rsidR="00C35760" w:rsidRPr="00532A38" w:rsidRDefault="00C35760" w:rsidP="006C6253">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816" w14:textId="36B40C4B" w:rsidR="00C35760" w:rsidRPr="00532A38" w:rsidRDefault="00C35760" w:rsidP="006C6253">
      <w:pPr>
        <w:pStyle w:val="a3"/>
        <w:numPr>
          <w:ilvl w:val="0"/>
          <w:numId w:val="15"/>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was not involved with the accounting work of the PRC Subsidiary until 2011 after the Relevant Period.  His evidence is therefore irrelevant to the issue for this appeal.</w:t>
      </w:r>
    </w:p>
    <w:p w14:paraId="7CCAE817"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818" w14:textId="77777777"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any event, the evidence of the accounting regulations applicable to the PRC Subsidiary is not relevant to the tax chargeability to the </w:t>
      </w:r>
      <w:r w:rsidR="00520D87" w:rsidRPr="00532A38">
        <w:rPr>
          <w:rFonts w:ascii="Times New Roman" w:hAnsi="Times New Roman" w:cs="Times New Roman"/>
          <w:sz w:val="24"/>
          <w:szCs w:val="24"/>
        </w:rPr>
        <w:t>Appellant</w:t>
      </w:r>
      <w:r w:rsidRPr="00532A38">
        <w:rPr>
          <w:rFonts w:ascii="Times New Roman" w:hAnsi="Times New Roman" w:cs="Times New Roman"/>
          <w:sz w:val="24"/>
          <w:szCs w:val="24"/>
        </w:rPr>
        <w:t>, which is determined by section 14 of the IRO and the established principle of its source of profits.</w:t>
      </w:r>
    </w:p>
    <w:p w14:paraId="7CCAE819" w14:textId="77777777" w:rsidR="00C35760" w:rsidRPr="00532A38" w:rsidRDefault="00C35760" w:rsidP="006C6253">
      <w:pPr>
        <w:pStyle w:val="a3"/>
        <w:overflowPunct w:val="0"/>
        <w:spacing w:after="0" w:line="240" w:lineRule="auto"/>
        <w:ind w:left="0"/>
        <w:jc w:val="both"/>
        <w:rPr>
          <w:rFonts w:ascii="Times New Roman" w:hAnsi="Times New Roman" w:cs="Times New Roman"/>
          <w:sz w:val="24"/>
          <w:szCs w:val="24"/>
        </w:rPr>
      </w:pPr>
    </w:p>
    <w:p w14:paraId="7CCAE81A" w14:textId="372449ED"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Board finds striking </w:t>
      </w:r>
      <w:r w:rsidR="00520D87" w:rsidRPr="00532A38">
        <w:rPr>
          <w:rFonts w:ascii="Times New Roman" w:hAnsi="Times New Roman" w:cs="Times New Roman"/>
          <w:sz w:val="24"/>
          <w:szCs w:val="24"/>
        </w:rPr>
        <w:t xml:space="preserve">that </w:t>
      </w:r>
      <w:r w:rsidRPr="00532A38">
        <w:rPr>
          <w:rFonts w:ascii="Times New Roman" w:hAnsi="Times New Roman" w:cs="Times New Roman"/>
          <w:sz w:val="24"/>
          <w:szCs w:val="24"/>
        </w:rPr>
        <w:t>Mr</w:t>
      </w:r>
      <w:r w:rsidR="006C6253">
        <w:rPr>
          <w:rFonts w:ascii="Times New Roman" w:hAnsi="Times New Roman" w:cs="Times New Roman"/>
          <w:sz w:val="24"/>
          <w:szCs w:val="24"/>
        </w:rPr>
        <w:t xml:space="preserve"> J</w:t>
      </w:r>
      <w:r w:rsidR="00520D87" w:rsidRPr="00532A38">
        <w:rPr>
          <w:rFonts w:ascii="Times New Roman" w:hAnsi="Times New Roman" w:cs="Times New Roman"/>
          <w:sz w:val="24"/>
          <w:szCs w:val="24"/>
        </w:rPr>
        <w:t xml:space="preserve"> suggested </w:t>
      </w:r>
      <w:r w:rsidRPr="00532A38">
        <w:rPr>
          <w:rFonts w:ascii="Times New Roman" w:hAnsi="Times New Roman" w:cs="Times New Roman"/>
          <w:sz w:val="24"/>
          <w:szCs w:val="24"/>
        </w:rPr>
        <w:t>that the PRC Subsidiary may have committed falsification of its accounts as Mr</w:t>
      </w:r>
      <w:r w:rsidR="006C6253">
        <w:rPr>
          <w:rFonts w:ascii="Times New Roman" w:hAnsi="Times New Roman" w:cs="Times New Roman"/>
          <w:sz w:val="24"/>
          <w:szCs w:val="24"/>
        </w:rPr>
        <w:t xml:space="preserve"> J</w:t>
      </w:r>
      <w:r w:rsidRPr="00532A38">
        <w:rPr>
          <w:rFonts w:ascii="Times New Roman" w:hAnsi="Times New Roman" w:cs="Times New Roman"/>
          <w:sz w:val="24"/>
          <w:szCs w:val="24"/>
        </w:rPr>
        <w:t xml:space="preserve"> is himself engaged in the financial statement audit and tax audit of the PRC Subsidiary since 2011. </w:t>
      </w:r>
      <w:r w:rsidR="00F47484" w:rsidRPr="00532A38">
        <w:rPr>
          <w:rFonts w:ascii="Times New Roman" w:hAnsi="Times New Roman" w:cs="Times New Roman"/>
          <w:sz w:val="24"/>
          <w:szCs w:val="24"/>
        </w:rPr>
        <w:t>His speculation on this matter carries no weight in the deliberation of this Board.</w:t>
      </w:r>
      <w:r w:rsidRPr="00532A38">
        <w:rPr>
          <w:rFonts w:ascii="Times New Roman" w:hAnsi="Times New Roman" w:cs="Times New Roman"/>
          <w:sz w:val="24"/>
          <w:szCs w:val="24"/>
        </w:rPr>
        <w:t xml:space="preserve"> </w:t>
      </w:r>
    </w:p>
    <w:p w14:paraId="7CCAE81D" w14:textId="77777777" w:rsidR="007D6826" w:rsidRPr="00532A38" w:rsidRDefault="007D6826" w:rsidP="0046026A">
      <w:pPr>
        <w:overflowPunct w:val="0"/>
        <w:spacing w:after="0" w:line="240" w:lineRule="auto"/>
        <w:jc w:val="both"/>
        <w:rPr>
          <w:rFonts w:ascii="Times New Roman" w:hAnsi="Times New Roman" w:cs="Times New Roman"/>
          <w:b/>
          <w:sz w:val="24"/>
          <w:szCs w:val="24"/>
          <w:u w:val="single"/>
          <w:lang w:eastAsia="zh-HK"/>
        </w:rPr>
      </w:pPr>
    </w:p>
    <w:p w14:paraId="7CCAE81E" w14:textId="7EDD5B00" w:rsidR="00C35760" w:rsidRPr="006C6253" w:rsidRDefault="00F47484" w:rsidP="0046026A">
      <w:pPr>
        <w:overflowPunct w:val="0"/>
        <w:spacing w:after="0" w:line="240" w:lineRule="auto"/>
        <w:jc w:val="both"/>
        <w:rPr>
          <w:rFonts w:ascii="Times New Roman" w:hAnsi="Times New Roman" w:cs="Times New Roman"/>
          <w:sz w:val="24"/>
          <w:szCs w:val="24"/>
          <w:u w:val="single"/>
        </w:rPr>
      </w:pPr>
      <w:r w:rsidRPr="006C6253">
        <w:rPr>
          <w:rFonts w:ascii="Times New Roman" w:hAnsi="Times New Roman" w:cs="Times New Roman"/>
          <w:sz w:val="24"/>
          <w:szCs w:val="24"/>
          <w:u w:val="single"/>
        </w:rPr>
        <w:t xml:space="preserve">The Evidence of </w:t>
      </w:r>
      <w:r w:rsidR="00C35760" w:rsidRPr="006C6253">
        <w:rPr>
          <w:rFonts w:ascii="Times New Roman" w:hAnsi="Times New Roman" w:cs="Times New Roman"/>
          <w:sz w:val="24"/>
          <w:szCs w:val="24"/>
          <w:u w:val="single"/>
        </w:rPr>
        <w:t>Mr</w:t>
      </w:r>
      <w:r w:rsidR="006C6253">
        <w:rPr>
          <w:rFonts w:ascii="Times New Roman" w:hAnsi="Times New Roman" w:cs="Times New Roman"/>
          <w:sz w:val="24"/>
          <w:szCs w:val="24"/>
          <w:u w:val="single"/>
        </w:rPr>
        <w:t xml:space="preserve"> K</w:t>
      </w:r>
    </w:p>
    <w:p w14:paraId="5A098973" w14:textId="77777777" w:rsidR="006C6253" w:rsidRPr="00532A38" w:rsidRDefault="006C6253" w:rsidP="0046026A">
      <w:pPr>
        <w:overflowPunct w:val="0"/>
        <w:spacing w:after="0" w:line="240" w:lineRule="auto"/>
        <w:jc w:val="both"/>
        <w:rPr>
          <w:rFonts w:ascii="Times New Roman" w:hAnsi="Times New Roman" w:cs="Times New Roman"/>
          <w:i/>
          <w:sz w:val="24"/>
          <w:szCs w:val="24"/>
        </w:rPr>
      </w:pPr>
    </w:p>
    <w:p w14:paraId="7CCAE81F" w14:textId="3A55E039"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 xml:space="preserve"> has been qualified as a PRC lawyer since 1988 and provided his opinion on the different meaning and practice pertaining to </w:t>
      </w:r>
      <w:r w:rsidR="006C6253">
        <w:rPr>
          <w:rFonts w:ascii="Times New Roman" w:hAnsi="Times New Roman" w:cs="Times New Roman"/>
          <w:sz w:val="24"/>
          <w:szCs w:val="24"/>
        </w:rPr>
        <w:t>‘</w:t>
      </w:r>
      <w:r w:rsidRPr="00532A38">
        <w:rPr>
          <w:rFonts w:ascii="Times New Roman" w:hAnsi="Times New Roman" w:cs="Times New Roman"/>
          <w:sz w:val="24"/>
          <w:szCs w:val="24"/>
        </w:rPr>
        <w:t>import processing</w:t>
      </w:r>
      <w:r w:rsidR="006C6253">
        <w:rPr>
          <w:rFonts w:ascii="Times New Roman" w:hAnsi="Times New Roman" w:cs="Times New Roman"/>
          <w:sz w:val="24"/>
          <w:szCs w:val="24"/>
        </w:rPr>
        <w:t>’</w:t>
      </w:r>
      <w:r w:rsidRPr="00532A38">
        <w:rPr>
          <w:rFonts w:ascii="Times New Roman" w:hAnsi="Times New Roman" w:cs="Times New Roman"/>
          <w:sz w:val="24"/>
          <w:szCs w:val="24"/>
        </w:rPr>
        <w:t xml:space="preserve"> in Hong Kong and in the Mainland.</w:t>
      </w:r>
    </w:p>
    <w:p w14:paraId="7CCAE820" w14:textId="77777777" w:rsidR="00C35760" w:rsidRPr="00532A38" w:rsidRDefault="00C35760" w:rsidP="006C6253">
      <w:pPr>
        <w:pStyle w:val="a3"/>
        <w:overflowPunct w:val="0"/>
        <w:spacing w:after="0" w:line="240" w:lineRule="auto"/>
        <w:ind w:left="0"/>
        <w:jc w:val="both"/>
        <w:rPr>
          <w:rFonts w:ascii="Times New Roman" w:hAnsi="Times New Roman" w:cs="Times New Roman"/>
          <w:sz w:val="24"/>
          <w:szCs w:val="24"/>
        </w:rPr>
      </w:pPr>
    </w:p>
    <w:p w14:paraId="7CCAE821" w14:textId="0957C709"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For the same reasons </w:t>
      </w:r>
      <w:r w:rsidR="00F47484" w:rsidRPr="00532A38">
        <w:rPr>
          <w:rFonts w:ascii="Times New Roman" w:hAnsi="Times New Roman" w:cs="Times New Roman"/>
          <w:sz w:val="24"/>
          <w:szCs w:val="24"/>
        </w:rPr>
        <w:t xml:space="preserve">as set out concerning </w:t>
      </w:r>
      <w:r w:rsidRPr="00532A38">
        <w:rPr>
          <w:rFonts w:ascii="Times New Roman" w:hAnsi="Times New Roman" w:cs="Times New Roman"/>
          <w:sz w:val="24"/>
          <w:szCs w:val="24"/>
        </w:rPr>
        <w:t>the evidence of Mr</w:t>
      </w:r>
      <w:r w:rsidR="006C6253">
        <w:rPr>
          <w:rFonts w:ascii="Times New Roman" w:hAnsi="Times New Roman" w:cs="Times New Roman"/>
          <w:sz w:val="24"/>
          <w:szCs w:val="24"/>
        </w:rPr>
        <w:t xml:space="preserve"> H</w:t>
      </w:r>
      <w:r w:rsidRPr="00532A38">
        <w:rPr>
          <w:rFonts w:ascii="Times New Roman" w:hAnsi="Times New Roman" w:cs="Times New Roman"/>
          <w:sz w:val="24"/>
          <w:szCs w:val="24"/>
        </w:rPr>
        <w:t xml:space="preserve">, the Board </w:t>
      </w:r>
      <w:r w:rsidR="00F47484" w:rsidRPr="00532A38">
        <w:rPr>
          <w:rFonts w:ascii="Times New Roman" w:hAnsi="Times New Roman" w:cs="Times New Roman"/>
          <w:sz w:val="24"/>
          <w:szCs w:val="24"/>
        </w:rPr>
        <w:t xml:space="preserve">fully </w:t>
      </w:r>
      <w:r w:rsidRPr="00532A38">
        <w:rPr>
          <w:rFonts w:ascii="Times New Roman" w:hAnsi="Times New Roman" w:cs="Times New Roman"/>
          <w:sz w:val="24"/>
          <w:szCs w:val="24"/>
        </w:rPr>
        <w:t xml:space="preserve">accepts the </w:t>
      </w:r>
      <w:r w:rsidR="00F47484" w:rsidRPr="00532A38">
        <w:rPr>
          <w:rFonts w:ascii="Times New Roman" w:hAnsi="Times New Roman" w:cs="Times New Roman"/>
          <w:sz w:val="24"/>
          <w:szCs w:val="24"/>
        </w:rPr>
        <w:t xml:space="preserve">Inland Revenue Department’s </w:t>
      </w:r>
      <w:r w:rsidRPr="00532A38">
        <w:rPr>
          <w:rFonts w:ascii="Times New Roman" w:hAnsi="Times New Roman" w:cs="Times New Roman"/>
          <w:sz w:val="24"/>
          <w:szCs w:val="24"/>
        </w:rPr>
        <w:t>submission that 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’s evidence is irrelevant to this appeal:</w:t>
      </w:r>
    </w:p>
    <w:p w14:paraId="7CCAE822"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823" w14:textId="5125AEEA" w:rsidR="00C35760" w:rsidRPr="00532A38" w:rsidRDefault="00C35760" w:rsidP="006C6253">
      <w:pPr>
        <w:pStyle w:val="a3"/>
        <w:numPr>
          <w:ilvl w:val="0"/>
          <w:numId w:val="16"/>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assessment was made based on section 14 of the IRO and the principles lay down by case law on the identification of the </w:t>
      </w:r>
      <w:r w:rsidR="00F47484"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source of profit, which 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 xml:space="preserve"> is not qualified to give opinion; and</w:t>
      </w:r>
    </w:p>
    <w:p w14:paraId="7CCAE824" w14:textId="77777777" w:rsidR="00C35760" w:rsidRPr="00532A38" w:rsidRDefault="00C35760" w:rsidP="006C6253">
      <w:pPr>
        <w:pStyle w:val="a3"/>
        <w:tabs>
          <w:tab w:val="left" w:pos="1932"/>
        </w:tabs>
        <w:overflowPunct w:val="0"/>
        <w:spacing w:after="0" w:line="240" w:lineRule="auto"/>
        <w:ind w:leftChars="638" w:left="1933" w:hangingChars="220" w:hanging="529"/>
        <w:jc w:val="both"/>
        <w:rPr>
          <w:rFonts w:ascii="Times New Roman" w:hAnsi="Times New Roman" w:cs="Times New Roman"/>
          <w:b/>
          <w:sz w:val="24"/>
          <w:szCs w:val="24"/>
          <w:u w:val="single"/>
        </w:rPr>
      </w:pPr>
    </w:p>
    <w:p w14:paraId="7CCAE825" w14:textId="77777777" w:rsidR="00C35760" w:rsidRPr="00532A38" w:rsidRDefault="00C35760" w:rsidP="006C6253">
      <w:pPr>
        <w:pStyle w:val="a3"/>
        <w:numPr>
          <w:ilvl w:val="0"/>
          <w:numId w:val="16"/>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The understanding and practice of processing trade and/or import processing in the Mainland is not relevant to the chargeability and assessment of profits in Hong Kong.</w:t>
      </w:r>
    </w:p>
    <w:p w14:paraId="7CCAE826" w14:textId="77777777" w:rsidR="00C35760" w:rsidRPr="00532A38" w:rsidRDefault="00C35760" w:rsidP="0046026A">
      <w:pPr>
        <w:pStyle w:val="a3"/>
        <w:overflowPunct w:val="0"/>
        <w:spacing w:after="0" w:line="240" w:lineRule="auto"/>
        <w:rPr>
          <w:rFonts w:ascii="Times New Roman" w:hAnsi="Times New Roman" w:cs="Times New Roman"/>
          <w:b/>
          <w:sz w:val="24"/>
          <w:szCs w:val="24"/>
          <w:u w:val="single"/>
        </w:rPr>
      </w:pPr>
    </w:p>
    <w:p w14:paraId="7CCAE827" w14:textId="4B7D4760" w:rsidR="00C35760"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In any event, like Mr</w:t>
      </w:r>
      <w:r w:rsidR="006C6253">
        <w:rPr>
          <w:rFonts w:ascii="Times New Roman" w:hAnsi="Times New Roman" w:cs="Times New Roman"/>
          <w:sz w:val="24"/>
          <w:szCs w:val="24"/>
        </w:rPr>
        <w:t xml:space="preserve"> H</w:t>
      </w:r>
      <w:r w:rsidRPr="00532A38">
        <w:rPr>
          <w:rFonts w:ascii="Times New Roman" w:hAnsi="Times New Roman" w:cs="Times New Roman"/>
          <w:sz w:val="24"/>
          <w:szCs w:val="24"/>
        </w:rPr>
        <w:t>’s evidence, 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 xml:space="preserve">’s opinion does not support the </w:t>
      </w:r>
      <w:r w:rsidR="00F47484"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argument.  In 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 xml:space="preserve">’s witness statement, he specifically explains the </w:t>
      </w:r>
      <w:r w:rsidR="006C6253">
        <w:rPr>
          <w:rFonts w:ascii="Times New Roman" w:hAnsi="Times New Roman" w:cs="Times New Roman"/>
          <w:sz w:val="24"/>
          <w:szCs w:val="24"/>
        </w:rPr>
        <w:t>‘</w:t>
      </w:r>
      <w:r w:rsidRPr="00532A38">
        <w:rPr>
          <w:rFonts w:ascii="Times New Roman" w:hAnsi="Times New Roman" w:cs="Times New Roman"/>
          <w:sz w:val="24"/>
          <w:szCs w:val="24"/>
        </w:rPr>
        <w:t>import process</w:t>
      </w:r>
      <w:r w:rsidR="006C6253">
        <w:rPr>
          <w:rFonts w:ascii="Times New Roman" w:hAnsi="Times New Roman" w:cs="Times New Roman"/>
          <w:sz w:val="24"/>
          <w:szCs w:val="24"/>
        </w:rPr>
        <w:t>’</w:t>
      </w:r>
      <w:r w:rsidRPr="00532A38">
        <w:rPr>
          <w:rFonts w:ascii="Times New Roman" w:hAnsi="Times New Roman" w:cs="Times New Roman"/>
          <w:sz w:val="24"/>
          <w:szCs w:val="24"/>
        </w:rPr>
        <w:t xml:space="preserve"> to mean that </w:t>
      </w:r>
      <w:r w:rsidR="006C6253">
        <w:rPr>
          <w:rFonts w:ascii="Times New Roman" w:hAnsi="Times New Roman" w:cs="Times New Roman"/>
          <w:sz w:val="24"/>
          <w:szCs w:val="24"/>
        </w:rPr>
        <w:t>‘</w:t>
      </w:r>
      <w:r w:rsidRPr="00532A38">
        <w:rPr>
          <w:rFonts w:ascii="Times New Roman" w:hAnsi="Times New Roman" w:cs="Times New Roman"/>
          <w:sz w:val="24"/>
          <w:szCs w:val="24"/>
        </w:rPr>
        <w:t>tax-bonded</w:t>
      </w:r>
      <w:r w:rsidR="006C6253">
        <w:rPr>
          <w:rFonts w:ascii="Times New Roman" w:hAnsi="Times New Roman" w:cs="Times New Roman"/>
          <w:sz w:val="24"/>
          <w:szCs w:val="24"/>
        </w:rPr>
        <w:t>’</w:t>
      </w:r>
      <w:r w:rsidRPr="00532A38">
        <w:rPr>
          <w:rFonts w:ascii="Times New Roman" w:hAnsi="Times New Roman" w:cs="Times New Roman"/>
          <w:sz w:val="24"/>
          <w:szCs w:val="24"/>
        </w:rPr>
        <w:t xml:space="preserve"> imported materials are paid to be imported by the Mainland manufacturing enterprise, and the corresponding products are sold for export by the Mainland manufacturing enterprise, to create a </w:t>
      </w:r>
      <w:r w:rsidR="006C6253">
        <w:rPr>
          <w:rFonts w:ascii="Times New Roman" w:hAnsi="Times New Roman" w:cs="Times New Roman"/>
          <w:sz w:val="24"/>
          <w:szCs w:val="24"/>
        </w:rPr>
        <w:t>‘difference in price’</w:t>
      </w:r>
      <w:r w:rsidRPr="00532A38">
        <w:rPr>
          <w:rFonts w:ascii="Times New Roman" w:hAnsi="Times New Roman" w:cs="Times New Roman"/>
          <w:sz w:val="24"/>
          <w:szCs w:val="24"/>
        </w:rPr>
        <w:t xml:space="preserve"> in settlement method which completes the Mainland’s </w:t>
      </w:r>
      <w:r w:rsidR="006C6253">
        <w:rPr>
          <w:rFonts w:ascii="Times New Roman" w:hAnsi="Times New Roman" w:cs="Times New Roman"/>
          <w:sz w:val="24"/>
          <w:szCs w:val="24"/>
        </w:rPr>
        <w:t>‘</w:t>
      </w:r>
      <w:r w:rsidRPr="00532A38">
        <w:rPr>
          <w:rFonts w:ascii="Times New Roman" w:hAnsi="Times New Roman" w:cs="Times New Roman"/>
          <w:sz w:val="24"/>
          <w:szCs w:val="24"/>
        </w:rPr>
        <w:t>processing trade</w:t>
      </w:r>
      <w:r w:rsidR="006C6253">
        <w:rPr>
          <w:rFonts w:ascii="Times New Roman" w:hAnsi="Times New Roman" w:cs="Times New Roman"/>
          <w:sz w:val="24"/>
          <w:szCs w:val="24"/>
        </w:rPr>
        <w:t>’</w:t>
      </w:r>
      <w:r w:rsidRPr="00532A38">
        <w:rPr>
          <w:rFonts w:ascii="Times New Roman" w:hAnsi="Times New Roman" w:cs="Times New Roman"/>
          <w:sz w:val="24"/>
          <w:szCs w:val="24"/>
        </w:rPr>
        <w:t xml:space="preserve"> method of business activity.  In the circumstances, according to Mr</w:t>
      </w:r>
      <w:r w:rsidR="006C6253">
        <w:rPr>
          <w:rFonts w:ascii="Times New Roman" w:hAnsi="Times New Roman" w:cs="Times New Roman"/>
          <w:sz w:val="24"/>
          <w:szCs w:val="24"/>
        </w:rPr>
        <w:t xml:space="preserve"> K</w:t>
      </w:r>
      <w:r w:rsidRPr="00532A38">
        <w:rPr>
          <w:rFonts w:ascii="Times New Roman" w:hAnsi="Times New Roman" w:cs="Times New Roman"/>
          <w:sz w:val="24"/>
          <w:szCs w:val="24"/>
        </w:rPr>
        <w:t xml:space="preserve">, for import processing using imported tax-bonded materials, the PRC Subsidiary would purchase the imported raw materials (from the </w:t>
      </w:r>
      <w:r w:rsidR="00F17B2C"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and that it would export the manufactured products by selling them (to the </w:t>
      </w:r>
      <w:r w:rsidR="00F17B2C"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w:t>
      </w:r>
    </w:p>
    <w:p w14:paraId="7CCAE828" w14:textId="77777777" w:rsidR="00351095" w:rsidRPr="00532A38" w:rsidRDefault="00351095" w:rsidP="006C6253">
      <w:pPr>
        <w:pStyle w:val="a3"/>
        <w:overflowPunct w:val="0"/>
        <w:spacing w:after="0" w:line="240" w:lineRule="auto"/>
        <w:ind w:left="0"/>
        <w:jc w:val="both"/>
        <w:rPr>
          <w:rFonts w:ascii="Times New Roman" w:hAnsi="Times New Roman" w:cs="Times New Roman"/>
          <w:b/>
          <w:sz w:val="24"/>
          <w:szCs w:val="24"/>
          <w:u w:val="single"/>
        </w:rPr>
      </w:pPr>
    </w:p>
    <w:p w14:paraId="7CCAE829" w14:textId="758F8B6A" w:rsidR="00413838" w:rsidRPr="00532A38" w:rsidRDefault="00351095" w:rsidP="006C6253">
      <w:pPr>
        <w:pStyle w:val="a3"/>
        <w:widowControl w:val="0"/>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terms of documentary evidence, </w:t>
      </w:r>
      <w:r w:rsidR="00413838" w:rsidRPr="00532A38">
        <w:rPr>
          <w:rFonts w:ascii="Times New Roman" w:hAnsi="Times New Roman" w:cs="Times New Roman"/>
          <w:sz w:val="24"/>
          <w:szCs w:val="24"/>
        </w:rPr>
        <w:t xml:space="preserve">in relation to the 23 pieces of evidence. </w:t>
      </w:r>
      <w:r w:rsidR="00247023" w:rsidRPr="00532A38">
        <w:rPr>
          <w:rFonts w:ascii="Times New Roman" w:hAnsi="Times New Roman" w:cs="Times New Roman"/>
          <w:sz w:val="24"/>
          <w:szCs w:val="24"/>
        </w:rPr>
        <w:t xml:space="preserve"> First, documents in relation to customs regulations or laws in the Mainland are</w:t>
      </w:r>
      <w:r w:rsidR="00413838" w:rsidRPr="00532A38">
        <w:rPr>
          <w:rFonts w:ascii="Times New Roman" w:hAnsi="Times New Roman" w:cs="Times New Roman"/>
          <w:sz w:val="24"/>
          <w:szCs w:val="24"/>
        </w:rPr>
        <w:t xml:space="preserve"> strictly speaking </w:t>
      </w:r>
      <w:r w:rsidR="00247023" w:rsidRPr="00532A38">
        <w:rPr>
          <w:rFonts w:ascii="Times New Roman" w:hAnsi="Times New Roman" w:cs="Times New Roman"/>
          <w:sz w:val="24"/>
          <w:szCs w:val="24"/>
        </w:rPr>
        <w:t>irrelevant</w:t>
      </w:r>
      <w:r w:rsidR="00413838" w:rsidRPr="00532A38">
        <w:rPr>
          <w:rFonts w:ascii="Times New Roman" w:hAnsi="Times New Roman" w:cs="Times New Roman"/>
          <w:sz w:val="24"/>
          <w:szCs w:val="24"/>
        </w:rPr>
        <w:t xml:space="preserve">. If anything, they prove that there has to </w:t>
      </w:r>
      <w:r w:rsidR="00286B4D" w:rsidRPr="00532A38">
        <w:rPr>
          <w:rFonts w:ascii="Times New Roman" w:hAnsi="Times New Roman" w:cs="Times New Roman"/>
          <w:sz w:val="24"/>
          <w:szCs w:val="24"/>
          <w:lang w:eastAsia="zh-HK"/>
        </w:rPr>
        <w:t xml:space="preserve">be </w:t>
      </w:r>
      <w:r w:rsidR="00413838" w:rsidRPr="00532A38">
        <w:rPr>
          <w:rFonts w:ascii="Times New Roman" w:hAnsi="Times New Roman" w:cs="Times New Roman"/>
          <w:sz w:val="24"/>
          <w:szCs w:val="24"/>
        </w:rPr>
        <w:t xml:space="preserve">genuine sales and purchases in order for tax benefits to be conferred by the Mainland authorities. This Board fails to understand why and how anyone can gain tax benefits from presenting a set of documents and then </w:t>
      </w:r>
      <w:r w:rsidR="0060325C" w:rsidRPr="00532A38">
        <w:rPr>
          <w:rFonts w:ascii="Times New Roman" w:hAnsi="Times New Roman" w:cs="Times New Roman"/>
          <w:sz w:val="24"/>
          <w:szCs w:val="24"/>
        </w:rPr>
        <w:t xml:space="preserve">when it suits him or her to say that those documents are falsified. </w:t>
      </w:r>
      <w:r w:rsidR="002C198A" w:rsidRPr="00532A38">
        <w:rPr>
          <w:rFonts w:ascii="Times New Roman" w:hAnsi="Times New Roman" w:cs="Times New Roman"/>
          <w:sz w:val="24"/>
          <w:szCs w:val="24"/>
        </w:rPr>
        <w:t>This is completely unacceptable.</w:t>
      </w:r>
    </w:p>
    <w:p w14:paraId="7CCAE82A" w14:textId="77777777" w:rsidR="00413838" w:rsidRPr="00532A38" w:rsidRDefault="00413838" w:rsidP="0046026A">
      <w:pPr>
        <w:pStyle w:val="a3"/>
        <w:overflowPunct w:val="0"/>
        <w:spacing w:after="0" w:line="240" w:lineRule="auto"/>
        <w:rPr>
          <w:rFonts w:ascii="Times New Roman" w:hAnsi="Times New Roman" w:cs="Times New Roman"/>
          <w:sz w:val="24"/>
          <w:szCs w:val="24"/>
        </w:rPr>
      </w:pPr>
    </w:p>
    <w:p w14:paraId="7CCAE82B" w14:textId="77777777" w:rsidR="00247023" w:rsidRPr="00532A38" w:rsidRDefault="0060325C" w:rsidP="006C6253">
      <w:pPr>
        <w:pStyle w:val="a3"/>
        <w:widowControl w:val="0"/>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This Board also agrees with the Inland Revenue Department’s submission that </w:t>
      </w:r>
      <w:r w:rsidR="00247023" w:rsidRPr="00532A38">
        <w:rPr>
          <w:rFonts w:ascii="Times New Roman" w:hAnsi="Times New Roman" w:cs="Times New Roman"/>
          <w:sz w:val="24"/>
          <w:szCs w:val="24"/>
        </w:rPr>
        <w:t xml:space="preserve">the documents in Exhibit 8 and 9 were presented as evidence in another Board of Review case </w:t>
      </w:r>
      <w:r w:rsidR="00247023" w:rsidRPr="006C6253">
        <w:rPr>
          <w:rFonts w:ascii="Times New Roman" w:hAnsi="Times New Roman" w:cs="Times New Roman"/>
          <w:sz w:val="24"/>
          <w:szCs w:val="24"/>
          <w:u w:val="single"/>
        </w:rPr>
        <w:t>B/R 62/13</w:t>
      </w:r>
      <w:r w:rsidR="00247023" w:rsidRPr="00532A38">
        <w:rPr>
          <w:rFonts w:ascii="Times New Roman" w:hAnsi="Times New Roman" w:cs="Times New Roman"/>
          <w:sz w:val="24"/>
          <w:szCs w:val="24"/>
        </w:rPr>
        <w:t xml:space="preserve">, a decision was handed down by the Board in </w:t>
      </w:r>
      <w:r w:rsidR="00247023" w:rsidRPr="006C6253">
        <w:rPr>
          <w:rFonts w:ascii="Times New Roman" w:hAnsi="Times New Roman" w:cs="Times New Roman"/>
          <w:sz w:val="24"/>
          <w:szCs w:val="24"/>
          <w:u w:val="single"/>
        </w:rPr>
        <w:t>D23/15</w:t>
      </w:r>
      <w:r w:rsidR="00247023" w:rsidRPr="00532A38">
        <w:rPr>
          <w:rFonts w:ascii="Times New Roman" w:hAnsi="Times New Roman" w:cs="Times New Roman"/>
          <w:sz w:val="24"/>
          <w:szCs w:val="24"/>
        </w:rPr>
        <w:t xml:space="preserve"> and the Board then had dealt with that evidence.  Not only are those documents of no relevance in this appeal, it is inappropriate for the Appellant to attempt to get the Board to reconsider them for the second time in this case.</w:t>
      </w:r>
    </w:p>
    <w:p w14:paraId="7CCAE82C" w14:textId="77777777" w:rsidR="00247023" w:rsidRPr="00532A38" w:rsidRDefault="00247023" w:rsidP="006C6253">
      <w:pPr>
        <w:pStyle w:val="a3"/>
        <w:overflowPunct w:val="0"/>
        <w:spacing w:after="0" w:line="240" w:lineRule="auto"/>
        <w:ind w:left="0"/>
        <w:jc w:val="both"/>
        <w:rPr>
          <w:rFonts w:ascii="Times New Roman" w:hAnsi="Times New Roman" w:cs="Times New Roman"/>
          <w:sz w:val="24"/>
          <w:szCs w:val="24"/>
        </w:rPr>
      </w:pPr>
    </w:p>
    <w:p w14:paraId="7CCAE82D" w14:textId="62369553" w:rsidR="00247023" w:rsidRPr="00532A38" w:rsidRDefault="008606AF" w:rsidP="006C6253">
      <w:pPr>
        <w:pStyle w:val="a3"/>
        <w:widowControl w:val="0"/>
        <w:numPr>
          <w:ilvl w:val="0"/>
          <w:numId w:val="2"/>
        </w:numPr>
        <w:overflowPunct w:val="0"/>
        <w:spacing w:after="0" w:line="240" w:lineRule="auto"/>
        <w:ind w:left="0" w:firstLine="0"/>
        <w:contextualSpacing w:val="0"/>
        <w:jc w:val="both"/>
        <w:rPr>
          <w:rFonts w:ascii="Times New Roman" w:hAnsi="Times New Roman" w:cs="Times New Roman"/>
          <w:sz w:val="24"/>
          <w:szCs w:val="24"/>
        </w:rPr>
      </w:pPr>
      <w:r w:rsidRPr="00532A38">
        <w:rPr>
          <w:rFonts w:ascii="Times New Roman" w:hAnsi="Times New Roman" w:cs="Times New Roman"/>
          <w:sz w:val="24"/>
          <w:szCs w:val="24"/>
        </w:rPr>
        <w:t>This Board has also considered t</w:t>
      </w:r>
      <w:r w:rsidR="00247023" w:rsidRPr="00532A38">
        <w:rPr>
          <w:rFonts w:ascii="Times New Roman" w:hAnsi="Times New Roman" w:cs="Times New Roman"/>
          <w:sz w:val="24"/>
          <w:szCs w:val="24"/>
        </w:rPr>
        <w:t xml:space="preserve">he documents which were referred to by Ms </w:t>
      </w:r>
      <w:r w:rsidR="006C6253">
        <w:rPr>
          <w:rFonts w:ascii="Times New Roman" w:hAnsi="Times New Roman" w:cs="Times New Roman"/>
          <w:sz w:val="24"/>
          <w:szCs w:val="24"/>
        </w:rPr>
        <w:t>G</w:t>
      </w:r>
      <w:r w:rsidR="00247023"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which </w:t>
      </w:r>
      <w:r w:rsidR="00247023" w:rsidRPr="00532A38">
        <w:rPr>
          <w:rFonts w:ascii="Times New Roman" w:hAnsi="Times New Roman" w:cs="Times New Roman"/>
          <w:sz w:val="24"/>
          <w:szCs w:val="24"/>
        </w:rPr>
        <w:t>are dated outside the relevant tax years under appeal</w:t>
      </w:r>
      <w:r w:rsidRPr="00532A38">
        <w:rPr>
          <w:rFonts w:ascii="Times New Roman" w:hAnsi="Times New Roman" w:cs="Times New Roman"/>
          <w:sz w:val="24"/>
          <w:szCs w:val="24"/>
        </w:rPr>
        <w:t xml:space="preserve"> even though </w:t>
      </w:r>
      <w:r w:rsidR="00247023" w:rsidRPr="00532A38">
        <w:rPr>
          <w:rFonts w:ascii="Times New Roman" w:hAnsi="Times New Roman" w:cs="Times New Roman"/>
          <w:sz w:val="24"/>
          <w:szCs w:val="24"/>
        </w:rPr>
        <w:t xml:space="preserve">they are of limited value to the Board </w:t>
      </w:r>
      <w:r w:rsidRPr="00532A38">
        <w:rPr>
          <w:rFonts w:ascii="Times New Roman" w:hAnsi="Times New Roman" w:cs="Times New Roman"/>
          <w:sz w:val="24"/>
          <w:szCs w:val="24"/>
        </w:rPr>
        <w:t xml:space="preserve">despite </w:t>
      </w:r>
      <w:r w:rsidR="00247023" w:rsidRPr="00532A38">
        <w:rPr>
          <w:rFonts w:ascii="Times New Roman" w:hAnsi="Times New Roman" w:cs="Times New Roman"/>
          <w:sz w:val="24"/>
          <w:szCs w:val="24"/>
        </w:rPr>
        <w:t xml:space="preserve">Ms </w:t>
      </w:r>
      <w:r w:rsidR="006C6253">
        <w:rPr>
          <w:rFonts w:ascii="Times New Roman" w:hAnsi="Times New Roman" w:cs="Times New Roman"/>
          <w:sz w:val="24"/>
          <w:szCs w:val="24"/>
        </w:rPr>
        <w:t>G</w:t>
      </w:r>
      <w:r w:rsidRPr="00532A38">
        <w:rPr>
          <w:rFonts w:ascii="Times New Roman" w:hAnsi="Times New Roman" w:cs="Times New Roman"/>
          <w:sz w:val="24"/>
          <w:szCs w:val="24"/>
        </w:rPr>
        <w:t xml:space="preserve">’s allegation </w:t>
      </w:r>
      <w:r w:rsidR="00247023" w:rsidRPr="00532A38">
        <w:rPr>
          <w:rFonts w:ascii="Times New Roman" w:hAnsi="Times New Roman" w:cs="Times New Roman"/>
          <w:sz w:val="24"/>
          <w:szCs w:val="24"/>
        </w:rPr>
        <w:t xml:space="preserve">that the business operations between the Appellant and </w:t>
      </w:r>
      <w:r w:rsidR="0079150E" w:rsidRPr="00532A38">
        <w:rPr>
          <w:rFonts w:ascii="Times New Roman" w:hAnsi="Times New Roman" w:cs="Times New Roman"/>
          <w:sz w:val="24"/>
          <w:szCs w:val="24"/>
          <w:lang w:eastAsia="zh-HK"/>
        </w:rPr>
        <w:t>PRC Subsidiary</w:t>
      </w:r>
      <w:r w:rsidR="00247023" w:rsidRPr="00532A38">
        <w:rPr>
          <w:rFonts w:ascii="Times New Roman" w:hAnsi="Times New Roman" w:cs="Times New Roman"/>
          <w:sz w:val="24"/>
          <w:szCs w:val="24"/>
        </w:rPr>
        <w:t xml:space="preserve"> had remained the same since the Appellant’s incorporation in 1995</w:t>
      </w:r>
      <w:r w:rsidRPr="00532A38">
        <w:rPr>
          <w:rFonts w:ascii="Times New Roman" w:hAnsi="Times New Roman" w:cs="Times New Roman"/>
          <w:sz w:val="24"/>
          <w:szCs w:val="24"/>
        </w:rPr>
        <w:t xml:space="preserve">. </w:t>
      </w:r>
      <w:r w:rsidR="00247023" w:rsidRPr="00532A38">
        <w:rPr>
          <w:rFonts w:ascii="Times New Roman" w:hAnsi="Times New Roman" w:cs="Times New Roman"/>
          <w:sz w:val="24"/>
          <w:szCs w:val="24"/>
        </w:rPr>
        <w:t xml:space="preserve">  </w:t>
      </w:r>
    </w:p>
    <w:p w14:paraId="08393FB9" w14:textId="77777777" w:rsidR="001D215B" w:rsidRPr="00532A38" w:rsidRDefault="001D215B" w:rsidP="006C6253">
      <w:pPr>
        <w:pStyle w:val="a3"/>
        <w:overflowPunct w:val="0"/>
        <w:spacing w:after="0" w:line="240" w:lineRule="auto"/>
        <w:ind w:left="0"/>
        <w:jc w:val="both"/>
        <w:rPr>
          <w:rFonts w:ascii="Times New Roman" w:hAnsi="Times New Roman" w:cs="Times New Roman"/>
          <w:b/>
          <w:sz w:val="24"/>
          <w:szCs w:val="24"/>
          <w:u w:val="single"/>
        </w:rPr>
      </w:pPr>
    </w:p>
    <w:p w14:paraId="7CCAE82F" w14:textId="465BCD2B" w:rsidR="00C35760" w:rsidRPr="001657B0" w:rsidRDefault="00C35760" w:rsidP="006C6253">
      <w:pPr>
        <w:overflowPunct w:val="0"/>
        <w:spacing w:after="0" w:line="240" w:lineRule="auto"/>
        <w:jc w:val="both"/>
        <w:rPr>
          <w:rFonts w:ascii="Times New Roman" w:hAnsi="Times New Roman" w:cs="Times New Roman"/>
          <w:sz w:val="24"/>
          <w:szCs w:val="24"/>
          <w:u w:val="single"/>
        </w:rPr>
      </w:pPr>
      <w:r w:rsidRPr="001657B0">
        <w:rPr>
          <w:rFonts w:ascii="Times New Roman" w:hAnsi="Times New Roman" w:cs="Times New Roman"/>
          <w:sz w:val="24"/>
          <w:szCs w:val="24"/>
          <w:u w:val="single"/>
        </w:rPr>
        <w:t xml:space="preserve">Analysis of </w:t>
      </w:r>
      <w:r w:rsidR="00F17B2C" w:rsidRPr="001657B0">
        <w:rPr>
          <w:rFonts w:ascii="Times New Roman" w:hAnsi="Times New Roman" w:cs="Times New Roman"/>
          <w:sz w:val="24"/>
          <w:szCs w:val="24"/>
          <w:u w:val="single"/>
        </w:rPr>
        <w:t>the Appellant’s Factual E</w:t>
      </w:r>
      <w:r w:rsidRPr="001657B0">
        <w:rPr>
          <w:rFonts w:ascii="Times New Roman" w:hAnsi="Times New Roman" w:cs="Times New Roman"/>
          <w:sz w:val="24"/>
          <w:szCs w:val="24"/>
          <w:u w:val="single"/>
        </w:rPr>
        <w:t>vidence</w:t>
      </w:r>
    </w:p>
    <w:p w14:paraId="4ADAD4A5" w14:textId="77777777" w:rsidR="001657B0" w:rsidRPr="00532A38" w:rsidRDefault="001657B0" w:rsidP="006C6253">
      <w:pPr>
        <w:overflowPunct w:val="0"/>
        <w:spacing w:after="0" w:line="240" w:lineRule="auto"/>
        <w:jc w:val="both"/>
        <w:rPr>
          <w:rFonts w:ascii="Times New Roman" w:hAnsi="Times New Roman" w:cs="Times New Roman"/>
          <w:i/>
          <w:sz w:val="24"/>
          <w:szCs w:val="24"/>
        </w:rPr>
      </w:pPr>
    </w:p>
    <w:p w14:paraId="7CCAE830" w14:textId="66A6F21C" w:rsidR="00F17B2C" w:rsidRPr="00532A38" w:rsidRDefault="00C35760" w:rsidP="006C6253">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In</w:t>
      </w:r>
      <w:r w:rsidR="00F17B2C" w:rsidRPr="00532A38">
        <w:rPr>
          <w:rFonts w:ascii="Times New Roman" w:hAnsi="Times New Roman" w:cs="Times New Roman"/>
          <w:sz w:val="24"/>
          <w:szCs w:val="24"/>
        </w:rPr>
        <w:t xml:space="preserve"> terms of Ms </w:t>
      </w:r>
      <w:r w:rsidR="001657B0">
        <w:rPr>
          <w:rFonts w:ascii="Times New Roman" w:hAnsi="Times New Roman" w:cs="Times New Roman"/>
          <w:sz w:val="24"/>
          <w:szCs w:val="24"/>
        </w:rPr>
        <w:t>G</w:t>
      </w:r>
      <w:r w:rsidRPr="00532A38">
        <w:rPr>
          <w:rFonts w:ascii="Times New Roman" w:hAnsi="Times New Roman" w:cs="Times New Roman"/>
          <w:sz w:val="24"/>
          <w:szCs w:val="24"/>
        </w:rPr>
        <w:t>’s evidence</w:t>
      </w:r>
      <w:r w:rsidR="00F17B2C" w:rsidRPr="00532A38">
        <w:rPr>
          <w:rFonts w:ascii="Times New Roman" w:hAnsi="Times New Roman" w:cs="Times New Roman"/>
          <w:sz w:val="24"/>
          <w:szCs w:val="24"/>
        </w:rPr>
        <w:t xml:space="preserve">, she basically gave evidence that </w:t>
      </w:r>
      <w:r w:rsidRPr="00532A38">
        <w:rPr>
          <w:rFonts w:ascii="Times New Roman" w:hAnsi="Times New Roman" w:cs="Times New Roman"/>
          <w:sz w:val="24"/>
          <w:szCs w:val="24"/>
        </w:rPr>
        <w:t xml:space="preserve">she had falsified accounts and invoices of the </w:t>
      </w:r>
      <w:r w:rsidR="00F17B2C"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and that of the invoices of the PRC Subsidiary by using the letterhead and company chop of the PRC Subsidiary even though she is not an employee of the PRC Subsidiary.  </w:t>
      </w:r>
    </w:p>
    <w:p w14:paraId="7CCAE831" w14:textId="77777777" w:rsidR="00F17B2C" w:rsidRPr="00532A38" w:rsidRDefault="00F17B2C" w:rsidP="0046026A">
      <w:pPr>
        <w:pStyle w:val="a3"/>
        <w:overflowPunct w:val="0"/>
        <w:spacing w:after="0" w:line="240" w:lineRule="auto"/>
        <w:ind w:left="360"/>
        <w:jc w:val="both"/>
        <w:rPr>
          <w:rFonts w:ascii="Times New Roman" w:hAnsi="Times New Roman" w:cs="Times New Roman"/>
          <w:b/>
          <w:sz w:val="24"/>
          <w:szCs w:val="24"/>
          <w:u w:val="single"/>
        </w:rPr>
      </w:pPr>
    </w:p>
    <w:p w14:paraId="7CCAE832" w14:textId="6C0D8089" w:rsidR="000770DF" w:rsidRPr="00532A38" w:rsidRDefault="00C35760" w:rsidP="001657B0">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Ms</w:t>
      </w:r>
      <w:r w:rsidR="001657B0">
        <w:rPr>
          <w:rFonts w:ascii="Times New Roman" w:hAnsi="Times New Roman" w:cs="Times New Roman"/>
          <w:sz w:val="24"/>
          <w:szCs w:val="24"/>
        </w:rPr>
        <w:t xml:space="preserve"> G</w:t>
      </w:r>
      <w:r w:rsidRPr="00532A38">
        <w:rPr>
          <w:rFonts w:ascii="Times New Roman" w:hAnsi="Times New Roman" w:cs="Times New Roman"/>
          <w:sz w:val="24"/>
          <w:szCs w:val="24"/>
        </w:rPr>
        <w:t xml:space="preserve"> explained that she was advised by a Mr</w:t>
      </w:r>
      <w:r w:rsidR="001657B0">
        <w:rPr>
          <w:rFonts w:ascii="Times New Roman" w:hAnsi="Times New Roman" w:cs="Times New Roman"/>
          <w:sz w:val="24"/>
          <w:szCs w:val="24"/>
        </w:rPr>
        <w:t xml:space="preserve"> L</w:t>
      </w:r>
      <w:r w:rsidRPr="00532A38">
        <w:rPr>
          <w:rFonts w:ascii="Times New Roman" w:hAnsi="Times New Roman" w:cs="Times New Roman"/>
          <w:sz w:val="24"/>
          <w:szCs w:val="24"/>
        </w:rPr>
        <w:t xml:space="preserve">, a qualified accountant, to </w:t>
      </w:r>
      <w:r w:rsidR="001657B0">
        <w:rPr>
          <w:rFonts w:ascii="Times New Roman" w:hAnsi="Times New Roman" w:cs="Times New Roman"/>
          <w:sz w:val="24"/>
          <w:szCs w:val="24"/>
        </w:rPr>
        <w:t>‘</w:t>
      </w:r>
      <w:r w:rsidR="000770DF" w:rsidRPr="00532A38">
        <w:rPr>
          <w:rFonts w:ascii="Times New Roman" w:hAnsi="Times New Roman" w:cs="Times New Roman"/>
          <w:sz w:val="24"/>
          <w:szCs w:val="24"/>
        </w:rPr>
        <w:t>create</w:t>
      </w:r>
      <w:r w:rsidR="001657B0">
        <w:rPr>
          <w:rFonts w:ascii="Times New Roman" w:hAnsi="Times New Roman" w:cs="Times New Roman"/>
          <w:sz w:val="24"/>
          <w:szCs w:val="24"/>
        </w:rPr>
        <w:t>’</w:t>
      </w:r>
      <w:r w:rsidR="000770DF"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invoices and enter the accounts in such a way, and that she was merely following </w:t>
      </w:r>
      <w:r w:rsidRPr="00532A38">
        <w:rPr>
          <w:rFonts w:ascii="Times New Roman" w:hAnsi="Times New Roman" w:cs="Times New Roman"/>
          <w:sz w:val="24"/>
          <w:szCs w:val="24"/>
        </w:rPr>
        <w:lastRenderedPageBreak/>
        <w:t xml:space="preserve">the advice of a qualified accountant since she was not qualified.  </w:t>
      </w:r>
      <w:r w:rsidR="003B145C" w:rsidRPr="00532A38">
        <w:rPr>
          <w:rFonts w:ascii="Times New Roman" w:hAnsi="Times New Roman" w:cs="Times New Roman"/>
          <w:sz w:val="24"/>
          <w:szCs w:val="24"/>
        </w:rPr>
        <w:t>Mr</w:t>
      </w:r>
      <w:r w:rsidR="001657B0">
        <w:rPr>
          <w:rFonts w:ascii="Times New Roman" w:hAnsi="Times New Roman" w:cs="Times New Roman"/>
          <w:sz w:val="24"/>
          <w:szCs w:val="24"/>
          <w:lang w:eastAsia="zh-HK"/>
        </w:rPr>
        <w:t xml:space="preserve"> L</w:t>
      </w:r>
      <w:r w:rsidR="000770DF" w:rsidRPr="00532A38">
        <w:rPr>
          <w:rFonts w:ascii="Times New Roman" w:hAnsi="Times New Roman" w:cs="Times New Roman"/>
          <w:sz w:val="24"/>
          <w:szCs w:val="24"/>
        </w:rPr>
        <w:t xml:space="preserve"> was not called as a witness by the Appellant.</w:t>
      </w:r>
    </w:p>
    <w:p w14:paraId="7CCAE833" w14:textId="77777777" w:rsidR="000770DF" w:rsidRPr="00532A38" w:rsidRDefault="000770DF" w:rsidP="001657B0">
      <w:pPr>
        <w:pStyle w:val="a3"/>
        <w:overflowPunct w:val="0"/>
        <w:spacing w:after="0" w:line="240" w:lineRule="auto"/>
        <w:ind w:left="0"/>
        <w:rPr>
          <w:rFonts w:ascii="Times New Roman" w:hAnsi="Times New Roman" w:cs="Times New Roman"/>
          <w:sz w:val="24"/>
          <w:szCs w:val="24"/>
        </w:rPr>
      </w:pPr>
    </w:p>
    <w:p w14:paraId="7CCAE834" w14:textId="3C9FD388" w:rsidR="00C35760" w:rsidRPr="00532A38" w:rsidRDefault="00C35760" w:rsidP="001657B0">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w:t>
      </w:r>
      <w:r w:rsidR="002678A5" w:rsidRPr="00532A38">
        <w:rPr>
          <w:rFonts w:ascii="Times New Roman" w:hAnsi="Times New Roman" w:cs="Times New Roman"/>
          <w:sz w:val="24"/>
          <w:szCs w:val="24"/>
        </w:rPr>
        <w:t xml:space="preserve">Appellant’s </w:t>
      </w:r>
      <w:r w:rsidR="00F75A48">
        <w:rPr>
          <w:rFonts w:ascii="Times New Roman" w:hAnsi="Times New Roman" w:cs="Times New Roman"/>
          <w:sz w:val="24"/>
          <w:szCs w:val="24"/>
        </w:rPr>
        <w:t>representative, Mr</w:t>
      </w:r>
      <w:r w:rsidRPr="00532A38">
        <w:rPr>
          <w:rFonts w:ascii="Times New Roman" w:hAnsi="Times New Roman" w:cs="Times New Roman"/>
          <w:sz w:val="24"/>
          <w:szCs w:val="24"/>
        </w:rPr>
        <w:t xml:space="preserve"> Yue, went further to submit that the documents and accounts were falsified in order to comply with the requirements imposed by the Inland Revenue Department of import processing in Hong Kong.</w:t>
      </w:r>
    </w:p>
    <w:p w14:paraId="7CCAE835" w14:textId="77777777" w:rsidR="002678A5" w:rsidRPr="00532A38" w:rsidRDefault="002678A5" w:rsidP="001657B0">
      <w:pPr>
        <w:pStyle w:val="a3"/>
        <w:overflowPunct w:val="0"/>
        <w:spacing w:after="0" w:line="240" w:lineRule="auto"/>
        <w:ind w:left="0"/>
        <w:rPr>
          <w:rFonts w:ascii="Times New Roman" w:hAnsi="Times New Roman" w:cs="Times New Roman"/>
          <w:b/>
          <w:sz w:val="24"/>
          <w:szCs w:val="24"/>
          <w:u w:val="single"/>
        </w:rPr>
      </w:pPr>
    </w:p>
    <w:p w14:paraId="7CCAE836" w14:textId="4E77ACCD" w:rsidR="002678A5" w:rsidRPr="00532A38" w:rsidRDefault="00D1584B" w:rsidP="001657B0">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This Board has duly warned Ms </w:t>
      </w:r>
      <w:r w:rsidR="001657B0">
        <w:rPr>
          <w:rFonts w:ascii="Times New Roman" w:hAnsi="Times New Roman" w:cs="Times New Roman"/>
          <w:sz w:val="24"/>
          <w:szCs w:val="24"/>
        </w:rPr>
        <w:t>G</w:t>
      </w:r>
      <w:r w:rsidRPr="00532A38">
        <w:rPr>
          <w:rFonts w:ascii="Times New Roman" w:hAnsi="Times New Roman" w:cs="Times New Roman"/>
          <w:sz w:val="24"/>
          <w:szCs w:val="24"/>
        </w:rPr>
        <w:t xml:space="preserve"> and Mr Yue the risk of self-incrimination as far as Ms </w:t>
      </w:r>
      <w:r w:rsidR="001657B0">
        <w:rPr>
          <w:rFonts w:ascii="Times New Roman" w:hAnsi="Times New Roman" w:cs="Times New Roman"/>
          <w:sz w:val="24"/>
          <w:szCs w:val="24"/>
        </w:rPr>
        <w:t>G</w:t>
      </w:r>
      <w:r w:rsidRPr="00532A38">
        <w:rPr>
          <w:rFonts w:ascii="Times New Roman" w:hAnsi="Times New Roman" w:cs="Times New Roman"/>
          <w:sz w:val="24"/>
          <w:szCs w:val="24"/>
        </w:rPr>
        <w:t xml:space="preserve"> is concerned. </w:t>
      </w:r>
    </w:p>
    <w:p w14:paraId="7CCAE837" w14:textId="77777777" w:rsidR="00C35760" w:rsidRPr="00532A38" w:rsidRDefault="00C35760" w:rsidP="001657B0">
      <w:pPr>
        <w:pStyle w:val="a3"/>
        <w:overflowPunct w:val="0"/>
        <w:spacing w:after="0" w:line="240" w:lineRule="auto"/>
        <w:ind w:left="0"/>
        <w:jc w:val="both"/>
        <w:rPr>
          <w:rFonts w:ascii="Times New Roman" w:hAnsi="Times New Roman" w:cs="Times New Roman"/>
          <w:b/>
          <w:sz w:val="24"/>
          <w:szCs w:val="24"/>
          <w:u w:val="single"/>
        </w:rPr>
      </w:pPr>
    </w:p>
    <w:p w14:paraId="7CCAE838" w14:textId="3B8DC49B" w:rsidR="00C35760" w:rsidRPr="00532A38" w:rsidRDefault="000770DF" w:rsidP="001657B0">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This Board do</w:t>
      </w:r>
      <w:r w:rsidR="00FC34F3" w:rsidRPr="00532A38">
        <w:rPr>
          <w:rFonts w:ascii="Times New Roman" w:hAnsi="Times New Roman" w:cs="Times New Roman"/>
          <w:sz w:val="24"/>
          <w:szCs w:val="24"/>
        </w:rPr>
        <w:t>es</w:t>
      </w:r>
      <w:r w:rsidRPr="00532A38">
        <w:rPr>
          <w:rFonts w:ascii="Times New Roman" w:hAnsi="Times New Roman" w:cs="Times New Roman"/>
          <w:sz w:val="24"/>
          <w:szCs w:val="24"/>
        </w:rPr>
        <w:t xml:space="preserve"> not find Ms</w:t>
      </w:r>
      <w:r w:rsidR="00FC34F3" w:rsidRPr="00532A38">
        <w:rPr>
          <w:rFonts w:ascii="Times New Roman" w:hAnsi="Times New Roman" w:cs="Times New Roman"/>
          <w:sz w:val="24"/>
          <w:szCs w:val="24"/>
        </w:rPr>
        <w:t xml:space="preserve"> </w:t>
      </w:r>
      <w:r w:rsidR="001657B0">
        <w:rPr>
          <w:rFonts w:ascii="Times New Roman" w:hAnsi="Times New Roman" w:cs="Times New Roman"/>
          <w:sz w:val="24"/>
          <w:szCs w:val="24"/>
        </w:rPr>
        <w:t>G</w:t>
      </w:r>
      <w:r w:rsidR="00FC34F3" w:rsidRPr="00532A38">
        <w:rPr>
          <w:rFonts w:ascii="Times New Roman" w:hAnsi="Times New Roman" w:cs="Times New Roman"/>
          <w:sz w:val="24"/>
          <w:szCs w:val="24"/>
        </w:rPr>
        <w:t xml:space="preserve">’s evidence to be credible. Her </w:t>
      </w:r>
      <w:r w:rsidR="00C35760" w:rsidRPr="00532A38">
        <w:rPr>
          <w:rFonts w:ascii="Times New Roman" w:hAnsi="Times New Roman" w:cs="Times New Roman"/>
          <w:sz w:val="24"/>
          <w:szCs w:val="24"/>
        </w:rPr>
        <w:t>evidence</w:t>
      </w:r>
      <w:r w:rsidR="00D1584B" w:rsidRPr="00532A38">
        <w:rPr>
          <w:rFonts w:ascii="Times New Roman" w:hAnsi="Times New Roman" w:cs="Times New Roman"/>
          <w:sz w:val="24"/>
          <w:szCs w:val="24"/>
        </w:rPr>
        <w:t xml:space="preserve"> </w:t>
      </w:r>
      <w:r w:rsidR="00C35760" w:rsidRPr="00532A38">
        <w:rPr>
          <w:rFonts w:ascii="Times New Roman" w:hAnsi="Times New Roman" w:cs="Times New Roman"/>
          <w:sz w:val="24"/>
          <w:szCs w:val="24"/>
        </w:rPr>
        <w:t xml:space="preserve">is </w:t>
      </w:r>
      <w:r w:rsidR="00D1584B" w:rsidRPr="00532A38">
        <w:rPr>
          <w:rFonts w:ascii="Times New Roman" w:hAnsi="Times New Roman" w:cs="Times New Roman"/>
          <w:sz w:val="24"/>
          <w:szCs w:val="24"/>
        </w:rPr>
        <w:t>in</w:t>
      </w:r>
      <w:r w:rsidR="00C35760" w:rsidRPr="00532A38">
        <w:rPr>
          <w:rFonts w:ascii="Times New Roman" w:hAnsi="Times New Roman" w:cs="Times New Roman"/>
          <w:sz w:val="24"/>
          <w:szCs w:val="24"/>
        </w:rPr>
        <w:t>consistent with the contemporaneous documentary evidence available to the Board:</w:t>
      </w:r>
    </w:p>
    <w:p w14:paraId="7CCAE839" w14:textId="77777777" w:rsidR="00C35760" w:rsidRPr="00532A38" w:rsidRDefault="00C35760" w:rsidP="0046026A">
      <w:pPr>
        <w:pStyle w:val="a3"/>
        <w:overflowPunct w:val="0"/>
        <w:spacing w:after="0" w:line="240" w:lineRule="auto"/>
        <w:rPr>
          <w:rFonts w:ascii="Times New Roman" w:hAnsi="Times New Roman" w:cs="Times New Roman"/>
          <w:b/>
          <w:sz w:val="24"/>
          <w:szCs w:val="24"/>
          <w:u w:val="single"/>
        </w:rPr>
      </w:pPr>
    </w:p>
    <w:p w14:paraId="7CCAE83A" w14:textId="70729D05" w:rsidR="00C35760" w:rsidRPr="00532A38" w:rsidRDefault="00C35760" w:rsidP="001657B0">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According to the PRC Subsidiary’s Processing Trade Handbooks of various dates, there were contract numbers entered into next to the items of </w:t>
      </w:r>
      <w:r w:rsidR="001657B0">
        <w:rPr>
          <w:rFonts w:ascii="Times New Roman" w:hAnsi="Times New Roman" w:cs="Times New Roman"/>
          <w:sz w:val="24"/>
          <w:szCs w:val="24"/>
        </w:rPr>
        <w:t>‘</w:t>
      </w:r>
      <w:r w:rsidRPr="00532A38">
        <w:rPr>
          <w:rFonts w:ascii="Times New Roman" w:hAnsi="Times New Roman" w:cs="Times New Roman"/>
          <w:sz w:val="24"/>
          <w:szCs w:val="24"/>
        </w:rPr>
        <w:t>import contract</w:t>
      </w:r>
      <w:r w:rsidR="001657B0">
        <w:rPr>
          <w:rFonts w:ascii="Times New Roman" w:hAnsi="Times New Roman" w:cs="Times New Roman"/>
          <w:sz w:val="24"/>
          <w:szCs w:val="24"/>
        </w:rPr>
        <w:t>’</w:t>
      </w:r>
      <w:r w:rsidRPr="00532A38">
        <w:rPr>
          <w:rFonts w:ascii="Times New Roman" w:hAnsi="Times New Roman" w:cs="Times New Roman"/>
          <w:sz w:val="24"/>
          <w:szCs w:val="24"/>
        </w:rPr>
        <w:t xml:space="preserve"> and </w:t>
      </w:r>
      <w:r w:rsidR="001657B0">
        <w:rPr>
          <w:rFonts w:ascii="Times New Roman" w:hAnsi="Times New Roman" w:cs="Times New Roman"/>
          <w:sz w:val="24"/>
          <w:szCs w:val="24"/>
        </w:rPr>
        <w:t>‘</w:t>
      </w:r>
      <w:r w:rsidRPr="00532A38">
        <w:rPr>
          <w:rFonts w:ascii="Times New Roman" w:hAnsi="Times New Roman" w:cs="Times New Roman"/>
          <w:sz w:val="24"/>
          <w:szCs w:val="24"/>
        </w:rPr>
        <w:t>export contract</w:t>
      </w:r>
      <w:r w:rsidR="001657B0">
        <w:rPr>
          <w:rFonts w:ascii="Times New Roman" w:hAnsi="Times New Roman" w:cs="Times New Roman"/>
          <w:sz w:val="24"/>
          <w:szCs w:val="24"/>
        </w:rPr>
        <w:t>’</w:t>
      </w:r>
      <w:r w:rsidRPr="00532A38">
        <w:rPr>
          <w:rFonts w:ascii="Times New Roman" w:hAnsi="Times New Roman" w:cs="Times New Roman"/>
          <w:sz w:val="24"/>
          <w:szCs w:val="24"/>
        </w:rPr>
        <w:t xml:space="preserve">, which were contract numbers assigned to contracts between the </w:t>
      </w:r>
      <w:r w:rsidR="00D1584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These contracts were not produced to the Board initially.  Upon being questioned by the Board, Ms</w:t>
      </w:r>
      <w:r w:rsidR="001657B0">
        <w:rPr>
          <w:rFonts w:ascii="Times New Roman" w:hAnsi="Times New Roman" w:cs="Times New Roman"/>
          <w:sz w:val="24"/>
          <w:szCs w:val="24"/>
        </w:rPr>
        <w:t xml:space="preserve"> G</w:t>
      </w:r>
      <w:r w:rsidRPr="00532A38">
        <w:rPr>
          <w:rFonts w:ascii="Times New Roman" w:hAnsi="Times New Roman" w:cs="Times New Roman"/>
          <w:sz w:val="24"/>
          <w:szCs w:val="24"/>
        </w:rPr>
        <w:t xml:space="preserve"> claimed that she was not the person who prepared the documents for submission to the Mainland authorities and she would have to obtain the requested processing trade contracts from the PRC Subsidiary.  Ms</w:t>
      </w:r>
      <w:r w:rsidR="001657B0">
        <w:rPr>
          <w:rFonts w:ascii="Times New Roman" w:hAnsi="Times New Roman" w:cs="Times New Roman"/>
          <w:sz w:val="24"/>
          <w:szCs w:val="24"/>
        </w:rPr>
        <w:t xml:space="preserve"> G</w:t>
      </w:r>
      <w:r w:rsidRPr="00532A38">
        <w:rPr>
          <w:rFonts w:ascii="Times New Roman" w:hAnsi="Times New Roman" w:cs="Times New Roman"/>
          <w:sz w:val="24"/>
          <w:szCs w:val="24"/>
        </w:rPr>
        <w:t xml:space="preserve"> subsequently produced to the Board a copy of the Contract and Purchase Contract dated beyond the Relevant Period, and claimed that she was unable to produce the contracts made during the years of assessment.</w:t>
      </w:r>
    </w:p>
    <w:p w14:paraId="7CCAE83B" w14:textId="77777777" w:rsidR="00C35760" w:rsidRPr="00532A38" w:rsidRDefault="00C35760" w:rsidP="001657B0">
      <w:pPr>
        <w:pStyle w:val="a3"/>
        <w:tabs>
          <w:tab w:val="left" w:pos="1932"/>
        </w:tabs>
        <w:overflowPunct w:val="0"/>
        <w:spacing w:after="0" w:line="240" w:lineRule="auto"/>
        <w:ind w:leftChars="638" w:left="1933" w:hangingChars="220" w:hanging="529"/>
        <w:jc w:val="both"/>
        <w:rPr>
          <w:rFonts w:ascii="Times New Roman" w:hAnsi="Times New Roman" w:cs="Times New Roman"/>
          <w:b/>
          <w:sz w:val="24"/>
          <w:szCs w:val="24"/>
          <w:u w:val="single"/>
        </w:rPr>
      </w:pPr>
    </w:p>
    <w:p w14:paraId="7CCAE83C" w14:textId="77777777" w:rsidR="00C35760" w:rsidRPr="00532A38" w:rsidRDefault="00C35760" w:rsidP="001657B0">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On the face of the input entered in the Processing Trade Handbooks, and notwithstanding that the relevant contracts for sale and purchase between the Taxpayer and the PRC Subsidiary were not being produced by the </w:t>
      </w:r>
      <w:r w:rsidR="00D1584B"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the Board finds that these contracts existed during the Relevant Period.  No evidence </w:t>
      </w:r>
      <w:r w:rsidR="00FC34F3" w:rsidRPr="00532A38">
        <w:rPr>
          <w:rFonts w:ascii="Times New Roman" w:hAnsi="Times New Roman" w:cs="Times New Roman"/>
          <w:sz w:val="24"/>
          <w:szCs w:val="24"/>
        </w:rPr>
        <w:t xml:space="preserve">was </w:t>
      </w:r>
      <w:r w:rsidRPr="00532A38">
        <w:rPr>
          <w:rFonts w:ascii="Times New Roman" w:hAnsi="Times New Roman" w:cs="Times New Roman"/>
          <w:sz w:val="24"/>
          <w:szCs w:val="24"/>
        </w:rPr>
        <w:t xml:space="preserve">adduced </w:t>
      </w:r>
      <w:r w:rsidR="00FC34F3" w:rsidRPr="00532A38">
        <w:rPr>
          <w:rFonts w:ascii="Times New Roman" w:hAnsi="Times New Roman" w:cs="Times New Roman"/>
          <w:sz w:val="24"/>
          <w:szCs w:val="24"/>
        </w:rPr>
        <w:t xml:space="preserve">to prove that </w:t>
      </w:r>
      <w:r w:rsidRPr="00532A38">
        <w:rPr>
          <w:rFonts w:ascii="Times New Roman" w:hAnsi="Times New Roman" w:cs="Times New Roman"/>
          <w:sz w:val="24"/>
          <w:szCs w:val="24"/>
        </w:rPr>
        <w:t xml:space="preserve">these contracts were </w:t>
      </w:r>
      <w:r w:rsidR="00FC34F3" w:rsidRPr="00532A38">
        <w:rPr>
          <w:rFonts w:ascii="Times New Roman" w:hAnsi="Times New Roman" w:cs="Times New Roman"/>
          <w:sz w:val="24"/>
          <w:szCs w:val="24"/>
        </w:rPr>
        <w:t xml:space="preserve">actually </w:t>
      </w:r>
      <w:r w:rsidRPr="00532A38">
        <w:rPr>
          <w:rFonts w:ascii="Times New Roman" w:hAnsi="Times New Roman" w:cs="Times New Roman"/>
          <w:sz w:val="24"/>
          <w:szCs w:val="24"/>
        </w:rPr>
        <w:t xml:space="preserve">not genuine contracts between the </w:t>
      </w:r>
      <w:r w:rsidR="00811F8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w:t>
      </w:r>
    </w:p>
    <w:p w14:paraId="7CCAE83D" w14:textId="77777777" w:rsidR="00C35760" w:rsidRPr="00532A38" w:rsidRDefault="00C35760" w:rsidP="001657B0">
      <w:pPr>
        <w:pStyle w:val="a3"/>
        <w:tabs>
          <w:tab w:val="left" w:pos="1932"/>
        </w:tabs>
        <w:overflowPunct w:val="0"/>
        <w:spacing w:after="0" w:line="240" w:lineRule="auto"/>
        <w:ind w:leftChars="638" w:left="1933" w:hangingChars="220" w:hanging="529"/>
        <w:rPr>
          <w:rFonts w:ascii="Times New Roman" w:hAnsi="Times New Roman" w:cs="Times New Roman"/>
          <w:b/>
          <w:sz w:val="24"/>
          <w:szCs w:val="24"/>
          <w:u w:val="single"/>
        </w:rPr>
      </w:pPr>
    </w:p>
    <w:p w14:paraId="7CCAE83E" w14:textId="77777777" w:rsidR="00C35760" w:rsidRPr="00532A38" w:rsidRDefault="00C35760" w:rsidP="001657B0">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Insofar as any alleged falsity of the invoices issued by the </w:t>
      </w:r>
      <w:r w:rsidR="00811F8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to the PRC Subsidiary is concerned, the allegation is inconsistent with the </w:t>
      </w:r>
      <w:r w:rsidR="00811F8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current accounts with the PRC Subsidiary which shows that purchases from the PRC Subsidiary were credited to the current accounts with the PRC Subsidiary and were offset by the sales of raw materials to the PRC Subsidiary and remittance of fund from time to time.</w:t>
      </w:r>
    </w:p>
    <w:p w14:paraId="7CCAE83F" w14:textId="77777777" w:rsidR="00C35760" w:rsidRPr="00532A38" w:rsidRDefault="00C35760" w:rsidP="001657B0">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40" w14:textId="518FDF40" w:rsidR="00C35760" w:rsidRPr="00532A38" w:rsidRDefault="00C35760" w:rsidP="001657B0">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Insofar as any alleged falsity of the invoices issued by the PRC Subsidiary to the </w:t>
      </w:r>
      <w:r w:rsidR="00811F8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is concerned, it is contradi</w:t>
      </w:r>
      <w:r w:rsidR="001657B0">
        <w:rPr>
          <w:rFonts w:ascii="Times New Roman" w:hAnsi="Times New Roman" w:cs="Times New Roman"/>
          <w:sz w:val="24"/>
          <w:szCs w:val="24"/>
        </w:rPr>
        <w:t>cted by Ms</w:t>
      </w:r>
      <w:r w:rsidRPr="00532A38">
        <w:rPr>
          <w:rFonts w:ascii="Times New Roman" w:hAnsi="Times New Roman" w:cs="Times New Roman"/>
          <w:sz w:val="24"/>
          <w:szCs w:val="24"/>
        </w:rPr>
        <w:t xml:space="preserve"> </w:t>
      </w:r>
      <w:r w:rsidR="001657B0">
        <w:rPr>
          <w:rFonts w:ascii="Times New Roman" w:hAnsi="Times New Roman" w:cs="Times New Roman"/>
          <w:sz w:val="24"/>
          <w:szCs w:val="24"/>
        </w:rPr>
        <w:t>G</w:t>
      </w:r>
      <w:r w:rsidRPr="00532A38">
        <w:rPr>
          <w:rFonts w:ascii="Times New Roman" w:hAnsi="Times New Roman" w:cs="Times New Roman"/>
          <w:sz w:val="24"/>
          <w:szCs w:val="24"/>
        </w:rPr>
        <w:t xml:space="preserve">’s admission that there were payments from the Taxpayer from time to time to the PRC Subsidiary in the sum of HK$100,000 or </w:t>
      </w:r>
      <w:r w:rsidRPr="00532A38">
        <w:rPr>
          <w:rFonts w:ascii="Times New Roman" w:hAnsi="Times New Roman" w:cs="Times New Roman"/>
          <w:sz w:val="24"/>
          <w:szCs w:val="24"/>
        </w:rPr>
        <w:lastRenderedPageBreak/>
        <w:t xml:space="preserve">HK$200,000 each time.  Further, it is inconsistent with the </w:t>
      </w:r>
      <w:r w:rsidR="00811F8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accounting records which show that the </w:t>
      </w:r>
      <w:r w:rsidR="00811F8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had credited the exact amount stated in the various invoices issued by the PRC Subsidiary to the </w:t>
      </w:r>
      <w:r w:rsidR="00C915D6" w:rsidRPr="00532A38">
        <w:rPr>
          <w:rFonts w:ascii="Times New Roman" w:hAnsi="Times New Roman" w:cs="Times New Roman"/>
          <w:sz w:val="24"/>
          <w:szCs w:val="24"/>
          <w:lang w:eastAsia="zh-HK"/>
        </w:rPr>
        <w:t>Appellant</w:t>
      </w:r>
      <w:r w:rsidRPr="00532A38">
        <w:rPr>
          <w:rFonts w:ascii="Times New Roman" w:hAnsi="Times New Roman" w:cs="Times New Roman"/>
          <w:sz w:val="24"/>
          <w:szCs w:val="24"/>
        </w:rPr>
        <w:t>.</w:t>
      </w:r>
    </w:p>
    <w:p w14:paraId="7CCAE841"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842" w14:textId="720BF118" w:rsidR="00C35760" w:rsidRPr="00532A38" w:rsidRDefault="00C35760" w:rsidP="000460C9">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Ms</w:t>
      </w:r>
      <w:r w:rsidR="000460C9">
        <w:rPr>
          <w:rFonts w:ascii="Times New Roman" w:hAnsi="Times New Roman" w:cs="Times New Roman"/>
          <w:sz w:val="24"/>
          <w:szCs w:val="24"/>
        </w:rPr>
        <w:t xml:space="preserve"> G</w:t>
      </w:r>
      <w:r w:rsidRPr="00532A38">
        <w:rPr>
          <w:rFonts w:ascii="Times New Roman" w:hAnsi="Times New Roman" w:cs="Times New Roman"/>
          <w:sz w:val="24"/>
          <w:szCs w:val="24"/>
        </w:rPr>
        <w:t xml:space="preserve">’s version of fact is also inconsistent with the </w:t>
      </w:r>
      <w:r w:rsidR="00811F8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confirmation that its mode of operations during the Relevant Period was completely the same as that during the years of assessment from 2001/02 to 2006/07 and that no change </w:t>
      </w:r>
      <w:r w:rsidR="00C915D6" w:rsidRPr="00532A38">
        <w:rPr>
          <w:rFonts w:ascii="Times New Roman" w:hAnsi="Times New Roman" w:cs="Times New Roman"/>
          <w:sz w:val="24"/>
          <w:szCs w:val="24"/>
        </w:rPr>
        <w:t>ha</w:t>
      </w:r>
      <w:r w:rsidR="00C915D6" w:rsidRPr="00532A38">
        <w:rPr>
          <w:rFonts w:ascii="Times New Roman" w:hAnsi="Times New Roman" w:cs="Times New Roman"/>
          <w:sz w:val="24"/>
          <w:szCs w:val="24"/>
          <w:lang w:eastAsia="zh-HK"/>
        </w:rPr>
        <w:t>d</w:t>
      </w:r>
      <w:r w:rsidR="00C915D6"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taken place.  The mode of operation of the </w:t>
      </w:r>
      <w:r w:rsidR="00811F80"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prior to the Relevant Period, as has been confirmed by the </w:t>
      </w:r>
      <w:r w:rsidR="00811F80"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directors in an interview with the Assessor on 3 January 2008, was one of genuine sale and purchase between the </w:t>
      </w:r>
      <w:r w:rsidR="004A4AC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w:t>
      </w:r>
    </w:p>
    <w:p w14:paraId="7CCAE843" w14:textId="77777777" w:rsidR="00C35760" w:rsidRPr="00532A38" w:rsidRDefault="00C35760" w:rsidP="0046026A">
      <w:pPr>
        <w:pStyle w:val="a3"/>
        <w:overflowPunct w:val="0"/>
        <w:spacing w:after="0" w:line="240" w:lineRule="auto"/>
        <w:jc w:val="both"/>
        <w:rPr>
          <w:rFonts w:ascii="Times New Roman" w:hAnsi="Times New Roman" w:cs="Times New Roman"/>
          <w:sz w:val="24"/>
          <w:szCs w:val="24"/>
        </w:rPr>
      </w:pPr>
    </w:p>
    <w:p w14:paraId="7CCAE844" w14:textId="3EF8AA82" w:rsidR="00C35760" w:rsidRPr="00532A38" w:rsidRDefault="00C35760" w:rsidP="000460C9">
      <w:pPr>
        <w:pStyle w:val="a3"/>
        <w:numPr>
          <w:ilvl w:val="0"/>
          <w:numId w:val="1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In any event, Ms</w:t>
      </w:r>
      <w:r w:rsidR="000460C9">
        <w:rPr>
          <w:rFonts w:ascii="Times New Roman" w:hAnsi="Times New Roman" w:cs="Times New Roman"/>
          <w:sz w:val="24"/>
          <w:szCs w:val="24"/>
        </w:rPr>
        <w:t xml:space="preserve"> G</w:t>
      </w:r>
      <w:r w:rsidRPr="00532A38">
        <w:rPr>
          <w:rFonts w:ascii="Times New Roman" w:hAnsi="Times New Roman" w:cs="Times New Roman"/>
          <w:sz w:val="24"/>
          <w:szCs w:val="24"/>
        </w:rPr>
        <w:t xml:space="preserve">’s allegations are wholly contradictory to the audited accounts of the </w:t>
      </w:r>
      <w:r w:rsidR="004A4AC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prepared during the Relevant Period and approved by the directors of the </w:t>
      </w:r>
      <w:r w:rsidR="004A4AC9"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In particular, for the years of assessment 2007/08 and 2008/09, the principal business activities of the Taxpayer </w:t>
      </w:r>
      <w:r w:rsidR="004A4AC9" w:rsidRPr="00532A38">
        <w:rPr>
          <w:rFonts w:ascii="Times New Roman" w:hAnsi="Times New Roman" w:cs="Times New Roman"/>
          <w:sz w:val="24"/>
          <w:szCs w:val="24"/>
        </w:rPr>
        <w:t xml:space="preserve">were </w:t>
      </w:r>
      <w:r w:rsidRPr="00532A38">
        <w:rPr>
          <w:rFonts w:ascii="Times New Roman" w:hAnsi="Times New Roman" w:cs="Times New Roman"/>
          <w:sz w:val="24"/>
          <w:szCs w:val="24"/>
        </w:rPr>
        <w:t xml:space="preserve">described as </w:t>
      </w:r>
      <w:r w:rsidR="000460C9">
        <w:rPr>
          <w:rFonts w:ascii="Times New Roman" w:hAnsi="Times New Roman" w:cs="Times New Roman"/>
          <w:sz w:val="24"/>
          <w:szCs w:val="24"/>
        </w:rPr>
        <w:t>‘</w:t>
      </w:r>
      <w:r w:rsidRPr="00532A38">
        <w:rPr>
          <w:rFonts w:ascii="Times New Roman" w:hAnsi="Times New Roman" w:cs="Times New Roman"/>
          <w:sz w:val="24"/>
          <w:szCs w:val="24"/>
        </w:rPr>
        <w:t>trading</w:t>
      </w:r>
      <w:r w:rsidR="000460C9">
        <w:rPr>
          <w:rFonts w:ascii="Times New Roman" w:hAnsi="Times New Roman" w:cs="Times New Roman"/>
          <w:sz w:val="24"/>
          <w:szCs w:val="24"/>
        </w:rPr>
        <w:t>’</w:t>
      </w:r>
      <w:r w:rsidRPr="00532A38">
        <w:rPr>
          <w:rFonts w:ascii="Times New Roman" w:hAnsi="Times New Roman" w:cs="Times New Roman"/>
          <w:sz w:val="24"/>
          <w:szCs w:val="24"/>
        </w:rPr>
        <w:t xml:space="preserve"> (2007/08) and </w:t>
      </w:r>
      <w:r w:rsidR="000460C9">
        <w:rPr>
          <w:rFonts w:ascii="Times New Roman" w:hAnsi="Times New Roman" w:cs="Times New Roman"/>
          <w:sz w:val="24"/>
          <w:szCs w:val="24"/>
        </w:rPr>
        <w:t>‘</w:t>
      </w:r>
      <w:r w:rsidRPr="00532A38">
        <w:rPr>
          <w:rFonts w:ascii="Times New Roman" w:hAnsi="Times New Roman" w:cs="Times New Roman"/>
          <w:sz w:val="24"/>
          <w:szCs w:val="24"/>
        </w:rPr>
        <w:t>Trading of cards and credit cards</w:t>
      </w:r>
      <w:r w:rsidR="000460C9">
        <w:rPr>
          <w:rFonts w:ascii="Times New Roman" w:hAnsi="Times New Roman" w:cs="Times New Roman"/>
          <w:sz w:val="24"/>
          <w:szCs w:val="24"/>
        </w:rPr>
        <w:t>’</w:t>
      </w:r>
      <w:r w:rsidRPr="00532A38">
        <w:rPr>
          <w:rFonts w:ascii="Times New Roman" w:hAnsi="Times New Roman" w:cs="Times New Roman"/>
          <w:sz w:val="24"/>
          <w:szCs w:val="24"/>
        </w:rPr>
        <w:t xml:space="preserve"> (2008/09).</w:t>
      </w:r>
    </w:p>
    <w:p w14:paraId="7CCAE845" w14:textId="77777777" w:rsidR="00C35760" w:rsidRPr="00532A38" w:rsidRDefault="00C35760" w:rsidP="0046026A">
      <w:pPr>
        <w:pStyle w:val="a3"/>
        <w:overflowPunct w:val="0"/>
        <w:spacing w:after="0" w:line="240" w:lineRule="auto"/>
        <w:rPr>
          <w:rFonts w:ascii="Times New Roman" w:hAnsi="Times New Roman" w:cs="Times New Roman"/>
          <w:sz w:val="24"/>
          <w:szCs w:val="24"/>
        </w:rPr>
      </w:pPr>
    </w:p>
    <w:p w14:paraId="7CCAE846" w14:textId="21B59FE7" w:rsidR="004A4AC9" w:rsidRPr="00532A38" w:rsidRDefault="00C35760" w:rsidP="000460C9">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Further, the </w:t>
      </w:r>
      <w:r w:rsidR="004A4AC9" w:rsidRPr="00532A38">
        <w:rPr>
          <w:rFonts w:ascii="Times New Roman" w:hAnsi="Times New Roman" w:cs="Times New Roman"/>
          <w:sz w:val="24"/>
          <w:szCs w:val="24"/>
        </w:rPr>
        <w:t xml:space="preserve">Appellant did </w:t>
      </w:r>
      <w:r w:rsidRPr="00532A38">
        <w:rPr>
          <w:rFonts w:ascii="Times New Roman" w:hAnsi="Times New Roman" w:cs="Times New Roman"/>
          <w:sz w:val="24"/>
          <w:szCs w:val="24"/>
        </w:rPr>
        <w:t xml:space="preserve">not call any of its directors or the directors of the PRC Subsidiary to give evidence.  </w:t>
      </w:r>
      <w:r w:rsidR="00320636" w:rsidRPr="00532A38">
        <w:rPr>
          <w:rFonts w:ascii="Times New Roman" w:hAnsi="Times New Roman" w:cs="Times New Roman"/>
          <w:sz w:val="24"/>
          <w:szCs w:val="24"/>
        </w:rPr>
        <w:t xml:space="preserve">Yet, </w:t>
      </w:r>
      <w:r w:rsidR="00C915D6" w:rsidRPr="00532A38">
        <w:rPr>
          <w:rFonts w:ascii="Times New Roman" w:hAnsi="Times New Roman" w:cs="Times New Roman"/>
          <w:sz w:val="24"/>
          <w:szCs w:val="24"/>
          <w:lang w:eastAsia="zh-HK"/>
        </w:rPr>
        <w:t>Ms</w:t>
      </w:r>
      <w:r w:rsidR="00486623">
        <w:rPr>
          <w:rFonts w:ascii="Times New Roman" w:hAnsi="Times New Roman" w:cs="Times New Roman"/>
          <w:sz w:val="24"/>
          <w:szCs w:val="24"/>
          <w:lang w:eastAsia="zh-HK"/>
        </w:rPr>
        <w:t xml:space="preserve"> G</w:t>
      </w:r>
      <w:r w:rsidR="00C915D6" w:rsidRPr="00532A38">
        <w:rPr>
          <w:rFonts w:ascii="Times New Roman" w:hAnsi="Times New Roman" w:cs="Times New Roman"/>
          <w:sz w:val="24"/>
          <w:szCs w:val="24"/>
        </w:rPr>
        <w:t xml:space="preserve"> </w:t>
      </w:r>
      <w:r w:rsidR="00320636" w:rsidRPr="00532A38">
        <w:rPr>
          <w:rFonts w:ascii="Times New Roman" w:hAnsi="Times New Roman" w:cs="Times New Roman"/>
          <w:sz w:val="24"/>
          <w:szCs w:val="24"/>
        </w:rPr>
        <w:t xml:space="preserve">alleged that Mr </w:t>
      </w:r>
      <w:r w:rsidR="00486623">
        <w:rPr>
          <w:rFonts w:ascii="Times New Roman" w:hAnsi="Times New Roman" w:cs="Times New Roman"/>
          <w:sz w:val="24"/>
          <w:szCs w:val="24"/>
        </w:rPr>
        <w:t>B</w:t>
      </w:r>
      <w:r w:rsidR="00320636" w:rsidRPr="00532A38">
        <w:rPr>
          <w:rFonts w:ascii="Times New Roman" w:hAnsi="Times New Roman" w:cs="Times New Roman"/>
          <w:sz w:val="24"/>
          <w:szCs w:val="24"/>
        </w:rPr>
        <w:t xml:space="preserve"> and </w:t>
      </w:r>
      <w:r w:rsidR="00F75A48">
        <w:rPr>
          <w:rFonts w:ascii="Times New Roman" w:hAnsi="Times New Roman" w:cs="Times New Roman"/>
          <w:sz w:val="24"/>
          <w:szCs w:val="24"/>
        </w:rPr>
        <w:t>C</w:t>
      </w:r>
      <w:r w:rsidR="00320636" w:rsidRPr="00532A38">
        <w:rPr>
          <w:rFonts w:ascii="Times New Roman" w:hAnsi="Times New Roman" w:cs="Times New Roman"/>
          <w:sz w:val="24"/>
          <w:szCs w:val="24"/>
        </w:rPr>
        <w:t xml:space="preserve">’s representations to the Inland Revenue Department that the Appellant’s business was of </w:t>
      </w:r>
      <w:r w:rsidR="00486623">
        <w:rPr>
          <w:rFonts w:ascii="Times New Roman" w:hAnsi="Times New Roman" w:cs="Times New Roman"/>
          <w:sz w:val="24"/>
          <w:szCs w:val="24"/>
        </w:rPr>
        <w:t>‘</w:t>
      </w:r>
      <w:r w:rsidR="00320636" w:rsidRPr="00532A38">
        <w:rPr>
          <w:rFonts w:ascii="Times New Roman" w:hAnsi="Times New Roman" w:cs="Times New Roman"/>
          <w:sz w:val="24"/>
          <w:szCs w:val="24"/>
        </w:rPr>
        <w:t>trading of SIM card products</w:t>
      </w:r>
      <w:r w:rsidR="00486623">
        <w:rPr>
          <w:rFonts w:ascii="Times New Roman" w:hAnsi="Times New Roman" w:cs="Times New Roman"/>
          <w:sz w:val="24"/>
          <w:szCs w:val="24"/>
        </w:rPr>
        <w:t>’</w:t>
      </w:r>
      <w:r w:rsidR="00320636" w:rsidRPr="00532A38">
        <w:rPr>
          <w:rFonts w:ascii="Times New Roman" w:hAnsi="Times New Roman" w:cs="Times New Roman"/>
          <w:sz w:val="24"/>
          <w:szCs w:val="24"/>
        </w:rPr>
        <w:t xml:space="preserve"> w</w:t>
      </w:r>
      <w:r w:rsidR="00EF6F0C" w:rsidRPr="00532A38">
        <w:rPr>
          <w:rFonts w:ascii="Times New Roman" w:hAnsi="Times New Roman" w:cs="Times New Roman"/>
          <w:sz w:val="24"/>
          <w:szCs w:val="24"/>
        </w:rPr>
        <w:t>ere not true</w:t>
      </w:r>
      <w:r w:rsidR="00320636" w:rsidRPr="00532A38">
        <w:rPr>
          <w:rFonts w:ascii="Times New Roman" w:hAnsi="Times New Roman" w:cs="Times New Roman"/>
          <w:sz w:val="24"/>
          <w:szCs w:val="24"/>
        </w:rPr>
        <w:t xml:space="preserve">. </w:t>
      </w:r>
      <w:r w:rsidRPr="00532A38">
        <w:rPr>
          <w:rFonts w:ascii="Times New Roman" w:hAnsi="Times New Roman" w:cs="Times New Roman"/>
          <w:sz w:val="24"/>
          <w:szCs w:val="24"/>
        </w:rPr>
        <w:t>Ms</w:t>
      </w:r>
      <w:r w:rsidR="00486623">
        <w:rPr>
          <w:rFonts w:ascii="Times New Roman" w:hAnsi="Times New Roman" w:cs="Times New Roman"/>
          <w:sz w:val="24"/>
          <w:szCs w:val="24"/>
        </w:rPr>
        <w:t xml:space="preserve"> G</w:t>
      </w:r>
      <w:r w:rsidRPr="00532A38">
        <w:rPr>
          <w:rFonts w:ascii="Times New Roman" w:hAnsi="Times New Roman" w:cs="Times New Roman"/>
          <w:sz w:val="24"/>
          <w:szCs w:val="24"/>
        </w:rPr>
        <w:t xml:space="preserve"> admitted that she only followed the advice of a qualified accountant in preparing the relevant documents.  </w:t>
      </w:r>
      <w:r w:rsidR="00EF6F0C" w:rsidRPr="00532A38">
        <w:rPr>
          <w:rFonts w:ascii="Times New Roman" w:hAnsi="Times New Roman" w:cs="Times New Roman"/>
          <w:sz w:val="24"/>
          <w:szCs w:val="24"/>
        </w:rPr>
        <w:t>As mentioned above, t</w:t>
      </w:r>
      <w:r w:rsidR="002C198A" w:rsidRPr="00532A38">
        <w:rPr>
          <w:rFonts w:ascii="Times New Roman" w:hAnsi="Times New Roman" w:cs="Times New Roman"/>
          <w:sz w:val="24"/>
          <w:szCs w:val="24"/>
        </w:rPr>
        <w:t>he said qualified accountant</w:t>
      </w:r>
      <w:r w:rsidR="004A4AC9" w:rsidRPr="00532A38">
        <w:rPr>
          <w:rFonts w:ascii="Times New Roman" w:hAnsi="Times New Roman" w:cs="Times New Roman"/>
          <w:sz w:val="24"/>
          <w:szCs w:val="24"/>
        </w:rPr>
        <w:t xml:space="preserve"> did not give any evidence. </w:t>
      </w:r>
      <w:r w:rsidRPr="00532A38">
        <w:rPr>
          <w:rFonts w:ascii="Times New Roman" w:hAnsi="Times New Roman" w:cs="Times New Roman"/>
          <w:sz w:val="24"/>
          <w:szCs w:val="24"/>
        </w:rPr>
        <w:t>Ms</w:t>
      </w:r>
      <w:r w:rsidR="00486623">
        <w:rPr>
          <w:rFonts w:ascii="Times New Roman" w:hAnsi="Times New Roman" w:cs="Times New Roman"/>
          <w:sz w:val="24"/>
          <w:szCs w:val="24"/>
        </w:rPr>
        <w:t xml:space="preserve"> G</w:t>
      </w:r>
      <w:r w:rsidRPr="00532A38">
        <w:rPr>
          <w:rFonts w:ascii="Times New Roman" w:hAnsi="Times New Roman" w:cs="Times New Roman"/>
          <w:sz w:val="24"/>
          <w:szCs w:val="24"/>
        </w:rPr>
        <w:t xml:space="preserve"> also admitted that she was not responsible for preparing the documents to be submitted to the Mainland authorities and she was not sure of the details </w:t>
      </w:r>
      <w:r w:rsidR="004A4AC9" w:rsidRPr="00532A38">
        <w:rPr>
          <w:rFonts w:ascii="Times New Roman" w:hAnsi="Times New Roman" w:cs="Times New Roman"/>
          <w:sz w:val="24"/>
          <w:szCs w:val="24"/>
        </w:rPr>
        <w:t>and procedures required by the M</w:t>
      </w:r>
      <w:r w:rsidRPr="00532A38">
        <w:rPr>
          <w:rFonts w:ascii="Times New Roman" w:hAnsi="Times New Roman" w:cs="Times New Roman"/>
          <w:sz w:val="24"/>
          <w:szCs w:val="24"/>
        </w:rPr>
        <w:t xml:space="preserve">ainland authorities.  </w:t>
      </w:r>
    </w:p>
    <w:p w14:paraId="7CCAE847" w14:textId="77777777" w:rsidR="004A4AC9" w:rsidRPr="00532A38" w:rsidRDefault="004A4AC9" w:rsidP="0046026A">
      <w:pPr>
        <w:pStyle w:val="a3"/>
        <w:overflowPunct w:val="0"/>
        <w:spacing w:after="0" w:line="240" w:lineRule="auto"/>
        <w:ind w:left="360"/>
        <w:jc w:val="both"/>
        <w:rPr>
          <w:rFonts w:ascii="Times New Roman" w:hAnsi="Times New Roman" w:cs="Times New Roman"/>
          <w:b/>
          <w:sz w:val="24"/>
          <w:szCs w:val="24"/>
          <w:u w:val="single"/>
        </w:rPr>
      </w:pPr>
    </w:p>
    <w:p w14:paraId="7CCAE848" w14:textId="166B51D0" w:rsidR="00C35760" w:rsidRPr="00532A38" w:rsidRDefault="00C35760" w:rsidP="000460C9">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 </w:t>
      </w:r>
      <w:r w:rsidR="004A4AC9" w:rsidRPr="00532A38">
        <w:rPr>
          <w:rFonts w:ascii="Times New Roman" w:hAnsi="Times New Roman" w:cs="Times New Roman"/>
          <w:sz w:val="24"/>
          <w:szCs w:val="24"/>
        </w:rPr>
        <w:t xml:space="preserve">the circumstances, </w:t>
      </w:r>
      <w:r w:rsidRPr="00532A38">
        <w:rPr>
          <w:rFonts w:ascii="Times New Roman" w:hAnsi="Times New Roman" w:cs="Times New Roman"/>
          <w:sz w:val="24"/>
          <w:szCs w:val="24"/>
        </w:rPr>
        <w:t xml:space="preserve">the Board gives </w:t>
      </w:r>
      <w:r w:rsidR="004A4AC9" w:rsidRPr="00532A38">
        <w:rPr>
          <w:rFonts w:ascii="Times New Roman" w:hAnsi="Times New Roman" w:cs="Times New Roman"/>
          <w:sz w:val="24"/>
          <w:szCs w:val="24"/>
        </w:rPr>
        <w:t>little w</w:t>
      </w:r>
      <w:r w:rsidRPr="00532A38">
        <w:rPr>
          <w:rFonts w:ascii="Times New Roman" w:hAnsi="Times New Roman" w:cs="Times New Roman"/>
          <w:sz w:val="24"/>
          <w:szCs w:val="24"/>
        </w:rPr>
        <w:t>eight to the evidence of Ms</w:t>
      </w:r>
      <w:r w:rsidR="00486623">
        <w:rPr>
          <w:rFonts w:ascii="Times New Roman" w:hAnsi="Times New Roman" w:cs="Times New Roman"/>
          <w:sz w:val="24"/>
          <w:szCs w:val="24"/>
        </w:rPr>
        <w:t xml:space="preserve"> G</w:t>
      </w:r>
      <w:r w:rsidRPr="00532A38">
        <w:rPr>
          <w:rFonts w:ascii="Times New Roman" w:hAnsi="Times New Roman" w:cs="Times New Roman"/>
          <w:sz w:val="24"/>
          <w:szCs w:val="24"/>
        </w:rPr>
        <w:t xml:space="preserve"> insofar as the nature of business of the </w:t>
      </w:r>
      <w:r w:rsidR="004A4AC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nature of transactions between the </w:t>
      </w:r>
      <w:r w:rsidR="004A4AC9"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and the PRC Subsidiary are concerned.</w:t>
      </w:r>
    </w:p>
    <w:p w14:paraId="7CCAE849" w14:textId="77777777" w:rsidR="00C35760" w:rsidRPr="00532A38" w:rsidRDefault="00C35760" w:rsidP="000460C9">
      <w:pPr>
        <w:pStyle w:val="a3"/>
        <w:overflowPunct w:val="0"/>
        <w:spacing w:after="0" w:line="240" w:lineRule="auto"/>
        <w:ind w:left="0"/>
        <w:jc w:val="both"/>
        <w:rPr>
          <w:rFonts w:ascii="Times New Roman" w:hAnsi="Times New Roman" w:cs="Times New Roman"/>
          <w:b/>
          <w:sz w:val="24"/>
          <w:szCs w:val="24"/>
          <w:u w:val="single"/>
        </w:rPr>
      </w:pPr>
    </w:p>
    <w:p w14:paraId="7CCAE84A" w14:textId="4C2A7259" w:rsidR="00C35760" w:rsidRPr="00532A38" w:rsidRDefault="00C35760" w:rsidP="000460C9">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Likewise, the Board gives </w:t>
      </w:r>
      <w:r w:rsidR="0033456F" w:rsidRPr="00532A38">
        <w:rPr>
          <w:rFonts w:ascii="Times New Roman" w:hAnsi="Times New Roman" w:cs="Times New Roman"/>
          <w:sz w:val="24"/>
          <w:szCs w:val="24"/>
        </w:rPr>
        <w:t xml:space="preserve">little </w:t>
      </w:r>
      <w:r w:rsidRPr="00532A38">
        <w:rPr>
          <w:rFonts w:ascii="Times New Roman" w:hAnsi="Times New Roman" w:cs="Times New Roman"/>
          <w:sz w:val="24"/>
          <w:szCs w:val="24"/>
        </w:rPr>
        <w:t>weight to Ms</w:t>
      </w:r>
      <w:r w:rsidR="00486623">
        <w:rPr>
          <w:rFonts w:ascii="Times New Roman" w:hAnsi="Times New Roman" w:cs="Times New Roman"/>
          <w:sz w:val="24"/>
          <w:szCs w:val="24"/>
        </w:rPr>
        <w:t xml:space="preserve"> G</w:t>
      </w:r>
      <w:r w:rsidRPr="00532A38">
        <w:rPr>
          <w:rFonts w:ascii="Times New Roman" w:hAnsi="Times New Roman" w:cs="Times New Roman"/>
          <w:sz w:val="24"/>
          <w:szCs w:val="24"/>
        </w:rPr>
        <w:t xml:space="preserve">’s </w:t>
      </w:r>
      <w:r w:rsidR="0033456F" w:rsidRPr="00532A38">
        <w:rPr>
          <w:rFonts w:ascii="Times New Roman" w:hAnsi="Times New Roman" w:cs="Times New Roman"/>
          <w:sz w:val="24"/>
          <w:szCs w:val="24"/>
        </w:rPr>
        <w:t xml:space="preserve">assertion </w:t>
      </w:r>
      <w:r w:rsidRPr="00532A38">
        <w:rPr>
          <w:rFonts w:ascii="Times New Roman" w:hAnsi="Times New Roman" w:cs="Times New Roman"/>
          <w:sz w:val="24"/>
          <w:szCs w:val="24"/>
        </w:rPr>
        <w:t xml:space="preserve">that the </w:t>
      </w:r>
      <w:r w:rsidR="0033456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was not engaged in </w:t>
      </w:r>
      <w:r w:rsidR="00486623">
        <w:rPr>
          <w:rFonts w:ascii="Times New Roman" w:hAnsi="Times New Roman" w:cs="Times New Roman"/>
          <w:sz w:val="24"/>
          <w:szCs w:val="24"/>
        </w:rPr>
        <w:t>‘</w:t>
      </w:r>
      <w:r w:rsidRPr="00532A38">
        <w:rPr>
          <w:rFonts w:ascii="Times New Roman" w:hAnsi="Times New Roman" w:cs="Times New Roman"/>
          <w:sz w:val="24"/>
          <w:szCs w:val="24"/>
        </w:rPr>
        <w:t>trading in SIM card products</w:t>
      </w:r>
      <w:r w:rsidR="00486623">
        <w:rPr>
          <w:rFonts w:ascii="Times New Roman" w:hAnsi="Times New Roman" w:cs="Times New Roman"/>
          <w:sz w:val="24"/>
          <w:szCs w:val="24"/>
        </w:rPr>
        <w:t>’</w:t>
      </w:r>
      <w:r w:rsidRPr="00532A38">
        <w:rPr>
          <w:rFonts w:ascii="Times New Roman" w:hAnsi="Times New Roman" w:cs="Times New Roman"/>
          <w:sz w:val="24"/>
          <w:szCs w:val="24"/>
        </w:rPr>
        <w:t xml:space="preserve"> for the same reasons that she </w:t>
      </w:r>
      <w:r w:rsidR="0033456F" w:rsidRPr="00532A38">
        <w:rPr>
          <w:rFonts w:ascii="Times New Roman" w:hAnsi="Times New Roman" w:cs="Times New Roman"/>
          <w:sz w:val="24"/>
          <w:szCs w:val="24"/>
        </w:rPr>
        <w:t xml:space="preserve">was not involved in such business operation and </w:t>
      </w:r>
      <w:r w:rsidRPr="00532A38">
        <w:rPr>
          <w:rFonts w:ascii="Times New Roman" w:hAnsi="Times New Roman" w:cs="Times New Roman"/>
          <w:sz w:val="24"/>
          <w:szCs w:val="24"/>
        </w:rPr>
        <w:t>her evidence is contrary to the conte</w:t>
      </w:r>
      <w:r w:rsidR="0033456F" w:rsidRPr="00532A38">
        <w:rPr>
          <w:rFonts w:ascii="Times New Roman" w:hAnsi="Times New Roman" w:cs="Times New Roman"/>
          <w:sz w:val="24"/>
          <w:szCs w:val="24"/>
        </w:rPr>
        <w:t>mporaneous documentary evidence</w:t>
      </w:r>
      <w:r w:rsidRPr="00532A38">
        <w:rPr>
          <w:rFonts w:ascii="Times New Roman" w:hAnsi="Times New Roman" w:cs="Times New Roman"/>
          <w:sz w:val="24"/>
          <w:szCs w:val="24"/>
        </w:rPr>
        <w:t xml:space="preserve">.  </w:t>
      </w:r>
      <w:r w:rsidR="0033456F" w:rsidRPr="00532A38">
        <w:rPr>
          <w:rFonts w:ascii="Times New Roman" w:hAnsi="Times New Roman" w:cs="Times New Roman"/>
          <w:sz w:val="24"/>
          <w:szCs w:val="24"/>
        </w:rPr>
        <w:t xml:space="preserve">Ms </w:t>
      </w:r>
      <w:r w:rsidR="00486623">
        <w:rPr>
          <w:rFonts w:ascii="Times New Roman" w:hAnsi="Times New Roman" w:cs="Times New Roman"/>
          <w:sz w:val="24"/>
          <w:szCs w:val="24"/>
        </w:rPr>
        <w:t>G</w:t>
      </w:r>
      <w:r w:rsidR="0033456F" w:rsidRPr="00532A38">
        <w:rPr>
          <w:rFonts w:ascii="Times New Roman" w:hAnsi="Times New Roman" w:cs="Times New Roman"/>
          <w:sz w:val="24"/>
          <w:szCs w:val="24"/>
        </w:rPr>
        <w:t xml:space="preserve">’s allegation that </w:t>
      </w:r>
      <w:r w:rsidRPr="00532A38">
        <w:rPr>
          <w:rFonts w:ascii="Times New Roman" w:hAnsi="Times New Roman" w:cs="Times New Roman"/>
          <w:sz w:val="24"/>
          <w:szCs w:val="24"/>
        </w:rPr>
        <w:t>the nature of the business of the Taxpayer should be determined by the volume of the card products involved comparing to the other card products without IC chips and chips which were provided by the clients</w:t>
      </w:r>
      <w:r w:rsidR="0056587A" w:rsidRPr="00532A38">
        <w:rPr>
          <w:rFonts w:ascii="Times New Roman" w:hAnsi="Times New Roman" w:cs="Times New Roman"/>
          <w:sz w:val="24"/>
          <w:szCs w:val="24"/>
        </w:rPr>
        <w:t xml:space="preserve"> failed to ta</w:t>
      </w:r>
      <w:r w:rsidRPr="00532A38">
        <w:rPr>
          <w:rFonts w:ascii="Times New Roman" w:hAnsi="Times New Roman" w:cs="Times New Roman"/>
          <w:sz w:val="24"/>
          <w:szCs w:val="24"/>
        </w:rPr>
        <w:t xml:space="preserve">ke into account that the business of the </w:t>
      </w:r>
      <w:r w:rsidR="0056587A"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can be ascertain</w:t>
      </w:r>
      <w:r w:rsidR="003B145C" w:rsidRPr="00532A38">
        <w:rPr>
          <w:rFonts w:ascii="Times New Roman" w:hAnsi="Times New Roman" w:cs="Times New Roman"/>
          <w:sz w:val="24"/>
          <w:szCs w:val="24"/>
          <w:lang w:eastAsia="zh-HK"/>
        </w:rPr>
        <w:t>ed</w:t>
      </w:r>
      <w:r w:rsidRPr="00532A38">
        <w:rPr>
          <w:rFonts w:ascii="Times New Roman" w:hAnsi="Times New Roman" w:cs="Times New Roman"/>
          <w:sz w:val="24"/>
          <w:szCs w:val="24"/>
        </w:rPr>
        <w:t xml:space="preserve"> by calculating the value of the products instead of its volume.</w:t>
      </w:r>
    </w:p>
    <w:p w14:paraId="7CCAE84B" w14:textId="77777777" w:rsidR="00C35760" w:rsidRPr="00532A38" w:rsidRDefault="00C35760" w:rsidP="0046026A">
      <w:pPr>
        <w:pStyle w:val="a3"/>
        <w:overflowPunct w:val="0"/>
        <w:spacing w:after="0" w:line="240" w:lineRule="auto"/>
        <w:rPr>
          <w:rFonts w:ascii="Times New Roman" w:hAnsi="Times New Roman" w:cs="Times New Roman"/>
          <w:b/>
          <w:sz w:val="24"/>
          <w:szCs w:val="24"/>
          <w:u w:val="single"/>
        </w:rPr>
      </w:pPr>
    </w:p>
    <w:p w14:paraId="7CCAE84C" w14:textId="2DE8FDB5" w:rsidR="00C35760" w:rsidRPr="00532A38" w:rsidRDefault="0056587A" w:rsidP="00486623">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Given the contemporaneous documents and the serious nature of the allegations made by Ms </w:t>
      </w:r>
      <w:r w:rsidR="00486623">
        <w:rPr>
          <w:rFonts w:ascii="Times New Roman" w:hAnsi="Times New Roman" w:cs="Times New Roman"/>
          <w:sz w:val="24"/>
          <w:szCs w:val="24"/>
        </w:rPr>
        <w:t>G</w:t>
      </w:r>
      <w:r w:rsidRPr="00532A38">
        <w:rPr>
          <w:rFonts w:ascii="Times New Roman" w:hAnsi="Times New Roman" w:cs="Times New Roman"/>
          <w:sz w:val="24"/>
          <w:szCs w:val="24"/>
        </w:rPr>
        <w:t>, this Board doe</w:t>
      </w:r>
      <w:r w:rsidR="00C35760" w:rsidRPr="00532A38">
        <w:rPr>
          <w:rFonts w:ascii="Times New Roman" w:hAnsi="Times New Roman" w:cs="Times New Roman"/>
          <w:sz w:val="24"/>
          <w:szCs w:val="24"/>
        </w:rPr>
        <w:t>s not find Ms</w:t>
      </w:r>
      <w:r w:rsidR="00486623">
        <w:rPr>
          <w:rFonts w:ascii="Times New Roman" w:hAnsi="Times New Roman" w:cs="Times New Roman"/>
          <w:sz w:val="24"/>
          <w:szCs w:val="24"/>
        </w:rPr>
        <w:t xml:space="preserve"> G</w:t>
      </w:r>
      <w:r w:rsidR="00C35760" w:rsidRPr="00532A38">
        <w:rPr>
          <w:rFonts w:ascii="Times New Roman" w:hAnsi="Times New Roman" w:cs="Times New Roman"/>
          <w:sz w:val="24"/>
          <w:szCs w:val="24"/>
        </w:rPr>
        <w:t xml:space="preserve"> as a credible or reliable witness. </w:t>
      </w:r>
      <w:r w:rsidRPr="00532A38">
        <w:rPr>
          <w:rFonts w:ascii="Times New Roman" w:hAnsi="Times New Roman" w:cs="Times New Roman"/>
          <w:sz w:val="24"/>
          <w:szCs w:val="24"/>
        </w:rPr>
        <w:t xml:space="preserve">She opined on matters which she was not responsible and had no direct knowledge. </w:t>
      </w:r>
      <w:r w:rsidR="00C35760" w:rsidRPr="00532A38">
        <w:rPr>
          <w:rFonts w:ascii="Times New Roman" w:hAnsi="Times New Roman" w:cs="Times New Roman"/>
          <w:sz w:val="24"/>
          <w:szCs w:val="24"/>
        </w:rPr>
        <w:t xml:space="preserve">It is </w:t>
      </w:r>
      <w:r w:rsidR="00C35760" w:rsidRPr="00532A38">
        <w:rPr>
          <w:rFonts w:ascii="Times New Roman" w:hAnsi="Times New Roman" w:cs="Times New Roman"/>
          <w:sz w:val="24"/>
          <w:szCs w:val="24"/>
        </w:rPr>
        <w:lastRenderedPageBreak/>
        <w:t>also striking to note Ms</w:t>
      </w:r>
      <w:r w:rsidR="00486623">
        <w:rPr>
          <w:rFonts w:ascii="Times New Roman" w:hAnsi="Times New Roman" w:cs="Times New Roman"/>
          <w:sz w:val="24"/>
          <w:szCs w:val="24"/>
        </w:rPr>
        <w:t xml:space="preserve"> G</w:t>
      </w:r>
      <w:r w:rsidR="00C35760" w:rsidRPr="00532A38">
        <w:rPr>
          <w:rFonts w:ascii="Times New Roman" w:hAnsi="Times New Roman" w:cs="Times New Roman"/>
          <w:sz w:val="24"/>
          <w:szCs w:val="24"/>
        </w:rPr>
        <w:t xml:space="preserve"> admitted to have allegedly falsified accounts and documents, yet </w:t>
      </w:r>
      <w:r w:rsidR="00BF5A2E" w:rsidRPr="00532A38">
        <w:rPr>
          <w:rFonts w:ascii="Times New Roman" w:hAnsi="Times New Roman" w:cs="Times New Roman"/>
          <w:sz w:val="24"/>
          <w:szCs w:val="24"/>
        </w:rPr>
        <w:t xml:space="preserve">no confirmations have been made from the two directors of the Appellant. </w:t>
      </w:r>
    </w:p>
    <w:p w14:paraId="7CCAE84D" w14:textId="77777777" w:rsidR="00D01BA7" w:rsidRPr="00532A38" w:rsidRDefault="00D01BA7" w:rsidP="0046026A">
      <w:pPr>
        <w:pStyle w:val="a3"/>
        <w:overflowPunct w:val="0"/>
        <w:spacing w:after="0" w:line="240" w:lineRule="auto"/>
        <w:rPr>
          <w:rFonts w:ascii="Times New Roman" w:hAnsi="Times New Roman" w:cs="Times New Roman"/>
          <w:b/>
          <w:sz w:val="24"/>
          <w:szCs w:val="24"/>
          <w:u w:val="single"/>
        </w:rPr>
      </w:pPr>
    </w:p>
    <w:p w14:paraId="7CCAE84E" w14:textId="43DC785B" w:rsidR="00947601" w:rsidRPr="00532A38" w:rsidRDefault="00947601" w:rsidP="00486623">
      <w:pPr>
        <w:pStyle w:val="Web"/>
        <w:numPr>
          <w:ilvl w:val="0"/>
          <w:numId w:val="2"/>
        </w:numPr>
        <w:overflowPunct w:val="0"/>
        <w:spacing w:before="0" w:beforeAutospacing="0" w:after="0" w:afterAutospacing="0"/>
        <w:ind w:left="0" w:firstLine="0"/>
        <w:jc w:val="both"/>
        <w:rPr>
          <w:rFonts w:eastAsiaTheme="minorEastAsia"/>
        </w:rPr>
      </w:pPr>
      <w:r w:rsidRPr="00532A38">
        <w:t>This Boar</w:t>
      </w:r>
      <w:r w:rsidR="002C198A" w:rsidRPr="00532A38">
        <w:t>d would also like to mention an</w:t>
      </w:r>
      <w:r w:rsidRPr="00532A38">
        <w:t xml:space="preserve"> extraordinary development during the hearing. </w:t>
      </w:r>
      <w:r w:rsidRPr="00532A38">
        <w:rPr>
          <w:rFonts w:eastAsiaTheme="minorEastAsia"/>
        </w:rPr>
        <w:t xml:space="preserve">Ms </w:t>
      </w:r>
      <w:r w:rsidR="00486623">
        <w:rPr>
          <w:rFonts w:eastAsiaTheme="minorEastAsia"/>
        </w:rPr>
        <w:t>G</w:t>
      </w:r>
      <w:r w:rsidRPr="00532A38">
        <w:rPr>
          <w:rFonts w:eastAsiaTheme="minorEastAsia"/>
        </w:rPr>
        <w:t xml:space="preserve"> in her written statement claimed that the invoices in </w:t>
      </w:r>
      <w:r w:rsidRPr="00532A38">
        <w:rPr>
          <w:lang w:eastAsia="zh-HK"/>
        </w:rPr>
        <w:t>Appendi</w:t>
      </w:r>
      <w:r w:rsidRPr="00532A38">
        <w:rPr>
          <w:rFonts w:eastAsiaTheme="minorEastAsia"/>
        </w:rPr>
        <w:t>x</w:t>
      </w:r>
      <w:r w:rsidRPr="00532A38">
        <w:rPr>
          <w:lang w:eastAsia="zh-HK"/>
        </w:rPr>
        <w:t xml:space="preserve"> B of the Determination were </w:t>
      </w:r>
      <w:r w:rsidRPr="00532A38">
        <w:rPr>
          <w:rFonts w:eastAsiaTheme="minorEastAsia"/>
        </w:rPr>
        <w:t xml:space="preserve">also </w:t>
      </w:r>
      <w:r w:rsidRPr="00532A38">
        <w:rPr>
          <w:lang w:eastAsia="zh-HK"/>
        </w:rPr>
        <w:t>fals</w:t>
      </w:r>
      <w:r w:rsidRPr="00532A38">
        <w:rPr>
          <w:rFonts w:eastAsiaTheme="minorEastAsia"/>
        </w:rPr>
        <w:t>ified</w:t>
      </w:r>
      <w:r w:rsidRPr="00532A38">
        <w:rPr>
          <w:lang w:eastAsia="zh-HK"/>
        </w:rPr>
        <w:t xml:space="preserve">.  </w:t>
      </w:r>
      <w:r w:rsidRPr="00532A38">
        <w:rPr>
          <w:rFonts w:eastAsiaTheme="minorEastAsia"/>
        </w:rPr>
        <w:t>She said that t</w:t>
      </w:r>
      <w:r w:rsidRPr="00532A38">
        <w:rPr>
          <w:lang w:eastAsia="zh-HK"/>
        </w:rPr>
        <w:t>hey were made up to satisfy the requirement of Inland Revenue Department a</w:t>
      </w:r>
      <w:r w:rsidRPr="00532A38">
        <w:rPr>
          <w:rFonts w:eastAsiaTheme="minorEastAsia"/>
        </w:rPr>
        <w:t>nd that n</w:t>
      </w:r>
      <w:r w:rsidRPr="00532A38">
        <w:rPr>
          <w:lang w:eastAsia="zh-HK"/>
        </w:rPr>
        <w:t>o</w:t>
      </w:r>
      <w:r w:rsidRPr="00532A38">
        <w:rPr>
          <w:rFonts w:eastAsiaTheme="minorEastAsia"/>
        </w:rPr>
        <w:t xml:space="preserve"> actual</w:t>
      </w:r>
      <w:r w:rsidRPr="00532A38">
        <w:rPr>
          <w:lang w:eastAsia="zh-HK"/>
        </w:rPr>
        <w:t xml:space="preserve"> payment had been made by </w:t>
      </w:r>
      <w:r w:rsidR="003B145C" w:rsidRPr="00532A38">
        <w:rPr>
          <w:rFonts w:eastAsiaTheme="minorEastAsia"/>
          <w:lang w:eastAsia="zh-HK"/>
        </w:rPr>
        <w:t>PRC Subsidiary</w:t>
      </w:r>
      <w:r w:rsidRPr="00532A38">
        <w:rPr>
          <w:rFonts w:eastAsiaTheme="minorEastAsia"/>
          <w:lang w:eastAsia="zh-HK"/>
        </w:rPr>
        <w:t xml:space="preserve"> to Appellant</w:t>
      </w:r>
      <w:r w:rsidRPr="00532A38">
        <w:rPr>
          <w:lang w:eastAsia="zh-HK"/>
        </w:rPr>
        <w:t xml:space="preserve"> </w:t>
      </w:r>
      <w:r w:rsidRPr="00532A38">
        <w:rPr>
          <w:rFonts w:eastAsiaTheme="minorEastAsia"/>
        </w:rPr>
        <w:t>on</w:t>
      </w:r>
      <w:r w:rsidRPr="00532A38">
        <w:rPr>
          <w:lang w:eastAsia="zh-HK"/>
        </w:rPr>
        <w:t xml:space="preserve"> those invoices. </w:t>
      </w:r>
    </w:p>
    <w:p w14:paraId="7CCAE84F" w14:textId="77777777" w:rsidR="00947601" w:rsidRPr="00532A38" w:rsidRDefault="00947601" w:rsidP="00486623">
      <w:pPr>
        <w:pStyle w:val="a3"/>
        <w:overflowPunct w:val="0"/>
        <w:spacing w:after="0" w:line="240" w:lineRule="auto"/>
        <w:ind w:left="0"/>
        <w:rPr>
          <w:rFonts w:ascii="Times New Roman" w:hAnsi="Times New Roman" w:cs="Times New Roman"/>
          <w:sz w:val="24"/>
          <w:szCs w:val="24"/>
          <w:lang w:eastAsia="zh-HK"/>
        </w:rPr>
      </w:pPr>
    </w:p>
    <w:p w14:paraId="7CCAE850" w14:textId="1E82207B" w:rsidR="00947601" w:rsidRPr="00532A38" w:rsidRDefault="00947601" w:rsidP="00486623">
      <w:pPr>
        <w:pStyle w:val="Web"/>
        <w:numPr>
          <w:ilvl w:val="0"/>
          <w:numId w:val="2"/>
        </w:numPr>
        <w:overflowPunct w:val="0"/>
        <w:spacing w:before="0" w:beforeAutospacing="0" w:after="0" w:afterAutospacing="0"/>
        <w:ind w:left="0" w:firstLine="0"/>
        <w:jc w:val="both"/>
        <w:rPr>
          <w:rFonts w:eastAsiaTheme="minorEastAsia"/>
        </w:rPr>
      </w:pPr>
      <w:r w:rsidRPr="00532A38">
        <w:rPr>
          <w:lang w:eastAsia="zh-HK"/>
        </w:rPr>
        <w:t xml:space="preserve">However, according to the Appellant’s current accounts with </w:t>
      </w:r>
      <w:r w:rsidR="00E56EDA" w:rsidRPr="00532A38">
        <w:rPr>
          <w:lang w:eastAsia="zh-HK"/>
        </w:rPr>
        <w:t>the PRC Subsidiary at</w:t>
      </w:r>
      <w:r w:rsidRPr="00532A38">
        <w:rPr>
          <w:lang w:eastAsia="zh-HK"/>
        </w:rPr>
        <w:t xml:space="preserve"> Appendix M2</w:t>
      </w:r>
      <w:r w:rsidRPr="00532A38">
        <w:rPr>
          <w:rFonts w:eastAsiaTheme="minorEastAsia"/>
        </w:rPr>
        <w:t xml:space="preserve"> of the Determination</w:t>
      </w:r>
      <w:r w:rsidRPr="00532A38">
        <w:rPr>
          <w:lang w:eastAsia="zh-HK"/>
        </w:rPr>
        <w:t xml:space="preserve">, the purchases from </w:t>
      </w:r>
      <w:r w:rsidR="00E56EDA" w:rsidRPr="00532A38">
        <w:rPr>
          <w:lang w:eastAsia="zh-HK"/>
        </w:rPr>
        <w:t xml:space="preserve">the PRC Subsidiary </w:t>
      </w:r>
      <w:r w:rsidRPr="00532A38">
        <w:rPr>
          <w:lang w:eastAsia="zh-HK"/>
        </w:rPr>
        <w:t xml:space="preserve">evidenced by Appendix H were credited to the current accounts with </w:t>
      </w:r>
      <w:r w:rsidR="00E56EDA" w:rsidRPr="00532A38">
        <w:rPr>
          <w:lang w:eastAsia="zh-HK"/>
        </w:rPr>
        <w:t>the PRC Subsidiary</w:t>
      </w:r>
      <w:r w:rsidRPr="00532A38">
        <w:rPr>
          <w:lang w:eastAsia="zh-HK"/>
        </w:rPr>
        <w:t xml:space="preserve">, which were offset by the sales of raw materials to </w:t>
      </w:r>
      <w:r w:rsidR="00E56EDA" w:rsidRPr="00532A38">
        <w:rPr>
          <w:lang w:eastAsia="zh-HK"/>
        </w:rPr>
        <w:t>the PRC Subsidiary e</w:t>
      </w:r>
      <w:r w:rsidRPr="00532A38">
        <w:rPr>
          <w:lang w:eastAsia="zh-HK"/>
        </w:rPr>
        <w:t xml:space="preserve">videnced by Appendix B and remittance of funds from time to time.  This showed that though the Appellant had allegedly not paid </w:t>
      </w:r>
      <w:r w:rsidR="00E56EDA" w:rsidRPr="00532A38">
        <w:rPr>
          <w:lang w:eastAsia="zh-HK"/>
        </w:rPr>
        <w:t xml:space="preserve">the PRC Subsidiary </w:t>
      </w:r>
      <w:r w:rsidRPr="00532A38">
        <w:rPr>
          <w:lang w:eastAsia="zh-HK"/>
        </w:rPr>
        <w:t>according to the invoiced amount, it did settle the purchase</w:t>
      </w:r>
      <w:r w:rsidR="00134A18">
        <w:rPr>
          <w:lang w:eastAsia="zh-HK"/>
        </w:rPr>
        <w:t>s</w:t>
      </w:r>
      <w:r w:rsidRPr="00532A38">
        <w:rPr>
          <w:lang w:eastAsia="zh-HK"/>
        </w:rPr>
        <w:t xml:space="preserve"> from </w:t>
      </w:r>
      <w:r w:rsidR="00E56EDA" w:rsidRPr="00532A38">
        <w:rPr>
          <w:lang w:eastAsia="zh-HK"/>
        </w:rPr>
        <w:t>the PRC Subsidiary</w:t>
      </w:r>
      <w:r w:rsidRPr="00532A38">
        <w:rPr>
          <w:lang w:eastAsia="zh-HK"/>
        </w:rPr>
        <w:t>.</w:t>
      </w:r>
    </w:p>
    <w:p w14:paraId="7CCAE851" w14:textId="77777777" w:rsidR="00947601" w:rsidRPr="00532A38" w:rsidRDefault="00947601" w:rsidP="00486623">
      <w:pPr>
        <w:pStyle w:val="a3"/>
        <w:overflowPunct w:val="0"/>
        <w:spacing w:after="0" w:line="240" w:lineRule="auto"/>
        <w:ind w:left="0"/>
        <w:rPr>
          <w:rFonts w:ascii="Times New Roman" w:hAnsi="Times New Roman" w:cs="Times New Roman"/>
          <w:sz w:val="24"/>
          <w:szCs w:val="24"/>
        </w:rPr>
      </w:pPr>
    </w:p>
    <w:p w14:paraId="7CCAE852" w14:textId="78331E5A" w:rsidR="00947601" w:rsidRPr="00532A38" w:rsidRDefault="00E56EDA" w:rsidP="00486623">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Extraordinarily</w:t>
      </w:r>
      <w:r w:rsidR="001E28B2" w:rsidRPr="00532A38">
        <w:rPr>
          <w:rFonts w:eastAsiaTheme="minorEastAsia"/>
        </w:rPr>
        <w:t>,</w:t>
      </w:r>
      <w:r w:rsidRPr="00532A38">
        <w:rPr>
          <w:rFonts w:eastAsiaTheme="minorEastAsia"/>
        </w:rPr>
        <w:t xml:space="preserve"> </w:t>
      </w:r>
      <w:r w:rsidR="00947601" w:rsidRPr="00532A38">
        <w:rPr>
          <w:rFonts w:eastAsiaTheme="minorEastAsia"/>
        </w:rPr>
        <w:t xml:space="preserve">Mr Yue questioned </w:t>
      </w:r>
      <w:r w:rsidRPr="00532A38">
        <w:rPr>
          <w:rFonts w:eastAsiaTheme="minorEastAsia"/>
        </w:rPr>
        <w:t xml:space="preserve">Ms </w:t>
      </w:r>
      <w:r w:rsidR="00486623">
        <w:rPr>
          <w:rFonts w:eastAsiaTheme="minorEastAsia"/>
        </w:rPr>
        <w:t>G</w:t>
      </w:r>
      <w:r w:rsidRPr="00532A38">
        <w:rPr>
          <w:rFonts w:eastAsiaTheme="minorEastAsia"/>
        </w:rPr>
        <w:t xml:space="preserve">’s </w:t>
      </w:r>
      <w:r w:rsidR="00947601" w:rsidRPr="00532A38">
        <w:rPr>
          <w:rFonts w:eastAsiaTheme="minorEastAsia"/>
        </w:rPr>
        <w:t>credibility by suggesting that she was not able to provide evidence on the calculations of various invoices due to her lapse of memory and/or lack of expertise / knowledge in accounting.</w:t>
      </w:r>
      <w:r w:rsidR="00947601" w:rsidRPr="00532A38">
        <w:rPr>
          <w:rFonts w:eastAsiaTheme="minorEastAsia"/>
          <w:lang w:eastAsia="zh-HK"/>
        </w:rPr>
        <w:t xml:space="preserve"> </w:t>
      </w:r>
    </w:p>
    <w:p w14:paraId="7CCAE853" w14:textId="77777777" w:rsidR="00A2611B" w:rsidRPr="00532A38" w:rsidRDefault="00A2611B" w:rsidP="00486623">
      <w:pPr>
        <w:pStyle w:val="a3"/>
        <w:overflowPunct w:val="0"/>
        <w:spacing w:after="0" w:line="240" w:lineRule="auto"/>
        <w:ind w:left="0"/>
        <w:rPr>
          <w:rFonts w:ascii="Times New Roman" w:hAnsi="Times New Roman" w:cs="Times New Roman"/>
          <w:sz w:val="24"/>
          <w:szCs w:val="24"/>
        </w:rPr>
      </w:pPr>
    </w:p>
    <w:p w14:paraId="7CCAE854" w14:textId="5C2054F6" w:rsidR="001170D4" w:rsidRPr="00532A38" w:rsidRDefault="00775B60" w:rsidP="00486623">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Mr Yue submitted that the documents and accounts were falsified in order to comply with IRD-imposed requirements of import processing in Hong Kong. This Board rejects Mr Yue’s submission. This Board finds that </w:t>
      </w:r>
      <w:r w:rsidR="003B145C" w:rsidRPr="00532A38">
        <w:rPr>
          <w:rFonts w:eastAsiaTheme="minorEastAsia"/>
          <w:lang w:eastAsia="zh-HK"/>
        </w:rPr>
        <w:t>t</w:t>
      </w:r>
      <w:r w:rsidRPr="00532A38">
        <w:rPr>
          <w:rFonts w:eastAsiaTheme="minorEastAsia"/>
        </w:rPr>
        <w:t xml:space="preserve">he Appellant and </w:t>
      </w:r>
      <w:r w:rsidR="003B145C" w:rsidRPr="00532A38">
        <w:rPr>
          <w:rFonts w:eastAsiaTheme="minorEastAsia"/>
          <w:lang w:eastAsia="zh-HK"/>
        </w:rPr>
        <w:t xml:space="preserve">PRC Subsidiary’s </w:t>
      </w:r>
      <w:r w:rsidRPr="00532A38">
        <w:rPr>
          <w:rFonts w:eastAsiaTheme="minorEastAsia"/>
        </w:rPr>
        <w:t xml:space="preserve">accounts were in fact </w:t>
      </w:r>
      <w:r w:rsidR="001170D4" w:rsidRPr="00532A38">
        <w:rPr>
          <w:rFonts w:eastAsiaTheme="minorEastAsia"/>
        </w:rPr>
        <w:t xml:space="preserve">not </w:t>
      </w:r>
      <w:r w:rsidRPr="00532A38">
        <w:rPr>
          <w:rFonts w:eastAsiaTheme="minorEastAsia"/>
        </w:rPr>
        <w:t>falsified to satisfy the requirements or requests of the I</w:t>
      </w:r>
      <w:r w:rsidR="001170D4" w:rsidRPr="00532A38">
        <w:rPr>
          <w:rFonts w:eastAsiaTheme="minorEastAsia"/>
        </w:rPr>
        <w:t xml:space="preserve">nland Revenue Department </w:t>
      </w:r>
      <w:r w:rsidRPr="00532A38">
        <w:rPr>
          <w:rFonts w:eastAsiaTheme="minorEastAsia"/>
        </w:rPr>
        <w:t xml:space="preserve">as alleged by Mr Yue, but were deliberately entered in such way so that the Appellant and </w:t>
      </w:r>
      <w:r w:rsidR="001170D4" w:rsidRPr="00532A38">
        <w:rPr>
          <w:rFonts w:eastAsiaTheme="minorEastAsia"/>
        </w:rPr>
        <w:t>the PRC Subsidiary c</w:t>
      </w:r>
      <w:r w:rsidRPr="00532A38">
        <w:rPr>
          <w:rFonts w:eastAsiaTheme="minorEastAsia"/>
        </w:rPr>
        <w:t xml:space="preserve">ould meet the requirements imposed by the Mainland authorities for processing trade by way of import processing using tax-bonded raw materials.  </w:t>
      </w:r>
    </w:p>
    <w:p w14:paraId="7CCAE855" w14:textId="77777777" w:rsidR="001170D4" w:rsidRPr="00532A38" w:rsidRDefault="001170D4" w:rsidP="0046026A">
      <w:pPr>
        <w:pStyle w:val="a3"/>
        <w:overflowPunct w:val="0"/>
        <w:spacing w:after="0" w:line="240" w:lineRule="auto"/>
        <w:rPr>
          <w:rFonts w:ascii="Times New Roman" w:hAnsi="Times New Roman" w:cs="Times New Roman"/>
          <w:sz w:val="24"/>
          <w:szCs w:val="24"/>
        </w:rPr>
      </w:pPr>
    </w:p>
    <w:p w14:paraId="7CCAE856" w14:textId="12C40298" w:rsidR="00775B60" w:rsidRPr="00532A38" w:rsidRDefault="00775B60" w:rsidP="00486623">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It is apparent that the accounts of the Appellant and </w:t>
      </w:r>
      <w:r w:rsidR="001170D4" w:rsidRPr="00532A38">
        <w:rPr>
          <w:rFonts w:eastAsiaTheme="minorEastAsia"/>
        </w:rPr>
        <w:t>the PRC Subsidiary</w:t>
      </w:r>
      <w:r w:rsidRPr="00532A38">
        <w:rPr>
          <w:rFonts w:eastAsiaTheme="minorEastAsia"/>
        </w:rPr>
        <w:t xml:space="preserve">, the sale and purchase contracts between them, their invoices and/or payment notices etc. were deliberately settled in such way so that the Appellant and </w:t>
      </w:r>
      <w:r w:rsidR="001170D4" w:rsidRPr="00532A38">
        <w:rPr>
          <w:rFonts w:eastAsiaTheme="minorEastAsia"/>
        </w:rPr>
        <w:t xml:space="preserve">the PRC Subsidiary </w:t>
      </w:r>
      <w:r w:rsidRPr="00532A38">
        <w:rPr>
          <w:rFonts w:eastAsiaTheme="minorEastAsia"/>
        </w:rPr>
        <w:t xml:space="preserve">could </w:t>
      </w:r>
      <w:r w:rsidR="002835D4" w:rsidRPr="00532A38">
        <w:rPr>
          <w:rFonts w:eastAsiaTheme="minorEastAsia"/>
        </w:rPr>
        <w:t>obtain</w:t>
      </w:r>
      <w:r w:rsidRPr="00532A38">
        <w:rPr>
          <w:rFonts w:eastAsiaTheme="minorEastAsia"/>
        </w:rPr>
        <w:t xml:space="preserve"> tax benefit from the Mainland customs, and thus be able to produce the card products in the most cost-effective manner using tax-bonded raw materials</w:t>
      </w:r>
      <w:r w:rsidR="001170D4" w:rsidRPr="00532A38">
        <w:rPr>
          <w:rFonts w:eastAsiaTheme="minorEastAsia"/>
        </w:rPr>
        <w:t xml:space="preserve">. </w:t>
      </w:r>
    </w:p>
    <w:p w14:paraId="7CCAE857" w14:textId="77777777" w:rsidR="00947601" w:rsidRPr="00532A38" w:rsidRDefault="00947601" w:rsidP="00486623">
      <w:pPr>
        <w:pStyle w:val="Web"/>
        <w:overflowPunct w:val="0"/>
        <w:spacing w:before="0" w:beforeAutospacing="0" w:after="0" w:afterAutospacing="0"/>
        <w:jc w:val="both"/>
        <w:rPr>
          <w:rFonts w:eastAsiaTheme="minorEastAsia"/>
        </w:rPr>
      </w:pPr>
    </w:p>
    <w:p w14:paraId="7CCAE858" w14:textId="77777777" w:rsidR="00947601" w:rsidRPr="00532A38" w:rsidRDefault="001170D4" w:rsidP="00486623">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Further, </w:t>
      </w:r>
      <w:r w:rsidR="00947601" w:rsidRPr="00532A38">
        <w:rPr>
          <w:rFonts w:eastAsiaTheme="minorEastAsia"/>
        </w:rPr>
        <w:t xml:space="preserve">Mr Yue in his submissions made bare assertions (sometimes serious accusations against the </w:t>
      </w:r>
      <w:r w:rsidR="00F01AA2" w:rsidRPr="00532A38">
        <w:rPr>
          <w:rFonts w:eastAsiaTheme="minorEastAsia"/>
        </w:rPr>
        <w:t>Inland Revenue Department</w:t>
      </w:r>
      <w:r w:rsidR="00947601" w:rsidRPr="00532A38">
        <w:rPr>
          <w:rFonts w:eastAsiaTheme="minorEastAsia"/>
        </w:rPr>
        <w:t>) which are not supported by the witnesses and/or contemporaneous documents:</w:t>
      </w:r>
    </w:p>
    <w:p w14:paraId="7CCAE859" w14:textId="77777777" w:rsidR="00947601" w:rsidRPr="00532A38" w:rsidRDefault="00947601" w:rsidP="0046026A">
      <w:pPr>
        <w:pStyle w:val="Web"/>
        <w:overflowPunct w:val="0"/>
        <w:spacing w:before="0" w:beforeAutospacing="0" w:after="0" w:afterAutospacing="0"/>
        <w:jc w:val="both"/>
        <w:rPr>
          <w:rFonts w:eastAsiaTheme="minorEastAsia"/>
        </w:rPr>
      </w:pPr>
    </w:p>
    <w:p w14:paraId="7CCAE85A" w14:textId="021C4D1D" w:rsidR="00F01AA2" w:rsidRPr="00532A38" w:rsidRDefault="00947601" w:rsidP="00486623">
      <w:pPr>
        <w:pStyle w:val="Web"/>
        <w:numPr>
          <w:ilvl w:val="0"/>
          <w:numId w:val="26"/>
        </w:numPr>
        <w:tabs>
          <w:tab w:val="left" w:pos="1932"/>
        </w:tabs>
        <w:overflowPunct w:val="0"/>
        <w:spacing w:before="0" w:beforeAutospacing="0" w:after="0" w:afterAutospacing="0"/>
        <w:ind w:leftChars="638" w:left="1932" w:hangingChars="220" w:hanging="528"/>
        <w:jc w:val="both"/>
        <w:rPr>
          <w:rFonts w:eastAsiaTheme="minorEastAsia"/>
        </w:rPr>
      </w:pPr>
      <w:r w:rsidRPr="00532A38">
        <w:rPr>
          <w:rFonts w:eastAsiaTheme="minorEastAsia"/>
        </w:rPr>
        <w:t>With regards to the C</w:t>
      </w:r>
      <w:r w:rsidR="00F01AA2" w:rsidRPr="00532A38">
        <w:rPr>
          <w:rFonts w:eastAsiaTheme="minorEastAsia"/>
        </w:rPr>
        <w:t xml:space="preserve">ommissioner of Inland Revenue’s </w:t>
      </w:r>
      <w:r w:rsidRPr="00532A38">
        <w:rPr>
          <w:rFonts w:eastAsiaTheme="minorEastAsia"/>
        </w:rPr>
        <w:t xml:space="preserve">request for the production of processing trade contract in the letter of 19 November 2015, the Appellant, in its letter of reply (signed by Mr Yue) dated 11 January 2016, stated that </w:t>
      </w:r>
      <w:r w:rsidR="00486623">
        <w:rPr>
          <w:rFonts w:eastAsiaTheme="minorEastAsia"/>
        </w:rPr>
        <w:t>‘</w:t>
      </w:r>
      <w:r w:rsidRPr="00532A38">
        <w:rPr>
          <w:rFonts w:eastAsiaTheme="minorEastAsia"/>
        </w:rPr>
        <w:t>as for the other missing documents, we have approached [</w:t>
      </w:r>
      <w:r w:rsidR="00F01AA2" w:rsidRPr="00532A38">
        <w:rPr>
          <w:rFonts w:eastAsiaTheme="minorEastAsia"/>
        </w:rPr>
        <w:t>the PRC Subsidiary]</w:t>
      </w:r>
      <w:r w:rsidRPr="00532A38">
        <w:rPr>
          <w:rFonts w:eastAsiaTheme="minorEastAsia"/>
        </w:rPr>
        <w:t xml:space="preserve"> for them but they have refused our copying request in view of the possible adverse legal consequences…</w:t>
      </w:r>
      <w:r w:rsidR="00486623">
        <w:rPr>
          <w:rFonts w:eastAsiaTheme="minorEastAsia"/>
        </w:rPr>
        <w:t>’</w:t>
      </w:r>
      <w:r w:rsidRPr="00532A38">
        <w:rPr>
          <w:rFonts w:eastAsiaTheme="minorEastAsia"/>
        </w:rPr>
        <w:t xml:space="preserve">.  However, at the hearing Mr Yue gave a completely </w:t>
      </w:r>
      <w:r w:rsidRPr="00532A38">
        <w:rPr>
          <w:rFonts w:eastAsiaTheme="minorEastAsia"/>
        </w:rPr>
        <w:lastRenderedPageBreak/>
        <w:t>different reason for not providing them, claiming that those contracts no longer exist, then later, even informed the Board that they had already been supplied to the C</w:t>
      </w:r>
      <w:r w:rsidR="00F01AA2" w:rsidRPr="00532A38">
        <w:rPr>
          <w:rFonts w:eastAsiaTheme="minorEastAsia"/>
        </w:rPr>
        <w:t xml:space="preserve">ommissioner of Inland Revenue </w:t>
      </w:r>
      <w:r w:rsidRPr="00532A38">
        <w:rPr>
          <w:rFonts w:eastAsiaTheme="minorEastAsia"/>
        </w:rPr>
        <w:t>by inference of the fact that the Appellant had replied to the C</w:t>
      </w:r>
      <w:r w:rsidR="00F01AA2" w:rsidRPr="00532A38">
        <w:rPr>
          <w:rFonts w:eastAsiaTheme="minorEastAsia"/>
        </w:rPr>
        <w:t xml:space="preserve">ommissioner of Inland Revenue’s </w:t>
      </w:r>
      <w:r w:rsidRPr="00532A38">
        <w:rPr>
          <w:rFonts w:eastAsiaTheme="minorEastAsia"/>
        </w:rPr>
        <w:t xml:space="preserve">letter.  Eventually, none of the assertions turned out to be true, as Ms </w:t>
      </w:r>
      <w:r w:rsidR="00671F71">
        <w:rPr>
          <w:rFonts w:eastAsiaTheme="minorEastAsia"/>
        </w:rPr>
        <w:t>G</w:t>
      </w:r>
      <w:r w:rsidRPr="00532A38">
        <w:rPr>
          <w:rFonts w:eastAsiaTheme="minorEastAsia"/>
        </w:rPr>
        <w:t xml:space="preserve"> was able to produce the contracts</w:t>
      </w:r>
      <w:r w:rsidR="00F01AA2" w:rsidRPr="00532A38">
        <w:rPr>
          <w:rFonts w:eastAsiaTheme="minorEastAsia"/>
        </w:rPr>
        <w:t>.</w:t>
      </w:r>
    </w:p>
    <w:p w14:paraId="7CCAE85B" w14:textId="77777777" w:rsidR="00947601" w:rsidRPr="00532A38" w:rsidRDefault="00947601" w:rsidP="0046026A">
      <w:pPr>
        <w:pStyle w:val="Web"/>
        <w:overflowPunct w:val="0"/>
        <w:spacing w:before="0" w:beforeAutospacing="0" w:after="0" w:afterAutospacing="0"/>
        <w:ind w:left="1080"/>
        <w:jc w:val="both"/>
        <w:rPr>
          <w:rFonts w:eastAsiaTheme="minorEastAsia"/>
        </w:rPr>
      </w:pPr>
      <w:r w:rsidRPr="00532A38">
        <w:rPr>
          <w:rFonts w:eastAsiaTheme="minorEastAsia"/>
        </w:rPr>
        <w:t xml:space="preserve"> </w:t>
      </w:r>
    </w:p>
    <w:p w14:paraId="7CCAE85C" w14:textId="66A7C52A" w:rsidR="00947601" w:rsidRPr="00532A38" w:rsidRDefault="00947601" w:rsidP="00486623">
      <w:pPr>
        <w:pStyle w:val="Web"/>
        <w:numPr>
          <w:ilvl w:val="0"/>
          <w:numId w:val="26"/>
        </w:numPr>
        <w:tabs>
          <w:tab w:val="left" w:pos="1932"/>
        </w:tabs>
        <w:overflowPunct w:val="0"/>
        <w:spacing w:before="0" w:beforeAutospacing="0" w:after="0" w:afterAutospacing="0"/>
        <w:ind w:leftChars="638" w:left="1932" w:hangingChars="220" w:hanging="528"/>
        <w:jc w:val="both"/>
        <w:rPr>
          <w:rFonts w:eastAsiaTheme="minorEastAsia"/>
        </w:rPr>
      </w:pPr>
      <w:r w:rsidRPr="00532A38">
        <w:rPr>
          <w:rFonts w:eastAsiaTheme="minorEastAsia"/>
        </w:rPr>
        <w:t xml:space="preserve">One of the reasons offered as to why there were no genuine sale and purchase transactions with </w:t>
      </w:r>
      <w:r w:rsidR="00A2635F" w:rsidRPr="00532A38">
        <w:rPr>
          <w:rFonts w:eastAsiaTheme="minorEastAsia"/>
        </w:rPr>
        <w:t xml:space="preserve">the PRC Subsidiary </w:t>
      </w:r>
      <w:r w:rsidRPr="00532A38">
        <w:rPr>
          <w:rFonts w:eastAsiaTheme="minorEastAsia"/>
        </w:rPr>
        <w:t xml:space="preserve">was because </w:t>
      </w:r>
      <w:r w:rsidR="00A2635F" w:rsidRPr="00532A38">
        <w:rPr>
          <w:rFonts w:eastAsiaTheme="minorEastAsia"/>
        </w:rPr>
        <w:t>the PRC Subsidiary a</w:t>
      </w:r>
      <w:r w:rsidRPr="00532A38">
        <w:rPr>
          <w:rFonts w:eastAsiaTheme="minorEastAsia"/>
        </w:rPr>
        <w:t>nd the Appellant would be guilty of smuggling by the Mainland authorities, as the laws in the Mainland prohibits the sales of tax-bonded goods.  Not only was this not supported by Ms</w:t>
      </w:r>
      <w:r w:rsidR="00486623">
        <w:rPr>
          <w:rFonts w:eastAsiaTheme="minorEastAsia"/>
        </w:rPr>
        <w:t xml:space="preserve"> G</w:t>
      </w:r>
      <w:r w:rsidRPr="00532A38">
        <w:rPr>
          <w:rFonts w:eastAsiaTheme="minorEastAsia"/>
        </w:rPr>
        <w:t xml:space="preserve">’s evidence, who said that </w:t>
      </w:r>
      <w:r w:rsidR="00A2635F" w:rsidRPr="00532A38">
        <w:rPr>
          <w:rFonts w:eastAsiaTheme="minorEastAsia"/>
        </w:rPr>
        <w:t xml:space="preserve">the PRC Subsidiary </w:t>
      </w:r>
      <w:r w:rsidRPr="00532A38">
        <w:rPr>
          <w:rFonts w:eastAsiaTheme="minorEastAsia"/>
        </w:rPr>
        <w:t xml:space="preserve">had never been accused of smuggling by the Mainland authorities, but even the Appellant’s </w:t>
      </w:r>
      <w:r w:rsidR="00486623">
        <w:rPr>
          <w:rFonts w:eastAsiaTheme="minorEastAsia"/>
          <w:lang w:eastAsia="zh-HK"/>
        </w:rPr>
        <w:t>‘</w:t>
      </w:r>
      <w:r w:rsidRPr="00532A38">
        <w:rPr>
          <w:rFonts w:eastAsiaTheme="minorEastAsia"/>
        </w:rPr>
        <w:t>expert</w:t>
      </w:r>
      <w:r w:rsidR="00486623">
        <w:rPr>
          <w:rFonts w:eastAsiaTheme="minorEastAsia"/>
          <w:lang w:eastAsia="zh-HK"/>
        </w:rPr>
        <w:t>’</w:t>
      </w:r>
      <w:r w:rsidRPr="00532A38">
        <w:rPr>
          <w:rFonts w:eastAsiaTheme="minorEastAsia"/>
        </w:rPr>
        <w:t xml:space="preserve"> witness, Mr</w:t>
      </w:r>
      <w:r w:rsidR="00CF16EC">
        <w:rPr>
          <w:rFonts w:eastAsiaTheme="minorEastAsia"/>
        </w:rPr>
        <w:t xml:space="preserve"> K</w:t>
      </w:r>
      <w:r w:rsidRPr="00532A38">
        <w:rPr>
          <w:rFonts w:eastAsiaTheme="minorEastAsia"/>
        </w:rPr>
        <w:t>, a qualified lawyer in th</w:t>
      </w:r>
      <w:r w:rsidR="00F75A48">
        <w:rPr>
          <w:rFonts w:eastAsiaTheme="minorEastAsia"/>
        </w:rPr>
        <w:t>e Mainland, was not asked by Mr</w:t>
      </w:r>
      <w:r w:rsidRPr="00532A38">
        <w:rPr>
          <w:rFonts w:eastAsiaTheme="minorEastAsia"/>
        </w:rPr>
        <w:t xml:space="preserve"> Yue in his written or oral evidence to confirm this contention.  </w:t>
      </w:r>
    </w:p>
    <w:p w14:paraId="7CCAE85D" w14:textId="77777777" w:rsidR="00E4086B" w:rsidRPr="00532A38" w:rsidRDefault="00E4086B" w:rsidP="0046026A">
      <w:pPr>
        <w:pStyle w:val="a3"/>
        <w:overflowPunct w:val="0"/>
        <w:spacing w:after="0" w:line="240" w:lineRule="auto"/>
        <w:rPr>
          <w:rFonts w:ascii="Times New Roman" w:hAnsi="Times New Roman" w:cs="Times New Roman"/>
          <w:b/>
          <w:sz w:val="24"/>
          <w:szCs w:val="24"/>
          <w:u w:val="single"/>
        </w:rPr>
      </w:pPr>
    </w:p>
    <w:p w14:paraId="7CCAE85E" w14:textId="3A6BE0BB" w:rsidR="00E4086B" w:rsidRPr="00532A38" w:rsidRDefault="001E28B2"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To sum up, this Board finds it </w:t>
      </w:r>
      <w:r w:rsidR="00E4086B" w:rsidRPr="00532A38">
        <w:rPr>
          <w:rFonts w:ascii="Times New Roman" w:hAnsi="Times New Roman" w:cs="Times New Roman"/>
          <w:sz w:val="24"/>
          <w:szCs w:val="24"/>
        </w:rPr>
        <w:t xml:space="preserve">rather breathtaking that an allegation of false documents was made by Ms </w:t>
      </w:r>
      <w:r w:rsidR="00CF16EC">
        <w:rPr>
          <w:rFonts w:ascii="Times New Roman" w:hAnsi="Times New Roman" w:cs="Times New Roman"/>
          <w:sz w:val="24"/>
          <w:szCs w:val="24"/>
        </w:rPr>
        <w:t>G</w:t>
      </w:r>
      <w:r w:rsidR="00E4086B" w:rsidRPr="00532A38">
        <w:rPr>
          <w:rFonts w:ascii="Times New Roman" w:hAnsi="Times New Roman" w:cs="Times New Roman"/>
          <w:sz w:val="24"/>
          <w:szCs w:val="24"/>
        </w:rPr>
        <w:t xml:space="preserve"> when such allegation is directly contradicted by the Appellant’s own financial statements, confirmations by its own directors and the contemporaneous documents as outlined above. </w:t>
      </w:r>
    </w:p>
    <w:p w14:paraId="32F4B701" w14:textId="77777777" w:rsidR="001D215B" w:rsidRPr="00532A38" w:rsidRDefault="001D215B" w:rsidP="00CF16EC">
      <w:pPr>
        <w:pStyle w:val="a3"/>
        <w:overflowPunct w:val="0"/>
        <w:spacing w:after="0" w:line="240" w:lineRule="auto"/>
        <w:ind w:left="0"/>
        <w:jc w:val="both"/>
        <w:rPr>
          <w:rFonts w:ascii="Times New Roman" w:hAnsi="Times New Roman" w:cs="Times New Roman"/>
          <w:b/>
          <w:sz w:val="24"/>
          <w:szCs w:val="24"/>
          <w:u w:val="single"/>
        </w:rPr>
      </w:pPr>
    </w:p>
    <w:p w14:paraId="7CCAE860" w14:textId="0EADAD2A" w:rsidR="00E4086B" w:rsidRPr="00CF16EC" w:rsidRDefault="001B6F3C" w:rsidP="00CF16EC">
      <w:pPr>
        <w:overflowPunct w:val="0"/>
        <w:spacing w:after="0" w:line="240" w:lineRule="auto"/>
        <w:rPr>
          <w:rFonts w:ascii="Times New Roman" w:hAnsi="Times New Roman" w:cs="Times New Roman"/>
          <w:b/>
          <w:sz w:val="24"/>
          <w:szCs w:val="24"/>
        </w:rPr>
      </w:pPr>
      <w:r w:rsidRPr="00CF16EC">
        <w:rPr>
          <w:rFonts w:ascii="Times New Roman" w:hAnsi="Times New Roman" w:cs="Times New Roman"/>
          <w:b/>
          <w:sz w:val="24"/>
          <w:szCs w:val="24"/>
        </w:rPr>
        <w:t>A</w:t>
      </w:r>
      <w:r w:rsidR="00CF16EC" w:rsidRPr="00CF16EC">
        <w:rPr>
          <w:rFonts w:ascii="Times New Roman" w:hAnsi="Times New Roman" w:cs="Times New Roman"/>
          <w:b/>
          <w:sz w:val="24"/>
          <w:szCs w:val="24"/>
        </w:rPr>
        <w:t>pplicable Legal Principles</w:t>
      </w:r>
    </w:p>
    <w:p w14:paraId="37D8D423" w14:textId="77777777" w:rsidR="00CF16EC" w:rsidRPr="00532A38" w:rsidRDefault="00CF16EC" w:rsidP="00CF16EC">
      <w:pPr>
        <w:overflowPunct w:val="0"/>
        <w:spacing w:after="0" w:line="240" w:lineRule="auto"/>
        <w:rPr>
          <w:rFonts w:ascii="Times New Roman" w:hAnsi="Times New Roman" w:cs="Times New Roman"/>
          <w:sz w:val="24"/>
          <w:szCs w:val="24"/>
          <w:u w:val="single"/>
        </w:rPr>
      </w:pPr>
    </w:p>
    <w:p w14:paraId="7CCAE861" w14:textId="2E286BCE" w:rsidR="00E4086B" w:rsidRPr="00532A38" w:rsidRDefault="00E4086B" w:rsidP="00CF16EC">
      <w:pPr>
        <w:pStyle w:val="a3"/>
        <w:numPr>
          <w:ilvl w:val="0"/>
          <w:numId w:val="2"/>
        </w:numPr>
        <w:overflowPunct w:val="0"/>
        <w:spacing w:after="0" w:line="240" w:lineRule="auto"/>
        <w:ind w:left="0" w:firstLine="0"/>
        <w:rPr>
          <w:rFonts w:ascii="Times New Roman" w:hAnsi="Times New Roman" w:cs="Times New Roman"/>
          <w:sz w:val="24"/>
          <w:szCs w:val="24"/>
          <w:u w:val="single"/>
        </w:rPr>
      </w:pPr>
      <w:r w:rsidRPr="00532A38">
        <w:rPr>
          <w:rFonts w:ascii="Times New Roman" w:hAnsi="Times New Roman" w:cs="Times New Roman"/>
          <w:sz w:val="24"/>
          <w:szCs w:val="24"/>
        </w:rPr>
        <w:t xml:space="preserve">Section 14(1) of </w:t>
      </w:r>
      <w:r w:rsidR="00134A18">
        <w:rPr>
          <w:rFonts w:ascii="Times New Roman" w:hAnsi="Times New Roman" w:cs="Times New Roman"/>
          <w:sz w:val="24"/>
          <w:szCs w:val="24"/>
        </w:rPr>
        <w:t xml:space="preserve">the </w:t>
      </w:r>
      <w:r w:rsidRPr="00532A38">
        <w:rPr>
          <w:rFonts w:ascii="Times New Roman" w:hAnsi="Times New Roman" w:cs="Times New Roman"/>
          <w:sz w:val="24"/>
          <w:szCs w:val="24"/>
        </w:rPr>
        <w:t>IRO provides:</w:t>
      </w:r>
    </w:p>
    <w:p w14:paraId="7CCAE862" w14:textId="77777777" w:rsidR="00E4086B" w:rsidRPr="00532A38" w:rsidRDefault="00E4086B" w:rsidP="0046026A">
      <w:pPr>
        <w:pStyle w:val="a3"/>
        <w:overflowPunct w:val="0"/>
        <w:spacing w:after="0" w:line="240" w:lineRule="auto"/>
        <w:ind w:left="360"/>
        <w:rPr>
          <w:rFonts w:ascii="Times New Roman" w:hAnsi="Times New Roman" w:cs="Times New Roman"/>
          <w:sz w:val="24"/>
          <w:szCs w:val="24"/>
        </w:rPr>
      </w:pPr>
    </w:p>
    <w:p w14:paraId="7CCAE863" w14:textId="5D4712DE" w:rsidR="00E4086B" w:rsidRPr="00532A38" w:rsidRDefault="00CF16EC" w:rsidP="00CF16EC">
      <w:pPr>
        <w:pStyle w:val="a3"/>
        <w:overflowPunct w:val="0"/>
        <w:spacing w:after="0" w:line="240" w:lineRule="auto"/>
        <w:ind w:leftChars="638" w:left="1404"/>
        <w:jc w:val="both"/>
        <w:rPr>
          <w:rFonts w:ascii="Times New Roman" w:hAnsi="Times New Roman" w:cs="Times New Roman"/>
          <w:i/>
          <w:sz w:val="24"/>
          <w:szCs w:val="24"/>
        </w:rPr>
      </w:pPr>
      <w:r>
        <w:rPr>
          <w:rFonts w:ascii="Times New Roman" w:hAnsi="Times New Roman" w:cs="Times New Roman"/>
          <w:sz w:val="24"/>
          <w:szCs w:val="24"/>
        </w:rPr>
        <w:t>‘</w:t>
      </w:r>
      <w:r w:rsidR="00E4086B" w:rsidRPr="00532A38">
        <w:rPr>
          <w:rFonts w:ascii="Times New Roman" w:hAnsi="Times New Roman" w:cs="Times New Roman"/>
          <w:i/>
          <w:sz w:val="24"/>
          <w:szCs w:val="24"/>
        </w:rPr>
        <w:t>Subject to the provisions of this Ordinance, profit tax shall be charged for each year of assessment at the standard rate on every person carrying on a trade, profession or business in Hong Kong in respect of his assessable profits arising in or derived from Hong Kong for that year from such trade, profession or business (excluding profits arising from the sale of capital assets) as ascertained in accordance with this Part.</w:t>
      </w:r>
      <w:r>
        <w:rPr>
          <w:rFonts w:ascii="Times New Roman" w:hAnsi="Times New Roman" w:cs="Times New Roman"/>
          <w:sz w:val="24"/>
          <w:szCs w:val="24"/>
        </w:rPr>
        <w:t>’</w:t>
      </w:r>
    </w:p>
    <w:p w14:paraId="7CCAE865" w14:textId="77777777" w:rsidR="00E4086B" w:rsidRPr="00532A38" w:rsidRDefault="00E4086B" w:rsidP="0046026A">
      <w:pPr>
        <w:overflowPunct w:val="0"/>
        <w:spacing w:after="0" w:line="240" w:lineRule="auto"/>
        <w:jc w:val="both"/>
        <w:rPr>
          <w:rFonts w:ascii="Times New Roman" w:hAnsi="Times New Roman" w:cs="Times New Roman"/>
          <w:sz w:val="24"/>
          <w:szCs w:val="24"/>
          <w:u w:val="single"/>
          <w:lang w:eastAsia="zh-HK"/>
        </w:rPr>
      </w:pPr>
    </w:p>
    <w:p w14:paraId="7CCAE866" w14:textId="512BB99D" w:rsidR="00D91361" w:rsidRDefault="00D91361" w:rsidP="00CF16E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 phrase </w:t>
      </w:r>
      <w:r w:rsidR="00671F71">
        <w:rPr>
          <w:rFonts w:ascii="Times New Roman" w:hAnsi="Times New Roman" w:cs="Times New Roman"/>
          <w:sz w:val="24"/>
          <w:szCs w:val="24"/>
        </w:rPr>
        <w:t>‘</w:t>
      </w:r>
      <w:r w:rsidRPr="00532A38">
        <w:rPr>
          <w:rFonts w:ascii="Times New Roman" w:hAnsi="Times New Roman" w:cs="Times New Roman"/>
          <w:sz w:val="24"/>
          <w:szCs w:val="24"/>
        </w:rPr>
        <w:t>profits arisin</w:t>
      </w:r>
      <w:r w:rsidR="00CF16EC">
        <w:rPr>
          <w:rFonts w:ascii="Times New Roman" w:hAnsi="Times New Roman" w:cs="Times New Roman"/>
          <w:sz w:val="24"/>
          <w:szCs w:val="24"/>
        </w:rPr>
        <w:t>g in or derived from Hong Kong</w:t>
      </w:r>
      <w:r w:rsidR="00671F71">
        <w:rPr>
          <w:rFonts w:ascii="Times New Roman" w:hAnsi="Times New Roman" w:cs="Times New Roman"/>
          <w:sz w:val="24"/>
          <w:szCs w:val="24"/>
        </w:rPr>
        <w:t>’</w:t>
      </w:r>
      <w:r w:rsidR="00CF16EC">
        <w:rPr>
          <w:rFonts w:ascii="Times New Roman" w:hAnsi="Times New Roman" w:cs="Times New Roman"/>
          <w:sz w:val="24"/>
          <w:szCs w:val="24"/>
        </w:rPr>
        <w:t xml:space="preserve"> </w:t>
      </w:r>
      <w:r w:rsidR="00CF16EC">
        <w:rPr>
          <w:rFonts w:ascii="Times New Roman" w:eastAsia="標楷體" w:hAnsi="Times New Roman" w:cs="Times New Roman" w:hint="eastAsia"/>
          <w:sz w:val="24"/>
          <w:szCs w:val="24"/>
        </w:rPr>
        <w:t>(</w:t>
      </w:r>
      <w:r w:rsidRPr="00CF16EC">
        <w:rPr>
          <w:rFonts w:ascii="Times New Roman" w:eastAsia="標楷體" w:hAnsi="Times New Roman" w:cs="Times New Roman"/>
          <w:sz w:val="24"/>
          <w:szCs w:val="24"/>
        </w:rPr>
        <w:t>於香港產生或得自香港的利潤</w:t>
      </w:r>
      <w:r w:rsidR="00CF16EC">
        <w:rPr>
          <w:rFonts w:ascii="Times New Roman" w:eastAsia="標楷體" w:hAnsi="Times New Roman" w:cs="Times New Roman" w:hint="eastAsia"/>
          <w:sz w:val="24"/>
          <w:szCs w:val="24"/>
        </w:rPr>
        <w:t>)</w:t>
      </w:r>
      <w:r w:rsidR="00CF16EC">
        <w:rPr>
          <w:rFonts w:ascii="Times New Roman" w:eastAsia="標楷體" w:hAnsi="Times New Roman" w:cs="Times New Roman"/>
          <w:sz w:val="24"/>
          <w:szCs w:val="24"/>
        </w:rPr>
        <w:t xml:space="preserve"> </w:t>
      </w:r>
      <w:r w:rsidRPr="00532A38">
        <w:rPr>
          <w:rFonts w:ascii="Times New Roman" w:hAnsi="Times New Roman" w:cs="Times New Roman"/>
          <w:sz w:val="24"/>
          <w:szCs w:val="24"/>
        </w:rPr>
        <w:t>is defined in s</w:t>
      </w:r>
      <w:r w:rsidRPr="00532A38">
        <w:rPr>
          <w:rFonts w:ascii="Times New Roman" w:hAnsi="Times New Roman" w:cs="Times New Roman"/>
          <w:sz w:val="24"/>
          <w:szCs w:val="24"/>
          <w:lang w:eastAsia="zh-HK"/>
        </w:rPr>
        <w:t xml:space="preserve">ection </w:t>
      </w:r>
      <w:r w:rsidRPr="00532A38">
        <w:rPr>
          <w:rFonts w:ascii="Times New Roman" w:hAnsi="Times New Roman" w:cs="Times New Roman"/>
          <w:sz w:val="24"/>
          <w:szCs w:val="24"/>
        </w:rPr>
        <w:t>2 as follows:</w:t>
      </w:r>
    </w:p>
    <w:p w14:paraId="7651B63E" w14:textId="77777777" w:rsidR="00CF16EC" w:rsidRPr="00532A38" w:rsidRDefault="00CF16EC" w:rsidP="00CF16EC">
      <w:pPr>
        <w:pStyle w:val="a3"/>
        <w:overflowPunct w:val="0"/>
        <w:spacing w:after="0" w:line="240" w:lineRule="auto"/>
        <w:ind w:left="0"/>
        <w:jc w:val="both"/>
        <w:rPr>
          <w:rFonts w:ascii="Times New Roman" w:hAnsi="Times New Roman" w:cs="Times New Roman"/>
          <w:sz w:val="24"/>
          <w:szCs w:val="24"/>
        </w:rPr>
      </w:pPr>
    </w:p>
    <w:p w14:paraId="7CCAE867" w14:textId="10B7BAA9" w:rsidR="00D91361" w:rsidRPr="00532A38" w:rsidRDefault="00CF16EC" w:rsidP="00CF16EC">
      <w:pPr>
        <w:pStyle w:val="a3"/>
        <w:overflowPunct w:val="0"/>
        <w:spacing w:after="0" w:line="240" w:lineRule="auto"/>
        <w:ind w:leftChars="638" w:left="1404"/>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
          <w:iCs/>
          <w:sz w:val="24"/>
          <w:szCs w:val="24"/>
        </w:rPr>
        <w:t>“</w:t>
      </w:r>
      <w:r w:rsidR="00D91361" w:rsidRPr="00532A38">
        <w:rPr>
          <w:rFonts w:ascii="Times New Roman" w:hAnsi="Times New Roman" w:cs="Times New Roman"/>
          <w:i/>
          <w:iCs/>
          <w:sz w:val="24"/>
          <w:szCs w:val="24"/>
        </w:rPr>
        <w:t>profits arising in or derived from Hong Kong</w:t>
      </w:r>
      <w:r>
        <w:rPr>
          <w:rFonts w:ascii="Times New Roman" w:hAnsi="Times New Roman" w:cs="Times New Roman"/>
          <w:i/>
          <w:iCs/>
          <w:sz w:val="24"/>
          <w:szCs w:val="24"/>
        </w:rPr>
        <w:t>”</w:t>
      </w:r>
      <w:r w:rsidR="00D91361" w:rsidRPr="00532A38">
        <w:rPr>
          <w:rFonts w:ascii="Times New Roman" w:hAnsi="Times New Roman" w:cs="Times New Roman"/>
          <w:i/>
          <w:iCs/>
          <w:sz w:val="24"/>
          <w:szCs w:val="24"/>
        </w:rPr>
        <w:t xml:space="preserve"> </w:t>
      </w:r>
      <w:r w:rsidR="00D91361" w:rsidRPr="00CF16EC">
        <w:rPr>
          <w:rFonts w:ascii="Times New Roman" w:eastAsia="標楷體" w:hAnsi="Times New Roman" w:cs="Times New Roman"/>
          <w:i/>
          <w:iCs/>
          <w:sz w:val="24"/>
          <w:szCs w:val="24"/>
        </w:rPr>
        <w:t>(</w:t>
      </w:r>
      <w:r w:rsidR="00D91361" w:rsidRPr="00CF16EC">
        <w:rPr>
          <w:rFonts w:ascii="Times New Roman" w:eastAsia="標楷體" w:hAnsi="Times New Roman" w:cs="Times New Roman"/>
          <w:i/>
          <w:iCs/>
          <w:sz w:val="24"/>
          <w:szCs w:val="24"/>
        </w:rPr>
        <w:t>於香港產生或得自香港的利潤</w:t>
      </w:r>
      <w:r w:rsidR="00D91361" w:rsidRPr="00CF16EC">
        <w:rPr>
          <w:rFonts w:ascii="Times New Roman" w:eastAsia="標楷體" w:hAnsi="Times New Roman" w:cs="Times New Roman"/>
          <w:i/>
          <w:iCs/>
          <w:sz w:val="24"/>
          <w:szCs w:val="24"/>
        </w:rPr>
        <w:t>)</w:t>
      </w:r>
      <w:r w:rsidR="00D91361" w:rsidRPr="00532A38">
        <w:rPr>
          <w:rFonts w:ascii="Times New Roman" w:hAnsi="Times New Roman" w:cs="Times New Roman"/>
          <w:i/>
          <w:iCs/>
          <w:sz w:val="24"/>
          <w:szCs w:val="24"/>
        </w:rPr>
        <w:t xml:space="preserve"> for the purposes of [Profits Tax] shall, without in any way limiting the meaning of the term, </w:t>
      </w:r>
      <w:r w:rsidR="00D91361" w:rsidRPr="00532A38">
        <w:rPr>
          <w:rFonts w:ascii="Times New Roman" w:hAnsi="Times New Roman" w:cs="Times New Roman"/>
          <w:i/>
          <w:iCs/>
          <w:sz w:val="24"/>
          <w:szCs w:val="24"/>
          <w:u w:val="single"/>
        </w:rPr>
        <w:t>include all profits from business transacted in Hong Kong, whether directly or through an agent</w:t>
      </w:r>
      <w:r>
        <w:rPr>
          <w:rFonts w:ascii="Times New Roman" w:hAnsi="Times New Roman" w:cs="Times New Roman"/>
          <w:iCs/>
          <w:sz w:val="24"/>
          <w:szCs w:val="24"/>
        </w:rPr>
        <w:t>’</w:t>
      </w:r>
      <w:r w:rsidR="00D91361" w:rsidRPr="00532A38">
        <w:rPr>
          <w:rFonts w:ascii="Times New Roman" w:hAnsi="Times New Roman" w:cs="Times New Roman"/>
          <w:i/>
          <w:iCs/>
          <w:sz w:val="24"/>
          <w:szCs w:val="24"/>
        </w:rPr>
        <w:t xml:space="preserve">. </w:t>
      </w:r>
      <w:r w:rsidR="00D91361" w:rsidRPr="00532A38">
        <w:rPr>
          <w:rFonts w:ascii="Times New Roman" w:hAnsi="Times New Roman" w:cs="Times New Roman"/>
          <w:iCs/>
          <w:sz w:val="24"/>
          <w:szCs w:val="24"/>
        </w:rPr>
        <w:t>(Emphasis added.)</w:t>
      </w:r>
    </w:p>
    <w:p w14:paraId="4A45CF35" w14:textId="7D91BE6E" w:rsidR="00E6078D" w:rsidRDefault="00E6078D" w:rsidP="0046026A">
      <w:pPr>
        <w:pStyle w:val="a3"/>
        <w:overflowPunct w:val="0"/>
        <w:spacing w:after="0" w:line="240" w:lineRule="auto"/>
        <w:ind w:left="360"/>
        <w:jc w:val="both"/>
        <w:rPr>
          <w:rFonts w:ascii="Times New Roman" w:hAnsi="Times New Roman" w:cs="Times New Roman"/>
          <w:b/>
          <w:sz w:val="24"/>
          <w:szCs w:val="24"/>
          <w:u w:val="single"/>
        </w:rPr>
      </w:pPr>
    </w:p>
    <w:p w14:paraId="7CCAE869" w14:textId="77777777" w:rsidR="00E4086B" w:rsidRPr="00532A38" w:rsidRDefault="00E4086B"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The general principles for the proper approach of the source of profit are well-settled and they are summarized as follows:</w:t>
      </w:r>
    </w:p>
    <w:p w14:paraId="7CCAE86A" w14:textId="77777777" w:rsidR="00E4086B" w:rsidRPr="00532A38" w:rsidRDefault="00E4086B" w:rsidP="0046026A">
      <w:pPr>
        <w:pStyle w:val="a3"/>
        <w:overflowPunct w:val="0"/>
        <w:spacing w:after="0" w:line="240" w:lineRule="auto"/>
        <w:jc w:val="both"/>
        <w:rPr>
          <w:rFonts w:ascii="Times New Roman" w:hAnsi="Times New Roman" w:cs="Times New Roman"/>
          <w:sz w:val="24"/>
          <w:szCs w:val="24"/>
        </w:rPr>
      </w:pPr>
    </w:p>
    <w:p w14:paraId="7CCAE86B" w14:textId="77777777"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lastRenderedPageBreak/>
        <w:t>One looks to see what the taxpayer has done to earn the profit in question and where the taxpayer has done it (</w:t>
      </w:r>
      <w:r w:rsidRPr="00CF16EC">
        <w:rPr>
          <w:rFonts w:ascii="Times New Roman" w:hAnsi="Times New Roman" w:cs="Times New Roman"/>
          <w:sz w:val="24"/>
          <w:szCs w:val="24"/>
          <w:u w:val="single"/>
        </w:rPr>
        <w:t>CIR v HK-TVB International Limited</w:t>
      </w:r>
      <w:r w:rsidRPr="00CF16EC">
        <w:rPr>
          <w:rFonts w:ascii="Times New Roman" w:hAnsi="Times New Roman" w:cs="Times New Roman"/>
          <w:i/>
          <w:sz w:val="24"/>
          <w:szCs w:val="24"/>
        </w:rPr>
        <w:t xml:space="preserve"> </w:t>
      </w:r>
      <w:r w:rsidRPr="00532A38">
        <w:rPr>
          <w:rFonts w:ascii="Times New Roman" w:hAnsi="Times New Roman" w:cs="Times New Roman"/>
          <w:sz w:val="24"/>
          <w:szCs w:val="24"/>
        </w:rPr>
        <w:t>[1992] 2 AC 397, at 407C, per Lord Jauncey);</w:t>
      </w:r>
    </w:p>
    <w:p w14:paraId="7CCAE86C" w14:textId="77777777" w:rsidR="00E4086B" w:rsidRPr="00532A38" w:rsidRDefault="00E4086B" w:rsidP="00CF16EC">
      <w:pPr>
        <w:pStyle w:val="a3"/>
        <w:tabs>
          <w:tab w:val="left" w:pos="1932"/>
        </w:tabs>
        <w:overflowPunct w:val="0"/>
        <w:spacing w:after="0" w:line="240" w:lineRule="auto"/>
        <w:ind w:leftChars="638" w:left="1932" w:hangingChars="220" w:hanging="528"/>
        <w:jc w:val="both"/>
        <w:rPr>
          <w:rFonts w:ascii="Times New Roman" w:hAnsi="Times New Roman" w:cs="Times New Roman"/>
          <w:sz w:val="24"/>
          <w:szCs w:val="24"/>
        </w:rPr>
      </w:pPr>
    </w:p>
    <w:p w14:paraId="7CCAE86D" w14:textId="77777777"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proper approach is to ascertain what were the operations which produced the relevant profits and where those operations took place (</w:t>
      </w:r>
      <w:r w:rsidRPr="00CF16EC">
        <w:rPr>
          <w:rFonts w:ascii="Times New Roman" w:hAnsi="Times New Roman" w:cs="Times New Roman"/>
          <w:sz w:val="24"/>
          <w:szCs w:val="24"/>
          <w:u w:val="single"/>
        </w:rPr>
        <w:t>CIR v HK-TVB International Limited</w:t>
      </w:r>
      <w:r w:rsidRPr="00532A38">
        <w:rPr>
          <w:rFonts w:ascii="Times New Roman" w:hAnsi="Times New Roman" w:cs="Times New Roman"/>
          <w:sz w:val="24"/>
          <w:szCs w:val="24"/>
        </w:rPr>
        <w:t>, at 409E, per Lord Jauncey);</w:t>
      </w:r>
    </w:p>
    <w:p w14:paraId="7CCAE86E" w14:textId="77777777" w:rsidR="00E4086B" w:rsidRPr="00532A38" w:rsidRDefault="00E4086B" w:rsidP="00CF16E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6F" w14:textId="513CB8BE"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source of profits is a hard practical matter of fact to be judged as a practical reality.  It is not a technical matter but a commercial one (</w:t>
      </w:r>
      <w:r w:rsidRPr="00CF16EC">
        <w:rPr>
          <w:rFonts w:ascii="Times New Roman" w:hAnsi="Times New Roman" w:cs="Times New Roman"/>
          <w:sz w:val="24"/>
          <w:szCs w:val="24"/>
          <w:u w:val="single"/>
        </w:rPr>
        <w:t>ING Bari</w:t>
      </w:r>
      <w:r w:rsidR="00CF16EC">
        <w:rPr>
          <w:rFonts w:ascii="Times New Roman" w:hAnsi="Times New Roman" w:cs="Times New Roman"/>
          <w:sz w:val="24"/>
          <w:szCs w:val="24"/>
          <w:u w:val="single"/>
        </w:rPr>
        <w:t>ng Securities (Hong Kong) Ltd v</w:t>
      </w:r>
      <w:r w:rsidRPr="00CF16EC">
        <w:rPr>
          <w:rFonts w:ascii="Times New Roman" w:hAnsi="Times New Roman" w:cs="Times New Roman"/>
          <w:sz w:val="24"/>
          <w:szCs w:val="24"/>
          <w:u w:val="single"/>
        </w:rPr>
        <w:t xml:space="preserve"> CIR</w:t>
      </w:r>
      <w:r w:rsidRPr="00CF16EC">
        <w:rPr>
          <w:rFonts w:ascii="Times New Roman" w:hAnsi="Times New Roman" w:cs="Times New Roman"/>
          <w:sz w:val="24"/>
          <w:szCs w:val="24"/>
        </w:rPr>
        <w:t xml:space="preserve"> </w:t>
      </w:r>
      <w:r w:rsidRPr="00532A38">
        <w:rPr>
          <w:rFonts w:ascii="Times New Roman" w:hAnsi="Times New Roman" w:cs="Times New Roman"/>
          <w:sz w:val="24"/>
          <w:szCs w:val="24"/>
        </w:rPr>
        <w:t>(2007) 10 HKCFAR 417</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at paragraph 131 per, Lord Millett NPJ</w:t>
      </w:r>
      <w:r w:rsidRPr="00532A38">
        <w:rPr>
          <w:rFonts w:ascii="Times New Roman" w:hAnsi="Times New Roman" w:cs="Times New Roman"/>
          <w:i/>
          <w:sz w:val="24"/>
          <w:szCs w:val="24"/>
        </w:rPr>
        <w:t>)</w:t>
      </w:r>
      <w:r w:rsidRPr="00CF16EC">
        <w:rPr>
          <w:rFonts w:ascii="Times New Roman" w:hAnsi="Times New Roman" w:cs="Times New Roman"/>
          <w:sz w:val="24"/>
          <w:szCs w:val="24"/>
        </w:rPr>
        <w:t>;</w:t>
      </w:r>
    </w:p>
    <w:p w14:paraId="7CCAE870" w14:textId="77777777" w:rsidR="00E4086B" w:rsidRPr="00532A38" w:rsidRDefault="00E4086B" w:rsidP="00CF16E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71" w14:textId="024E1607"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Court should consider, not of the operations which produced the profits in question, but more narrowly of the operations of the taxpayer which produced them (</w:t>
      </w:r>
      <w:r w:rsidRPr="00CF16EC">
        <w:rPr>
          <w:rFonts w:ascii="Times New Roman" w:hAnsi="Times New Roman" w:cs="Times New Roman"/>
          <w:sz w:val="24"/>
          <w:szCs w:val="24"/>
          <w:u w:val="single"/>
        </w:rPr>
        <w:t>ING Bari</w:t>
      </w:r>
      <w:r w:rsidR="00CF16EC">
        <w:rPr>
          <w:rFonts w:ascii="Times New Roman" w:hAnsi="Times New Roman" w:cs="Times New Roman"/>
          <w:sz w:val="24"/>
          <w:szCs w:val="24"/>
          <w:u w:val="single"/>
        </w:rPr>
        <w:t>ng Securities (Hong Kong) Ltd v</w:t>
      </w:r>
      <w:r w:rsidRPr="00CF16EC">
        <w:rPr>
          <w:rFonts w:ascii="Times New Roman" w:hAnsi="Times New Roman" w:cs="Times New Roman"/>
          <w:sz w:val="24"/>
          <w:szCs w:val="24"/>
          <w:u w:val="single"/>
        </w:rPr>
        <w:t xml:space="preserve"> CIR</w:t>
      </w:r>
      <w:r w:rsidRPr="00CF16EC">
        <w:rPr>
          <w:rFonts w:ascii="Times New Roman" w:hAnsi="Times New Roman" w:cs="Times New Roman"/>
          <w:sz w:val="24"/>
          <w:szCs w:val="24"/>
        </w:rPr>
        <w:t>,</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at paragraph 133, per Lord Millett NPJ);</w:t>
      </w:r>
    </w:p>
    <w:p w14:paraId="7CCAE872" w14:textId="77777777" w:rsidR="00E4086B" w:rsidRPr="00532A38" w:rsidRDefault="00E4086B" w:rsidP="00CF16E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73" w14:textId="57DD65B7"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profits in substance arise of the operation of a taxpayer in the place where the taxpayer’s service is rendered or profit-making activities are carried on, and that (i) the operations in question must be the operations of the taxpayer, and (ii) the relevant operations do not comprise the whole of the taxpayer’s operations but only those which produce the profit in question (</w:t>
      </w:r>
      <w:r w:rsidRPr="00CF16EC">
        <w:rPr>
          <w:rFonts w:ascii="Times New Roman" w:hAnsi="Times New Roman" w:cs="Times New Roman"/>
          <w:sz w:val="24"/>
          <w:szCs w:val="24"/>
          <w:u w:val="single"/>
        </w:rPr>
        <w:t>ING Bari</w:t>
      </w:r>
      <w:r w:rsidR="00CF16EC">
        <w:rPr>
          <w:rFonts w:ascii="Times New Roman" w:hAnsi="Times New Roman" w:cs="Times New Roman"/>
          <w:sz w:val="24"/>
          <w:szCs w:val="24"/>
          <w:u w:val="single"/>
        </w:rPr>
        <w:t>ng Securities (Hong Kong) Ltd v</w:t>
      </w:r>
      <w:r w:rsidRPr="00CF16EC">
        <w:rPr>
          <w:rFonts w:ascii="Times New Roman" w:hAnsi="Times New Roman" w:cs="Times New Roman"/>
          <w:sz w:val="24"/>
          <w:szCs w:val="24"/>
          <w:u w:val="single"/>
        </w:rPr>
        <w:t xml:space="preserve"> CIR</w:t>
      </w:r>
      <w:r w:rsidRPr="00CF16EC">
        <w:rPr>
          <w:rFonts w:ascii="Times New Roman" w:hAnsi="Times New Roman" w:cs="Times New Roman"/>
          <w:sz w:val="24"/>
          <w:szCs w:val="24"/>
        </w:rPr>
        <w:t>,</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at paragraph 133, per Lord Millett NPJ);</w:t>
      </w:r>
    </w:p>
    <w:p w14:paraId="7CCAE874" w14:textId="77777777" w:rsidR="00E4086B" w:rsidRPr="00532A38" w:rsidRDefault="00E4086B" w:rsidP="00CF16E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75" w14:textId="40D67FAE"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In the case of a group of companies, for tax purposes a business which is carried on in Hong Kong is the business of the company which carries it on and not of the group of which it is a member.  The profits which are potentially chargeable to tax are the profits of the business of the company which carries it on; and the source of those profits must be attributed to the operations of the company which produced them and not to the operations of other members of the group (</w:t>
      </w:r>
      <w:r w:rsidRPr="00CF16EC">
        <w:rPr>
          <w:rFonts w:ascii="Times New Roman" w:hAnsi="Times New Roman" w:cs="Times New Roman"/>
          <w:sz w:val="24"/>
          <w:szCs w:val="24"/>
          <w:u w:val="single"/>
        </w:rPr>
        <w:t>ING Bari</w:t>
      </w:r>
      <w:r w:rsidR="00CF16EC">
        <w:rPr>
          <w:rFonts w:ascii="Times New Roman" w:hAnsi="Times New Roman" w:cs="Times New Roman"/>
          <w:sz w:val="24"/>
          <w:szCs w:val="24"/>
          <w:u w:val="single"/>
        </w:rPr>
        <w:t>ng Securities (Hong Kong) Ltd v</w:t>
      </w:r>
      <w:r w:rsidRPr="00CF16EC">
        <w:rPr>
          <w:rFonts w:ascii="Times New Roman" w:hAnsi="Times New Roman" w:cs="Times New Roman"/>
          <w:sz w:val="24"/>
          <w:szCs w:val="24"/>
          <w:u w:val="single"/>
        </w:rPr>
        <w:t xml:space="preserve"> CIR</w:t>
      </w:r>
      <w:r w:rsidRPr="00CF16EC">
        <w:rPr>
          <w:rFonts w:ascii="Times New Roman" w:hAnsi="Times New Roman" w:cs="Times New Roman"/>
          <w:sz w:val="24"/>
          <w:szCs w:val="24"/>
        </w:rPr>
        <w:t>,</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at paragraph 134, per Lord Millett NPJ); and</w:t>
      </w:r>
    </w:p>
    <w:p w14:paraId="7CCAE876" w14:textId="77777777" w:rsidR="00E4086B" w:rsidRPr="00532A38" w:rsidRDefault="00E4086B" w:rsidP="00CF16EC">
      <w:pPr>
        <w:pStyle w:val="a3"/>
        <w:tabs>
          <w:tab w:val="left" w:pos="1932"/>
        </w:tabs>
        <w:overflowPunct w:val="0"/>
        <w:spacing w:after="0" w:line="240" w:lineRule="auto"/>
        <w:ind w:leftChars="638" w:left="1932" w:hangingChars="220" w:hanging="528"/>
        <w:rPr>
          <w:rFonts w:ascii="Times New Roman" w:hAnsi="Times New Roman" w:cs="Times New Roman"/>
          <w:sz w:val="24"/>
          <w:szCs w:val="24"/>
        </w:rPr>
      </w:pPr>
    </w:p>
    <w:p w14:paraId="7CCAE877" w14:textId="42D00871" w:rsidR="00E4086B" w:rsidRPr="00532A38" w:rsidRDefault="00E4086B" w:rsidP="00CF16EC">
      <w:pPr>
        <w:pStyle w:val="a3"/>
        <w:numPr>
          <w:ilvl w:val="0"/>
          <w:numId w:val="7"/>
        </w:numPr>
        <w:tabs>
          <w:tab w:val="left" w:pos="1932"/>
        </w:tabs>
        <w:overflowPunct w:val="0"/>
        <w:spacing w:after="0" w:line="240" w:lineRule="auto"/>
        <w:ind w:leftChars="638" w:left="1932" w:hangingChars="220" w:hanging="528"/>
        <w:jc w:val="both"/>
        <w:rPr>
          <w:rFonts w:ascii="Times New Roman" w:hAnsi="Times New Roman" w:cs="Times New Roman"/>
          <w:sz w:val="24"/>
          <w:szCs w:val="24"/>
        </w:rPr>
      </w:pPr>
      <w:r w:rsidRPr="00532A38">
        <w:rPr>
          <w:rFonts w:ascii="Times New Roman" w:hAnsi="Times New Roman" w:cs="Times New Roman"/>
          <w:sz w:val="24"/>
          <w:szCs w:val="24"/>
        </w:rPr>
        <w:t>The focus of identifying the source of a taxpayer’s profit is on establishing the geographical location of the taxpayer’s profit transactions themselves as distinct from activities antecedent or incidental to those transactions.  Such antecedent activities will often be commercially essential to the operations and profitability of the taxpayer’s business, but they do not provide the legal test for ascertaining the geographical source of profits for the purposes of section 14 of IRO ((</w:t>
      </w:r>
      <w:r w:rsidRPr="00CF16EC">
        <w:rPr>
          <w:rFonts w:ascii="Times New Roman" w:hAnsi="Times New Roman" w:cs="Times New Roman"/>
          <w:sz w:val="24"/>
          <w:szCs w:val="24"/>
          <w:u w:val="single"/>
        </w:rPr>
        <w:t>ING Barin</w:t>
      </w:r>
      <w:r w:rsidR="00CF16EC">
        <w:rPr>
          <w:rFonts w:ascii="Times New Roman" w:hAnsi="Times New Roman" w:cs="Times New Roman"/>
          <w:sz w:val="24"/>
          <w:szCs w:val="24"/>
          <w:u w:val="single"/>
        </w:rPr>
        <w:t>g Securities (Hong Kong) Ltd v</w:t>
      </w:r>
      <w:r w:rsidRPr="00CF16EC">
        <w:rPr>
          <w:rFonts w:ascii="Times New Roman" w:hAnsi="Times New Roman" w:cs="Times New Roman"/>
          <w:sz w:val="24"/>
          <w:szCs w:val="24"/>
          <w:u w:val="single"/>
        </w:rPr>
        <w:t xml:space="preserve"> CIR</w:t>
      </w:r>
      <w:r w:rsidRPr="00CF16EC">
        <w:rPr>
          <w:rFonts w:ascii="Times New Roman" w:hAnsi="Times New Roman" w:cs="Times New Roman"/>
          <w:sz w:val="24"/>
          <w:szCs w:val="24"/>
        </w:rPr>
        <w:t>,</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 xml:space="preserve">at paragraph </w:t>
      </w:r>
      <w:r w:rsidR="00001B81" w:rsidRPr="00532A38">
        <w:rPr>
          <w:rFonts w:ascii="Times New Roman" w:hAnsi="Times New Roman" w:cs="Times New Roman"/>
          <w:sz w:val="24"/>
          <w:szCs w:val="24"/>
        </w:rPr>
        <w:t>38</w:t>
      </w:r>
      <w:r w:rsidRPr="00532A38">
        <w:rPr>
          <w:rFonts w:ascii="Times New Roman" w:hAnsi="Times New Roman" w:cs="Times New Roman"/>
          <w:sz w:val="24"/>
          <w:szCs w:val="24"/>
        </w:rPr>
        <w:t>, per Ribeiro PJ).</w:t>
      </w:r>
    </w:p>
    <w:p w14:paraId="7CCAE878" w14:textId="75C74798" w:rsidR="00001B81" w:rsidRDefault="00001B81" w:rsidP="0046026A">
      <w:pPr>
        <w:pStyle w:val="a3"/>
        <w:overflowPunct w:val="0"/>
        <w:spacing w:after="0" w:line="240" w:lineRule="auto"/>
        <w:rPr>
          <w:rFonts w:ascii="Times New Roman" w:hAnsi="Times New Roman" w:cs="Times New Roman"/>
          <w:sz w:val="24"/>
          <w:szCs w:val="24"/>
        </w:rPr>
      </w:pPr>
    </w:p>
    <w:p w14:paraId="79127772" w14:textId="77777777" w:rsidR="00F03E23" w:rsidRPr="00532A38" w:rsidRDefault="00F03E23" w:rsidP="0046026A">
      <w:pPr>
        <w:pStyle w:val="a3"/>
        <w:overflowPunct w:val="0"/>
        <w:spacing w:after="0" w:line="240" w:lineRule="auto"/>
        <w:rPr>
          <w:rFonts w:ascii="Times New Roman" w:hAnsi="Times New Roman" w:cs="Times New Roman"/>
          <w:sz w:val="24"/>
          <w:szCs w:val="24"/>
        </w:rPr>
      </w:pPr>
    </w:p>
    <w:p w14:paraId="7CCAE87A" w14:textId="41E0A31A" w:rsidR="00E4086B" w:rsidRPr="00CF16EC" w:rsidRDefault="00CB028B" w:rsidP="0046026A">
      <w:pPr>
        <w:overflowPunct w:val="0"/>
        <w:spacing w:after="0" w:line="240" w:lineRule="auto"/>
        <w:jc w:val="both"/>
        <w:rPr>
          <w:rFonts w:ascii="Times New Roman" w:hAnsi="Times New Roman" w:cs="Times New Roman"/>
          <w:b/>
          <w:i/>
          <w:sz w:val="24"/>
          <w:szCs w:val="24"/>
        </w:rPr>
      </w:pPr>
      <w:r w:rsidRPr="00CF16EC">
        <w:rPr>
          <w:rFonts w:ascii="Times New Roman" w:hAnsi="Times New Roman" w:cs="Times New Roman"/>
          <w:b/>
          <w:i/>
          <w:sz w:val="24"/>
          <w:szCs w:val="24"/>
        </w:rPr>
        <w:lastRenderedPageBreak/>
        <w:t>The Board’s Findings of Fact on Issue 1</w:t>
      </w:r>
    </w:p>
    <w:p w14:paraId="61DE044B" w14:textId="77777777" w:rsidR="00CF16EC" w:rsidRPr="00532A38" w:rsidRDefault="00CF16EC" w:rsidP="0046026A">
      <w:pPr>
        <w:overflowPunct w:val="0"/>
        <w:spacing w:after="0" w:line="240" w:lineRule="auto"/>
        <w:jc w:val="both"/>
        <w:rPr>
          <w:rFonts w:ascii="Times New Roman" w:hAnsi="Times New Roman" w:cs="Times New Roman"/>
          <w:i/>
          <w:sz w:val="24"/>
          <w:szCs w:val="24"/>
          <w:u w:val="single"/>
        </w:rPr>
      </w:pPr>
    </w:p>
    <w:p w14:paraId="7CCAE87B" w14:textId="37D4B314" w:rsidR="00E6633F" w:rsidRPr="00532A38" w:rsidRDefault="00CB028B"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 view of the above factual analysis, this Board </w:t>
      </w:r>
      <w:r w:rsidR="002C198A" w:rsidRPr="00532A38">
        <w:rPr>
          <w:rFonts w:ascii="Times New Roman" w:hAnsi="Times New Roman" w:cs="Times New Roman"/>
          <w:sz w:val="24"/>
          <w:szCs w:val="24"/>
        </w:rPr>
        <w:t>finds that</w:t>
      </w:r>
      <w:r w:rsidR="00E6633F" w:rsidRPr="00532A38">
        <w:rPr>
          <w:rFonts w:ascii="Times New Roman" w:hAnsi="Times New Roman" w:cs="Times New Roman"/>
          <w:sz w:val="24"/>
          <w:szCs w:val="24"/>
        </w:rPr>
        <w:t xml:space="preserve"> </w:t>
      </w:r>
      <w:r w:rsidR="00C35760" w:rsidRPr="00532A38">
        <w:rPr>
          <w:rFonts w:ascii="Times New Roman" w:hAnsi="Times New Roman" w:cs="Times New Roman"/>
          <w:sz w:val="24"/>
          <w:szCs w:val="24"/>
        </w:rPr>
        <w:t xml:space="preserve">according to the contemporaneous documentary evidence produced, there were genuine sale and purchase between the </w:t>
      </w:r>
      <w:r w:rsidR="00E6633F" w:rsidRPr="00532A38">
        <w:rPr>
          <w:rFonts w:ascii="Times New Roman" w:hAnsi="Times New Roman" w:cs="Times New Roman"/>
          <w:sz w:val="24"/>
          <w:szCs w:val="24"/>
        </w:rPr>
        <w:t xml:space="preserve">Appellant </w:t>
      </w:r>
      <w:r w:rsidR="00C35760" w:rsidRPr="00532A38">
        <w:rPr>
          <w:rFonts w:ascii="Times New Roman" w:hAnsi="Times New Roman" w:cs="Times New Roman"/>
          <w:sz w:val="24"/>
          <w:szCs w:val="24"/>
        </w:rPr>
        <w:t xml:space="preserve">and the PRC Subsidiary as part of the </w:t>
      </w:r>
      <w:r w:rsidR="00CF16EC">
        <w:rPr>
          <w:rFonts w:ascii="Times New Roman" w:hAnsi="Times New Roman" w:cs="Times New Roman"/>
          <w:sz w:val="24"/>
          <w:szCs w:val="24"/>
        </w:rPr>
        <w:t>‘</w:t>
      </w:r>
      <w:r w:rsidR="00C35760" w:rsidRPr="00532A38">
        <w:rPr>
          <w:rFonts w:ascii="Times New Roman" w:hAnsi="Times New Roman" w:cs="Times New Roman"/>
          <w:sz w:val="24"/>
          <w:szCs w:val="24"/>
        </w:rPr>
        <w:t>import processing</w:t>
      </w:r>
      <w:r w:rsidR="00CF16EC">
        <w:rPr>
          <w:rFonts w:ascii="Times New Roman" w:hAnsi="Times New Roman" w:cs="Times New Roman"/>
          <w:sz w:val="24"/>
          <w:szCs w:val="24"/>
        </w:rPr>
        <w:t>’</w:t>
      </w:r>
      <w:r w:rsidR="00C35760" w:rsidRPr="00532A38">
        <w:rPr>
          <w:rFonts w:ascii="Times New Roman" w:hAnsi="Times New Roman" w:cs="Times New Roman"/>
          <w:sz w:val="24"/>
          <w:szCs w:val="24"/>
        </w:rPr>
        <w:t xml:space="preserve">.  </w:t>
      </w:r>
      <w:r w:rsidR="00E6633F" w:rsidRPr="00532A38">
        <w:rPr>
          <w:rFonts w:ascii="Times New Roman" w:hAnsi="Times New Roman" w:cs="Times New Roman"/>
          <w:sz w:val="24"/>
          <w:szCs w:val="24"/>
        </w:rPr>
        <w:t xml:space="preserve">This Board rejects the evidence of Ms </w:t>
      </w:r>
      <w:r w:rsidR="00CF16EC">
        <w:rPr>
          <w:rFonts w:ascii="Times New Roman" w:hAnsi="Times New Roman" w:cs="Times New Roman"/>
          <w:sz w:val="24"/>
          <w:szCs w:val="24"/>
        </w:rPr>
        <w:t>G</w:t>
      </w:r>
      <w:r w:rsidR="00E6633F" w:rsidRPr="00532A38">
        <w:rPr>
          <w:rFonts w:ascii="Times New Roman" w:hAnsi="Times New Roman" w:cs="Times New Roman"/>
          <w:sz w:val="24"/>
          <w:szCs w:val="24"/>
        </w:rPr>
        <w:t xml:space="preserve">. </w:t>
      </w:r>
    </w:p>
    <w:p w14:paraId="7CCAE87C" w14:textId="77777777" w:rsidR="00E6633F" w:rsidRPr="00532A38" w:rsidRDefault="00E6633F" w:rsidP="00CF16EC">
      <w:pPr>
        <w:pStyle w:val="a3"/>
        <w:overflowPunct w:val="0"/>
        <w:spacing w:after="0" w:line="240" w:lineRule="auto"/>
        <w:ind w:left="0"/>
        <w:jc w:val="both"/>
        <w:rPr>
          <w:rFonts w:ascii="Times New Roman" w:hAnsi="Times New Roman" w:cs="Times New Roman"/>
          <w:b/>
          <w:sz w:val="24"/>
          <w:szCs w:val="24"/>
          <w:u w:val="single"/>
        </w:rPr>
      </w:pPr>
    </w:p>
    <w:p w14:paraId="7CCAE87D" w14:textId="77777777"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 </w:t>
      </w:r>
      <w:r w:rsidR="00E6633F"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business</w:t>
      </w:r>
      <w:r w:rsidR="00E6633F" w:rsidRPr="00532A38">
        <w:rPr>
          <w:rFonts w:ascii="Times New Roman" w:hAnsi="Times New Roman" w:cs="Times New Roman"/>
          <w:sz w:val="24"/>
          <w:szCs w:val="24"/>
        </w:rPr>
        <w:t>, as set out in its financial statements and as confirmed by its two directors,</w:t>
      </w:r>
      <w:r w:rsidRPr="00532A38">
        <w:rPr>
          <w:rFonts w:ascii="Times New Roman" w:hAnsi="Times New Roman" w:cs="Times New Roman"/>
          <w:sz w:val="24"/>
          <w:szCs w:val="24"/>
        </w:rPr>
        <w:t xml:space="preserve"> is in trading of card products and they were undertaken in Hong Kong.  There is no evidence that the </w:t>
      </w:r>
      <w:r w:rsidR="00E6633F"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(as opposed to the PRC Subsidiary) engaged in the manufacturing of the card products.</w:t>
      </w:r>
    </w:p>
    <w:p w14:paraId="7CCAE87E" w14:textId="77777777" w:rsidR="00C35760" w:rsidRPr="00532A38" w:rsidRDefault="00C35760" w:rsidP="00CF16EC">
      <w:pPr>
        <w:pStyle w:val="a3"/>
        <w:overflowPunct w:val="0"/>
        <w:spacing w:after="0" w:line="240" w:lineRule="auto"/>
        <w:ind w:left="0"/>
        <w:jc w:val="both"/>
        <w:rPr>
          <w:rFonts w:ascii="Times New Roman" w:hAnsi="Times New Roman" w:cs="Times New Roman"/>
          <w:b/>
          <w:sz w:val="24"/>
          <w:szCs w:val="24"/>
          <w:u w:val="single"/>
        </w:rPr>
      </w:pPr>
    </w:p>
    <w:p w14:paraId="7CCAE87F" w14:textId="6E3C1588"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 </w:t>
      </w:r>
      <w:r w:rsidRPr="00CF16EC">
        <w:rPr>
          <w:rFonts w:ascii="Times New Roman" w:hAnsi="Times New Roman" w:cs="Times New Roman"/>
          <w:sz w:val="24"/>
          <w:szCs w:val="24"/>
          <w:u w:val="single"/>
        </w:rPr>
        <w:t>C</w:t>
      </w:r>
      <w:r w:rsidR="00CF16EC" w:rsidRPr="00CF16EC">
        <w:rPr>
          <w:rFonts w:ascii="Times New Roman" w:hAnsi="Times New Roman" w:cs="Times New Roman"/>
          <w:sz w:val="24"/>
          <w:szCs w:val="24"/>
          <w:u w:val="single"/>
        </w:rPr>
        <w:t>ommissioner of Inland Revenue v</w:t>
      </w:r>
      <w:r w:rsidR="007A1C48">
        <w:rPr>
          <w:rFonts w:ascii="Times New Roman" w:hAnsi="Times New Roman" w:cs="Times New Roman"/>
          <w:sz w:val="24"/>
          <w:szCs w:val="24"/>
          <w:u w:val="single"/>
        </w:rPr>
        <w:t xml:space="preserve"> Datatronic Ltd</w:t>
      </w:r>
      <w:r w:rsidRPr="00CF16EC">
        <w:rPr>
          <w:rFonts w:ascii="Times New Roman" w:hAnsi="Times New Roman" w:cs="Times New Roman"/>
          <w:sz w:val="24"/>
          <w:szCs w:val="24"/>
        </w:rPr>
        <w:t xml:space="preserve"> </w:t>
      </w:r>
      <w:r w:rsidRPr="00532A38">
        <w:rPr>
          <w:rFonts w:ascii="Times New Roman" w:hAnsi="Times New Roman" w:cs="Times New Roman"/>
          <w:sz w:val="24"/>
          <w:szCs w:val="24"/>
        </w:rPr>
        <w:t>[2009] 4 HKLRD 675, the Hong Kong taxpayer had a wholly-owned subsidiary which carried on business in the Mainland as a manufacturer of electronic products for export.  Under agreements entered into between the Hong Kong taxpayer and the Mainland subsidiary, the Hong Kong taxpayer agreed to supply raw materials to the Mainland subsidiary as well as provide various technical services including staff training, provision of know-how and quality contract to the Mainland subsidiary at its office in the Mainland.  The Mainland subsidiary purchased the raw materials from and sold the finished products to, the Hong Kong taxpayer in Hong Kong.  The Hong Kong taxpayer argued, amongst other things, that its profits should be apportioned on 50:50 basis in accordance with the IRD’s Departmental Interpretation and practice Note No. 21 (</w:t>
      </w:r>
      <w:r w:rsidR="00CF16EC" w:rsidRPr="00CF16EC">
        <w:rPr>
          <w:rFonts w:ascii="Times New Roman" w:hAnsi="Times New Roman" w:cs="Times New Roman"/>
          <w:sz w:val="24"/>
          <w:szCs w:val="24"/>
        </w:rPr>
        <w:t>‘</w:t>
      </w:r>
      <w:r w:rsidRPr="00CF16EC">
        <w:rPr>
          <w:rFonts w:ascii="Times New Roman" w:hAnsi="Times New Roman" w:cs="Times New Roman"/>
          <w:sz w:val="24"/>
          <w:szCs w:val="24"/>
        </w:rPr>
        <w:t>DIPN 21</w:t>
      </w:r>
      <w:r w:rsidR="00CF16EC" w:rsidRPr="00CF16EC">
        <w:rPr>
          <w:rFonts w:ascii="Times New Roman" w:hAnsi="Times New Roman" w:cs="Times New Roman"/>
          <w:sz w:val="24"/>
          <w:szCs w:val="24"/>
        </w:rPr>
        <w:t>’</w:t>
      </w:r>
      <w:r w:rsidRPr="00532A38">
        <w:rPr>
          <w:rFonts w:ascii="Times New Roman" w:hAnsi="Times New Roman" w:cs="Times New Roman"/>
          <w:sz w:val="24"/>
          <w:szCs w:val="24"/>
        </w:rPr>
        <w:t>).</w:t>
      </w:r>
    </w:p>
    <w:p w14:paraId="7CCAE880" w14:textId="77777777" w:rsidR="00C35760" w:rsidRPr="00532A38" w:rsidRDefault="00C35760" w:rsidP="00CF16EC">
      <w:pPr>
        <w:pStyle w:val="a3"/>
        <w:overflowPunct w:val="0"/>
        <w:spacing w:after="0" w:line="240" w:lineRule="auto"/>
        <w:ind w:left="0"/>
        <w:rPr>
          <w:rFonts w:ascii="Times New Roman" w:hAnsi="Times New Roman" w:cs="Times New Roman"/>
          <w:b/>
          <w:sz w:val="24"/>
          <w:szCs w:val="24"/>
          <w:u w:val="single"/>
        </w:rPr>
      </w:pPr>
    </w:p>
    <w:p w14:paraId="7CCAE881" w14:textId="77777777"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In rejecting the argument of the Hong Kong taxpayer, Tang VP (as he then was) said at paragraph 26:</w:t>
      </w:r>
    </w:p>
    <w:p w14:paraId="7CCAE882" w14:textId="77777777" w:rsidR="00C35760" w:rsidRPr="00532A38" w:rsidRDefault="00C35760" w:rsidP="0046026A">
      <w:pPr>
        <w:overflowPunct w:val="0"/>
        <w:spacing w:after="0" w:line="240" w:lineRule="auto"/>
        <w:ind w:left="360"/>
        <w:jc w:val="both"/>
        <w:rPr>
          <w:rFonts w:ascii="Times New Roman" w:hAnsi="Times New Roman" w:cs="Times New Roman"/>
          <w:b/>
          <w:sz w:val="24"/>
          <w:szCs w:val="24"/>
          <w:u w:val="single"/>
        </w:rPr>
      </w:pPr>
    </w:p>
    <w:p w14:paraId="7CCAE883" w14:textId="4A5F434C" w:rsidR="00C35760" w:rsidRPr="00532A38" w:rsidRDefault="00CF16EC" w:rsidP="00CF16EC">
      <w:pPr>
        <w:overflowPunct w:val="0"/>
        <w:spacing w:after="0" w:line="240" w:lineRule="auto"/>
        <w:ind w:leftChars="638" w:left="1404"/>
        <w:jc w:val="both"/>
        <w:rPr>
          <w:rFonts w:ascii="Times New Roman" w:hAnsi="Times New Roman" w:cs="Times New Roman"/>
          <w:i/>
          <w:sz w:val="24"/>
          <w:szCs w:val="24"/>
        </w:rPr>
      </w:pPr>
      <w:r>
        <w:rPr>
          <w:rFonts w:ascii="Times New Roman" w:hAnsi="Times New Roman" w:cs="Times New Roman"/>
          <w:sz w:val="24"/>
          <w:szCs w:val="24"/>
        </w:rPr>
        <w:t>‘</w:t>
      </w:r>
      <w:r w:rsidR="00C35760" w:rsidRPr="00532A38">
        <w:rPr>
          <w:rFonts w:ascii="Times New Roman" w:hAnsi="Times New Roman" w:cs="Times New Roman"/>
          <w:i/>
          <w:sz w:val="24"/>
          <w:szCs w:val="24"/>
        </w:rPr>
        <w:t xml:space="preserve">… Suppose a company in Hong Kong sells raw material at costs to an unrelated factory in the Mainland so that they would be used by the unrelated factory </w:t>
      </w:r>
      <w:r w:rsidR="003B145C" w:rsidRPr="00532A38">
        <w:rPr>
          <w:rFonts w:ascii="Times New Roman" w:hAnsi="Times New Roman" w:cs="Times New Roman"/>
          <w:i/>
          <w:sz w:val="24"/>
          <w:szCs w:val="24"/>
          <w:lang w:eastAsia="zh-HK"/>
        </w:rPr>
        <w:t>t</w:t>
      </w:r>
      <w:r w:rsidR="00C35760" w:rsidRPr="00532A38">
        <w:rPr>
          <w:rFonts w:ascii="Times New Roman" w:hAnsi="Times New Roman" w:cs="Times New Roman"/>
          <w:i/>
          <w:sz w:val="24"/>
          <w:szCs w:val="24"/>
        </w:rPr>
        <w:t>o produce the product, which, in turn, was sold to the Hong Kong company, which then sold the product in Hong Kong at a profit.  Suppose the finished product was purchased by the Hong Kong company at $2 and then resold at $3, the profit of $1 would be attributable to its sale of the finished product in Hong Kong.  Let us further suppose that to ensure the product’s quality, the Hong Kong company not only supplied the raw materials at costs but had also posted a number of staff to the Mainland factory to provide technical or other assistance as may be necessary.  We do not believe that would make any difference.  Nor, for that matter, the fact that the Mainland factory happened to be a wholly-owned subsidiary of the Hong Kong company, and as such the Hong Kong company was able to procure the wholly-owned subsidiary to sell its product to the Hong Kong company at costs.</w:t>
      </w:r>
      <w:r>
        <w:rPr>
          <w:rFonts w:ascii="Times New Roman" w:hAnsi="Times New Roman" w:cs="Times New Roman"/>
          <w:sz w:val="24"/>
          <w:szCs w:val="24"/>
        </w:rPr>
        <w:t>’</w:t>
      </w:r>
    </w:p>
    <w:p w14:paraId="7CCAE884" w14:textId="77777777" w:rsidR="00C35760" w:rsidRPr="00532A38" w:rsidRDefault="00C35760" w:rsidP="0046026A">
      <w:pPr>
        <w:pStyle w:val="a3"/>
        <w:overflowPunct w:val="0"/>
        <w:spacing w:after="0" w:line="240" w:lineRule="auto"/>
        <w:ind w:left="360"/>
        <w:jc w:val="both"/>
        <w:rPr>
          <w:rFonts w:ascii="Times New Roman" w:hAnsi="Times New Roman" w:cs="Times New Roman"/>
          <w:b/>
          <w:sz w:val="24"/>
          <w:szCs w:val="24"/>
          <w:u w:val="single"/>
        </w:rPr>
      </w:pPr>
    </w:p>
    <w:p w14:paraId="7CCAE885" w14:textId="77777777" w:rsidR="00C35760" w:rsidRPr="00532A38" w:rsidRDefault="005A76B5" w:rsidP="00CF16EC">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Further, </w:t>
      </w:r>
      <w:r w:rsidR="00C35760" w:rsidRPr="00532A38">
        <w:rPr>
          <w:rFonts w:ascii="Times New Roman" w:hAnsi="Times New Roman" w:cs="Times New Roman"/>
          <w:sz w:val="24"/>
          <w:szCs w:val="24"/>
        </w:rPr>
        <w:t>at paragraph 35, after considering the principles set out by Lord Millett NPJ and Ribei</w:t>
      </w:r>
      <w:r w:rsidRPr="00532A38">
        <w:rPr>
          <w:rFonts w:ascii="Times New Roman" w:hAnsi="Times New Roman" w:cs="Times New Roman"/>
          <w:sz w:val="24"/>
          <w:szCs w:val="24"/>
        </w:rPr>
        <w:t xml:space="preserve">ro PJ </w:t>
      </w:r>
      <w:r w:rsidR="00C35760" w:rsidRPr="00532A38">
        <w:rPr>
          <w:rFonts w:ascii="Times New Roman" w:hAnsi="Times New Roman" w:cs="Times New Roman"/>
          <w:sz w:val="24"/>
          <w:szCs w:val="24"/>
        </w:rPr>
        <w:t xml:space="preserve">in </w:t>
      </w:r>
      <w:r w:rsidR="00C35760" w:rsidRPr="00CF16EC">
        <w:rPr>
          <w:rFonts w:ascii="Times New Roman" w:hAnsi="Times New Roman" w:cs="Times New Roman"/>
          <w:sz w:val="24"/>
          <w:szCs w:val="24"/>
          <w:u w:val="single"/>
        </w:rPr>
        <w:t>ING Baring</w:t>
      </w:r>
      <w:r w:rsidR="00C35760" w:rsidRPr="00532A38">
        <w:rPr>
          <w:rFonts w:ascii="Times New Roman" w:hAnsi="Times New Roman" w:cs="Times New Roman"/>
          <w:sz w:val="24"/>
          <w:szCs w:val="24"/>
        </w:rPr>
        <w:t>:</w:t>
      </w:r>
    </w:p>
    <w:p w14:paraId="7CCAE886"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887" w14:textId="25470D98" w:rsidR="00C35760" w:rsidRPr="00532A38" w:rsidRDefault="00CF16EC" w:rsidP="00CF16EC">
      <w:pPr>
        <w:overflowPunct w:val="0"/>
        <w:spacing w:after="0" w:line="240" w:lineRule="auto"/>
        <w:ind w:leftChars="638" w:left="1404"/>
        <w:jc w:val="both"/>
        <w:rPr>
          <w:rFonts w:ascii="Times New Roman" w:hAnsi="Times New Roman" w:cs="Times New Roman"/>
          <w:i/>
          <w:sz w:val="24"/>
          <w:szCs w:val="24"/>
        </w:rPr>
      </w:pPr>
      <w:r>
        <w:rPr>
          <w:rFonts w:ascii="Times New Roman" w:hAnsi="Times New Roman" w:cs="Times New Roman"/>
          <w:sz w:val="24"/>
          <w:szCs w:val="24"/>
        </w:rPr>
        <w:lastRenderedPageBreak/>
        <w:t>‘</w:t>
      </w:r>
      <w:r w:rsidR="00C35760" w:rsidRPr="00532A38">
        <w:rPr>
          <w:rFonts w:ascii="Times New Roman" w:hAnsi="Times New Roman" w:cs="Times New Roman"/>
          <w:i/>
          <w:sz w:val="24"/>
          <w:szCs w:val="24"/>
        </w:rPr>
        <w:t>The assessable profits were generated by the taxpayer selling the finished products bought from [the Mainland subsidiary].  The taxpayer did not make the profit manufacturing in the Mainland.  It does not matter that it was able to have the products manufactured cheaply in the Mainland because its wholly-owned subsidiary could be procured to do it at a rate which would result in more profit being made by the taxpayer in Hong Kong.  This manufacturing was done by [the Mainland subsidiary].  The Board has so found and that is substance not form.  The taxpayer’s activities in the Mainland were merely antecedent or incidental to the profit-generating activities.</w:t>
      </w:r>
      <w:r>
        <w:rPr>
          <w:rFonts w:ascii="Times New Roman" w:hAnsi="Times New Roman" w:cs="Times New Roman"/>
          <w:sz w:val="24"/>
          <w:szCs w:val="24"/>
        </w:rPr>
        <w:t>’</w:t>
      </w:r>
    </w:p>
    <w:p w14:paraId="7CCAE888" w14:textId="77777777" w:rsidR="00C35760" w:rsidRPr="00532A38" w:rsidRDefault="00C35760" w:rsidP="0046026A">
      <w:pPr>
        <w:pStyle w:val="a3"/>
        <w:overflowPunct w:val="0"/>
        <w:spacing w:after="0" w:line="240" w:lineRule="auto"/>
        <w:ind w:left="360"/>
        <w:jc w:val="both"/>
        <w:rPr>
          <w:rFonts w:ascii="Times New Roman" w:hAnsi="Times New Roman" w:cs="Times New Roman"/>
          <w:b/>
          <w:sz w:val="24"/>
          <w:szCs w:val="24"/>
          <w:u w:val="single"/>
        </w:rPr>
      </w:pPr>
    </w:p>
    <w:p w14:paraId="7CCAE889" w14:textId="77777777"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On the question of whether the Mainland Subsidiary could be regarded as an agent for the Hong Kong taxpayer in carrying out manufacturing work in the Mainland, Tang VP confirmed the finding of the Board that the Mainland subsidiary was not the Hong Kong taxpayer’s agent and the manufacturing activities carried out by the Mainland subsidiary were not the activities of the Hong Kong taxpayer, as follows:</w:t>
      </w:r>
    </w:p>
    <w:p w14:paraId="7CCAE88A"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88B" w14:textId="10AF3B78" w:rsidR="00C35760" w:rsidRPr="00532A38" w:rsidRDefault="00CF16EC" w:rsidP="00CF16EC">
      <w:pPr>
        <w:overflowPunct w:val="0"/>
        <w:spacing w:after="0" w:line="240" w:lineRule="auto"/>
        <w:ind w:leftChars="638" w:left="1404"/>
        <w:jc w:val="both"/>
        <w:rPr>
          <w:rFonts w:ascii="Times New Roman" w:hAnsi="Times New Roman" w:cs="Times New Roman"/>
          <w:b/>
          <w:sz w:val="24"/>
          <w:szCs w:val="24"/>
          <w:u w:val="single"/>
        </w:rPr>
      </w:pPr>
      <w:r>
        <w:rPr>
          <w:rFonts w:ascii="Times New Roman" w:hAnsi="Times New Roman" w:cs="Times New Roman"/>
          <w:sz w:val="24"/>
          <w:szCs w:val="24"/>
        </w:rPr>
        <w:t>‘</w:t>
      </w:r>
      <w:r w:rsidR="00C35760" w:rsidRPr="00532A38">
        <w:rPr>
          <w:rFonts w:ascii="Times New Roman" w:hAnsi="Times New Roman" w:cs="Times New Roman"/>
          <w:i/>
          <w:sz w:val="24"/>
          <w:szCs w:val="24"/>
        </w:rPr>
        <w:t>Finally, for the existence of an agency relationship, the general principle of law is that whatever a person has power to do himself he may do by means of an agent, and conversely, what a person cannot do himself he cannot do by means of an agent.  In the present case, the taxpayer did not have a licence to carry out processing works in the PRC and thus it could not possibly empower [the Mainland subsidiary] to carry out processing works on its behalf.  On the basis of the aforesaid, we come to the conclusion that there was no agency relationship between [the Hong Kong taxpayer] and [the Mainland subsidiary].</w:t>
      </w:r>
      <w:r>
        <w:rPr>
          <w:rFonts w:ascii="Times New Roman" w:hAnsi="Times New Roman" w:cs="Times New Roman"/>
          <w:sz w:val="24"/>
          <w:szCs w:val="24"/>
        </w:rPr>
        <w:t>’</w:t>
      </w:r>
    </w:p>
    <w:p w14:paraId="7CCAE88C" w14:textId="77777777" w:rsidR="00C35760" w:rsidRPr="00532A38" w:rsidRDefault="00C35760" w:rsidP="0046026A">
      <w:pPr>
        <w:pStyle w:val="a3"/>
        <w:overflowPunct w:val="0"/>
        <w:spacing w:after="0" w:line="240" w:lineRule="auto"/>
        <w:ind w:left="360"/>
        <w:jc w:val="both"/>
        <w:rPr>
          <w:rFonts w:ascii="Times New Roman" w:hAnsi="Times New Roman" w:cs="Times New Roman"/>
          <w:b/>
          <w:sz w:val="24"/>
          <w:szCs w:val="24"/>
          <w:u w:val="single"/>
        </w:rPr>
      </w:pPr>
    </w:p>
    <w:p w14:paraId="7CCAE88D" w14:textId="77777777"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Tang VP reached the conclusion that the logical consequence of the finding that the arrangement between the Hong Kong taxpayer and the Mainland subsidiary was by way of import processing is that the Hong Kong taxpayer's profit-making transactions consisted of purchasing goods from the Mainland subsidiary and then re-selling them at a profit. These activities took place in Hong Kong. The Mainland subsidiary was a seller. Whatever work undertaken by the buyer (the Hong Kong taxpayer) to assist the seller in preparing the goods and supplying them to the buyer, even though commercially essential to the operations and profitability of the buyer’s business, are merely antecedent or incidental to the transactions which generated the profits.  Tang VP also said, at paragraph 34, the Mainland subsidiary was the Hong Kong taxpayer’s wholly-owned subsidiary, but it was a separate legal entity and the fact that its dealings with the Hong Kong taxpayer were not at arm’s length would not detract from the reality of the legal effect of the transactions.  The profit-producing transactions of the Hong Kong taxpayer were the purchase from the Mainland subsidiary and subsequent sale by the Hong Kong taxpayer, and these profit-producing transactions took place in Hong Kong, so that there are no grounds for the profits generated by the Hong Kong taxpayer to be apportioned.</w:t>
      </w:r>
    </w:p>
    <w:p w14:paraId="7CCAE88E" w14:textId="77777777" w:rsidR="00C35760" w:rsidRPr="00532A38" w:rsidRDefault="00C35760" w:rsidP="0046026A">
      <w:pPr>
        <w:pStyle w:val="a3"/>
        <w:overflowPunct w:val="0"/>
        <w:spacing w:after="0" w:line="240" w:lineRule="auto"/>
        <w:ind w:left="360"/>
        <w:jc w:val="both"/>
        <w:rPr>
          <w:rFonts w:ascii="Times New Roman" w:hAnsi="Times New Roman" w:cs="Times New Roman"/>
          <w:b/>
          <w:sz w:val="24"/>
          <w:szCs w:val="24"/>
          <w:u w:val="single"/>
        </w:rPr>
      </w:pPr>
    </w:p>
    <w:p w14:paraId="7CCAE88F" w14:textId="66A66EF4"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In relation to the argument on DIPN 21, Tang VP accepted that DIPN 21 does not have the force of law and is not binding on the Board or the court.   The </w:t>
      </w:r>
      <w:r w:rsidR="00856371" w:rsidRPr="00532A38">
        <w:rPr>
          <w:rFonts w:ascii="Times New Roman" w:hAnsi="Times New Roman" w:cs="Times New Roman"/>
          <w:sz w:val="24"/>
          <w:szCs w:val="24"/>
        </w:rPr>
        <w:t xml:space="preserve">key </w:t>
      </w:r>
      <w:r w:rsidRPr="00532A38">
        <w:rPr>
          <w:rFonts w:ascii="Times New Roman" w:hAnsi="Times New Roman" w:cs="Times New Roman"/>
          <w:sz w:val="24"/>
          <w:szCs w:val="24"/>
        </w:rPr>
        <w:t xml:space="preserve">is </w:t>
      </w:r>
      <w:r w:rsidRPr="00532A38">
        <w:rPr>
          <w:rFonts w:ascii="Times New Roman" w:hAnsi="Times New Roman" w:cs="Times New Roman"/>
          <w:sz w:val="24"/>
          <w:szCs w:val="24"/>
        </w:rPr>
        <w:lastRenderedPageBreak/>
        <w:t xml:space="preserve">section 14 of </w:t>
      </w:r>
      <w:r w:rsidR="00134A18">
        <w:rPr>
          <w:rFonts w:ascii="Times New Roman" w:hAnsi="Times New Roman" w:cs="Times New Roman"/>
          <w:sz w:val="24"/>
          <w:szCs w:val="24"/>
        </w:rPr>
        <w:t xml:space="preserve">the </w:t>
      </w:r>
      <w:r w:rsidRPr="00532A38">
        <w:rPr>
          <w:rFonts w:ascii="Times New Roman" w:hAnsi="Times New Roman" w:cs="Times New Roman"/>
          <w:sz w:val="24"/>
          <w:szCs w:val="24"/>
        </w:rPr>
        <w:t>IRO, and DIPN 21 has no legal effect. In any event, DIPN 21 does not apply to import processing as opposed to contract processing.</w:t>
      </w:r>
    </w:p>
    <w:p w14:paraId="7CCAE890" w14:textId="77777777" w:rsidR="00C35760" w:rsidRPr="00532A38" w:rsidRDefault="00C35760" w:rsidP="0046026A">
      <w:pPr>
        <w:pStyle w:val="a3"/>
        <w:overflowPunct w:val="0"/>
        <w:spacing w:after="0" w:line="240" w:lineRule="auto"/>
        <w:rPr>
          <w:rFonts w:ascii="Times New Roman" w:hAnsi="Times New Roman" w:cs="Times New Roman"/>
          <w:b/>
          <w:sz w:val="24"/>
          <w:szCs w:val="24"/>
          <w:u w:val="single"/>
        </w:rPr>
      </w:pPr>
    </w:p>
    <w:p w14:paraId="7CCAE891" w14:textId="2A3F8366"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Having found that there were genuine sale and purchase transactions between the </w:t>
      </w:r>
      <w:r w:rsidR="008563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and that the relationship between the </w:t>
      </w:r>
      <w:r w:rsidR="008563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was one of </w:t>
      </w:r>
      <w:r w:rsidR="00CF16EC">
        <w:rPr>
          <w:rFonts w:ascii="Times New Roman" w:hAnsi="Times New Roman" w:cs="Times New Roman"/>
          <w:sz w:val="24"/>
          <w:szCs w:val="24"/>
        </w:rPr>
        <w:t>‘</w:t>
      </w:r>
      <w:r w:rsidRPr="00532A38">
        <w:rPr>
          <w:rFonts w:ascii="Times New Roman" w:hAnsi="Times New Roman" w:cs="Times New Roman"/>
          <w:sz w:val="24"/>
          <w:szCs w:val="24"/>
        </w:rPr>
        <w:t>import processing</w:t>
      </w:r>
      <w:r w:rsidR="00CF16EC">
        <w:rPr>
          <w:rFonts w:ascii="Times New Roman" w:hAnsi="Times New Roman" w:cs="Times New Roman"/>
          <w:sz w:val="24"/>
          <w:szCs w:val="24"/>
        </w:rPr>
        <w:t>’</w:t>
      </w:r>
      <w:r w:rsidRPr="00532A38">
        <w:rPr>
          <w:rFonts w:ascii="Times New Roman" w:hAnsi="Times New Roman" w:cs="Times New Roman"/>
          <w:sz w:val="24"/>
          <w:szCs w:val="24"/>
        </w:rPr>
        <w:t xml:space="preserve">, the Board respectfully adopts the reasoning of Tang VP in </w:t>
      </w:r>
      <w:r w:rsidRPr="00CF16EC">
        <w:rPr>
          <w:rFonts w:ascii="Times New Roman" w:hAnsi="Times New Roman" w:cs="Times New Roman"/>
          <w:sz w:val="24"/>
          <w:szCs w:val="24"/>
          <w:u w:val="single"/>
        </w:rPr>
        <w:t>C</w:t>
      </w:r>
      <w:r w:rsidR="00CF16EC">
        <w:rPr>
          <w:rFonts w:ascii="Times New Roman" w:hAnsi="Times New Roman" w:cs="Times New Roman"/>
          <w:sz w:val="24"/>
          <w:szCs w:val="24"/>
          <w:u w:val="single"/>
        </w:rPr>
        <w:t>ommissioner of Inland Revenue v</w:t>
      </w:r>
      <w:r w:rsidR="007A1C48">
        <w:rPr>
          <w:rFonts w:ascii="Times New Roman" w:hAnsi="Times New Roman" w:cs="Times New Roman"/>
          <w:sz w:val="24"/>
          <w:szCs w:val="24"/>
          <w:u w:val="single"/>
        </w:rPr>
        <w:t xml:space="preserve"> Datatronic Ltd</w:t>
      </w:r>
      <w:r w:rsidRPr="00CF16EC">
        <w:rPr>
          <w:rFonts w:ascii="Times New Roman" w:hAnsi="Times New Roman" w:cs="Times New Roman"/>
          <w:sz w:val="24"/>
          <w:szCs w:val="24"/>
        </w:rPr>
        <w:t xml:space="preserve"> </w:t>
      </w:r>
      <w:r w:rsidRPr="00532A38">
        <w:rPr>
          <w:rFonts w:ascii="Times New Roman" w:hAnsi="Times New Roman" w:cs="Times New Roman"/>
          <w:sz w:val="24"/>
          <w:szCs w:val="24"/>
        </w:rPr>
        <w:t xml:space="preserve">that the profit-producing transactions of the </w:t>
      </w:r>
      <w:r w:rsidR="008563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were the purchase from the PRC Subsidiary and subsequent sale by the </w:t>
      </w:r>
      <w:r w:rsidR="00856371" w:rsidRPr="00532A38">
        <w:rPr>
          <w:rFonts w:ascii="Times New Roman" w:hAnsi="Times New Roman" w:cs="Times New Roman"/>
          <w:sz w:val="24"/>
          <w:szCs w:val="24"/>
        </w:rPr>
        <w:t>Appellant</w:t>
      </w:r>
      <w:r w:rsidRPr="00532A38">
        <w:rPr>
          <w:rFonts w:ascii="Times New Roman" w:hAnsi="Times New Roman" w:cs="Times New Roman"/>
          <w:sz w:val="24"/>
          <w:szCs w:val="24"/>
        </w:rPr>
        <w:t>, and these profit-producing transactions took place in Hong Kong.</w:t>
      </w:r>
    </w:p>
    <w:p w14:paraId="7CCAE892" w14:textId="77777777" w:rsidR="00C35760" w:rsidRPr="00532A38" w:rsidRDefault="00C35760" w:rsidP="00CF16EC">
      <w:pPr>
        <w:pStyle w:val="a3"/>
        <w:overflowPunct w:val="0"/>
        <w:spacing w:after="0" w:line="240" w:lineRule="auto"/>
        <w:ind w:left="0"/>
        <w:rPr>
          <w:rFonts w:ascii="Times New Roman" w:hAnsi="Times New Roman" w:cs="Times New Roman"/>
          <w:b/>
          <w:sz w:val="24"/>
          <w:szCs w:val="24"/>
          <w:u w:val="single"/>
        </w:rPr>
      </w:pPr>
    </w:p>
    <w:p w14:paraId="7CCAE893" w14:textId="77777777" w:rsidR="00C35760" w:rsidRPr="00532A38" w:rsidRDefault="00C35760" w:rsidP="00CF16EC">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Further, in this appeal: </w:t>
      </w:r>
    </w:p>
    <w:p w14:paraId="7CCAE894" w14:textId="77777777" w:rsidR="00C35760" w:rsidRPr="00532A38" w:rsidRDefault="00C35760" w:rsidP="00CF16EC">
      <w:pPr>
        <w:pStyle w:val="a3"/>
        <w:overflowPunct w:val="0"/>
        <w:spacing w:after="0" w:line="240" w:lineRule="auto"/>
        <w:ind w:left="0"/>
        <w:rPr>
          <w:rFonts w:ascii="Times New Roman" w:hAnsi="Times New Roman" w:cs="Times New Roman"/>
          <w:sz w:val="24"/>
          <w:szCs w:val="24"/>
        </w:rPr>
      </w:pPr>
    </w:p>
    <w:p w14:paraId="7CCAE895" w14:textId="2A12C237" w:rsidR="00C35760" w:rsidRPr="00532A38" w:rsidRDefault="00C35760" w:rsidP="00CF16EC">
      <w:pPr>
        <w:pStyle w:val="a3"/>
        <w:numPr>
          <w:ilvl w:val="0"/>
          <w:numId w:val="18"/>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there was no suggestion or evidence that the </w:t>
      </w:r>
      <w:r w:rsidR="008563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has performed any activities in the Mainland, unlike those activities performed by the Hong Kong taxpayer in </w:t>
      </w:r>
      <w:r w:rsidRPr="00CF16EC">
        <w:rPr>
          <w:rFonts w:ascii="Times New Roman" w:hAnsi="Times New Roman" w:cs="Times New Roman"/>
          <w:sz w:val="24"/>
          <w:szCs w:val="24"/>
          <w:u w:val="single"/>
        </w:rPr>
        <w:t>C</w:t>
      </w:r>
      <w:r w:rsidR="00CF16EC">
        <w:rPr>
          <w:rFonts w:ascii="Times New Roman" w:hAnsi="Times New Roman" w:cs="Times New Roman"/>
          <w:sz w:val="24"/>
          <w:szCs w:val="24"/>
          <w:u w:val="single"/>
        </w:rPr>
        <w:t>ommissioner of Inland Revenue v</w:t>
      </w:r>
      <w:r w:rsidR="007A1C48">
        <w:rPr>
          <w:rFonts w:ascii="Times New Roman" w:hAnsi="Times New Roman" w:cs="Times New Roman"/>
          <w:sz w:val="24"/>
          <w:szCs w:val="24"/>
          <w:u w:val="single"/>
        </w:rPr>
        <w:t xml:space="preserve"> Datatronic Ltd</w:t>
      </w:r>
      <w:r w:rsidRPr="00532A38">
        <w:rPr>
          <w:rFonts w:ascii="Times New Roman" w:hAnsi="Times New Roman" w:cs="Times New Roman"/>
          <w:sz w:val="24"/>
          <w:szCs w:val="24"/>
        </w:rPr>
        <w:t xml:space="preserve">, which in any event had been ruled by Tang VP as </w:t>
      </w:r>
      <w:r w:rsidR="007A1C48">
        <w:rPr>
          <w:rFonts w:ascii="Times New Roman" w:hAnsi="Times New Roman" w:cs="Times New Roman"/>
          <w:sz w:val="24"/>
          <w:szCs w:val="24"/>
        </w:rPr>
        <w:t>‘</w:t>
      </w:r>
      <w:r w:rsidRPr="00532A38">
        <w:rPr>
          <w:rFonts w:ascii="Times New Roman" w:hAnsi="Times New Roman" w:cs="Times New Roman"/>
          <w:i/>
          <w:sz w:val="24"/>
          <w:szCs w:val="24"/>
        </w:rPr>
        <w:t>merely antecedent or incidental to the profit-generating activities</w:t>
      </w:r>
      <w:r w:rsidR="007A1C48">
        <w:rPr>
          <w:rFonts w:ascii="Times New Roman" w:hAnsi="Times New Roman" w:cs="Times New Roman"/>
          <w:sz w:val="24"/>
          <w:szCs w:val="24"/>
        </w:rPr>
        <w:t>’</w:t>
      </w:r>
      <w:r w:rsidRPr="007A1C48">
        <w:rPr>
          <w:rFonts w:ascii="Times New Roman" w:hAnsi="Times New Roman" w:cs="Times New Roman"/>
          <w:sz w:val="24"/>
          <w:szCs w:val="24"/>
        </w:rPr>
        <w:t>;</w:t>
      </w:r>
    </w:p>
    <w:p w14:paraId="7CCAE896" w14:textId="77777777" w:rsidR="00C35760" w:rsidRPr="00532A38" w:rsidRDefault="00C35760" w:rsidP="00CF16EC">
      <w:pPr>
        <w:pStyle w:val="a3"/>
        <w:tabs>
          <w:tab w:val="left" w:pos="1932"/>
        </w:tabs>
        <w:overflowPunct w:val="0"/>
        <w:spacing w:after="0" w:line="240" w:lineRule="auto"/>
        <w:ind w:leftChars="638" w:left="1933" w:hangingChars="220" w:hanging="529"/>
        <w:jc w:val="both"/>
        <w:rPr>
          <w:rFonts w:ascii="Times New Roman" w:hAnsi="Times New Roman" w:cs="Times New Roman"/>
          <w:b/>
          <w:sz w:val="24"/>
          <w:szCs w:val="24"/>
          <w:u w:val="single"/>
        </w:rPr>
      </w:pPr>
    </w:p>
    <w:p w14:paraId="7CCAE897" w14:textId="5D57ADE9" w:rsidR="00C35760" w:rsidRPr="00532A38" w:rsidRDefault="00C35760" w:rsidP="00CF16EC">
      <w:pPr>
        <w:pStyle w:val="a3"/>
        <w:numPr>
          <w:ilvl w:val="0"/>
          <w:numId w:val="18"/>
        </w:numPr>
        <w:tabs>
          <w:tab w:val="left" w:pos="1932"/>
        </w:tabs>
        <w:overflowPunct w:val="0"/>
        <w:spacing w:after="0" w:line="240" w:lineRule="auto"/>
        <w:ind w:leftChars="638" w:left="1932" w:hangingChars="220" w:hanging="528"/>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there was no evidence that the PRC Subsidiary was an agent of the </w:t>
      </w:r>
      <w:r w:rsidR="00856371"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and the Board does not find as a fact that the PRC Subsidiary was an agent of the </w:t>
      </w:r>
      <w:r w:rsidR="00856371"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In fact, the </w:t>
      </w:r>
      <w:r w:rsidR="00856371"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positon that the PRC Subsidiary was independent from the </w:t>
      </w:r>
      <w:r w:rsidR="00856371"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has been stated in the </w:t>
      </w:r>
      <w:r w:rsidR="00856371"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letter to the Board dated 11 January 2016</w:t>
      </w:r>
      <w:r w:rsidR="002C198A" w:rsidRPr="00532A38">
        <w:rPr>
          <w:rFonts w:ascii="Times New Roman" w:hAnsi="Times New Roman" w:cs="Times New Roman"/>
          <w:sz w:val="24"/>
          <w:szCs w:val="24"/>
        </w:rPr>
        <w:t>. In the said letter, it was stated</w:t>
      </w:r>
      <w:r w:rsidRPr="00532A38">
        <w:rPr>
          <w:rFonts w:ascii="Times New Roman" w:hAnsi="Times New Roman" w:cs="Times New Roman"/>
          <w:sz w:val="24"/>
          <w:szCs w:val="24"/>
        </w:rPr>
        <w:t xml:space="preserve"> that the PRC Subsidiary has been a legally independent China incorporated limited liability foreign investment company, and that the proprietary documents and governance of the PRC Subsidiary do not concern the </w:t>
      </w:r>
      <w:r w:rsidR="00856371"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 xml:space="preserve">daily operation as the foreign counter-party of the PRC Subsidiary.  In any event, there is no suggestion that the </w:t>
      </w:r>
      <w:r w:rsidR="00856371"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was licensed to perform the licensed activities of the PRC Subsidiary in the Mainland in order to qualify the PRC Subsidiary as an agent of the </w:t>
      </w:r>
      <w:r w:rsidR="00F66CDB" w:rsidRPr="00532A38">
        <w:rPr>
          <w:rFonts w:ascii="Times New Roman" w:hAnsi="Times New Roman" w:cs="Times New Roman"/>
          <w:sz w:val="24"/>
          <w:szCs w:val="24"/>
        </w:rPr>
        <w:t>Appellant</w:t>
      </w:r>
      <w:r w:rsidR="0039083B" w:rsidRPr="00532A38">
        <w:rPr>
          <w:rFonts w:ascii="Times New Roman" w:hAnsi="Times New Roman" w:cs="Times New Roman"/>
          <w:sz w:val="24"/>
          <w:szCs w:val="24"/>
        </w:rPr>
        <w:t>.</w:t>
      </w:r>
    </w:p>
    <w:p w14:paraId="37E18B75" w14:textId="77777777" w:rsidR="001D215B" w:rsidRPr="00532A38" w:rsidRDefault="001D215B" w:rsidP="0046026A">
      <w:pPr>
        <w:pStyle w:val="a3"/>
        <w:overflowPunct w:val="0"/>
        <w:spacing w:after="0" w:line="240" w:lineRule="auto"/>
        <w:ind w:left="360"/>
        <w:jc w:val="both"/>
        <w:rPr>
          <w:rFonts w:ascii="Times New Roman" w:hAnsi="Times New Roman" w:cs="Times New Roman"/>
          <w:b/>
          <w:sz w:val="24"/>
          <w:szCs w:val="24"/>
        </w:rPr>
      </w:pPr>
    </w:p>
    <w:p w14:paraId="7CCAE899" w14:textId="19DB9917" w:rsidR="001B6F3C" w:rsidRPr="007A1C48" w:rsidRDefault="001B6F3C" w:rsidP="0046026A">
      <w:pPr>
        <w:overflowPunct w:val="0"/>
        <w:spacing w:after="0" w:line="240" w:lineRule="auto"/>
        <w:jc w:val="both"/>
        <w:rPr>
          <w:rFonts w:ascii="Times New Roman" w:hAnsi="Times New Roman" w:cs="Times New Roman"/>
          <w:b/>
          <w:sz w:val="24"/>
          <w:szCs w:val="24"/>
        </w:rPr>
      </w:pPr>
      <w:r w:rsidRPr="007A1C48">
        <w:rPr>
          <w:rFonts w:ascii="Times New Roman" w:hAnsi="Times New Roman" w:cs="Times New Roman"/>
          <w:b/>
          <w:i/>
          <w:sz w:val="24"/>
          <w:szCs w:val="24"/>
        </w:rPr>
        <w:t>C</w:t>
      </w:r>
      <w:r w:rsidR="007A1C48" w:rsidRPr="007A1C48">
        <w:rPr>
          <w:rFonts w:ascii="Times New Roman" w:hAnsi="Times New Roman" w:cs="Times New Roman"/>
          <w:b/>
          <w:i/>
          <w:sz w:val="24"/>
          <w:szCs w:val="24"/>
        </w:rPr>
        <w:t>ommissioner of Inland Revenue v</w:t>
      </w:r>
      <w:r w:rsidR="00C95C31">
        <w:rPr>
          <w:rFonts w:ascii="Times New Roman" w:hAnsi="Times New Roman" w:cs="Times New Roman"/>
          <w:b/>
          <w:i/>
          <w:sz w:val="24"/>
          <w:szCs w:val="24"/>
        </w:rPr>
        <w:t xml:space="preserve"> C</w:t>
      </w:r>
      <w:r w:rsidRPr="007A1C48">
        <w:rPr>
          <w:rFonts w:ascii="Times New Roman" w:hAnsi="Times New Roman" w:cs="Times New Roman"/>
          <w:b/>
          <w:i/>
          <w:sz w:val="24"/>
          <w:szCs w:val="24"/>
        </w:rPr>
        <w:t>G Lighting Ltd</w:t>
      </w:r>
    </w:p>
    <w:p w14:paraId="7CCAE89A" w14:textId="77777777" w:rsidR="001B6F3C" w:rsidRPr="00532A38" w:rsidRDefault="001B6F3C" w:rsidP="0046026A">
      <w:pPr>
        <w:pStyle w:val="a3"/>
        <w:overflowPunct w:val="0"/>
        <w:spacing w:after="0" w:line="240" w:lineRule="auto"/>
        <w:ind w:left="360"/>
        <w:jc w:val="both"/>
        <w:rPr>
          <w:rFonts w:ascii="Times New Roman" w:hAnsi="Times New Roman" w:cs="Times New Roman"/>
          <w:b/>
          <w:sz w:val="24"/>
          <w:szCs w:val="24"/>
        </w:rPr>
      </w:pPr>
    </w:p>
    <w:p w14:paraId="7CCAE89B" w14:textId="3A4DD914" w:rsidR="003E6A98" w:rsidRPr="00532A38" w:rsidRDefault="001B6F3C" w:rsidP="007A1C48">
      <w:pPr>
        <w:pStyle w:val="a3"/>
        <w:numPr>
          <w:ilvl w:val="0"/>
          <w:numId w:val="2"/>
        </w:numPr>
        <w:overflowPunct w:val="0"/>
        <w:spacing w:after="0" w:line="240" w:lineRule="auto"/>
        <w:ind w:left="0" w:firstLine="0"/>
        <w:jc w:val="both"/>
        <w:rPr>
          <w:rFonts w:ascii="Times New Roman" w:hAnsi="Times New Roman" w:cs="Times New Roman"/>
          <w:b/>
          <w:sz w:val="24"/>
          <w:szCs w:val="24"/>
        </w:rPr>
      </w:pPr>
      <w:r w:rsidRPr="00532A38">
        <w:rPr>
          <w:rFonts w:ascii="Times New Roman" w:hAnsi="Times New Roman" w:cs="Times New Roman"/>
          <w:sz w:val="24"/>
          <w:szCs w:val="24"/>
        </w:rPr>
        <w:t xml:space="preserve">Lastly, this Board has drawn to the attention of the parties the case of </w:t>
      </w:r>
      <w:r w:rsidRPr="007A1C48">
        <w:rPr>
          <w:rFonts w:ascii="Times New Roman" w:hAnsi="Times New Roman" w:cs="Times New Roman"/>
          <w:sz w:val="24"/>
          <w:szCs w:val="24"/>
          <w:u w:val="single"/>
        </w:rPr>
        <w:t>C</w:t>
      </w:r>
      <w:r w:rsidR="007A1C48" w:rsidRPr="007A1C48">
        <w:rPr>
          <w:rFonts w:ascii="Times New Roman" w:hAnsi="Times New Roman" w:cs="Times New Roman"/>
          <w:sz w:val="24"/>
          <w:szCs w:val="24"/>
          <w:u w:val="single"/>
        </w:rPr>
        <w:t>ommissioner of Inland Revenue v</w:t>
      </w:r>
      <w:r w:rsidR="00C95C31">
        <w:rPr>
          <w:rFonts w:ascii="Times New Roman" w:hAnsi="Times New Roman" w:cs="Times New Roman"/>
          <w:sz w:val="24"/>
          <w:szCs w:val="24"/>
          <w:u w:val="single"/>
        </w:rPr>
        <w:t xml:space="preserve"> C</w:t>
      </w:r>
      <w:r w:rsidRPr="007A1C48">
        <w:rPr>
          <w:rFonts w:ascii="Times New Roman" w:hAnsi="Times New Roman" w:cs="Times New Roman"/>
          <w:sz w:val="24"/>
          <w:szCs w:val="24"/>
          <w:u w:val="single"/>
        </w:rPr>
        <w:t>G Lighting Ltd</w:t>
      </w:r>
      <w:r w:rsidR="003E6A98" w:rsidRPr="007A1C48">
        <w:rPr>
          <w:rFonts w:ascii="Times New Roman" w:hAnsi="Times New Roman" w:cs="Times New Roman"/>
          <w:i/>
          <w:sz w:val="24"/>
          <w:szCs w:val="24"/>
        </w:rPr>
        <w:t xml:space="preserve"> </w:t>
      </w:r>
      <w:r w:rsidR="00FE0278" w:rsidRPr="00532A38">
        <w:rPr>
          <w:rFonts w:ascii="Times New Roman" w:hAnsi="Times New Roman" w:cs="Times New Roman"/>
          <w:sz w:val="24"/>
          <w:szCs w:val="24"/>
        </w:rPr>
        <w:t>[2010] 3 HKLRD 110</w:t>
      </w:r>
      <w:r w:rsidR="00FE0278" w:rsidRPr="00532A38">
        <w:rPr>
          <w:rFonts w:ascii="Times New Roman" w:hAnsi="Times New Roman" w:cs="Times New Roman"/>
          <w:sz w:val="24"/>
          <w:szCs w:val="24"/>
          <w:lang w:eastAsia="zh-HK"/>
        </w:rPr>
        <w:t xml:space="preserve"> </w:t>
      </w:r>
      <w:r w:rsidR="003E6A98" w:rsidRPr="00532A38">
        <w:rPr>
          <w:rFonts w:ascii="Times New Roman" w:hAnsi="Times New Roman" w:cs="Times New Roman"/>
          <w:sz w:val="24"/>
          <w:szCs w:val="24"/>
        </w:rPr>
        <w:t>and invite</w:t>
      </w:r>
      <w:r w:rsidR="00FE0278" w:rsidRPr="00532A38">
        <w:rPr>
          <w:rFonts w:ascii="Times New Roman" w:hAnsi="Times New Roman" w:cs="Times New Roman"/>
          <w:sz w:val="24"/>
          <w:szCs w:val="24"/>
          <w:lang w:eastAsia="zh-HK"/>
        </w:rPr>
        <w:t>s</w:t>
      </w:r>
      <w:r w:rsidR="007A1C48">
        <w:rPr>
          <w:rFonts w:ascii="Times New Roman" w:hAnsi="Times New Roman" w:cs="Times New Roman"/>
          <w:sz w:val="24"/>
          <w:szCs w:val="24"/>
        </w:rPr>
        <w:t xml:space="preserve"> submissions on the same.</w:t>
      </w:r>
    </w:p>
    <w:p w14:paraId="7CCAE89C" w14:textId="77777777" w:rsidR="003E6A98" w:rsidRPr="00532A38" w:rsidRDefault="003E6A98" w:rsidP="007A1C48">
      <w:pPr>
        <w:pStyle w:val="a3"/>
        <w:overflowPunct w:val="0"/>
        <w:spacing w:after="0" w:line="240" w:lineRule="auto"/>
        <w:ind w:left="0"/>
        <w:jc w:val="both"/>
        <w:rPr>
          <w:rFonts w:ascii="Times New Roman" w:hAnsi="Times New Roman" w:cs="Times New Roman"/>
          <w:b/>
          <w:sz w:val="24"/>
          <w:szCs w:val="24"/>
        </w:rPr>
      </w:pPr>
    </w:p>
    <w:p w14:paraId="7CCAE89D" w14:textId="3A893145" w:rsidR="00C35760" w:rsidRPr="00532A38" w:rsidRDefault="003E6A98" w:rsidP="007A1C48">
      <w:pPr>
        <w:pStyle w:val="a3"/>
        <w:numPr>
          <w:ilvl w:val="0"/>
          <w:numId w:val="2"/>
        </w:numPr>
        <w:overflowPunct w:val="0"/>
        <w:spacing w:after="0" w:line="240" w:lineRule="auto"/>
        <w:ind w:left="0" w:firstLine="0"/>
        <w:jc w:val="both"/>
        <w:rPr>
          <w:rFonts w:ascii="Times New Roman" w:hAnsi="Times New Roman" w:cs="Times New Roman"/>
          <w:b/>
          <w:sz w:val="24"/>
          <w:szCs w:val="24"/>
        </w:rPr>
      </w:pPr>
      <w:r w:rsidRPr="00532A38">
        <w:rPr>
          <w:rFonts w:ascii="Times New Roman" w:hAnsi="Times New Roman" w:cs="Times New Roman"/>
          <w:sz w:val="24"/>
          <w:szCs w:val="24"/>
        </w:rPr>
        <w:t xml:space="preserve">This Board is of the view that </w:t>
      </w:r>
      <w:r w:rsidR="00A12647" w:rsidRPr="00532A38">
        <w:rPr>
          <w:rFonts w:ascii="Times New Roman" w:hAnsi="Times New Roman" w:cs="Times New Roman"/>
          <w:sz w:val="24"/>
          <w:szCs w:val="24"/>
        </w:rPr>
        <w:t>e</w:t>
      </w:r>
      <w:r w:rsidR="00C35760" w:rsidRPr="00532A38">
        <w:rPr>
          <w:rFonts w:ascii="Times New Roman" w:hAnsi="Times New Roman" w:cs="Times New Roman"/>
          <w:sz w:val="24"/>
          <w:szCs w:val="24"/>
        </w:rPr>
        <w:t xml:space="preserve">ven if the Board were wrong in finding that there were genuine sale and purchase transactions between the Taxpayer and the PRC Subsidiary, so that the </w:t>
      </w:r>
      <w:r w:rsidR="00F66CDB" w:rsidRPr="00532A38">
        <w:rPr>
          <w:rFonts w:ascii="Times New Roman" w:hAnsi="Times New Roman" w:cs="Times New Roman"/>
          <w:sz w:val="24"/>
          <w:szCs w:val="24"/>
        </w:rPr>
        <w:t>Appellant</w:t>
      </w:r>
      <w:r w:rsidR="00C35760" w:rsidRPr="00532A38">
        <w:rPr>
          <w:rFonts w:ascii="Times New Roman" w:hAnsi="Times New Roman" w:cs="Times New Roman"/>
          <w:sz w:val="24"/>
          <w:szCs w:val="24"/>
        </w:rPr>
        <w:t xml:space="preserve">’s argument that there were in reality no such sale and purchase took place between the </w:t>
      </w:r>
      <w:r w:rsidR="00F66CDB" w:rsidRPr="00532A38">
        <w:rPr>
          <w:rFonts w:ascii="Times New Roman" w:hAnsi="Times New Roman" w:cs="Times New Roman"/>
          <w:sz w:val="24"/>
          <w:szCs w:val="24"/>
        </w:rPr>
        <w:t xml:space="preserve">Appellant </w:t>
      </w:r>
      <w:r w:rsidR="00C35760" w:rsidRPr="00532A38">
        <w:rPr>
          <w:rFonts w:ascii="Times New Roman" w:hAnsi="Times New Roman" w:cs="Times New Roman"/>
          <w:sz w:val="24"/>
          <w:szCs w:val="24"/>
        </w:rPr>
        <w:t xml:space="preserve">and the PRC Subsidiary, the Board still rejects the </w:t>
      </w:r>
      <w:r w:rsidR="00F66CDB" w:rsidRPr="00532A38">
        <w:rPr>
          <w:rFonts w:ascii="Times New Roman" w:hAnsi="Times New Roman" w:cs="Times New Roman"/>
          <w:sz w:val="24"/>
          <w:szCs w:val="24"/>
        </w:rPr>
        <w:t xml:space="preserve">Appellant’s </w:t>
      </w:r>
      <w:r w:rsidR="00C35760" w:rsidRPr="00532A38">
        <w:rPr>
          <w:rFonts w:ascii="Times New Roman" w:hAnsi="Times New Roman" w:cs="Times New Roman"/>
          <w:sz w:val="24"/>
          <w:szCs w:val="24"/>
        </w:rPr>
        <w:t xml:space="preserve">ground of appeal in Issue 1 having </w:t>
      </w:r>
      <w:r w:rsidR="002835D4" w:rsidRPr="00532A38">
        <w:rPr>
          <w:rFonts w:ascii="Times New Roman" w:hAnsi="Times New Roman" w:cs="Times New Roman"/>
          <w:sz w:val="24"/>
          <w:szCs w:val="24"/>
        </w:rPr>
        <w:t xml:space="preserve">regard to </w:t>
      </w:r>
      <w:r w:rsidRPr="00532A38">
        <w:rPr>
          <w:rFonts w:ascii="Times New Roman" w:hAnsi="Times New Roman" w:cs="Times New Roman"/>
          <w:sz w:val="24"/>
          <w:szCs w:val="24"/>
        </w:rPr>
        <w:t xml:space="preserve">the legal principles </w:t>
      </w:r>
      <w:r w:rsidR="002835D4" w:rsidRPr="00532A38">
        <w:rPr>
          <w:rFonts w:ascii="Times New Roman" w:hAnsi="Times New Roman" w:cs="Times New Roman"/>
          <w:sz w:val="24"/>
          <w:szCs w:val="24"/>
        </w:rPr>
        <w:t xml:space="preserve">as </w:t>
      </w:r>
      <w:r w:rsidRPr="00532A38">
        <w:rPr>
          <w:rFonts w:ascii="Times New Roman" w:hAnsi="Times New Roman" w:cs="Times New Roman"/>
          <w:sz w:val="24"/>
          <w:szCs w:val="24"/>
        </w:rPr>
        <w:t xml:space="preserve">set out in </w:t>
      </w:r>
      <w:r w:rsidR="00C35760" w:rsidRPr="007A1C48">
        <w:rPr>
          <w:rFonts w:ascii="Times New Roman" w:hAnsi="Times New Roman" w:cs="Times New Roman"/>
          <w:sz w:val="24"/>
          <w:szCs w:val="24"/>
          <w:u w:val="single"/>
        </w:rPr>
        <w:t>Commissioner of Inland Re</w:t>
      </w:r>
      <w:r w:rsidR="007A1C48" w:rsidRPr="007A1C48">
        <w:rPr>
          <w:rFonts w:ascii="Times New Roman" w:hAnsi="Times New Roman" w:cs="Times New Roman"/>
          <w:sz w:val="24"/>
          <w:szCs w:val="24"/>
          <w:u w:val="single"/>
        </w:rPr>
        <w:t>venue v</w:t>
      </w:r>
      <w:r w:rsidR="00C95C31">
        <w:rPr>
          <w:rFonts w:ascii="Times New Roman" w:hAnsi="Times New Roman" w:cs="Times New Roman"/>
          <w:sz w:val="24"/>
          <w:szCs w:val="24"/>
          <w:u w:val="single"/>
        </w:rPr>
        <w:t xml:space="preserve"> C</w:t>
      </w:r>
      <w:r w:rsidR="00C35760" w:rsidRPr="007A1C48">
        <w:rPr>
          <w:rFonts w:ascii="Times New Roman" w:hAnsi="Times New Roman" w:cs="Times New Roman"/>
          <w:sz w:val="24"/>
          <w:szCs w:val="24"/>
          <w:u w:val="single"/>
        </w:rPr>
        <w:t>G Lighting Ltd</w:t>
      </w:r>
      <w:r w:rsidR="00C35760" w:rsidRPr="00532A38">
        <w:rPr>
          <w:rFonts w:ascii="Times New Roman" w:hAnsi="Times New Roman" w:cs="Times New Roman"/>
          <w:sz w:val="24"/>
          <w:szCs w:val="24"/>
        </w:rPr>
        <w:t>.</w:t>
      </w:r>
    </w:p>
    <w:p w14:paraId="7CCAE89E" w14:textId="77777777" w:rsidR="00C35760" w:rsidRPr="00532A38" w:rsidRDefault="00C35760" w:rsidP="0046026A">
      <w:pPr>
        <w:pStyle w:val="a3"/>
        <w:overflowPunct w:val="0"/>
        <w:spacing w:after="0" w:line="240" w:lineRule="auto"/>
        <w:ind w:left="360"/>
        <w:jc w:val="both"/>
        <w:rPr>
          <w:rFonts w:ascii="Times New Roman" w:hAnsi="Times New Roman" w:cs="Times New Roman"/>
          <w:b/>
          <w:sz w:val="24"/>
          <w:szCs w:val="24"/>
        </w:rPr>
      </w:pPr>
    </w:p>
    <w:p w14:paraId="7CCAE89F" w14:textId="20F585D6" w:rsidR="00C35760" w:rsidRPr="00532A38" w:rsidRDefault="00C35760" w:rsidP="007A1C48">
      <w:pPr>
        <w:pStyle w:val="a3"/>
        <w:numPr>
          <w:ilvl w:val="0"/>
          <w:numId w:val="2"/>
        </w:numPr>
        <w:overflowPunct w:val="0"/>
        <w:spacing w:after="0" w:line="240" w:lineRule="auto"/>
        <w:ind w:left="0" w:firstLine="0"/>
        <w:jc w:val="both"/>
        <w:rPr>
          <w:rFonts w:ascii="Times New Roman" w:hAnsi="Times New Roman" w:cs="Times New Roman"/>
          <w:b/>
          <w:sz w:val="24"/>
          <w:szCs w:val="24"/>
        </w:rPr>
      </w:pPr>
      <w:r w:rsidRPr="00532A38">
        <w:rPr>
          <w:rFonts w:ascii="Times New Roman" w:hAnsi="Times New Roman" w:cs="Times New Roman"/>
          <w:sz w:val="24"/>
          <w:szCs w:val="24"/>
        </w:rPr>
        <w:lastRenderedPageBreak/>
        <w:t xml:space="preserve">The facts in </w:t>
      </w:r>
      <w:r w:rsidRPr="007A1C48">
        <w:rPr>
          <w:rFonts w:ascii="Times New Roman" w:hAnsi="Times New Roman" w:cs="Times New Roman"/>
          <w:sz w:val="24"/>
          <w:szCs w:val="24"/>
          <w:u w:val="single"/>
        </w:rPr>
        <w:t>Commissioner of Inland Revenue v</w:t>
      </w:r>
      <w:r w:rsidR="00C95C31">
        <w:rPr>
          <w:rFonts w:ascii="Times New Roman" w:hAnsi="Times New Roman" w:cs="Times New Roman"/>
          <w:sz w:val="24"/>
          <w:szCs w:val="24"/>
          <w:u w:val="single"/>
        </w:rPr>
        <w:t xml:space="preserve"> C</w:t>
      </w:r>
      <w:r w:rsidR="007A1C48">
        <w:rPr>
          <w:rFonts w:ascii="Times New Roman" w:hAnsi="Times New Roman" w:cs="Times New Roman"/>
          <w:sz w:val="24"/>
          <w:szCs w:val="24"/>
          <w:u w:val="single"/>
        </w:rPr>
        <w:t>G Lighting Ltd</w:t>
      </w:r>
      <w:r w:rsidRPr="00532A38">
        <w:rPr>
          <w:rFonts w:ascii="Times New Roman" w:hAnsi="Times New Roman" w:cs="Times New Roman"/>
          <w:i/>
          <w:sz w:val="24"/>
          <w:szCs w:val="24"/>
        </w:rPr>
        <w:t xml:space="preserve"> </w:t>
      </w:r>
      <w:r w:rsidRPr="00532A38">
        <w:rPr>
          <w:rFonts w:ascii="Times New Roman" w:hAnsi="Times New Roman" w:cs="Times New Roman"/>
          <w:sz w:val="24"/>
          <w:szCs w:val="24"/>
        </w:rPr>
        <w:t xml:space="preserve">are very similar to the </w:t>
      </w:r>
      <w:r w:rsidR="0085296A"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arguments that there were no genuine sale and purchase.  Fok J (as he then was</w:t>
      </w:r>
      <w:r w:rsidR="0085296A" w:rsidRPr="00532A38">
        <w:rPr>
          <w:rFonts w:ascii="Times New Roman" w:hAnsi="Times New Roman" w:cs="Times New Roman"/>
          <w:sz w:val="24"/>
          <w:szCs w:val="24"/>
        </w:rPr>
        <w:t>) f</w:t>
      </w:r>
      <w:r w:rsidRPr="00532A38">
        <w:rPr>
          <w:rFonts w:ascii="Times New Roman" w:hAnsi="Times New Roman" w:cs="Times New Roman"/>
          <w:sz w:val="24"/>
          <w:szCs w:val="24"/>
        </w:rPr>
        <w:t>ound that:</w:t>
      </w:r>
    </w:p>
    <w:p w14:paraId="7CCAE8A0" w14:textId="77777777" w:rsidR="00C35760" w:rsidRPr="00532A38" w:rsidRDefault="00C35760" w:rsidP="0046026A">
      <w:pPr>
        <w:pStyle w:val="a3"/>
        <w:overflowPunct w:val="0"/>
        <w:spacing w:after="0" w:line="240" w:lineRule="auto"/>
        <w:rPr>
          <w:rFonts w:ascii="Times New Roman" w:hAnsi="Times New Roman" w:cs="Times New Roman"/>
          <w:b/>
          <w:sz w:val="24"/>
          <w:szCs w:val="24"/>
        </w:rPr>
      </w:pPr>
    </w:p>
    <w:p w14:paraId="7CCAE8A1" w14:textId="273BD809" w:rsidR="00C35760" w:rsidRPr="00532A38" w:rsidRDefault="007A1C48" w:rsidP="007A1C48">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C35760" w:rsidRPr="00532A38">
        <w:rPr>
          <w:rFonts w:ascii="Times New Roman" w:hAnsi="Times New Roman" w:cs="Times New Roman"/>
          <w:i/>
          <w:sz w:val="24"/>
          <w:szCs w:val="24"/>
        </w:rPr>
        <w:t>45.</w:t>
      </w:r>
      <w:r>
        <w:rPr>
          <w:rFonts w:ascii="Times New Roman" w:hAnsi="Times New Roman" w:cs="Times New Roman"/>
          <w:i/>
          <w:sz w:val="24"/>
          <w:szCs w:val="24"/>
        </w:rPr>
        <w:tab/>
      </w:r>
      <w:r w:rsidR="00C35760" w:rsidRPr="00532A38">
        <w:rPr>
          <w:rFonts w:ascii="Times New Roman" w:hAnsi="Times New Roman" w:cs="Times New Roman"/>
          <w:i/>
          <w:sz w:val="24"/>
          <w:szCs w:val="24"/>
        </w:rPr>
        <w:t>In examining this contention of the Commissioner, the Board considered the evidence of the Taxpayer’s witnesses, one of which was its Managing Director, identified as Mr PG. His evidence included the following:</w:t>
      </w:r>
    </w:p>
    <w:p w14:paraId="7CCAE8A2"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A3" w14:textId="101F9679" w:rsidR="00C35760" w:rsidRPr="00532A38" w:rsidRDefault="00C35760" w:rsidP="007A1C48">
      <w:pPr>
        <w:pStyle w:val="a3"/>
        <w:numPr>
          <w:ilvl w:val="0"/>
          <w:numId w:val="29"/>
        </w:num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The production process was run and controlled by the Taxpayer and CGES’s role was confined to that of manufacturing the goods at the factory in the Mainland.</w:t>
      </w:r>
    </w:p>
    <w:p w14:paraId="7CCAE8A4" w14:textId="77777777" w:rsidR="00C35760" w:rsidRPr="00532A38" w:rsidRDefault="00C35760" w:rsidP="007A1C48">
      <w:pPr>
        <w:pStyle w:val="a3"/>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p>
    <w:p w14:paraId="7CCAE8A5" w14:textId="39687FB1" w:rsidR="00C35760" w:rsidRPr="00532A38" w:rsidRDefault="00C35760" w:rsidP="007A1C48">
      <w:pPr>
        <w:pStyle w:val="a3"/>
        <w:numPr>
          <w:ilvl w:val="0"/>
          <w:numId w:val="29"/>
        </w:num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There was no sale between CGES and the Taxpayer despite the existence of invoices on which CGES and the Taxpayer were stated to be, respectively, the seller and buyer.</w:t>
      </w:r>
    </w:p>
    <w:p w14:paraId="7CCAE8A6" w14:textId="77777777" w:rsidR="00C35760" w:rsidRPr="00532A38" w:rsidRDefault="00C35760" w:rsidP="007A1C48">
      <w:pPr>
        <w:pStyle w:val="a3"/>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p>
    <w:p w14:paraId="7CCAE8A7" w14:textId="48D9BB2B" w:rsidR="00C35760" w:rsidRPr="00532A38" w:rsidRDefault="00C35760" w:rsidP="007A1C48">
      <w:pPr>
        <w:pStyle w:val="a3"/>
        <w:numPr>
          <w:ilvl w:val="0"/>
          <w:numId w:val="29"/>
        </w:num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CGES’s accounts were based on the documents which were prepared to meet the requirements of the Customs authority and did not therefore reflect the reality. CGES’s accounts had to show a certain level of profitability to satisfy the Revenue authority of the Mainland (and the Board understood this to mean that CGES was expected to make a profit so that tax would be paid).</w:t>
      </w:r>
    </w:p>
    <w:p w14:paraId="7CCAE8A8"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A9" w14:textId="795A48CA" w:rsidR="00C35760" w:rsidRPr="00532A38" w:rsidRDefault="00C35760" w:rsidP="007A1C48">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46.</w:t>
      </w:r>
      <w:r w:rsidR="007A1C48">
        <w:rPr>
          <w:rFonts w:ascii="Times New Roman" w:hAnsi="Times New Roman" w:cs="Times New Roman"/>
          <w:i/>
          <w:sz w:val="24"/>
          <w:szCs w:val="24"/>
        </w:rPr>
        <w:tab/>
      </w:r>
      <w:r w:rsidRPr="00532A38">
        <w:rPr>
          <w:rFonts w:ascii="Times New Roman" w:hAnsi="Times New Roman" w:cs="Times New Roman"/>
          <w:i/>
          <w:sz w:val="24"/>
          <w:szCs w:val="24"/>
        </w:rPr>
        <w:t>Mr PG was cross-examined on the documents, including those listed in §§3(9)(j) and (k), which showed that CGES was engaged in selling its products.</w:t>
      </w:r>
    </w:p>
    <w:p w14:paraId="7CCAE8AA"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AB" w14:textId="09BFCC4D" w:rsidR="00C35760" w:rsidRPr="00532A38" w:rsidRDefault="00C35760" w:rsidP="007A1C48">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47.</w:t>
      </w:r>
      <w:r w:rsidR="007A1C48">
        <w:rPr>
          <w:rFonts w:ascii="Times New Roman" w:hAnsi="Times New Roman" w:cs="Times New Roman"/>
          <w:i/>
          <w:sz w:val="24"/>
          <w:szCs w:val="24"/>
        </w:rPr>
        <w:tab/>
      </w:r>
      <w:r w:rsidRPr="00532A38">
        <w:rPr>
          <w:rFonts w:ascii="Times New Roman" w:hAnsi="Times New Roman" w:cs="Times New Roman"/>
          <w:i/>
          <w:sz w:val="24"/>
          <w:szCs w:val="24"/>
        </w:rPr>
        <w:t>The Board assessed the oral and documentary evidence and concluded that Mr PG was an honest witness and that his evidence was consistent with the contemporaneous documents of the Taxpayer, apart from the CGES documents. The Board also accepted the other two witnesses of the Taxpayer as truthful witnesses.</w:t>
      </w:r>
    </w:p>
    <w:p w14:paraId="7CCAE8AC"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AD" w14:textId="3E79F1CB" w:rsidR="00C35760" w:rsidRPr="00532A38" w:rsidRDefault="00C35760" w:rsidP="007A1C48">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48.</w:t>
      </w:r>
      <w:r w:rsidR="007A1C48">
        <w:rPr>
          <w:rFonts w:ascii="Times New Roman" w:hAnsi="Times New Roman" w:cs="Times New Roman"/>
          <w:i/>
          <w:sz w:val="24"/>
          <w:szCs w:val="24"/>
        </w:rPr>
        <w:tab/>
      </w:r>
      <w:r w:rsidRPr="00532A38">
        <w:rPr>
          <w:rFonts w:ascii="Times New Roman" w:hAnsi="Times New Roman" w:cs="Times New Roman"/>
          <w:i/>
          <w:sz w:val="24"/>
          <w:szCs w:val="24"/>
        </w:rPr>
        <w:t>Crucially, on the issue of whether there was a sale of the goods produced by CGES to the Taxpayer, the Board concluded:</w:t>
      </w:r>
    </w:p>
    <w:p w14:paraId="7CCAE8AE"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AF" w14:textId="77777777" w:rsidR="00C35760" w:rsidRPr="00532A38" w:rsidRDefault="00C35760" w:rsidP="007A1C48">
      <w:pPr>
        <w:pStyle w:val="a3"/>
        <w:overflowPunct w:val="0"/>
        <w:spacing w:after="0" w:line="240" w:lineRule="auto"/>
        <w:ind w:leftChars="878" w:left="1932"/>
        <w:jc w:val="both"/>
        <w:rPr>
          <w:rFonts w:ascii="Times New Roman" w:hAnsi="Times New Roman" w:cs="Times New Roman"/>
          <w:i/>
          <w:sz w:val="24"/>
          <w:szCs w:val="24"/>
        </w:rPr>
      </w:pPr>
      <w:r w:rsidRPr="00532A38">
        <w:rPr>
          <w:rFonts w:ascii="Times New Roman" w:hAnsi="Times New Roman" w:cs="Times New Roman"/>
          <w:i/>
          <w:sz w:val="24"/>
          <w:szCs w:val="24"/>
        </w:rPr>
        <w:t>“Given this Board’s acceptance of all the Taxpayer’s witnesses as truthful, their evidence must be treated as supportive of one another. With respect to [counsel for the Commissioner], who has conducted his case with great skill and tenacity, his case is premised mainly, if not solely, on the CGES documents. Once this Board accepts that those documents do not reflect the reality of the situation ([counsel for the Commissioner] accepts that such a finding is open to this Board), much of the IR’s resistance to this appeal falls away.”</w:t>
      </w:r>
    </w:p>
    <w:p w14:paraId="7CCAE8B0"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B1" w14:textId="4A824DA1"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lastRenderedPageBreak/>
        <w:t>49.</w:t>
      </w:r>
      <w:r w:rsidR="007A1C48">
        <w:rPr>
          <w:rFonts w:ascii="Times New Roman" w:hAnsi="Times New Roman" w:cs="Times New Roman"/>
          <w:i/>
          <w:sz w:val="24"/>
          <w:szCs w:val="24"/>
        </w:rPr>
        <w:tab/>
      </w:r>
      <w:r w:rsidRPr="00532A38">
        <w:rPr>
          <w:rFonts w:ascii="Times New Roman" w:hAnsi="Times New Roman" w:cs="Times New Roman"/>
          <w:i/>
          <w:sz w:val="24"/>
          <w:szCs w:val="24"/>
        </w:rPr>
        <w:t>In my view, this is a clear finding of fact that, insofar as the CGES documents evidence a sale of the finished products by CGES to the Taxpayer, this is not the reality and that there was in fact no such sale. The Board must have had this clearly in mind in posing the issue it had to resolve in respect of the CGES documents:</w:t>
      </w:r>
    </w:p>
    <w:p w14:paraId="7CCAE8B2"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B3" w14:textId="77777777" w:rsidR="00C35760" w:rsidRPr="00532A38" w:rsidRDefault="00C35760" w:rsidP="007A6C4B">
      <w:pPr>
        <w:pStyle w:val="a3"/>
        <w:overflowPunct w:val="0"/>
        <w:spacing w:after="0" w:line="240" w:lineRule="auto"/>
        <w:ind w:leftChars="878" w:left="1932"/>
        <w:jc w:val="both"/>
        <w:rPr>
          <w:rFonts w:ascii="Times New Roman" w:hAnsi="Times New Roman" w:cs="Times New Roman"/>
          <w:i/>
          <w:sz w:val="24"/>
          <w:szCs w:val="24"/>
        </w:rPr>
      </w:pPr>
      <w:r w:rsidRPr="00532A38">
        <w:rPr>
          <w:rFonts w:ascii="Times New Roman" w:hAnsi="Times New Roman" w:cs="Times New Roman"/>
          <w:i/>
          <w:sz w:val="24"/>
          <w:szCs w:val="24"/>
        </w:rPr>
        <w:t>“The divergence of the parties’ cases springs from the fact that the documents of CGES suggest that the goods which it produced were indeed sold to the Taxpayer. However, as can be seen from the Statement of Agreed Facts, the Taxpayer has been maintaining that such documents do not reflect the reality and they were produced to satisfy the requirements of the Mainland authorities. Consequently, the CGES documents take the centre stage in respect of the factual dispute in this appeal.”</w:t>
      </w:r>
    </w:p>
    <w:p w14:paraId="7CCAE8B4" w14:textId="77777777" w:rsidR="00C35760" w:rsidRPr="00532A38" w:rsidRDefault="00C35760" w:rsidP="0046026A">
      <w:pPr>
        <w:pStyle w:val="a3"/>
        <w:overflowPunct w:val="0"/>
        <w:spacing w:after="0" w:line="240" w:lineRule="auto"/>
        <w:ind w:left="360"/>
        <w:jc w:val="both"/>
        <w:rPr>
          <w:rFonts w:ascii="Times New Roman" w:hAnsi="Times New Roman" w:cs="Times New Roman"/>
          <w:i/>
          <w:sz w:val="24"/>
          <w:szCs w:val="24"/>
        </w:rPr>
      </w:pPr>
    </w:p>
    <w:p w14:paraId="7CCAE8B5" w14:textId="485242B6"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50.</w:t>
      </w:r>
      <w:r w:rsidR="007A6C4B">
        <w:rPr>
          <w:rFonts w:ascii="Times New Roman" w:hAnsi="Times New Roman" w:cs="Times New Roman"/>
          <w:i/>
          <w:sz w:val="24"/>
          <w:szCs w:val="24"/>
        </w:rPr>
        <w:tab/>
      </w:r>
      <w:r w:rsidRPr="00532A38">
        <w:rPr>
          <w:rFonts w:ascii="Times New Roman" w:hAnsi="Times New Roman" w:cs="Times New Roman"/>
          <w:i/>
          <w:sz w:val="24"/>
          <w:szCs w:val="24"/>
        </w:rPr>
        <w:t>I therefore have no hesitation in concluding that the Board made a clear finding of fact that there was no sale of the finished products by CGES to the Taxpayer. It will be necessary to consider below the relevance of this finding.</w:t>
      </w:r>
      <w:r w:rsidR="007A1C48">
        <w:rPr>
          <w:rFonts w:ascii="Times New Roman" w:hAnsi="Times New Roman" w:cs="Times New Roman"/>
          <w:sz w:val="24"/>
          <w:szCs w:val="24"/>
        </w:rPr>
        <w:t>’</w:t>
      </w:r>
    </w:p>
    <w:p w14:paraId="7CCAE8B6" w14:textId="77777777" w:rsidR="00C35760" w:rsidRPr="00532A38" w:rsidRDefault="00C35760" w:rsidP="0046026A">
      <w:pPr>
        <w:pStyle w:val="a3"/>
        <w:overflowPunct w:val="0"/>
        <w:spacing w:after="0" w:line="240" w:lineRule="auto"/>
        <w:ind w:left="0"/>
        <w:jc w:val="both"/>
        <w:rPr>
          <w:rFonts w:ascii="Times New Roman" w:hAnsi="Times New Roman" w:cs="Times New Roman"/>
          <w:i/>
          <w:sz w:val="24"/>
          <w:szCs w:val="24"/>
        </w:rPr>
      </w:pPr>
    </w:p>
    <w:p w14:paraId="7CCAE8B7" w14:textId="409C9DB5" w:rsidR="00F028C2" w:rsidRPr="00532A38" w:rsidRDefault="00C35760" w:rsidP="007A6C4B">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CGES was a wholly owned subsidiary of the taxpayer in </w:t>
      </w:r>
      <w:r w:rsidRPr="007A6C4B">
        <w:rPr>
          <w:rFonts w:ascii="Times New Roman" w:hAnsi="Times New Roman" w:cs="Times New Roman"/>
          <w:sz w:val="24"/>
          <w:szCs w:val="24"/>
          <w:u w:val="single"/>
        </w:rPr>
        <w:t>C</w:t>
      </w:r>
      <w:r w:rsidR="007A6C4B" w:rsidRPr="007A6C4B">
        <w:rPr>
          <w:rFonts w:ascii="Times New Roman" w:hAnsi="Times New Roman" w:cs="Times New Roman"/>
          <w:sz w:val="24"/>
          <w:szCs w:val="24"/>
          <w:u w:val="single"/>
        </w:rPr>
        <w:t>ommissio</w:t>
      </w:r>
      <w:r w:rsidR="00C95C31">
        <w:rPr>
          <w:rFonts w:ascii="Times New Roman" w:hAnsi="Times New Roman" w:cs="Times New Roman"/>
          <w:sz w:val="24"/>
          <w:szCs w:val="24"/>
          <w:u w:val="single"/>
        </w:rPr>
        <w:t>ner of Inland Revenue v C</w:t>
      </w:r>
      <w:r w:rsidR="007A6C4B" w:rsidRPr="007A6C4B">
        <w:rPr>
          <w:rFonts w:ascii="Times New Roman" w:hAnsi="Times New Roman" w:cs="Times New Roman"/>
          <w:sz w:val="24"/>
          <w:szCs w:val="24"/>
          <w:u w:val="single"/>
        </w:rPr>
        <w:t>G Lighting Ltd</w:t>
      </w:r>
      <w:r w:rsidRPr="007A6C4B">
        <w:rPr>
          <w:rFonts w:ascii="Times New Roman" w:hAnsi="Times New Roman" w:cs="Times New Roman"/>
          <w:sz w:val="24"/>
          <w:szCs w:val="24"/>
        </w:rPr>
        <w:t>,</w:t>
      </w:r>
      <w:r w:rsidRPr="00532A38">
        <w:rPr>
          <w:rFonts w:ascii="Times New Roman" w:hAnsi="Times New Roman" w:cs="Times New Roman"/>
          <w:sz w:val="24"/>
          <w:szCs w:val="24"/>
        </w:rPr>
        <w:t xml:space="preserve"> similar to the arrangement between the </w:t>
      </w:r>
      <w:r w:rsidR="000A443C"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and the PRC Subsidiary in this appeal.  </w:t>
      </w:r>
      <w:r w:rsidR="00F028C2" w:rsidRPr="00532A38">
        <w:rPr>
          <w:rFonts w:ascii="Times New Roman" w:hAnsi="Times New Roman" w:cs="Times New Roman"/>
          <w:sz w:val="24"/>
          <w:szCs w:val="24"/>
        </w:rPr>
        <w:t xml:space="preserve">In </w:t>
      </w:r>
      <w:r w:rsidRPr="007A6C4B">
        <w:rPr>
          <w:rFonts w:ascii="Times New Roman" w:hAnsi="Times New Roman" w:cs="Times New Roman"/>
          <w:sz w:val="24"/>
          <w:szCs w:val="24"/>
          <w:u w:val="single"/>
        </w:rPr>
        <w:t>C</w:t>
      </w:r>
      <w:r w:rsidR="007A6C4B" w:rsidRPr="007A6C4B">
        <w:rPr>
          <w:rFonts w:ascii="Times New Roman" w:hAnsi="Times New Roman" w:cs="Times New Roman"/>
          <w:sz w:val="24"/>
          <w:szCs w:val="24"/>
          <w:u w:val="single"/>
        </w:rPr>
        <w:t>ommissioner of Inland Revenue v</w:t>
      </w:r>
      <w:r w:rsidR="00C95C31">
        <w:rPr>
          <w:rFonts w:ascii="Times New Roman" w:hAnsi="Times New Roman" w:cs="Times New Roman"/>
          <w:sz w:val="24"/>
          <w:szCs w:val="24"/>
          <w:u w:val="single"/>
        </w:rPr>
        <w:t xml:space="preserve"> C</w:t>
      </w:r>
      <w:r w:rsidRPr="007A6C4B">
        <w:rPr>
          <w:rFonts w:ascii="Times New Roman" w:hAnsi="Times New Roman" w:cs="Times New Roman"/>
          <w:sz w:val="24"/>
          <w:szCs w:val="24"/>
          <w:u w:val="single"/>
        </w:rPr>
        <w:t>G Li</w:t>
      </w:r>
      <w:r w:rsidR="007A6C4B" w:rsidRPr="007A6C4B">
        <w:rPr>
          <w:rFonts w:ascii="Times New Roman" w:hAnsi="Times New Roman" w:cs="Times New Roman"/>
          <w:sz w:val="24"/>
          <w:szCs w:val="24"/>
          <w:u w:val="single"/>
        </w:rPr>
        <w:t>ghting Ltd</w:t>
      </w:r>
      <w:r w:rsidRPr="007A6C4B">
        <w:rPr>
          <w:rFonts w:ascii="Times New Roman" w:hAnsi="Times New Roman" w:cs="Times New Roman"/>
          <w:sz w:val="24"/>
          <w:szCs w:val="24"/>
        </w:rPr>
        <w:t>,</w:t>
      </w:r>
      <w:r w:rsidRPr="00532A38">
        <w:rPr>
          <w:rFonts w:ascii="Times New Roman" w:hAnsi="Times New Roman" w:cs="Times New Roman"/>
          <w:sz w:val="24"/>
          <w:szCs w:val="24"/>
        </w:rPr>
        <w:t xml:space="preserve"> Fok J </w:t>
      </w:r>
      <w:r w:rsidR="00F028C2" w:rsidRPr="00532A38">
        <w:rPr>
          <w:rFonts w:ascii="Times New Roman" w:hAnsi="Times New Roman" w:cs="Times New Roman"/>
          <w:sz w:val="24"/>
          <w:szCs w:val="24"/>
        </w:rPr>
        <w:t xml:space="preserve">ruled that </w:t>
      </w:r>
      <w:r w:rsidRPr="00532A38">
        <w:rPr>
          <w:rFonts w:ascii="Times New Roman" w:hAnsi="Times New Roman" w:cs="Times New Roman"/>
          <w:sz w:val="24"/>
          <w:szCs w:val="24"/>
        </w:rPr>
        <w:t xml:space="preserve">the absence of a finding that there was a sale by CGES to the Hong Kong taxpayer does not provide a material distinguishing features </w:t>
      </w:r>
      <w:r w:rsidR="00F028C2" w:rsidRPr="00532A38">
        <w:rPr>
          <w:rFonts w:ascii="Times New Roman" w:hAnsi="Times New Roman" w:cs="Times New Roman"/>
          <w:sz w:val="24"/>
          <w:szCs w:val="24"/>
        </w:rPr>
        <w:t xml:space="preserve">with the case of </w:t>
      </w:r>
      <w:r w:rsidRPr="007A6C4B">
        <w:rPr>
          <w:rFonts w:ascii="Times New Roman" w:hAnsi="Times New Roman" w:cs="Times New Roman"/>
          <w:sz w:val="24"/>
          <w:szCs w:val="24"/>
          <w:u w:val="single"/>
        </w:rPr>
        <w:t>C</w:t>
      </w:r>
      <w:r w:rsidR="007A6C4B" w:rsidRPr="007A6C4B">
        <w:rPr>
          <w:rFonts w:ascii="Times New Roman" w:hAnsi="Times New Roman" w:cs="Times New Roman"/>
          <w:sz w:val="24"/>
          <w:szCs w:val="24"/>
          <w:u w:val="single"/>
        </w:rPr>
        <w:t>ommissioner of Inland Revenue v Datatronic Ltd</w:t>
      </w:r>
      <w:r w:rsidRPr="007A6C4B">
        <w:rPr>
          <w:rFonts w:ascii="Times New Roman" w:hAnsi="Times New Roman" w:cs="Times New Roman"/>
          <w:sz w:val="24"/>
          <w:szCs w:val="24"/>
        </w:rPr>
        <w:t>,</w:t>
      </w:r>
      <w:r w:rsidRPr="00532A38">
        <w:rPr>
          <w:rFonts w:ascii="Times New Roman" w:hAnsi="Times New Roman" w:cs="Times New Roman"/>
          <w:sz w:val="24"/>
          <w:szCs w:val="24"/>
        </w:rPr>
        <w:t xml:space="preserve"> and that a finding that there was no contract of sale between CGES and the Hong Kong taxpayer is not fatal to a conclusion that the activities of the Hong Kong taxpayer in relation to the manufacturing process, undertaken by CGES, a non-agent third party, are to be disregarded as antecedent or incidental activities to the sales which were the profit-producing transactions.  </w:t>
      </w:r>
    </w:p>
    <w:p w14:paraId="7CCAE8B8" w14:textId="77777777" w:rsidR="00F028C2" w:rsidRPr="00532A38" w:rsidRDefault="00F028C2" w:rsidP="007A6C4B">
      <w:pPr>
        <w:pStyle w:val="a3"/>
        <w:overflowPunct w:val="0"/>
        <w:spacing w:after="0" w:line="240" w:lineRule="auto"/>
        <w:ind w:left="0"/>
        <w:jc w:val="both"/>
        <w:rPr>
          <w:rFonts w:ascii="Times New Roman" w:hAnsi="Times New Roman" w:cs="Times New Roman"/>
          <w:sz w:val="24"/>
          <w:szCs w:val="24"/>
        </w:rPr>
      </w:pPr>
    </w:p>
    <w:p w14:paraId="7CCAE8B9" w14:textId="326A873B" w:rsidR="00C35760" w:rsidRPr="00532A38" w:rsidRDefault="00C35760" w:rsidP="007A6C4B">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Fok J</w:t>
      </w:r>
      <w:r w:rsidR="00F028C2" w:rsidRPr="00532A38">
        <w:rPr>
          <w:rFonts w:ascii="Times New Roman" w:hAnsi="Times New Roman" w:cs="Times New Roman"/>
          <w:sz w:val="24"/>
          <w:szCs w:val="24"/>
        </w:rPr>
        <w:t xml:space="preserve"> (as he then was) </w:t>
      </w:r>
      <w:r w:rsidRPr="00532A38">
        <w:rPr>
          <w:rFonts w:ascii="Times New Roman" w:hAnsi="Times New Roman" w:cs="Times New Roman"/>
          <w:sz w:val="24"/>
          <w:szCs w:val="24"/>
        </w:rPr>
        <w:t xml:space="preserve">at paragraphs 97 to 103 </w:t>
      </w:r>
      <w:r w:rsidR="005C6EA3" w:rsidRPr="00532A38">
        <w:rPr>
          <w:rFonts w:ascii="Times New Roman" w:hAnsi="Times New Roman" w:cs="Times New Roman"/>
          <w:sz w:val="24"/>
          <w:szCs w:val="24"/>
        </w:rPr>
        <w:t xml:space="preserve">correctly </w:t>
      </w:r>
      <w:r w:rsidR="00F028C2" w:rsidRPr="00532A38">
        <w:rPr>
          <w:rFonts w:ascii="Times New Roman" w:hAnsi="Times New Roman" w:cs="Times New Roman"/>
          <w:sz w:val="24"/>
          <w:szCs w:val="24"/>
        </w:rPr>
        <w:t>stated</w:t>
      </w:r>
      <w:r w:rsidRPr="00532A38">
        <w:rPr>
          <w:rFonts w:ascii="Times New Roman" w:hAnsi="Times New Roman" w:cs="Times New Roman"/>
          <w:sz w:val="24"/>
          <w:szCs w:val="24"/>
        </w:rPr>
        <w:t>:</w:t>
      </w:r>
    </w:p>
    <w:p w14:paraId="7CCAE8BA" w14:textId="77777777" w:rsidR="00C35760" w:rsidRPr="00532A38" w:rsidRDefault="00C35760" w:rsidP="0046026A">
      <w:pPr>
        <w:pStyle w:val="a3"/>
        <w:overflowPunct w:val="0"/>
        <w:spacing w:after="0" w:line="240" w:lineRule="auto"/>
        <w:ind w:left="360"/>
        <w:jc w:val="both"/>
        <w:rPr>
          <w:rFonts w:ascii="Times New Roman" w:hAnsi="Times New Roman" w:cs="Times New Roman"/>
          <w:sz w:val="24"/>
          <w:szCs w:val="24"/>
        </w:rPr>
      </w:pPr>
    </w:p>
    <w:p w14:paraId="7CCAE8BB" w14:textId="3F1AA7DD" w:rsidR="00C35760" w:rsidRPr="00532A38" w:rsidRDefault="007A6C4B"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C35760" w:rsidRPr="00532A38">
        <w:rPr>
          <w:rFonts w:ascii="Times New Roman" w:hAnsi="Times New Roman" w:cs="Times New Roman"/>
          <w:i/>
          <w:sz w:val="24"/>
          <w:szCs w:val="24"/>
        </w:rPr>
        <w:t>97.</w:t>
      </w:r>
      <w:r>
        <w:rPr>
          <w:rFonts w:ascii="Times New Roman" w:hAnsi="Times New Roman" w:cs="Times New Roman"/>
          <w:i/>
          <w:sz w:val="24"/>
          <w:szCs w:val="24"/>
        </w:rPr>
        <w:tab/>
      </w:r>
      <w:r w:rsidR="00C35760" w:rsidRPr="00532A38">
        <w:rPr>
          <w:rFonts w:ascii="Times New Roman" w:hAnsi="Times New Roman" w:cs="Times New Roman"/>
          <w:i/>
          <w:sz w:val="24"/>
          <w:szCs w:val="24"/>
        </w:rPr>
        <w:t>Once it is accepted that the manufacturer of the lighting fixtures was CGES and not the Taxpayer and that CGES was not the agent of the Taxpayer in the manufacturing process, I do not see that it is possible to avoid the conclusion that the activities of the Taxpayer in relation to the manufacturing process itself are simply antecedent or incidental to the profit-producing transactions here.</w:t>
      </w:r>
    </w:p>
    <w:p w14:paraId="7CCAE8BC"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BD" w14:textId="0E4E00A4"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98.</w:t>
      </w:r>
      <w:r w:rsidR="007A6C4B">
        <w:rPr>
          <w:rFonts w:ascii="Times New Roman" w:hAnsi="Times New Roman" w:cs="Times New Roman"/>
          <w:i/>
          <w:sz w:val="24"/>
          <w:szCs w:val="24"/>
        </w:rPr>
        <w:tab/>
      </w:r>
      <w:r w:rsidRPr="00532A38">
        <w:rPr>
          <w:rFonts w:ascii="Times New Roman" w:hAnsi="Times New Roman" w:cs="Times New Roman"/>
          <w:i/>
          <w:sz w:val="24"/>
          <w:szCs w:val="24"/>
        </w:rPr>
        <w:t>I am therefore unable to accept the submission on behalf of the Taxpayer that the source of its profits was its business of manufacturing lighting fixtures for export, which business it carried on, with the assistance of agents, in the PRC and Hong Kong.</w:t>
      </w:r>
    </w:p>
    <w:p w14:paraId="7CCAE8BE"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BF" w14:textId="4F5C4D09"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99.</w:t>
      </w:r>
      <w:r w:rsidR="007A6C4B">
        <w:rPr>
          <w:rFonts w:ascii="Times New Roman" w:hAnsi="Times New Roman" w:cs="Times New Roman"/>
          <w:i/>
          <w:sz w:val="24"/>
          <w:szCs w:val="24"/>
        </w:rPr>
        <w:tab/>
      </w:r>
      <w:r w:rsidRPr="00532A38">
        <w:rPr>
          <w:rFonts w:ascii="Times New Roman" w:hAnsi="Times New Roman" w:cs="Times New Roman"/>
          <w:i/>
          <w:sz w:val="24"/>
          <w:szCs w:val="24"/>
        </w:rPr>
        <w:t xml:space="preserve">It is pertinent to remind oneself that the court is required to consider not the operations which produced the profits in question but, more </w:t>
      </w:r>
      <w:r w:rsidRPr="00532A38">
        <w:rPr>
          <w:rFonts w:ascii="Times New Roman" w:hAnsi="Times New Roman" w:cs="Times New Roman"/>
          <w:i/>
          <w:sz w:val="24"/>
          <w:szCs w:val="24"/>
        </w:rPr>
        <w:lastRenderedPageBreak/>
        <w:t>narrowly, the operations of the taxpayer which produced them: see per Lord Millett in ING Baring Securities at §133. In this sense, the activities of the Taxpayer in relation to design, product testing, prototype production, supply of raw materials, provision of plant and machinery to CGES and provision of training, updating and management of CGES’s staff were not operations which produced the ultimate profits. Even if those activities could be described as “commercially essential to the operations and profitability of the taxpayer’s business … they do not provide the legal test for ascertaining the geographical source of profits the purposes of s.14 [of IRO].</w:t>
      </w:r>
    </w:p>
    <w:p w14:paraId="7CCAE8C0"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C1" w14:textId="73FA2A5F"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100.</w:t>
      </w:r>
      <w:r w:rsidR="007A6C4B">
        <w:rPr>
          <w:rFonts w:ascii="Times New Roman" w:hAnsi="Times New Roman" w:cs="Times New Roman"/>
          <w:i/>
          <w:sz w:val="24"/>
          <w:szCs w:val="24"/>
        </w:rPr>
        <w:tab/>
      </w:r>
      <w:r w:rsidRPr="00532A38">
        <w:rPr>
          <w:rFonts w:ascii="Times New Roman" w:hAnsi="Times New Roman" w:cs="Times New Roman"/>
          <w:i/>
          <w:sz w:val="24"/>
          <w:szCs w:val="24"/>
        </w:rPr>
        <w:t>Instead, the transactions which produced the profits for the Taxpayer were the sales of the finished products to its customers. Those sales were effected in Hong Kong and so the profits deriving from the sales are chargeable under s.14 [of IRO].</w:t>
      </w:r>
    </w:p>
    <w:p w14:paraId="7CCAE8C2"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C3" w14:textId="1647F9E2"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101.</w:t>
      </w:r>
      <w:r w:rsidR="007A6C4B">
        <w:rPr>
          <w:rFonts w:ascii="Times New Roman" w:hAnsi="Times New Roman" w:cs="Times New Roman"/>
          <w:i/>
          <w:sz w:val="24"/>
          <w:szCs w:val="24"/>
        </w:rPr>
        <w:tab/>
      </w:r>
      <w:r w:rsidRPr="00532A38">
        <w:rPr>
          <w:rFonts w:ascii="Times New Roman" w:hAnsi="Times New Roman" w:cs="Times New Roman"/>
          <w:i/>
          <w:sz w:val="24"/>
          <w:szCs w:val="24"/>
        </w:rPr>
        <w:t>I am satisfied that, even though there was not a sale of the finished products by CGES to the Taxpayer, the fact remains that the Taxpayer did not manufacture the finished goods and only had them transferred to it pursuant to the sub-contracting arrangements between it and CGES. On analysis, I conclude that the profit-producing transactions of the Taxpayer consisted of the acquisition of the finished goods from CGES, for which the Taxpayer paid a processing fee under the Processing/Subcontracting Agreement in respect of the manufacture of the goods by CGES, and the on-selling of the same to its customers.</w:t>
      </w:r>
    </w:p>
    <w:p w14:paraId="7CCAE8C4"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C5" w14:textId="503B2749"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102.</w:t>
      </w:r>
      <w:r w:rsidR="007A6C4B">
        <w:rPr>
          <w:rFonts w:ascii="Times New Roman" w:hAnsi="Times New Roman" w:cs="Times New Roman"/>
          <w:i/>
          <w:sz w:val="24"/>
          <w:szCs w:val="24"/>
        </w:rPr>
        <w:tab/>
      </w:r>
      <w:r w:rsidRPr="00532A38">
        <w:rPr>
          <w:rFonts w:ascii="Times New Roman" w:hAnsi="Times New Roman" w:cs="Times New Roman"/>
          <w:i/>
          <w:sz w:val="24"/>
          <w:szCs w:val="24"/>
        </w:rPr>
        <w:t>I do not consider that this reasoning involves ignoring the cost structure of the Taxpayer, as submitted by Mr Barlow SC. The costs to the Taxpayer of acquiring the finished lighting products which it then sold to its customers are reflected in the processing fee paid by it to CGES. The fact that this processing fee was no greater than the operating costs and overheads of CGES would appear to be the result of a deliberate decision by the Taxpayer to structure the processing fee in this way. The fact that the manufacturer of the finished lighting products was its wholly-owned subsidiary is the reason why in practice the Taxpayer was able to achieve this. That, however, does not detract from the fact that the costs of acquiring the finished lighting products were taken into account in arriving at the profits earned by the Taxpayer from what I have concluded to be the profit-producing transactions in the present case, viz. the sales to the Taxpayer’s customers.</w:t>
      </w:r>
    </w:p>
    <w:p w14:paraId="7CCAE8C6" w14:textId="77777777"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8C7" w14:textId="207ED735" w:rsidR="00C35760" w:rsidRPr="00532A38" w:rsidRDefault="00C35760" w:rsidP="007A6C4B">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103.</w:t>
      </w:r>
      <w:r w:rsidR="007A6C4B">
        <w:rPr>
          <w:rFonts w:ascii="Times New Roman" w:hAnsi="Times New Roman" w:cs="Times New Roman"/>
          <w:i/>
          <w:sz w:val="24"/>
          <w:szCs w:val="24"/>
        </w:rPr>
        <w:tab/>
      </w:r>
      <w:r w:rsidRPr="00532A38">
        <w:rPr>
          <w:rFonts w:ascii="Times New Roman" w:hAnsi="Times New Roman" w:cs="Times New Roman"/>
          <w:i/>
          <w:sz w:val="24"/>
          <w:szCs w:val="24"/>
        </w:rPr>
        <w:t xml:space="preserve">Nor do I consider that this analysis involves isolating one part of the Taxpayer’s business and treating it as the whole of the business, a submission which Mr Barlow SC made by reference to Pinson on Revenue Law(17th Ed.) §2-11A. As the Board held and the Taxpayer </w:t>
      </w:r>
      <w:r w:rsidRPr="00532A38">
        <w:rPr>
          <w:rFonts w:ascii="Times New Roman" w:hAnsi="Times New Roman" w:cs="Times New Roman"/>
          <w:i/>
          <w:sz w:val="24"/>
          <w:szCs w:val="24"/>
        </w:rPr>
        <w:lastRenderedPageBreak/>
        <w:t>accepted, CGES was the manufacturer and so the Taxpayer did not manufacture the lighting products which it sold for a profit. This does not involve isolating one part of the Taxpayer’s business but instead the analysis seeks to exclude an activity which was held to have been undertaken by a non-agent third party, i.e. CGES. This approach is consistent, in my judgment, with the decisions of the Court of Final Appeal in Kwong Mile Services and ING Baring Securities.</w:t>
      </w:r>
      <w:r w:rsidR="007A6C4B">
        <w:rPr>
          <w:rFonts w:ascii="Times New Roman" w:hAnsi="Times New Roman" w:cs="Times New Roman"/>
          <w:sz w:val="24"/>
          <w:szCs w:val="24"/>
        </w:rPr>
        <w:t>’</w:t>
      </w:r>
    </w:p>
    <w:p w14:paraId="7CCAE8C8" w14:textId="77777777" w:rsidR="00C35760" w:rsidRPr="00532A38" w:rsidRDefault="00C35760" w:rsidP="007A6C4B">
      <w:pPr>
        <w:pStyle w:val="a3"/>
        <w:overflowPunct w:val="0"/>
        <w:spacing w:after="0" w:line="240" w:lineRule="auto"/>
        <w:ind w:left="0"/>
        <w:jc w:val="both"/>
        <w:rPr>
          <w:rFonts w:ascii="Times New Roman" w:hAnsi="Times New Roman" w:cs="Times New Roman"/>
          <w:sz w:val="24"/>
          <w:szCs w:val="24"/>
        </w:rPr>
      </w:pPr>
    </w:p>
    <w:p w14:paraId="7CCAE8C9" w14:textId="52EBCC42" w:rsidR="005C6EA3" w:rsidRPr="00532A38" w:rsidRDefault="005C6EA3" w:rsidP="007A6C4B">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view of </w:t>
      </w:r>
      <w:r w:rsidR="00A12647" w:rsidRPr="00532A38">
        <w:rPr>
          <w:rFonts w:ascii="Times New Roman" w:hAnsi="Times New Roman" w:cs="Times New Roman"/>
          <w:sz w:val="24"/>
          <w:szCs w:val="24"/>
        </w:rPr>
        <w:t xml:space="preserve">the reasoning of Fok J (as he then was) in </w:t>
      </w:r>
      <w:r w:rsidR="00C35760" w:rsidRPr="007A6C4B">
        <w:rPr>
          <w:rFonts w:ascii="Times New Roman" w:hAnsi="Times New Roman" w:cs="Times New Roman"/>
          <w:sz w:val="24"/>
          <w:szCs w:val="24"/>
          <w:u w:val="single"/>
        </w:rPr>
        <w:t>C</w:t>
      </w:r>
      <w:r w:rsidR="007A6C4B" w:rsidRPr="007A6C4B">
        <w:rPr>
          <w:rFonts w:ascii="Times New Roman" w:hAnsi="Times New Roman" w:cs="Times New Roman"/>
          <w:sz w:val="24"/>
          <w:szCs w:val="24"/>
          <w:u w:val="single"/>
        </w:rPr>
        <w:t>om</w:t>
      </w:r>
      <w:r w:rsidR="00C95C31">
        <w:rPr>
          <w:rFonts w:ascii="Times New Roman" w:hAnsi="Times New Roman" w:cs="Times New Roman"/>
          <w:sz w:val="24"/>
          <w:szCs w:val="24"/>
          <w:u w:val="single"/>
        </w:rPr>
        <w:t>missioner of Inland Revenue v C</w:t>
      </w:r>
      <w:r w:rsidR="007A6C4B" w:rsidRPr="007A6C4B">
        <w:rPr>
          <w:rFonts w:ascii="Times New Roman" w:hAnsi="Times New Roman" w:cs="Times New Roman"/>
          <w:sz w:val="24"/>
          <w:szCs w:val="24"/>
          <w:u w:val="single"/>
        </w:rPr>
        <w:t>G Lighting Ltd</w:t>
      </w:r>
      <w:r w:rsidRPr="007A6C4B">
        <w:rPr>
          <w:rFonts w:ascii="Times New Roman" w:hAnsi="Times New Roman" w:cs="Times New Roman"/>
          <w:sz w:val="24"/>
          <w:szCs w:val="24"/>
        </w:rPr>
        <w:t>,</w:t>
      </w:r>
      <w:r w:rsidRPr="00532A38">
        <w:rPr>
          <w:rFonts w:ascii="Times New Roman" w:hAnsi="Times New Roman" w:cs="Times New Roman"/>
          <w:sz w:val="24"/>
          <w:szCs w:val="24"/>
        </w:rPr>
        <w:t xml:space="preserve"> this Board rules that </w:t>
      </w:r>
      <w:r w:rsidR="00C35760" w:rsidRPr="00532A38">
        <w:rPr>
          <w:rFonts w:ascii="Times New Roman" w:hAnsi="Times New Roman" w:cs="Times New Roman"/>
          <w:sz w:val="24"/>
          <w:szCs w:val="24"/>
        </w:rPr>
        <w:t xml:space="preserve">whether there were genuine sale and purchase transactions between the </w:t>
      </w:r>
      <w:r w:rsidRPr="00532A38">
        <w:rPr>
          <w:rFonts w:ascii="Times New Roman" w:hAnsi="Times New Roman" w:cs="Times New Roman"/>
          <w:sz w:val="24"/>
          <w:szCs w:val="24"/>
        </w:rPr>
        <w:t xml:space="preserve">Appellant </w:t>
      </w:r>
      <w:r w:rsidR="00C35760" w:rsidRPr="00532A38">
        <w:rPr>
          <w:rFonts w:ascii="Times New Roman" w:hAnsi="Times New Roman" w:cs="Times New Roman"/>
          <w:sz w:val="24"/>
          <w:szCs w:val="24"/>
        </w:rPr>
        <w:t xml:space="preserve">and the PRC Subsidiary for the raw materials and the manufactured products is irrelevant, because the Board only has to consider, more narrowly, what the </w:t>
      </w:r>
      <w:r w:rsidRPr="00532A38">
        <w:rPr>
          <w:rFonts w:ascii="Times New Roman" w:hAnsi="Times New Roman" w:cs="Times New Roman"/>
          <w:sz w:val="24"/>
          <w:szCs w:val="24"/>
        </w:rPr>
        <w:t xml:space="preserve">Appellant </w:t>
      </w:r>
      <w:r w:rsidR="00C35760" w:rsidRPr="00532A38">
        <w:rPr>
          <w:rFonts w:ascii="Times New Roman" w:hAnsi="Times New Roman" w:cs="Times New Roman"/>
          <w:sz w:val="24"/>
          <w:szCs w:val="24"/>
        </w:rPr>
        <w:t xml:space="preserve">itself had done to produce those profits.   </w:t>
      </w:r>
    </w:p>
    <w:p w14:paraId="7CCAE8CA" w14:textId="77777777" w:rsidR="005C6EA3" w:rsidRPr="00532A38" w:rsidRDefault="005C6EA3" w:rsidP="007A6C4B">
      <w:pPr>
        <w:pStyle w:val="a3"/>
        <w:overflowPunct w:val="0"/>
        <w:spacing w:after="0" w:line="240" w:lineRule="auto"/>
        <w:ind w:left="0"/>
        <w:jc w:val="both"/>
        <w:rPr>
          <w:rFonts w:ascii="Times New Roman" w:hAnsi="Times New Roman" w:cs="Times New Roman"/>
          <w:sz w:val="24"/>
          <w:szCs w:val="24"/>
        </w:rPr>
      </w:pPr>
    </w:p>
    <w:p w14:paraId="7CCAE8CB" w14:textId="77777777" w:rsidR="00C35760" w:rsidRPr="00532A38" w:rsidRDefault="00C35760" w:rsidP="007A6C4B">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It is clear from the evidence that it was the PRC Subsidiary, and not the </w:t>
      </w:r>
      <w:r w:rsidR="000016B6"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that manufactured the card products, any activities of the </w:t>
      </w:r>
      <w:r w:rsidR="000016B6"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in relation to the process of manufacturing the card products are simply antecedent or incidental to the </w:t>
      </w:r>
      <w:r w:rsidR="000016B6" w:rsidRPr="00532A38">
        <w:rPr>
          <w:rFonts w:ascii="Times New Roman" w:hAnsi="Times New Roman" w:cs="Times New Roman"/>
          <w:sz w:val="24"/>
          <w:szCs w:val="24"/>
        </w:rPr>
        <w:t xml:space="preserve">Appellant’s </w:t>
      </w:r>
      <w:r w:rsidRPr="00532A38">
        <w:rPr>
          <w:rFonts w:ascii="Times New Roman" w:hAnsi="Times New Roman" w:cs="Times New Roman"/>
          <w:sz w:val="24"/>
          <w:szCs w:val="24"/>
        </w:rPr>
        <w:t>profit-producing transactions</w:t>
      </w:r>
      <w:r w:rsidR="000016B6" w:rsidRPr="00532A38">
        <w:rPr>
          <w:rFonts w:ascii="Times New Roman" w:hAnsi="Times New Roman" w:cs="Times New Roman"/>
          <w:sz w:val="24"/>
          <w:szCs w:val="24"/>
        </w:rPr>
        <w:t xml:space="preserve"> in Hong Kong</w:t>
      </w:r>
      <w:r w:rsidRPr="00532A38">
        <w:rPr>
          <w:rFonts w:ascii="Times New Roman" w:hAnsi="Times New Roman" w:cs="Times New Roman"/>
          <w:sz w:val="24"/>
          <w:szCs w:val="24"/>
        </w:rPr>
        <w:t>.</w:t>
      </w:r>
    </w:p>
    <w:p w14:paraId="7CCAE8CC" w14:textId="77777777" w:rsidR="00A70641" w:rsidRPr="00532A38" w:rsidRDefault="00A70641" w:rsidP="007A6C4B">
      <w:pPr>
        <w:pStyle w:val="a3"/>
        <w:overflowPunct w:val="0"/>
        <w:spacing w:after="0" w:line="240" w:lineRule="auto"/>
        <w:ind w:left="0"/>
        <w:rPr>
          <w:rFonts w:ascii="Times New Roman" w:hAnsi="Times New Roman" w:cs="Times New Roman"/>
          <w:sz w:val="24"/>
          <w:szCs w:val="24"/>
        </w:rPr>
      </w:pPr>
    </w:p>
    <w:p w14:paraId="7CCAE8CD" w14:textId="14ABE48F" w:rsidR="00A70641" w:rsidRPr="00532A38" w:rsidRDefault="00A70641" w:rsidP="007A6C4B">
      <w:pPr>
        <w:pStyle w:val="Web"/>
        <w:numPr>
          <w:ilvl w:val="0"/>
          <w:numId w:val="2"/>
        </w:numPr>
        <w:overflowPunct w:val="0"/>
        <w:spacing w:before="0" w:beforeAutospacing="0" w:after="0" w:afterAutospacing="0"/>
        <w:ind w:left="0" w:firstLine="0"/>
        <w:jc w:val="both"/>
        <w:rPr>
          <w:rFonts w:eastAsiaTheme="minorEastAsia"/>
        </w:rPr>
      </w:pPr>
      <w:r w:rsidRPr="00532A38">
        <w:rPr>
          <w:lang w:eastAsia="zh-HK"/>
        </w:rPr>
        <w:t xml:space="preserve">The audited financial statements of both the Appellant and the PRC Subsidiary clearly show that their income was generated from sale of goods.  The Appellant’s accounting records for the year </w:t>
      </w:r>
      <w:r w:rsidR="00F90B0A" w:rsidRPr="00532A38">
        <w:rPr>
          <w:rFonts w:eastAsiaTheme="minorEastAsia"/>
          <w:lang w:eastAsia="zh-HK"/>
        </w:rPr>
        <w:t>2010/</w:t>
      </w:r>
      <w:r w:rsidRPr="00532A38">
        <w:rPr>
          <w:lang w:eastAsia="zh-HK"/>
        </w:rPr>
        <w:t>11 showed that its gross profit for the year of $11,963,825  was arrived at as follows:</w:t>
      </w:r>
    </w:p>
    <w:p w14:paraId="7CCAE8CE" w14:textId="77777777" w:rsidR="00A70641" w:rsidRPr="00532A38" w:rsidRDefault="00A70641" w:rsidP="0046026A">
      <w:pPr>
        <w:pStyle w:val="a3"/>
        <w:tabs>
          <w:tab w:val="left" w:pos="709"/>
        </w:tabs>
        <w:overflowPunct w:val="0"/>
        <w:spacing w:after="0" w:line="240" w:lineRule="auto"/>
        <w:ind w:left="709"/>
        <w:jc w:val="both"/>
        <w:rPr>
          <w:rFonts w:ascii="Times New Roman" w:hAnsi="Times New Roman" w:cs="Times New Roman"/>
          <w:sz w:val="24"/>
          <w:szCs w:val="24"/>
          <w:lang w:eastAsia="zh-HK"/>
        </w:rPr>
      </w:pP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1756"/>
        <w:gridCol w:w="1756"/>
        <w:gridCol w:w="1756"/>
      </w:tblGrid>
      <w:tr w:rsidR="00A70641" w:rsidRPr="00532A38" w14:paraId="7CCAE8D3" w14:textId="77777777" w:rsidTr="007A6C4B">
        <w:tc>
          <w:tcPr>
            <w:tcW w:w="2912" w:type="dxa"/>
          </w:tcPr>
          <w:p w14:paraId="7CCAE8CF" w14:textId="77777777" w:rsidR="00A70641" w:rsidRPr="00532A38" w:rsidRDefault="00A70641" w:rsidP="0046026A">
            <w:pPr>
              <w:pStyle w:val="a3"/>
              <w:tabs>
                <w:tab w:val="left" w:pos="709"/>
              </w:tabs>
              <w:overflowPunct w:val="0"/>
              <w:ind w:left="0"/>
              <w:jc w:val="both"/>
              <w:rPr>
                <w:rFonts w:ascii="Times New Roman" w:hAnsi="Times New Roman" w:cs="Times New Roman"/>
                <w:sz w:val="24"/>
                <w:szCs w:val="24"/>
                <w:lang w:eastAsia="zh-HK"/>
              </w:rPr>
            </w:pPr>
          </w:p>
        </w:tc>
        <w:tc>
          <w:tcPr>
            <w:tcW w:w="1756" w:type="dxa"/>
          </w:tcPr>
          <w:p w14:paraId="7CCAE8D0"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Finished goods</w:t>
            </w:r>
          </w:p>
        </w:tc>
        <w:tc>
          <w:tcPr>
            <w:tcW w:w="1756" w:type="dxa"/>
          </w:tcPr>
          <w:p w14:paraId="7CCAE8D1"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Raw materials</w:t>
            </w:r>
          </w:p>
        </w:tc>
        <w:tc>
          <w:tcPr>
            <w:tcW w:w="1756" w:type="dxa"/>
          </w:tcPr>
          <w:p w14:paraId="7CCAE8D2"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Total</w:t>
            </w:r>
          </w:p>
        </w:tc>
      </w:tr>
      <w:tr w:rsidR="00A70641" w:rsidRPr="00532A38" w14:paraId="7CCAE8D8" w14:textId="77777777" w:rsidTr="007A6C4B">
        <w:tc>
          <w:tcPr>
            <w:tcW w:w="2912" w:type="dxa"/>
          </w:tcPr>
          <w:p w14:paraId="7CCAE8D4" w14:textId="77777777" w:rsidR="00A70641" w:rsidRPr="00532A38" w:rsidRDefault="00A70641" w:rsidP="0046026A">
            <w:pPr>
              <w:pStyle w:val="a3"/>
              <w:tabs>
                <w:tab w:val="left" w:pos="709"/>
              </w:tabs>
              <w:overflowPunct w:val="0"/>
              <w:ind w:left="0"/>
              <w:jc w:val="both"/>
              <w:rPr>
                <w:rFonts w:ascii="Times New Roman" w:hAnsi="Times New Roman" w:cs="Times New Roman"/>
                <w:sz w:val="24"/>
                <w:szCs w:val="24"/>
                <w:lang w:eastAsia="zh-HK"/>
              </w:rPr>
            </w:pPr>
          </w:p>
        </w:tc>
        <w:tc>
          <w:tcPr>
            <w:tcW w:w="1756" w:type="dxa"/>
          </w:tcPr>
          <w:p w14:paraId="7CCAE8D5"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lang w:eastAsia="zh-HK"/>
              </w:rPr>
            </w:pPr>
            <w:r w:rsidRPr="00532A38">
              <w:rPr>
                <w:rFonts w:ascii="Times New Roman" w:hAnsi="Times New Roman" w:cs="Times New Roman"/>
                <w:sz w:val="24"/>
                <w:szCs w:val="24"/>
                <w:lang w:eastAsia="zh-HK"/>
              </w:rPr>
              <w:t>$</w:t>
            </w:r>
          </w:p>
        </w:tc>
        <w:tc>
          <w:tcPr>
            <w:tcW w:w="1756" w:type="dxa"/>
          </w:tcPr>
          <w:p w14:paraId="7CCAE8D6"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lang w:eastAsia="zh-HK"/>
              </w:rPr>
            </w:pPr>
            <w:r w:rsidRPr="00532A38">
              <w:rPr>
                <w:rFonts w:ascii="Times New Roman" w:hAnsi="Times New Roman" w:cs="Times New Roman"/>
                <w:sz w:val="24"/>
                <w:szCs w:val="24"/>
                <w:lang w:eastAsia="zh-HK"/>
              </w:rPr>
              <w:t>$</w:t>
            </w:r>
          </w:p>
        </w:tc>
        <w:tc>
          <w:tcPr>
            <w:tcW w:w="1756" w:type="dxa"/>
          </w:tcPr>
          <w:p w14:paraId="7CCAE8D7" w14:textId="77777777" w:rsidR="00A70641" w:rsidRPr="00532A38" w:rsidRDefault="00A70641" w:rsidP="0046026A">
            <w:pPr>
              <w:pStyle w:val="a3"/>
              <w:tabs>
                <w:tab w:val="left" w:pos="709"/>
              </w:tabs>
              <w:overflowPunct w:val="0"/>
              <w:ind w:left="0"/>
              <w:jc w:val="center"/>
              <w:rPr>
                <w:rFonts w:ascii="Times New Roman" w:hAnsi="Times New Roman" w:cs="Times New Roman"/>
                <w:sz w:val="24"/>
                <w:szCs w:val="24"/>
                <w:lang w:eastAsia="zh-HK"/>
              </w:rPr>
            </w:pPr>
            <w:r w:rsidRPr="00532A38">
              <w:rPr>
                <w:rFonts w:ascii="Times New Roman" w:hAnsi="Times New Roman" w:cs="Times New Roman"/>
                <w:sz w:val="24"/>
                <w:szCs w:val="24"/>
                <w:lang w:eastAsia="zh-HK"/>
              </w:rPr>
              <w:t>$</w:t>
            </w:r>
          </w:p>
        </w:tc>
      </w:tr>
      <w:tr w:rsidR="00A70641" w:rsidRPr="00532A38" w14:paraId="7CCAE8DD" w14:textId="77777777" w:rsidTr="007A6C4B">
        <w:tc>
          <w:tcPr>
            <w:tcW w:w="2912" w:type="dxa"/>
          </w:tcPr>
          <w:p w14:paraId="7CCAE8D9" w14:textId="77777777" w:rsidR="00A70641" w:rsidRPr="00532A38" w:rsidRDefault="00A70641" w:rsidP="0046026A">
            <w:pPr>
              <w:pStyle w:val="a3"/>
              <w:tabs>
                <w:tab w:val="left" w:pos="709"/>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Sale less discount </w:t>
            </w:r>
          </w:p>
        </w:tc>
        <w:tc>
          <w:tcPr>
            <w:tcW w:w="1756" w:type="dxa"/>
          </w:tcPr>
          <w:p w14:paraId="7CCAE8DA"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64,212,072.21</w:t>
            </w:r>
          </w:p>
        </w:tc>
        <w:tc>
          <w:tcPr>
            <w:tcW w:w="1756" w:type="dxa"/>
          </w:tcPr>
          <w:p w14:paraId="7CCAE8DB"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25,217,502.79</w:t>
            </w:r>
          </w:p>
        </w:tc>
        <w:tc>
          <w:tcPr>
            <w:tcW w:w="1756" w:type="dxa"/>
          </w:tcPr>
          <w:p w14:paraId="7CCAE8DC"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fldChar w:fldCharType="begin"/>
            </w:r>
            <w:r w:rsidRPr="00532A38">
              <w:rPr>
                <w:rFonts w:ascii="Times New Roman" w:hAnsi="Times New Roman" w:cs="Times New Roman"/>
                <w:sz w:val="24"/>
                <w:szCs w:val="24"/>
                <w:lang w:eastAsia="zh-HK"/>
              </w:rPr>
              <w:instrText xml:space="preserve"> =SUM(LEFT) </w:instrText>
            </w:r>
            <w:r w:rsidRPr="00532A38">
              <w:rPr>
                <w:rFonts w:ascii="Times New Roman" w:hAnsi="Times New Roman" w:cs="Times New Roman"/>
                <w:sz w:val="24"/>
                <w:szCs w:val="24"/>
                <w:lang w:eastAsia="zh-HK"/>
              </w:rPr>
              <w:fldChar w:fldCharType="separate"/>
            </w:r>
            <w:r w:rsidRPr="00532A38">
              <w:rPr>
                <w:rFonts w:ascii="Times New Roman" w:hAnsi="Times New Roman" w:cs="Times New Roman"/>
                <w:noProof/>
                <w:sz w:val="24"/>
                <w:szCs w:val="24"/>
                <w:lang w:eastAsia="zh-HK"/>
              </w:rPr>
              <w:t>89,429,575</w:t>
            </w:r>
            <w:r w:rsidRPr="00532A38">
              <w:rPr>
                <w:rFonts w:ascii="Times New Roman" w:hAnsi="Times New Roman" w:cs="Times New Roman"/>
                <w:sz w:val="24"/>
                <w:szCs w:val="24"/>
                <w:lang w:eastAsia="zh-HK"/>
              </w:rPr>
              <w:fldChar w:fldCharType="end"/>
            </w:r>
            <w:r w:rsidRPr="00532A38">
              <w:rPr>
                <w:rFonts w:ascii="Times New Roman" w:hAnsi="Times New Roman" w:cs="Times New Roman"/>
                <w:sz w:val="24"/>
                <w:szCs w:val="24"/>
                <w:lang w:eastAsia="zh-HK"/>
              </w:rPr>
              <w:t>.00</w:t>
            </w:r>
          </w:p>
        </w:tc>
      </w:tr>
      <w:tr w:rsidR="00A70641" w:rsidRPr="00532A38" w14:paraId="7CCAE8E3" w14:textId="77777777" w:rsidTr="007A6C4B">
        <w:tc>
          <w:tcPr>
            <w:tcW w:w="2912" w:type="dxa"/>
          </w:tcPr>
          <w:p w14:paraId="7CCAE8DE" w14:textId="77777777" w:rsidR="00B407C9" w:rsidRPr="00532A38" w:rsidRDefault="00A70641" w:rsidP="0046026A">
            <w:pPr>
              <w:pStyle w:val="a3"/>
              <w:tabs>
                <w:tab w:val="left" w:pos="709"/>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u w:val="single"/>
                <w:lang w:eastAsia="zh-HK"/>
              </w:rPr>
              <w:t>Less</w:t>
            </w:r>
            <w:r w:rsidRPr="00532A38">
              <w:rPr>
                <w:rFonts w:ascii="Times New Roman" w:hAnsi="Times New Roman" w:cs="Times New Roman"/>
                <w:sz w:val="24"/>
                <w:szCs w:val="24"/>
                <w:lang w:eastAsia="zh-HK"/>
              </w:rPr>
              <w:t>: Purchase from</w:t>
            </w:r>
            <w:r w:rsidR="00B407C9" w:rsidRPr="00532A38">
              <w:rPr>
                <w:rFonts w:ascii="Times New Roman" w:hAnsi="Times New Roman" w:cs="Times New Roman"/>
                <w:sz w:val="24"/>
                <w:szCs w:val="24"/>
                <w:lang w:eastAsia="zh-HK"/>
              </w:rPr>
              <w:t xml:space="preserve"> PRC </w:t>
            </w:r>
          </w:p>
          <w:p w14:paraId="7CCAE8DF" w14:textId="77777777" w:rsidR="00A70641" w:rsidRPr="00532A38" w:rsidRDefault="00B407C9" w:rsidP="0046026A">
            <w:pPr>
              <w:pStyle w:val="a3"/>
              <w:tabs>
                <w:tab w:val="left" w:pos="709"/>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Subsidiary </w:t>
            </w:r>
            <w:r w:rsidR="00A70641" w:rsidRPr="00532A38">
              <w:rPr>
                <w:rFonts w:ascii="Times New Roman" w:hAnsi="Times New Roman" w:cs="Times New Roman"/>
                <w:sz w:val="24"/>
                <w:szCs w:val="24"/>
                <w:lang w:eastAsia="zh-HK"/>
              </w:rPr>
              <w:t xml:space="preserve"> </w:t>
            </w:r>
          </w:p>
        </w:tc>
        <w:tc>
          <w:tcPr>
            <w:tcW w:w="1756" w:type="dxa"/>
          </w:tcPr>
          <w:p w14:paraId="7CCAE8E0"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(52,355,435.47)</w:t>
            </w:r>
          </w:p>
        </w:tc>
        <w:tc>
          <w:tcPr>
            <w:tcW w:w="1756" w:type="dxa"/>
          </w:tcPr>
          <w:p w14:paraId="7CCAE8E1"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w:t>
            </w:r>
          </w:p>
        </w:tc>
        <w:tc>
          <w:tcPr>
            <w:tcW w:w="1756" w:type="dxa"/>
          </w:tcPr>
          <w:p w14:paraId="7CCAE8E2"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(52,355,435.47)</w:t>
            </w:r>
          </w:p>
        </w:tc>
      </w:tr>
      <w:tr w:rsidR="00A70641" w:rsidRPr="00532A38" w14:paraId="7CCAE8E8" w14:textId="77777777" w:rsidTr="007A6C4B">
        <w:tc>
          <w:tcPr>
            <w:tcW w:w="2912" w:type="dxa"/>
          </w:tcPr>
          <w:p w14:paraId="7CCAE8E4" w14:textId="77777777" w:rsidR="00A70641" w:rsidRPr="00532A38" w:rsidRDefault="00A70641" w:rsidP="0046026A">
            <w:pPr>
              <w:pStyle w:val="a3"/>
              <w:tabs>
                <w:tab w:val="left" w:pos="567"/>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ab/>
              <w:t>Purchase from others</w:t>
            </w:r>
          </w:p>
        </w:tc>
        <w:tc>
          <w:tcPr>
            <w:tcW w:w="1756" w:type="dxa"/>
          </w:tcPr>
          <w:p w14:paraId="7CCAE8E5"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(53,621.60)</w:t>
            </w:r>
          </w:p>
        </w:tc>
        <w:tc>
          <w:tcPr>
            <w:tcW w:w="1756" w:type="dxa"/>
          </w:tcPr>
          <w:p w14:paraId="7CCAE8E6"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t>(25,053,502.79)</w:t>
            </w:r>
          </w:p>
        </w:tc>
        <w:tc>
          <w:tcPr>
            <w:tcW w:w="1756" w:type="dxa"/>
          </w:tcPr>
          <w:p w14:paraId="7CCAE8E7" w14:textId="77777777" w:rsidR="00A70641" w:rsidRPr="00532A38" w:rsidRDefault="00A70641" w:rsidP="007A6C4B">
            <w:pPr>
              <w:pStyle w:val="a3"/>
              <w:tabs>
                <w:tab w:val="decimal" w:pos="1080"/>
              </w:tabs>
              <w:overflowPunct w:val="0"/>
              <w:ind w:left="0"/>
              <w:jc w:val="right"/>
              <w:rPr>
                <w:rFonts w:ascii="Times New Roman" w:hAnsi="Times New Roman" w:cs="Times New Roman"/>
                <w:sz w:val="24"/>
                <w:szCs w:val="24"/>
                <w:lang w:eastAsia="zh-HK"/>
              </w:rPr>
            </w:pPr>
            <w:r w:rsidRPr="00532A38">
              <w:rPr>
                <w:rFonts w:ascii="Times New Roman" w:hAnsi="Times New Roman" w:cs="Times New Roman"/>
                <w:sz w:val="24"/>
                <w:szCs w:val="24"/>
                <w:lang w:eastAsia="zh-HK"/>
              </w:rPr>
              <w:fldChar w:fldCharType="begin"/>
            </w:r>
            <w:r w:rsidRPr="00532A38">
              <w:rPr>
                <w:rFonts w:ascii="Times New Roman" w:hAnsi="Times New Roman" w:cs="Times New Roman"/>
                <w:sz w:val="24"/>
                <w:szCs w:val="24"/>
                <w:lang w:eastAsia="zh-HK"/>
              </w:rPr>
              <w:instrText xml:space="preserve"> =SUM(left) </w:instrText>
            </w:r>
            <w:r w:rsidRPr="00532A38">
              <w:rPr>
                <w:rFonts w:ascii="Times New Roman" w:hAnsi="Times New Roman" w:cs="Times New Roman"/>
                <w:sz w:val="24"/>
                <w:szCs w:val="24"/>
                <w:lang w:eastAsia="zh-HK"/>
              </w:rPr>
              <w:fldChar w:fldCharType="separate"/>
            </w:r>
            <w:r w:rsidRPr="00532A38">
              <w:rPr>
                <w:rFonts w:ascii="Times New Roman" w:hAnsi="Times New Roman" w:cs="Times New Roman"/>
                <w:noProof/>
                <w:sz w:val="24"/>
                <w:szCs w:val="24"/>
                <w:lang w:eastAsia="zh-HK"/>
              </w:rPr>
              <w:t>(25,107,124.39)</w:t>
            </w:r>
            <w:r w:rsidRPr="00532A38">
              <w:rPr>
                <w:rFonts w:ascii="Times New Roman" w:hAnsi="Times New Roman" w:cs="Times New Roman"/>
                <w:sz w:val="24"/>
                <w:szCs w:val="24"/>
                <w:lang w:eastAsia="zh-HK"/>
              </w:rPr>
              <w:fldChar w:fldCharType="end"/>
            </w:r>
          </w:p>
        </w:tc>
      </w:tr>
      <w:tr w:rsidR="00A70641" w:rsidRPr="00532A38" w14:paraId="7CCAE8ED" w14:textId="77777777" w:rsidTr="007A6C4B">
        <w:tc>
          <w:tcPr>
            <w:tcW w:w="2912" w:type="dxa"/>
          </w:tcPr>
          <w:p w14:paraId="7CCAE8E9" w14:textId="77777777" w:rsidR="00A70641" w:rsidRPr="00532A38" w:rsidRDefault="00A70641" w:rsidP="0046026A">
            <w:pPr>
              <w:pStyle w:val="a3"/>
              <w:tabs>
                <w:tab w:val="left" w:pos="588"/>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ab/>
              <w:t>Processing fee</w:t>
            </w:r>
          </w:p>
        </w:tc>
        <w:tc>
          <w:tcPr>
            <w:tcW w:w="1756" w:type="dxa"/>
          </w:tcPr>
          <w:p w14:paraId="7CCAE8EA" w14:textId="3A453291" w:rsidR="00A70641" w:rsidRPr="00532A38" w:rsidRDefault="00A70641" w:rsidP="007A6C4B">
            <w:pPr>
              <w:pStyle w:val="a3"/>
              <w:tabs>
                <w:tab w:val="decimal" w:pos="1080"/>
              </w:tabs>
              <w:wordWrap w:val="0"/>
              <w:overflowPunct w:val="0"/>
              <w:ind w:left="0"/>
              <w:jc w:val="right"/>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 xml:space="preserve">  </w:t>
            </w:r>
            <w:r w:rsidR="007A6C4B">
              <w:rPr>
                <w:rFonts w:ascii="Times New Roman" w:hAnsi="Times New Roman" w:cs="Times New Roman"/>
                <w:sz w:val="24"/>
                <w:szCs w:val="24"/>
                <w:u w:val="single"/>
                <w:lang w:eastAsia="zh-HK"/>
              </w:rPr>
              <w:t xml:space="preserve">          </w:t>
            </w:r>
            <w:r w:rsidRPr="00532A38">
              <w:rPr>
                <w:rFonts w:ascii="Times New Roman" w:hAnsi="Times New Roman" w:cs="Times New Roman"/>
                <w:sz w:val="24"/>
                <w:szCs w:val="24"/>
                <w:u w:val="single"/>
                <w:lang w:eastAsia="zh-HK"/>
              </w:rPr>
              <w:t xml:space="preserve">      0.00</w:t>
            </w:r>
          </w:p>
        </w:tc>
        <w:tc>
          <w:tcPr>
            <w:tcW w:w="1756" w:type="dxa"/>
          </w:tcPr>
          <w:p w14:paraId="7CCAE8EB" w14:textId="70DBF0C7" w:rsidR="00A70641" w:rsidRPr="00532A38" w:rsidRDefault="00A70641" w:rsidP="007A6C4B">
            <w:pPr>
              <w:pStyle w:val="a3"/>
              <w:tabs>
                <w:tab w:val="decimal" w:pos="1080"/>
              </w:tabs>
              <w:wordWrap w:val="0"/>
              <w:overflowPunct w:val="0"/>
              <w:ind w:left="0"/>
              <w:jc w:val="right"/>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 xml:space="preserve">   </w:t>
            </w:r>
            <w:r w:rsidR="007A6C4B">
              <w:rPr>
                <w:rFonts w:ascii="Times New Roman" w:hAnsi="Times New Roman" w:cs="Times New Roman"/>
                <w:sz w:val="24"/>
                <w:szCs w:val="24"/>
                <w:u w:val="single"/>
                <w:lang w:eastAsia="zh-HK"/>
              </w:rPr>
              <w:t xml:space="preserve">          </w:t>
            </w:r>
            <w:r w:rsidRPr="00532A38">
              <w:rPr>
                <w:rFonts w:ascii="Times New Roman" w:hAnsi="Times New Roman" w:cs="Times New Roman"/>
                <w:sz w:val="24"/>
                <w:szCs w:val="24"/>
                <w:u w:val="single"/>
                <w:lang w:eastAsia="zh-HK"/>
              </w:rPr>
              <w:t xml:space="preserve">     0.00</w:t>
            </w:r>
          </w:p>
        </w:tc>
        <w:tc>
          <w:tcPr>
            <w:tcW w:w="1756" w:type="dxa"/>
          </w:tcPr>
          <w:p w14:paraId="7CCAE8EC" w14:textId="2DE7AEF7" w:rsidR="00A70641" w:rsidRPr="00532A38" w:rsidRDefault="00A70641" w:rsidP="007A6C4B">
            <w:pPr>
              <w:pStyle w:val="a3"/>
              <w:tabs>
                <w:tab w:val="decimal" w:pos="1080"/>
              </w:tabs>
              <w:wordWrap w:val="0"/>
              <w:overflowPunct w:val="0"/>
              <w:ind w:left="0"/>
              <w:jc w:val="right"/>
              <w:rPr>
                <w:rFonts w:ascii="Times New Roman" w:hAnsi="Times New Roman" w:cs="Times New Roman"/>
                <w:sz w:val="24"/>
                <w:szCs w:val="24"/>
                <w:u w:val="single"/>
                <w:lang w:eastAsia="zh-HK"/>
              </w:rPr>
            </w:pPr>
            <w:r w:rsidRPr="00532A38">
              <w:rPr>
                <w:rFonts w:ascii="Times New Roman" w:hAnsi="Times New Roman" w:cs="Times New Roman"/>
                <w:sz w:val="24"/>
                <w:szCs w:val="24"/>
                <w:u w:val="single"/>
                <w:lang w:eastAsia="zh-HK"/>
              </w:rPr>
              <w:t xml:space="preserve">  </w:t>
            </w:r>
            <w:r w:rsidR="007A6C4B">
              <w:rPr>
                <w:rFonts w:ascii="Times New Roman" w:hAnsi="Times New Roman" w:cs="Times New Roman"/>
                <w:sz w:val="24"/>
                <w:szCs w:val="24"/>
                <w:u w:val="single"/>
                <w:lang w:eastAsia="zh-HK"/>
              </w:rPr>
              <w:t xml:space="preserve">     </w:t>
            </w:r>
            <w:r w:rsidRPr="00532A38">
              <w:rPr>
                <w:rFonts w:ascii="Times New Roman" w:hAnsi="Times New Roman" w:cs="Times New Roman"/>
                <w:sz w:val="24"/>
                <w:szCs w:val="24"/>
                <w:u w:val="single"/>
                <w:lang w:eastAsia="zh-HK"/>
              </w:rPr>
              <w:t xml:space="preserve"> (3,190.00)</w:t>
            </w:r>
          </w:p>
        </w:tc>
      </w:tr>
      <w:tr w:rsidR="00A70641" w:rsidRPr="00532A38" w14:paraId="7CCAE8F2" w14:textId="77777777" w:rsidTr="007A6C4B">
        <w:tc>
          <w:tcPr>
            <w:tcW w:w="2912" w:type="dxa"/>
          </w:tcPr>
          <w:p w14:paraId="7CCAE8EE" w14:textId="77777777" w:rsidR="00A70641" w:rsidRPr="00532A38" w:rsidRDefault="00A70641" w:rsidP="0046026A">
            <w:pPr>
              <w:pStyle w:val="a3"/>
              <w:tabs>
                <w:tab w:val="left" w:pos="588"/>
              </w:tabs>
              <w:overflowPunct w:val="0"/>
              <w:ind w:left="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Gross profit</w:t>
            </w:r>
          </w:p>
        </w:tc>
        <w:tc>
          <w:tcPr>
            <w:tcW w:w="1756" w:type="dxa"/>
          </w:tcPr>
          <w:p w14:paraId="7CCAE8EF" w14:textId="3993C5E8" w:rsidR="00A70641" w:rsidRPr="00532A38" w:rsidRDefault="007A6C4B" w:rsidP="007A6C4B">
            <w:pPr>
              <w:pStyle w:val="a3"/>
              <w:tabs>
                <w:tab w:val="decimal" w:pos="1080"/>
              </w:tabs>
              <w:wordWrap w:val="0"/>
              <w:overflowPunct w:val="0"/>
              <w:ind w:left="0"/>
              <w:jc w:val="right"/>
              <w:rPr>
                <w:rFonts w:ascii="Times New Roman" w:hAnsi="Times New Roman" w:cs="Times New Roman"/>
                <w:sz w:val="24"/>
                <w:szCs w:val="24"/>
                <w:u w:val="double"/>
                <w:lang w:eastAsia="zh-HK"/>
              </w:rPr>
            </w:pPr>
            <w:r>
              <w:rPr>
                <w:rFonts w:ascii="Times New Roman" w:hAnsi="Times New Roman" w:cs="Times New Roman"/>
                <w:sz w:val="24"/>
                <w:szCs w:val="24"/>
                <w:u w:val="double"/>
                <w:lang w:eastAsia="zh-HK"/>
              </w:rPr>
              <w:t xml:space="preserve">  </w:t>
            </w:r>
            <w:r w:rsidR="00A70641" w:rsidRPr="00532A38">
              <w:rPr>
                <w:rFonts w:ascii="Times New Roman" w:hAnsi="Times New Roman" w:cs="Times New Roman"/>
                <w:sz w:val="24"/>
                <w:szCs w:val="24"/>
                <w:u w:val="double"/>
                <w:lang w:eastAsia="zh-HK"/>
              </w:rPr>
              <w:t>11,803,015.14</w:t>
            </w:r>
          </w:p>
        </w:tc>
        <w:tc>
          <w:tcPr>
            <w:tcW w:w="1756" w:type="dxa"/>
          </w:tcPr>
          <w:p w14:paraId="7CCAE8F0" w14:textId="6E98A118" w:rsidR="00A70641" w:rsidRPr="00532A38" w:rsidRDefault="007A6C4B" w:rsidP="007A6C4B">
            <w:pPr>
              <w:pStyle w:val="a3"/>
              <w:tabs>
                <w:tab w:val="decimal" w:pos="1080"/>
              </w:tabs>
              <w:wordWrap w:val="0"/>
              <w:overflowPunct w:val="0"/>
              <w:ind w:left="0"/>
              <w:jc w:val="right"/>
              <w:rPr>
                <w:rFonts w:ascii="Times New Roman" w:hAnsi="Times New Roman" w:cs="Times New Roman"/>
                <w:sz w:val="24"/>
                <w:szCs w:val="24"/>
                <w:u w:val="double"/>
                <w:lang w:eastAsia="zh-HK"/>
              </w:rPr>
            </w:pPr>
            <w:r>
              <w:rPr>
                <w:rFonts w:ascii="Times New Roman" w:hAnsi="Times New Roman" w:cs="Times New Roman"/>
                <w:sz w:val="24"/>
                <w:szCs w:val="24"/>
                <w:u w:val="double"/>
                <w:lang w:eastAsia="zh-HK"/>
              </w:rPr>
              <w:t xml:space="preserve">       </w:t>
            </w:r>
            <w:r w:rsidR="00A70641" w:rsidRPr="00532A38">
              <w:rPr>
                <w:rFonts w:ascii="Times New Roman" w:hAnsi="Times New Roman" w:cs="Times New Roman"/>
                <w:sz w:val="24"/>
                <w:szCs w:val="24"/>
                <w:u w:val="double"/>
                <w:lang w:eastAsia="zh-HK"/>
              </w:rPr>
              <w:t>164,000.00</w:t>
            </w:r>
          </w:p>
        </w:tc>
        <w:tc>
          <w:tcPr>
            <w:tcW w:w="1756" w:type="dxa"/>
          </w:tcPr>
          <w:p w14:paraId="7CCAE8F1" w14:textId="6BF3278B" w:rsidR="00A70641" w:rsidRPr="00532A38" w:rsidRDefault="007A6C4B" w:rsidP="007A6C4B">
            <w:pPr>
              <w:pStyle w:val="a3"/>
              <w:tabs>
                <w:tab w:val="decimal" w:pos="1080"/>
              </w:tabs>
              <w:wordWrap w:val="0"/>
              <w:overflowPunct w:val="0"/>
              <w:ind w:left="0"/>
              <w:jc w:val="right"/>
              <w:rPr>
                <w:rFonts w:ascii="Times New Roman" w:hAnsi="Times New Roman" w:cs="Times New Roman"/>
                <w:sz w:val="24"/>
                <w:szCs w:val="24"/>
                <w:u w:val="double"/>
                <w:lang w:eastAsia="zh-HK"/>
              </w:rPr>
            </w:pPr>
            <w:r>
              <w:rPr>
                <w:rFonts w:ascii="Times New Roman" w:hAnsi="Times New Roman" w:cs="Times New Roman"/>
                <w:sz w:val="24"/>
                <w:szCs w:val="24"/>
                <w:u w:val="double"/>
                <w:lang w:eastAsia="zh-HK"/>
              </w:rPr>
              <w:t xml:space="preserve">  </w:t>
            </w:r>
            <w:r w:rsidR="00A70641" w:rsidRPr="00532A38">
              <w:rPr>
                <w:rFonts w:ascii="Times New Roman" w:hAnsi="Times New Roman" w:cs="Times New Roman"/>
                <w:sz w:val="24"/>
                <w:szCs w:val="24"/>
                <w:u w:val="double"/>
                <w:lang w:eastAsia="zh-HK"/>
              </w:rPr>
              <w:fldChar w:fldCharType="begin"/>
            </w:r>
            <w:r w:rsidR="00A70641" w:rsidRPr="00532A38">
              <w:rPr>
                <w:rFonts w:ascii="Times New Roman" w:hAnsi="Times New Roman" w:cs="Times New Roman"/>
                <w:sz w:val="24"/>
                <w:szCs w:val="24"/>
                <w:u w:val="double"/>
                <w:lang w:eastAsia="zh-HK"/>
              </w:rPr>
              <w:instrText xml:space="preserve"> =SUM(ABOVE) </w:instrText>
            </w:r>
            <w:r w:rsidR="00A70641" w:rsidRPr="00532A38">
              <w:rPr>
                <w:rFonts w:ascii="Times New Roman" w:hAnsi="Times New Roman" w:cs="Times New Roman"/>
                <w:sz w:val="24"/>
                <w:szCs w:val="24"/>
                <w:u w:val="double"/>
                <w:lang w:eastAsia="zh-HK"/>
              </w:rPr>
              <w:fldChar w:fldCharType="separate"/>
            </w:r>
            <w:r w:rsidR="00A70641" w:rsidRPr="00532A38">
              <w:rPr>
                <w:rFonts w:ascii="Times New Roman" w:hAnsi="Times New Roman" w:cs="Times New Roman"/>
                <w:noProof/>
                <w:sz w:val="24"/>
                <w:szCs w:val="24"/>
                <w:u w:val="double"/>
                <w:lang w:eastAsia="zh-HK"/>
              </w:rPr>
              <w:t>11,963,825.14</w:t>
            </w:r>
            <w:r w:rsidR="00A70641" w:rsidRPr="00532A38">
              <w:rPr>
                <w:rFonts w:ascii="Times New Roman" w:hAnsi="Times New Roman" w:cs="Times New Roman"/>
                <w:sz w:val="24"/>
                <w:szCs w:val="24"/>
                <w:u w:val="double"/>
                <w:lang w:eastAsia="zh-HK"/>
              </w:rPr>
              <w:fldChar w:fldCharType="end"/>
            </w:r>
          </w:p>
        </w:tc>
      </w:tr>
    </w:tbl>
    <w:p w14:paraId="7CCAE8F4" w14:textId="64C4629E" w:rsidR="00B407C9" w:rsidRPr="00532A38" w:rsidRDefault="00B407C9" w:rsidP="00DE6BB1">
      <w:pPr>
        <w:pStyle w:val="Web"/>
        <w:overflowPunct w:val="0"/>
        <w:spacing w:before="0" w:beforeAutospacing="0" w:after="0" w:afterAutospacing="0"/>
        <w:jc w:val="both"/>
        <w:rPr>
          <w:rFonts w:eastAsiaTheme="minorEastAsia"/>
        </w:rPr>
      </w:pPr>
    </w:p>
    <w:p w14:paraId="7CCAE8F5" w14:textId="77777777" w:rsidR="00A70641" w:rsidRPr="00532A38" w:rsidRDefault="00A70641" w:rsidP="007A6C4B">
      <w:pPr>
        <w:pStyle w:val="Web"/>
        <w:numPr>
          <w:ilvl w:val="0"/>
          <w:numId w:val="2"/>
        </w:numPr>
        <w:overflowPunct w:val="0"/>
        <w:spacing w:before="0" w:beforeAutospacing="0" w:after="0" w:afterAutospacing="0"/>
        <w:ind w:left="0" w:firstLine="0"/>
        <w:jc w:val="both"/>
        <w:rPr>
          <w:rFonts w:eastAsiaTheme="minorEastAsia"/>
        </w:rPr>
      </w:pPr>
      <w:r w:rsidRPr="00532A38">
        <w:rPr>
          <w:lang w:eastAsia="zh-HK"/>
        </w:rPr>
        <w:t xml:space="preserve">From the above, it is clear that the Appellant’s profit was derived from the price difference between the sale to third party customer and the acquisition of the finished goods from </w:t>
      </w:r>
      <w:r w:rsidR="00B407C9" w:rsidRPr="00532A38">
        <w:rPr>
          <w:lang w:eastAsia="zh-HK"/>
        </w:rPr>
        <w:t>the PRC Subsidiary.</w:t>
      </w:r>
    </w:p>
    <w:p w14:paraId="7CCAE8F6" w14:textId="77777777" w:rsidR="00A70641" w:rsidRPr="00532A38" w:rsidRDefault="00A70641" w:rsidP="007A6C4B">
      <w:pPr>
        <w:pStyle w:val="Web"/>
        <w:overflowPunct w:val="0"/>
        <w:spacing w:before="0" w:beforeAutospacing="0" w:after="0" w:afterAutospacing="0"/>
        <w:jc w:val="both"/>
        <w:rPr>
          <w:rFonts w:eastAsiaTheme="minorEastAsia"/>
        </w:rPr>
      </w:pPr>
    </w:p>
    <w:p w14:paraId="7CCAE8F7" w14:textId="096CF520" w:rsidR="00A70641" w:rsidRPr="00532A38" w:rsidRDefault="00A70641" w:rsidP="007A6C4B">
      <w:pPr>
        <w:pStyle w:val="Web"/>
        <w:numPr>
          <w:ilvl w:val="0"/>
          <w:numId w:val="2"/>
        </w:numPr>
        <w:overflowPunct w:val="0"/>
        <w:spacing w:before="0" w:beforeAutospacing="0" w:after="0" w:afterAutospacing="0"/>
        <w:ind w:left="0" w:firstLine="0"/>
        <w:jc w:val="both"/>
        <w:rPr>
          <w:rFonts w:eastAsiaTheme="minorEastAsia"/>
        </w:rPr>
      </w:pPr>
      <w:r w:rsidRPr="00532A38">
        <w:rPr>
          <w:lang w:eastAsia="zh-HK"/>
        </w:rPr>
        <w:t xml:space="preserve">According to the </w:t>
      </w:r>
      <w:r w:rsidR="00DE6BB1">
        <w:rPr>
          <w:lang w:eastAsia="zh-HK"/>
        </w:rPr>
        <w:t>‘</w:t>
      </w:r>
      <w:r w:rsidRPr="00532A38">
        <w:rPr>
          <w:lang w:eastAsia="zh-HK"/>
        </w:rPr>
        <w:t>Delineation of Business Procedures with respect to Selected Five (5) Representative Customers for the Period from 1 April 2007 to 31 December 2012</w:t>
      </w:r>
      <w:r w:rsidR="00DE6BB1">
        <w:rPr>
          <w:lang w:eastAsia="zh-HK"/>
        </w:rPr>
        <w:t>’</w:t>
      </w:r>
      <w:r w:rsidRPr="00532A38">
        <w:rPr>
          <w:lang w:eastAsia="zh-HK"/>
        </w:rPr>
        <w:t xml:space="preserve">, orders from customers such as </w:t>
      </w:r>
      <w:r w:rsidR="007A6C4B">
        <w:rPr>
          <w:lang w:eastAsia="zh-HK"/>
        </w:rPr>
        <w:t>Company D</w:t>
      </w:r>
      <w:r w:rsidRPr="00532A38">
        <w:rPr>
          <w:lang w:eastAsia="zh-HK"/>
        </w:rPr>
        <w:t xml:space="preserve"> and </w:t>
      </w:r>
      <w:r w:rsidR="007A6C4B">
        <w:rPr>
          <w:lang w:eastAsia="zh-HK"/>
        </w:rPr>
        <w:t>Company L</w:t>
      </w:r>
      <w:r w:rsidRPr="00532A38">
        <w:rPr>
          <w:lang w:eastAsia="zh-HK"/>
        </w:rPr>
        <w:t xml:space="preserve"> were handled by the Appellant’s staff in Hong Kong.  In fact, the purchase orders from </w:t>
      </w:r>
      <w:r w:rsidR="007A6C4B">
        <w:rPr>
          <w:lang w:eastAsia="zh-HK"/>
        </w:rPr>
        <w:t>Company D</w:t>
      </w:r>
      <w:r w:rsidRPr="00532A38">
        <w:rPr>
          <w:lang w:eastAsia="zh-HK"/>
        </w:rPr>
        <w:t xml:space="preserve">, </w:t>
      </w:r>
      <w:r w:rsidR="007A6C4B">
        <w:rPr>
          <w:lang w:eastAsia="zh-HK"/>
        </w:rPr>
        <w:t>Company L</w:t>
      </w:r>
      <w:r w:rsidRPr="00532A38">
        <w:rPr>
          <w:lang w:eastAsia="zh-HK"/>
        </w:rPr>
        <w:t xml:space="preserve">, </w:t>
      </w:r>
      <w:r w:rsidR="007A6C4B">
        <w:rPr>
          <w:lang w:eastAsia="zh-HK"/>
        </w:rPr>
        <w:t>Company M</w:t>
      </w:r>
      <w:r w:rsidRPr="00532A38">
        <w:rPr>
          <w:lang w:eastAsia="zh-HK"/>
        </w:rPr>
        <w:t xml:space="preserve"> and </w:t>
      </w:r>
      <w:r w:rsidR="007A6C4B">
        <w:rPr>
          <w:lang w:eastAsia="zh-HK"/>
        </w:rPr>
        <w:t>Company N</w:t>
      </w:r>
      <w:r w:rsidRPr="00532A38">
        <w:rPr>
          <w:rFonts w:eastAsiaTheme="minorEastAsia"/>
        </w:rPr>
        <w:t xml:space="preserve"> </w:t>
      </w:r>
      <w:r w:rsidRPr="00532A38">
        <w:rPr>
          <w:lang w:eastAsia="zh-HK"/>
        </w:rPr>
        <w:t>were addressed to the Appellant at its Hong Kong address.</w:t>
      </w:r>
    </w:p>
    <w:p w14:paraId="7CCAE8F8" w14:textId="77777777" w:rsidR="00A70641" w:rsidRPr="00532A38" w:rsidRDefault="00A70641" w:rsidP="0046026A">
      <w:pPr>
        <w:pStyle w:val="Web"/>
        <w:overflowPunct w:val="0"/>
        <w:spacing w:before="0" w:beforeAutospacing="0" w:after="0" w:afterAutospacing="0"/>
        <w:jc w:val="both"/>
        <w:rPr>
          <w:rFonts w:eastAsiaTheme="minorEastAsia"/>
        </w:rPr>
      </w:pPr>
    </w:p>
    <w:p w14:paraId="7CCAE8F9" w14:textId="6E4BCCB9" w:rsidR="00A70641" w:rsidRPr="00532A38" w:rsidRDefault="00A70641" w:rsidP="007A6C4B">
      <w:pPr>
        <w:pStyle w:val="Web"/>
        <w:numPr>
          <w:ilvl w:val="0"/>
          <w:numId w:val="2"/>
        </w:numPr>
        <w:overflowPunct w:val="0"/>
        <w:spacing w:before="0" w:beforeAutospacing="0" w:after="0" w:afterAutospacing="0"/>
        <w:ind w:left="0" w:firstLine="0"/>
        <w:jc w:val="both"/>
        <w:rPr>
          <w:rFonts w:eastAsiaTheme="minorEastAsia"/>
        </w:rPr>
      </w:pPr>
      <w:r w:rsidRPr="00532A38">
        <w:rPr>
          <w:lang w:eastAsia="zh-HK"/>
        </w:rPr>
        <w:t xml:space="preserve">Though the Appellant claimed that the orders from </w:t>
      </w:r>
      <w:r w:rsidR="00C707C2">
        <w:rPr>
          <w:lang w:eastAsia="zh-HK"/>
        </w:rPr>
        <w:t>Company E</w:t>
      </w:r>
      <w:r w:rsidRPr="00532A38">
        <w:rPr>
          <w:lang w:eastAsia="zh-HK"/>
        </w:rPr>
        <w:t xml:space="preserve"> were handled by </w:t>
      </w:r>
      <w:r w:rsidR="00B407C9" w:rsidRPr="00532A38">
        <w:rPr>
          <w:lang w:eastAsia="zh-HK"/>
        </w:rPr>
        <w:t xml:space="preserve">the PRC Subsidiary’s </w:t>
      </w:r>
      <w:r w:rsidRPr="00532A38">
        <w:rPr>
          <w:lang w:eastAsia="zh-HK"/>
        </w:rPr>
        <w:t xml:space="preserve">staff on behalf of the Appellant in Shenzhen, the purchase orders from </w:t>
      </w:r>
      <w:r w:rsidR="00C707C2">
        <w:rPr>
          <w:lang w:eastAsia="zh-HK"/>
        </w:rPr>
        <w:t>Company E</w:t>
      </w:r>
      <w:r w:rsidRPr="00532A38">
        <w:rPr>
          <w:lang w:eastAsia="zh-HK"/>
        </w:rPr>
        <w:t xml:space="preserve"> was addressed to the Appellant’s Hong Kong address </w:t>
      </w:r>
      <w:r w:rsidRPr="00532A38">
        <w:rPr>
          <w:lang w:eastAsia="zh-HK"/>
        </w:rPr>
        <w:lastRenderedPageBreak/>
        <w:t xml:space="preserve">attention to </w:t>
      </w:r>
      <w:r w:rsidR="00C707C2">
        <w:rPr>
          <w:lang w:eastAsia="zh-HK"/>
        </w:rPr>
        <w:t>Ms P</w:t>
      </w:r>
      <w:r w:rsidRPr="00532A38">
        <w:rPr>
          <w:lang w:eastAsia="zh-HK"/>
        </w:rPr>
        <w:t xml:space="preserve">.  There is no evidence to show that </w:t>
      </w:r>
      <w:r w:rsidR="00C707C2">
        <w:rPr>
          <w:lang w:eastAsia="zh-HK"/>
        </w:rPr>
        <w:t>Company E</w:t>
      </w:r>
      <w:r w:rsidRPr="00532A38">
        <w:rPr>
          <w:lang w:eastAsia="zh-HK"/>
        </w:rPr>
        <w:t>’s orders were handled</w:t>
      </w:r>
      <w:r w:rsidR="003B145C" w:rsidRPr="00532A38">
        <w:rPr>
          <w:rFonts w:eastAsiaTheme="minorEastAsia"/>
          <w:lang w:eastAsia="zh-HK"/>
        </w:rPr>
        <w:t xml:space="preserve"> by</w:t>
      </w:r>
      <w:r w:rsidRPr="00532A38">
        <w:rPr>
          <w:lang w:eastAsia="zh-HK"/>
        </w:rPr>
        <w:t xml:space="preserve"> </w:t>
      </w:r>
      <w:r w:rsidR="00B407C9" w:rsidRPr="00532A38">
        <w:rPr>
          <w:lang w:eastAsia="zh-HK"/>
        </w:rPr>
        <w:t xml:space="preserve">the PRC’s Subsidiary </w:t>
      </w:r>
      <w:r w:rsidRPr="00532A38">
        <w:rPr>
          <w:lang w:eastAsia="zh-HK"/>
        </w:rPr>
        <w:t xml:space="preserve">staff in Shenzhen. </w:t>
      </w:r>
      <w:r w:rsidRPr="00532A38">
        <w:rPr>
          <w:rFonts w:eastAsiaTheme="minorEastAsia"/>
        </w:rPr>
        <w:t xml:space="preserve"> </w:t>
      </w:r>
      <w:r w:rsidRPr="00532A38">
        <w:rPr>
          <w:lang w:eastAsia="zh-HK"/>
        </w:rPr>
        <w:t>Given that the customer’s orders were handled by the Appellant’s staff in Hong Kong, the source of the Appellant’s profits should be Hong Kong.</w:t>
      </w:r>
    </w:p>
    <w:p w14:paraId="7CCAE8FA" w14:textId="77777777" w:rsidR="00A70641" w:rsidRPr="00532A38" w:rsidRDefault="00A70641" w:rsidP="0046026A">
      <w:pPr>
        <w:pStyle w:val="Web"/>
        <w:overflowPunct w:val="0"/>
        <w:spacing w:before="0" w:beforeAutospacing="0" w:after="0" w:afterAutospacing="0"/>
        <w:ind w:left="360"/>
        <w:jc w:val="both"/>
        <w:rPr>
          <w:rFonts w:eastAsiaTheme="minorEastAsia"/>
        </w:rPr>
      </w:pPr>
    </w:p>
    <w:p w14:paraId="7CCAE8FB" w14:textId="732674B4" w:rsidR="00A12647" w:rsidRPr="00532A38" w:rsidRDefault="006A5BB7" w:rsidP="00C707C2">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It must be stressed that t</w:t>
      </w:r>
      <w:r w:rsidR="00A70641" w:rsidRPr="00532A38">
        <w:rPr>
          <w:rFonts w:eastAsiaTheme="minorEastAsia"/>
        </w:rPr>
        <w:t xml:space="preserve">he assessment as set out in the Determination was made based on the Appellant’s reported profits in its audited accounts.  The figures can be found under ‘Profits before adjustments in dispute’ in Fact (30), (11) and (16)(b) of the Determination.  The assessment was made in line with the authorities as set out above and in the judgment of Fok J </w:t>
      </w:r>
      <w:r w:rsidRPr="00532A38">
        <w:rPr>
          <w:rFonts w:eastAsiaTheme="minorEastAsia"/>
        </w:rPr>
        <w:t xml:space="preserve">(as he then was) </w:t>
      </w:r>
      <w:r w:rsidR="00A70641" w:rsidRPr="00532A38">
        <w:rPr>
          <w:rFonts w:eastAsiaTheme="minorEastAsia"/>
        </w:rPr>
        <w:t xml:space="preserve">in </w:t>
      </w:r>
      <w:r w:rsidR="00C95C31">
        <w:rPr>
          <w:rFonts w:eastAsiaTheme="minorEastAsia"/>
          <w:u w:val="single"/>
        </w:rPr>
        <w:t>C</w:t>
      </w:r>
      <w:bookmarkStart w:id="0" w:name="_GoBack"/>
      <w:bookmarkEnd w:id="0"/>
      <w:r w:rsidR="00A70641" w:rsidRPr="00C707C2">
        <w:rPr>
          <w:rFonts w:eastAsiaTheme="minorEastAsia"/>
          <w:u w:val="single"/>
        </w:rPr>
        <w:t>G Lighting</w:t>
      </w:r>
      <w:r w:rsidR="00A70641" w:rsidRPr="00532A38">
        <w:rPr>
          <w:lang w:eastAsia="zh-HK"/>
        </w:rPr>
        <w:t xml:space="preserve">.  </w:t>
      </w:r>
      <w:r w:rsidRPr="00532A38">
        <w:rPr>
          <w:lang w:eastAsia="zh-HK"/>
        </w:rPr>
        <w:t xml:space="preserve">Such assessment cannot be faulted and is correct. </w:t>
      </w:r>
      <w:r w:rsidR="00A70641" w:rsidRPr="00532A38">
        <w:rPr>
          <w:rFonts w:eastAsiaTheme="minorEastAsia"/>
        </w:rPr>
        <w:t xml:space="preserve"> </w:t>
      </w:r>
    </w:p>
    <w:p w14:paraId="7CCAE8FC" w14:textId="77777777" w:rsidR="00A12647" w:rsidRPr="00532A38" w:rsidRDefault="00A12647" w:rsidP="00C707C2">
      <w:pPr>
        <w:pStyle w:val="a3"/>
        <w:overflowPunct w:val="0"/>
        <w:spacing w:after="0" w:line="240" w:lineRule="auto"/>
        <w:ind w:left="0"/>
        <w:rPr>
          <w:rFonts w:ascii="Times New Roman" w:hAnsi="Times New Roman" w:cs="Times New Roman"/>
          <w:sz w:val="24"/>
          <w:szCs w:val="24"/>
        </w:rPr>
      </w:pPr>
    </w:p>
    <w:p w14:paraId="7CCAE8FD" w14:textId="77777777" w:rsidR="00466D12" w:rsidRPr="00532A38" w:rsidRDefault="00466D12" w:rsidP="00C707C2">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For the sake of completeness, this Board also addresses the issue of whether the profits assessed included any profits from sale of IC chips provided by customers. </w:t>
      </w:r>
    </w:p>
    <w:p w14:paraId="7CCAE8FE" w14:textId="77777777" w:rsidR="00466D12" w:rsidRPr="00532A38" w:rsidRDefault="00466D12" w:rsidP="00C707C2">
      <w:pPr>
        <w:pStyle w:val="a3"/>
        <w:overflowPunct w:val="0"/>
        <w:spacing w:after="0" w:line="240" w:lineRule="auto"/>
        <w:ind w:left="0"/>
        <w:rPr>
          <w:rFonts w:ascii="Times New Roman" w:hAnsi="Times New Roman" w:cs="Times New Roman"/>
          <w:sz w:val="24"/>
          <w:szCs w:val="24"/>
        </w:rPr>
      </w:pPr>
    </w:p>
    <w:p w14:paraId="7CCAE8FF" w14:textId="499068EC" w:rsidR="00DC4EEE" w:rsidRPr="00532A38" w:rsidRDefault="00DC4EEE" w:rsidP="00C707C2">
      <w:pPr>
        <w:pStyle w:val="a3"/>
        <w:numPr>
          <w:ilvl w:val="0"/>
          <w:numId w:val="2"/>
        </w:numPr>
        <w:shd w:val="clear" w:color="auto" w:fill="FFFFFF"/>
        <w:overflowPunct w:val="0"/>
        <w:spacing w:after="0" w:line="240" w:lineRule="auto"/>
        <w:ind w:left="0" w:firstLine="0"/>
        <w:contextualSpacing w:val="0"/>
        <w:jc w:val="both"/>
        <w:rPr>
          <w:rFonts w:ascii="Times New Roman" w:hAnsi="Times New Roman" w:cs="Times New Roman"/>
          <w:sz w:val="24"/>
          <w:szCs w:val="24"/>
        </w:rPr>
      </w:pPr>
      <w:r w:rsidRPr="00532A38">
        <w:rPr>
          <w:rFonts w:ascii="Times New Roman" w:hAnsi="Times New Roman" w:cs="Times New Roman"/>
          <w:sz w:val="24"/>
          <w:szCs w:val="24"/>
        </w:rPr>
        <w:t xml:space="preserve">Ms </w:t>
      </w:r>
      <w:r w:rsidR="00C707C2">
        <w:rPr>
          <w:rFonts w:ascii="Times New Roman" w:hAnsi="Times New Roman" w:cs="Times New Roman"/>
          <w:sz w:val="24"/>
          <w:szCs w:val="24"/>
        </w:rPr>
        <w:t>G</w:t>
      </w:r>
      <w:r w:rsidRPr="00532A38">
        <w:rPr>
          <w:rFonts w:ascii="Times New Roman" w:hAnsi="Times New Roman" w:cs="Times New Roman"/>
          <w:sz w:val="24"/>
          <w:szCs w:val="24"/>
        </w:rPr>
        <w:t xml:space="preserve"> and Mr Yue by submissions</w:t>
      </w:r>
      <w:r w:rsidRPr="00532A38">
        <w:rPr>
          <w:rFonts w:ascii="Times New Roman" w:hAnsi="Times New Roman" w:cs="Times New Roman"/>
          <w:sz w:val="24"/>
          <w:szCs w:val="24"/>
          <w:lang w:eastAsia="zh-HK"/>
        </w:rPr>
        <w:t xml:space="preserve"> </w:t>
      </w:r>
      <w:r w:rsidR="00466D12" w:rsidRPr="00532A38">
        <w:rPr>
          <w:rFonts w:ascii="Times New Roman" w:hAnsi="Times New Roman" w:cs="Times New Roman"/>
          <w:sz w:val="24"/>
          <w:szCs w:val="24"/>
          <w:lang w:eastAsia="zh-HK"/>
        </w:rPr>
        <w:t xml:space="preserve">stressed </w:t>
      </w:r>
      <w:r w:rsidRPr="00532A38">
        <w:rPr>
          <w:rFonts w:ascii="Times New Roman" w:hAnsi="Times New Roman" w:cs="Times New Roman"/>
          <w:sz w:val="24"/>
          <w:szCs w:val="24"/>
          <w:lang w:eastAsia="zh-HK"/>
        </w:rPr>
        <w:t xml:space="preserve">that the majority of the IC chips used in the production of card products were </w:t>
      </w:r>
      <w:r w:rsidR="00C707C2">
        <w:rPr>
          <w:rFonts w:ascii="Times New Roman" w:hAnsi="Times New Roman" w:cs="Times New Roman"/>
          <w:sz w:val="24"/>
          <w:szCs w:val="24"/>
        </w:rPr>
        <w:t>‘</w:t>
      </w:r>
      <w:r w:rsidRPr="00532A38">
        <w:rPr>
          <w:rFonts w:ascii="Times New Roman" w:hAnsi="Times New Roman" w:cs="Times New Roman"/>
          <w:sz w:val="24"/>
          <w:szCs w:val="24"/>
          <w:lang w:eastAsia="zh-HK"/>
        </w:rPr>
        <w:t>trust</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 xml:space="preserve"> property provided by customers</w:t>
      </w:r>
      <w:r w:rsidRPr="00532A38">
        <w:rPr>
          <w:rFonts w:ascii="Times New Roman" w:hAnsi="Times New Roman" w:cs="Times New Roman"/>
          <w:sz w:val="24"/>
          <w:szCs w:val="24"/>
        </w:rPr>
        <w:t xml:space="preserve"> and that t</w:t>
      </w:r>
      <w:r w:rsidRPr="00532A38">
        <w:rPr>
          <w:rFonts w:ascii="Times New Roman" w:hAnsi="Times New Roman" w:cs="Times New Roman"/>
          <w:sz w:val="24"/>
          <w:szCs w:val="24"/>
          <w:lang w:eastAsia="zh-HK"/>
        </w:rPr>
        <w:t xml:space="preserve">he Appellant could not sell the </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trust</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 xml:space="preserve"> property for profits.  </w:t>
      </w:r>
      <w:r w:rsidR="00466D12" w:rsidRPr="00532A38">
        <w:rPr>
          <w:rFonts w:ascii="Times New Roman" w:hAnsi="Times New Roman" w:cs="Times New Roman"/>
          <w:sz w:val="24"/>
          <w:szCs w:val="24"/>
          <w:lang w:eastAsia="zh-HK"/>
        </w:rPr>
        <w:t xml:space="preserve">On this specific issue, the Inland Revenue Department </w:t>
      </w:r>
      <w:r w:rsidRPr="00532A38">
        <w:rPr>
          <w:rFonts w:ascii="Times New Roman" w:hAnsi="Times New Roman" w:cs="Times New Roman"/>
          <w:sz w:val="24"/>
          <w:szCs w:val="24"/>
          <w:lang w:eastAsia="zh-HK"/>
        </w:rPr>
        <w:t>submit</w:t>
      </w:r>
      <w:r w:rsidR="00466D12" w:rsidRPr="00532A38">
        <w:rPr>
          <w:rFonts w:ascii="Times New Roman" w:hAnsi="Times New Roman" w:cs="Times New Roman"/>
          <w:sz w:val="24"/>
          <w:szCs w:val="24"/>
          <w:lang w:eastAsia="zh-HK"/>
        </w:rPr>
        <w:t>ted</w:t>
      </w:r>
      <w:r w:rsidRPr="00532A38">
        <w:rPr>
          <w:rFonts w:ascii="Times New Roman" w:hAnsi="Times New Roman" w:cs="Times New Roman"/>
          <w:sz w:val="24"/>
          <w:szCs w:val="24"/>
          <w:lang w:eastAsia="zh-HK"/>
        </w:rPr>
        <w:t xml:space="preserve"> that according to the information available, no profits from sale of these </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trust</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 xml:space="preserve"> property had been included in the Appellant’s accounts.  </w:t>
      </w:r>
      <w:r w:rsidR="00A0326B" w:rsidRPr="00532A38">
        <w:rPr>
          <w:rFonts w:ascii="Times New Roman" w:hAnsi="Times New Roman" w:cs="Times New Roman"/>
          <w:sz w:val="24"/>
          <w:szCs w:val="24"/>
          <w:lang w:eastAsia="zh-HK"/>
        </w:rPr>
        <w:t xml:space="preserve">The Inland Revenue Department had taken into consideration the </w:t>
      </w:r>
      <w:r w:rsidRPr="00532A38">
        <w:rPr>
          <w:rFonts w:ascii="Times New Roman" w:hAnsi="Times New Roman" w:cs="Times New Roman"/>
          <w:sz w:val="24"/>
          <w:szCs w:val="24"/>
          <w:lang w:eastAsia="zh-HK"/>
        </w:rPr>
        <w:t>following:</w:t>
      </w:r>
    </w:p>
    <w:p w14:paraId="7CCAE900" w14:textId="77777777" w:rsidR="00DC4EEE" w:rsidRPr="00532A38" w:rsidRDefault="00DC4EEE" w:rsidP="0046026A">
      <w:pPr>
        <w:pStyle w:val="a3"/>
        <w:tabs>
          <w:tab w:val="left" w:pos="709"/>
        </w:tabs>
        <w:overflowPunct w:val="0"/>
        <w:spacing w:after="0" w:line="240" w:lineRule="auto"/>
        <w:ind w:left="0"/>
        <w:jc w:val="both"/>
        <w:rPr>
          <w:rFonts w:ascii="Times New Roman" w:hAnsi="Times New Roman" w:cs="Times New Roman"/>
          <w:sz w:val="24"/>
          <w:szCs w:val="24"/>
        </w:rPr>
      </w:pPr>
    </w:p>
    <w:p w14:paraId="7CCAE901" w14:textId="55D38B9C" w:rsidR="00DC4EEE" w:rsidRDefault="00DC4EEE" w:rsidP="00C707C2">
      <w:pPr>
        <w:pStyle w:val="a3"/>
        <w:numPr>
          <w:ilvl w:val="0"/>
          <w:numId w:val="27"/>
        </w:numPr>
        <w:tabs>
          <w:tab w:val="left" w:pos="1932"/>
        </w:tabs>
        <w:overflowPunct w:val="0"/>
        <w:spacing w:after="0" w:line="240" w:lineRule="auto"/>
        <w:ind w:leftChars="638" w:left="1932" w:hangingChars="220" w:hanging="528"/>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According to Appendices B1 to B12 of the Determination, the total number of IC chips </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sold</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 xml:space="preserve"> by the Appellant to </w:t>
      </w:r>
      <w:r w:rsidR="003B145C" w:rsidRPr="00532A38">
        <w:rPr>
          <w:rFonts w:ascii="Times New Roman" w:hAnsi="Times New Roman" w:cs="Times New Roman"/>
          <w:sz w:val="24"/>
          <w:szCs w:val="24"/>
          <w:lang w:eastAsia="zh-HK"/>
        </w:rPr>
        <w:t>PRC Subsidiary</w:t>
      </w:r>
      <w:r w:rsidRPr="00532A38">
        <w:rPr>
          <w:rFonts w:ascii="Times New Roman" w:hAnsi="Times New Roman" w:cs="Times New Roman"/>
          <w:sz w:val="24"/>
          <w:szCs w:val="24"/>
          <w:lang w:eastAsia="zh-HK"/>
        </w:rPr>
        <w:t xml:space="preserve"> was 7,391,298 pieces.  The total was arrived at as follows:</w:t>
      </w:r>
    </w:p>
    <w:p w14:paraId="3C324953" w14:textId="77777777" w:rsidR="00C707C2" w:rsidRPr="00532A38" w:rsidRDefault="00C707C2" w:rsidP="00C707C2">
      <w:pPr>
        <w:pStyle w:val="a3"/>
        <w:tabs>
          <w:tab w:val="left" w:pos="709"/>
        </w:tabs>
        <w:overflowPunct w:val="0"/>
        <w:spacing w:after="0" w:line="240" w:lineRule="auto"/>
        <w:jc w:val="both"/>
        <w:rPr>
          <w:rFonts w:ascii="Times New Roman" w:hAnsi="Times New Roman" w:cs="Times New Roman"/>
          <w:sz w:val="24"/>
          <w:szCs w:val="24"/>
          <w:lang w:eastAsia="zh-HK"/>
        </w:rPr>
      </w:pPr>
    </w:p>
    <w:tbl>
      <w:tblPr>
        <w:tblW w:w="2221" w:type="dxa"/>
        <w:tblInd w:w="1918" w:type="dxa"/>
        <w:tblCellMar>
          <w:left w:w="28" w:type="dxa"/>
          <w:right w:w="28" w:type="dxa"/>
        </w:tblCellMar>
        <w:tblLook w:val="04A0" w:firstRow="1" w:lastRow="0" w:firstColumn="1" w:lastColumn="0" w:noHBand="0" w:noVBand="1"/>
      </w:tblPr>
      <w:tblGrid>
        <w:gridCol w:w="945"/>
        <w:gridCol w:w="1276"/>
      </w:tblGrid>
      <w:tr w:rsidR="00C707C2" w:rsidRPr="00532A38" w14:paraId="7CCAE906" w14:textId="77777777" w:rsidTr="00C707C2">
        <w:trPr>
          <w:trHeight w:val="312"/>
        </w:trPr>
        <w:tc>
          <w:tcPr>
            <w:tcW w:w="945" w:type="dxa"/>
            <w:shd w:val="clear" w:color="auto" w:fill="auto"/>
            <w:noWrap/>
            <w:vAlign w:val="center"/>
            <w:hideMark/>
          </w:tcPr>
          <w:p w14:paraId="7CCAE902"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u w:val="single"/>
              </w:rPr>
            </w:pPr>
            <w:r w:rsidRPr="00532A38">
              <w:rPr>
                <w:rFonts w:ascii="Times New Roman" w:eastAsia="新細明體" w:hAnsi="Times New Roman" w:cs="Times New Roman"/>
                <w:color w:val="000000"/>
                <w:sz w:val="24"/>
                <w:szCs w:val="24"/>
                <w:u w:val="single"/>
              </w:rPr>
              <w:t>Month</w:t>
            </w:r>
          </w:p>
        </w:tc>
        <w:tc>
          <w:tcPr>
            <w:tcW w:w="1276" w:type="dxa"/>
            <w:shd w:val="clear" w:color="auto" w:fill="auto"/>
            <w:noWrap/>
            <w:vAlign w:val="center"/>
            <w:hideMark/>
          </w:tcPr>
          <w:p w14:paraId="7CCAE905" w14:textId="77777777" w:rsidR="00C707C2" w:rsidRPr="00532A38" w:rsidRDefault="00C707C2" w:rsidP="0046026A">
            <w:pPr>
              <w:overflowPunct w:val="0"/>
              <w:spacing w:after="0" w:line="240" w:lineRule="auto"/>
              <w:jc w:val="center"/>
              <w:rPr>
                <w:rFonts w:ascii="Times New Roman" w:eastAsia="新細明體" w:hAnsi="Times New Roman" w:cs="Times New Roman"/>
                <w:b/>
                <w:bCs/>
                <w:color w:val="000000"/>
                <w:sz w:val="24"/>
                <w:szCs w:val="24"/>
                <w:u w:val="single"/>
              </w:rPr>
            </w:pPr>
            <w:r w:rsidRPr="00532A38">
              <w:rPr>
                <w:rFonts w:ascii="Times New Roman" w:eastAsia="新細明體" w:hAnsi="Times New Roman" w:cs="Times New Roman"/>
                <w:b/>
                <w:bCs/>
                <w:color w:val="000000"/>
                <w:sz w:val="24"/>
                <w:szCs w:val="24"/>
                <w:u w:val="single"/>
              </w:rPr>
              <w:t>IC chips</w:t>
            </w:r>
          </w:p>
        </w:tc>
      </w:tr>
      <w:tr w:rsidR="00C707C2" w:rsidRPr="00532A38" w14:paraId="7CCAE90B" w14:textId="77777777" w:rsidTr="00C707C2">
        <w:trPr>
          <w:trHeight w:val="312"/>
        </w:trPr>
        <w:tc>
          <w:tcPr>
            <w:tcW w:w="945" w:type="dxa"/>
            <w:shd w:val="clear" w:color="auto" w:fill="auto"/>
            <w:noWrap/>
            <w:vAlign w:val="center"/>
            <w:hideMark/>
          </w:tcPr>
          <w:p w14:paraId="7CCAE907"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p>
        </w:tc>
        <w:tc>
          <w:tcPr>
            <w:tcW w:w="1276" w:type="dxa"/>
            <w:shd w:val="clear" w:color="auto" w:fill="auto"/>
            <w:noWrap/>
            <w:vAlign w:val="center"/>
            <w:hideMark/>
          </w:tcPr>
          <w:p w14:paraId="7CCAE90A" w14:textId="77777777" w:rsidR="00C707C2" w:rsidRPr="00532A38" w:rsidRDefault="00C707C2" w:rsidP="0046026A">
            <w:pPr>
              <w:overflowPunct w:val="0"/>
              <w:spacing w:after="0" w:line="240" w:lineRule="auto"/>
              <w:jc w:val="center"/>
              <w:rPr>
                <w:rFonts w:ascii="Times New Roman" w:eastAsia="新細明體" w:hAnsi="Times New Roman" w:cs="Times New Roman"/>
                <w:b/>
                <w:bCs/>
                <w:color w:val="000000"/>
                <w:sz w:val="24"/>
                <w:szCs w:val="24"/>
              </w:rPr>
            </w:pPr>
            <w:r w:rsidRPr="00532A38">
              <w:rPr>
                <w:rFonts w:ascii="Times New Roman" w:eastAsia="新細明體" w:hAnsi="Times New Roman" w:cs="Times New Roman"/>
                <w:b/>
                <w:bCs/>
                <w:color w:val="000000"/>
                <w:sz w:val="24"/>
                <w:szCs w:val="24"/>
              </w:rPr>
              <w:t>(pcs)</w:t>
            </w:r>
          </w:p>
        </w:tc>
      </w:tr>
      <w:tr w:rsidR="00C707C2" w:rsidRPr="00532A38" w14:paraId="7CCAE910" w14:textId="77777777" w:rsidTr="00C707C2">
        <w:trPr>
          <w:trHeight w:val="312"/>
        </w:trPr>
        <w:tc>
          <w:tcPr>
            <w:tcW w:w="945" w:type="dxa"/>
            <w:shd w:val="clear" w:color="auto" w:fill="auto"/>
            <w:noWrap/>
            <w:vAlign w:val="center"/>
            <w:hideMark/>
          </w:tcPr>
          <w:p w14:paraId="7CCAE90C"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Apr-10</w:t>
            </w:r>
          </w:p>
        </w:tc>
        <w:tc>
          <w:tcPr>
            <w:tcW w:w="1276" w:type="dxa"/>
            <w:shd w:val="clear" w:color="auto" w:fill="auto"/>
            <w:noWrap/>
            <w:vAlign w:val="center"/>
            <w:hideMark/>
          </w:tcPr>
          <w:p w14:paraId="7CCAE90F"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lang w:eastAsia="zh-HK"/>
              </w:rPr>
              <w:t>3</w:t>
            </w:r>
            <w:r w:rsidRPr="00532A38">
              <w:rPr>
                <w:rFonts w:ascii="Times New Roman" w:eastAsia="新細明體" w:hAnsi="Times New Roman" w:cs="Times New Roman"/>
                <w:bCs/>
                <w:color w:val="000000"/>
                <w:sz w:val="24"/>
                <w:szCs w:val="24"/>
              </w:rPr>
              <w:t>5,000</w:t>
            </w:r>
          </w:p>
        </w:tc>
      </w:tr>
      <w:tr w:rsidR="00C707C2" w:rsidRPr="00532A38" w14:paraId="7CCAE915" w14:textId="77777777" w:rsidTr="00C707C2">
        <w:trPr>
          <w:trHeight w:val="312"/>
        </w:trPr>
        <w:tc>
          <w:tcPr>
            <w:tcW w:w="945" w:type="dxa"/>
            <w:shd w:val="clear" w:color="auto" w:fill="auto"/>
            <w:noWrap/>
            <w:vAlign w:val="center"/>
            <w:hideMark/>
          </w:tcPr>
          <w:p w14:paraId="7CCAE911"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May-10</w:t>
            </w:r>
          </w:p>
        </w:tc>
        <w:tc>
          <w:tcPr>
            <w:tcW w:w="1276" w:type="dxa"/>
            <w:shd w:val="clear" w:color="auto" w:fill="auto"/>
            <w:noWrap/>
            <w:vAlign w:val="center"/>
            <w:hideMark/>
          </w:tcPr>
          <w:p w14:paraId="7CCAE914"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203,970</w:t>
            </w:r>
          </w:p>
        </w:tc>
      </w:tr>
      <w:tr w:rsidR="00C707C2" w:rsidRPr="00532A38" w14:paraId="7CCAE91A" w14:textId="77777777" w:rsidTr="00C707C2">
        <w:trPr>
          <w:trHeight w:val="312"/>
        </w:trPr>
        <w:tc>
          <w:tcPr>
            <w:tcW w:w="945" w:type="dxa"/>
            <w:shd w:val="clear" w:color="auto" w:fill="auto"/>
            <w:noWrap/>
            <w:vAlign w:val="center"/>
            <w:hideMark/>
          </w:tcPr>
          <w:p w14:paraId="7CCAE916"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Jun-10</w:t>
            </w:r>
          </w:p>
        </w:tc>
        <w:tc>
          <w:tcPr>
            <w:tcW w:w="1276" w:type="dxa"/>
            <w:shd w:val="clear" w:color="auto" w:fill="auto"/>
            <w:noWrap/>
            <w:vAlign w:val="center"/>
            <w:hideMark/>
          </w:tcPr>
          <w:p w14:paraId="7CCAE919"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742,037</w:t>
            </w:r>
          </w:p>
        </w:tc>
      </w:tr>
      <w:tr w:rsidR="00C707C2" w:rsidRPr="00532A38" w14:paraId="7CCAE91F" w14:textId="77777777" w:rsidTr="00C707C2">
        <w:trPr>
          <w:trHeight w:val="312"/>
        </w:trPr>
        <w:tc>
          <w:tcPr>
            <w:tcW w:w="945" w:type="dxa"/>
            <w:shd w:val="clear" w:color="auto" w:fill="auto"/>
            <w:noWrap/>
            <w:vAlign w:val="center"/>
            <w:hideMark/>
          </w:tcPr>
          <w:p w14:paraId="7CCAE91B"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Jul-10</w:t>
            </w:r>
          </w:p>
        </w:tc>
        <w:tc>
          <w:tcPr>
            <w:tcW w:w="1276" w:type="dxa"/>
            <w:shd w:val="clear" w:color="auto" w:fill="auto"/>
            <w:noWrap/>
            <w:vAlign w:val="center"/>
            <w:hideMark/>
          </w:tcPr>
          <w:p w14:paraId="7CCAE91E"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590,601</w:t>
            </w:r>
          </w:p>
        </w:tc>
      </w:tr>
      <w:tr w:rsidR="00C707C2" w:rsidRPr="00532A38" w14:paraId="7CCAE924" w14:textId="77777777" w:rsidTr="00C707C2">
        <w:trPr>
          <w:trHeight w:val="312"/>
        </w:trPr>
        <w:tc>
          <w:tcPr>
            <w:tcW w:w="945" w:type="dxa"/>
            <w:shd w:val="clear" w:color="auto" w:fill="auto"/>
            <w:noWrap/>
            <w:vAlign w:val="center"/>
            <w:hideMark/>
          </w:tcPr>
          <w:p w14:paraId="7CCAE920"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Aug-10</w:t>
            </w:r>
          </w:p>
        </w:tc>
        <w:tc>
          <w:tcPr>
            <w:tcW w:w="1276" w:type="dxa"/>
            <w:shd w:val="clear" w:color="auto" w:fill="auto"/>
            <w:noWrap/>
            <w:vAlign w:val="center"/>
            <w:hideMark/>
          </w:tcPr>
          <w:p w14:paraId="7CCAE923"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846,242</w:t>
            </w:r>
          </w:p>
        </w:tc>
      </w:tr>
      <w:tr w:rsidR="00C707C2" w:rsidRPr="00532A38" w14:paraId="7CCAE929" w14:textId="77777777" w:rsidTr="00C707C2">
        <w:trPr>
          <w:trHeight w:val="312"/>
        </w:trPr>
        <w:tc>
          <w:tcPr>
            <w:tcW w:w="945" w:type="dxa"/>
            <w:shd w:val="clear" w:color="auto" w:fill="auto"/>
            <w:noWrap/>
            <w:vAlign w:val="center"/>
            <w:hideMark/>
          </w:tcPr>
          <w:p w14:paraId="7CCAE925"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Sep-10</w:t>
            </w:r>
          </w:p>
        </w:tc>
        <w:tc>
          <w:tcPr>
            <w:tcW w:w="1276" w:type="dxa"/>
            <w:shd w:val="clear" w:color="auto" w:fill="auto"/>
            <w:noWrap/>
            <w:vAlign w:val="center"/>
            <w:hideMark/>
          </w:tcPr>
          <w:p w14:paraId="7CCAE928"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913,550</w:t>
            </w:r>
          </w:p>
        </w:tc>
      </w:tr>
      <w:tr w:rsidR="00C707C2" w:rsidRPr="00532A38" w14:paraId="7CCAE92E" w14:textId="77777777" w:rsidTr="00C707C2">
        <w:trPr>
          <w:trHeight w:val="312"/>
        </w:trPr>
        <w:tc>
          <w:tcPr>
            <w:tcW w:w="945" w:type="dxa"/>
            <w:shd w:val="clear" w:color="auto" w:fill="auto"/>
            <w:noWrap/>
            <w:vAlign w:val="center"/>
            <w:hideMark/>
          </w:tcPr>
          <w:p w14:paraId="7CCAE92A"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Oct-10</w:t>
            </w:r>
          </w:p>
        </w:tc>
        <w:tc>
          <w:tcPr>
            <w:tcW w:w="1276" w:type="dxa"/>
            <w:shd w:val="clear" w:color="auto" w:fill="auto"/>
            <w:noWrap/>
            <w:vAlign w:val="center"/>
            <w:hideMark/>
          </w:tcPr>
          <w:p w14:paraId="7CCAE92D"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463,129</w:t>
            </w:r>
          </w:p>
        </w:tc>
      </w:tr>
      <w:tr w:rsidR="00C707C2" w:rsidRPr="00532A38" w14:paraId="7CCAE933" w14:textId="77777777" w:rsidTr="00C707C2">
        <w:trPr>
          <w:trHeight w:val="312"/>
        </w:trPr>
        <w:tc>
          <w:tcPr>
            <w:tcW w:w="945" w:type="dxa"/>
            <w:shd w:val="clear" w:color="auto" w:fill="auto"/>
            <w:noWrap/>
            <w:vAlign w:val="center"/>
            <w:hideMark/>
          </w:tcPr>
          <w:p w14:paraId="7CCAE92F"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Nov-10</w:t>
            </w:r>
          </w:p>
        </w:tc>
        <w:tc>
          <w:tcPr>
            <w:tcW w:w="1276" w:type="dxa"/>
            <w:shd w:val="clear" w:color="auto" w:fill="auto"/>
            <w:noWrap/>
            <w:vAlign w:val="center"/>
            <w:hideMark/>
          </w:tcPr>
          <w:p w14:paraId="7CCAE932"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740,030</w:t>
            </w:r>
          </w:p>
        </w:tc>
      </w:tr>
      <w:tr w:rsidR="00C707C2" w:rsidRPr="00532A38" w14:paraId="7CCAE938" w14:textId="77777777" w:rsidTr="00C707C2">
        <w:trPr>
          <w:trHeight w:val="312"/>
        </w:trPr>
        <w:tc>
          <w:tcPr>
            <w:tcW w:w="945" w:type="dxa"/>
            <w:shd w:val="clear" w:color="auto" w:fill="auto"/>
            <w:noWrap/>
            <w:vAlign w:val="center"/>
            <w:hideMark/>
          </w:tcPr>
          <w:p w14:paraId="7CCAE934"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Dec-10</w:t>
            </w:r>
          </w:p>
        </w:tc>
        <w:tc>
          <w:tcPr>
            <w:tcW w:w="1276" w:type="dxa"/>
            <w:shd w:val="clear" w:color="auto" w:fill="auto"/>
            <w:noWrap/>
            <w:vAlign w:val="center"/>
            <w:hideMark/>
          </w:tcPr>
          <w:p w14:paraId="7CCAE937"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808,602</w:t>
            </w:r>
          </w:p>
        </w:tc>
      </w:tr>
      <w:tr w:rsidR="00C707C2" w:rsidRPr="00532A38" w14:paraId="7CCAE93D" w14:textId="77777777" w:rsidTr="00C707C2">
        <w:trPr>
          <w:trHeight w:val="312"/>
        </w:trPr>
        <w:tc>
          <w:tcPr>
            <w:tcW w:w="945" w:type="dxa"/>
            <w:shd w:val="clear" w:color="auto" w:fill="auto"/>
            <w:noWrap/>
            <w:vAlign w:val="center"/>
            <w:hideMark/>
          </w:tcPr>
          <w:p w14:paraId="7CCAE939"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Jan-11</w:t>
            </w:r>
          </w:p>
        </w:tc>
        <w:tc>
          <w:tcPr>
            <w:tcW w:w="1276" w:type="dxa"/>
            <w:shd w:val="clear" w:color="auto" w:fill="auto"/>
            <w:noWrap/>
            <w:vAlign w:val="center"/>
            <w:hideMark/>
          </w:tcPr>
          <w:p w14:paraId="7CCAE93C"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595,445</w:t>
            </w:r>
          </w:p>
        </w:tc>
      </w:tr>
      <w:tr w:rsidR="00C707C2" w:rsidRPr="00532A38" w14:paraId="7CCAE942" w14:textId="77777777" w:rsidTr="00C707C2">
        <w:trPr>
          <w:trHeight w:val="312"/>
        </w:trPr>
        <w:tc>
          <w:tcPr>
            <w:tcW w:w="945" w:type="dxa"/>
            <w:shd w:val="clear" w:color="auto" w:fill="auto"/>
            <w:noWrap/>
            <w:vAlign w:val="center"/>
            <w:hideMark/>
          </w:tcPr>
          <w:p w14:paraId="7CCAE93E"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Feb-11</w:t>
            </w:r>
          </w:p>
        </w:tc>
        <w:tc>
          <w:tcPr>
            <w:tcW w:w="1276" w:type="dxa"/>
            <w:shd w:val="clear" w:color="auto" w:fill="auto"/>
            <w:noWrap/>
            <w:vAlign w:val="center"/>
            <w:hideMark/>
          </w:tcPr>
          <w:p w14:paraId="7CCAE941"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rPr>
            </w:pPr>
            <w:r w:rsidRPr="00532A38">
              <w:rPr>
                <w:rFonts w:ascii="Times New Roman" w:eastAsia="新細明體" w:hAnsi="Times New Roman" w:cs="Times New Roman"/>
                <w:bCs/>
                <w:color w:val="000000"/>
                <w:sz w:val="24"/>
                <w:szCs w:val="24"/>
              </w:rPr>
              <w:t>451,037</w:t>
            </w:r>
          </w:p>
        </w:tc>
      </w:tr>
      <w:tr w:rsidR="00C707C2" w:rsidRPr="00532A38" w14:paraId="7CCAE947" w14:textId="77777777" w:rsidTr="00E528D4">
        <w:trPr>
          <w:trHeight w:val="312"/>
        </w:trPr>
        <w:tc>
          <w:tcPr>
            <w:tcW w:w="945" w:type="dxa"/>
            <w:shd w:val="clear" w:color="auto" w:fill="auto"/>
            <w:noWrap/>
            <w:vAlign w:val="center"/>
            <w:hideMark/>
          </w:tcPr>
          <w:p w14:paraId="7CCAE943"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Mar-11</w:t>
            </w:r>
          </w:p>
        </w:tc>
        <w:tc>
          <w:tcPr>
            <w:tcW w:w="1276" w:type="dxa"/>
            <w:shd w:val="clear" w:color="auto" w:fill="auto"/>
            <w:noWrap/>
            <w:vAlign w:val="center"/>
            <w:hideMark/>
          </w:tcPr>
          <w:p w14:paraId="7CCAE946"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u w:val="single"/>
              </w:rPr>
            </w:pPr>
            <w:r w:rsidRPr="00532A38">
              <w:rPr>
                <w:rFonts w:ascii="Times New Roman" w:eastAsia="新細明體" w:hAnsi="Times New Roman" w:cs="Times New Roman"/>
                <w:bCs/>
                <w:color w:val="000000"/>
                <w:sz w:val="24"/>
                <w:szCs w:val="24"/>
                <w:u w:val="single"/>
              </w:rPr>
              <w:t>1,001,655</w:t>
            </w:r>
          </w:p>
        </w:tc>
      </w:tr>
      <w:tr w:rsidR="00C707C2" w:rsidRPr="00532A38" w14:paraId="7CCAE94C" w14:textId="77777777" w:rsidTr="00E528D4">
        <w:trPr>
          <w:trHeight w:val="312"/>
        </w:trPr>
        <w:tc>
          <w:tcPr>
            <w:tcW w:w="945" w:type="dxa"/>
            <w:shd w:val="clear" w:color="auto" w:fill="auto"/>
            <w:noWrap/>
            <w:vAlign w:val="center"/>
            <w:hideMark/>
          </w:tcPr>
          <w:p w14:paraId="7CCAE948" w14:textId="77777777" w:rsidR="00C707C2" w:rsidRPr="00532A38" w:rsidRDefault="00C707C2" w:rsidP="0046026A">
            <w:pPr>
              <w:overflowPunct w:val="0"/>
              <w:spacing w:after="0" w:line="240" w:lineRule="auto"/>
              <w:jc w:val="both"/>
              <w:rPr>
                <w:rFonts w:ascii="Times New Roman" w:eastAsia="新細明體" w:hAnsi="Times New Roman" w:cs="Times New Roman"/>
                <w:color w:val="000000"/>
                <w:sz w:val="24"/>
                <w:szCs w:val="24"/>
              </w:rPr>
            </w:pPr>
            <w:r w:rsidRPr="00532A38">
              <w:rPr>
                <w:rFonts w:ascii="Times New Roman" w:eastAsia="新細明體" w:hAnsi="Times New Roman" w:cs="Times New Roman"/>
                <w:color w:val="000000"/>
                <w:sz w:val="24"/>
                <w:szCs w:val="24"/>
              </w:rPr>
              <w:t>Total</w:t>
            </w:r>
          </w:p>
        </w:tc>
        <w:tc>
          <w:tcPr>
            <w:tcW w:w="1276" w:type="dxa"/>
            <w:shd w:val="clear" w:color="auto" w:fill="auto"/>
            <w:noWrap/>
            <w:vAlign w:val="center"/>
            <w:hideMark/>
          </w:tcPr>
          <w:p w14:paraId="7CCAE94B" w14:textId="77777777" w:rsidR="00C707C2" w:rsidRPr="00532A38" w:rsidRDefault="00C707C2" w:rsidP="00C707C2">
            <w:pPr>
              <w:overflowPunct w:val="0"/>
              <w:spacing w:after="0" w:line="240" w:lineRule="auto"/>
              <w:ind w:rightChars="51" w:right="112"/>
              <w:jc w:val="right"/>
              <w:rPr>
                <w:rFonts w:ascii="Times New Roman" w:eastAsia="新細明體" w:hAnsi="Times New Roman" w:cs="Times New Roman"/>
                <w:bCs/>
                <w:color w:val="000000"/>
                <w:sz w:val="24"/>
                <w:szCs w:val="24"/>
                <w:u w:val="double"/>
              </w:rPr>
            </w:pPr>
            <w:r w:rsidRPr="00532A38">
              <w:rPr>
                <w:rFonts w:ascii="Times New Roman" w:eastAsia="新細明體" w:hAnsi="Times New Roman" w:cs="Times New Roman"/>
                <w:bCs/>
                <w:color w:val="000000"/>
                <w:sz w:val="24"/>
                <w:szCs w:val="24"/>
                <w:u w:val="double"/>
                <w:lang w:eastAsia="zh-HK"/>
              </w:rPr>
              <w:t>7</w:t>
            </w:r>
            <w:r w:rsidRPr="00532A38">
              <w:rPr>
                <w:rFonts w:ascii="Times New Roman" w:eastAsia="新細明體" w:hAnsi="Times New Roman" w:cs="Times New Roman"/>
                <w:bCs/>
                <w:color w:val="000000"/>
                <w:sz w:val="24"/>
                <w:szCs w:val="24"/>
                <w:u w:val="double"/>
              </w:rPr>
              <w:t>,391,298</w:t>
            </w:r>
          </w:p>
        </w:tc>
      </w:tr>
    </w:tbl>
    <w:p w14:paraId="7CCAE94D" w14:textId="77777777" w:rsidR="00DC4EEE" w:rsidRPr="00532A38" w:rsidRDefault="00DC4EEE" w:rsidP="0046026A">
      <w:pPr>
        <w:pStyle w:val="a3"/>
        <w:tabs>
          <w:tab w:val="left" w:pos="709"/>
        </w:tabs>
        <w:overflowPunct w:val="0"/>
        <w:spacing w:after="0" w:line="240" w:lineRule="auto"/>
        <w:ind w:left="0"/>
        <w:jc w:val="both"/>
        <w:rPr>
          <w:rFonts w:ascii="Times New Roman" w:hAnsi="Times New Roman" w:cs="Times New Roman"/>
          <w:sz w:val="24"/>
          <w:szCs w:val="24"/>
          <w:lang w:eastAsia="zh-HK"/>
        </w:rPr>
      </w:pPr>
    </w:p>
    <w:p w14:paraId="7CCAE94E" w14:textId="77777777" w:rsidR="00DC4EEE" w:rsidRPr="00532A38" w:rsidRDefault="00DC4EEE" w:rsidP="00C707C2">
      <w:pPr>
        <w:pStyle w:val="a3"/>
        <w:numPr>
          <w:ilvl w:val="0"/>
          <w:numId w:val="27"/>
        </w:numPr>
        <w:tabs>
          <w:tab w:val="left" w:pos="1932"/>
        </w:tabs>
        <w:overflowPunct w:val="0"/>
        <w:spacing w:after="0" w:line="240" w:lineRule="auto"/>
        <w:ind w:leftChars="638" w:left="1932" w:hangingChars="220" w:hanging="528"/>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This number is similar to the card products sold with IC chips provided by the Appellant of 8,355,527 pieces (i.e. IT(ACC) D1440) </w:t>
      </w:r>
      <w:r w:rsidRPr="00532A38">
        <w:rPr>
          <w:rFonts w:ascii="Times New Roman" w:hAnsi="Times New Roman" w:cs="Times New Roman"/>
          <w:sz w:val="24"/>
          <w:szCs w:val="24"/>
          <w:lang w:eastAsia="zh-HK"/>
        </w:rPr>
        <w:lastRenderedPageBreak/>
        <w:t xml:space="preserve">but far less than the number of card products sold with IC chips supplied by customers of 35,462,402 pieces (i.e. IT(client) at D1440).  </w:t>
      </w:r>
    </w:p>
    <w:p w14:paraId="7CCAE94F" w14:textId="77777777" w:rsidR="00DC4EEE" w:rsidRPr="00532A38" w:rsidRDefault="00DC4EEE" w:rsidP="0046026A">
      <w:pPr>
        <w:pStyle w:val="a3"/>
        <w:tabs>
          <w:tab w:val="left" w:pos="709"/>
        </w:tabs>
        <w:overflowPunct w:val="0"/>
        <w:spacing w:after="0" w:line="240" w:lineRule="auto"/>
        <w:ind w:left="0"/>
        <w:jc w:val="both"/>
        <w:rPr>
          <w:rFonts w:ascii="Times New Roman" w:hAnsi="Times New Roman" w:cs="Times New Roman"/>
          <w:sz w:val="24"/>
          <w:szCs w:val="24"/>
        </w:rPr>
      </w:pPr>
    </w:p>
    <w:p w14:paraId="7CCAE950" w14:textId="2ECA8BF5" w:rsidR="00DC4EEE" w:rsidRPr="00532A38" w:rsidRDefault="00DC4EEE" w:rsidP="00C707C2">
      <w:pPr>
        <w:pStyle w:val="a3"/>
        <w:numPr>
          <w:ilvl w:val="0"/>
          <w:numId w:val="27"/>
        </w:numPr>
        <w:tabs>
          <w:tab w:val="left" w:pos="1932"/>
        </w:tabs>
        <w:overflowPunct w:val="0"/>
        <w:spacing w:after="0" w:line="240" w:lineRule="auto"/>
        <w:ind w:leftChars="638" w:left="1932" w:hangingChars="220" w:hanging="528"/>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Even assuming the IC chips shown on Appendices B1 to B12 were provided by customers, no profits had been assessed on the transfer of these IC chips because according to the breakdown of </w:t>
      </w:r>
      <w:r w:rsidR="00C707C2">
        <w:rPr>
          <w:rFonts w:ascii="Times New Roman" w:hAnsi="Times New Roman" w:cs="Times New Roman"/>
          <w:sz w:val="24"/>
          <w:szCs w:val="24"/>
          <w:lang w:eastAsia="zh-HK"/>
        </w:rPr>
        <w:t>‘</w:t>
      </w:r>
      <w:r w:rsidRPr="00532A38">
        <w:rPr>
          <w:rFonts w:ascii="Times New Roman" w:hAnsi="Times New Roman" w:cs="Times New Roman"/>
          <w:sz w:val="24"/>
          <w:szCs w:val="24"/>
          <w:lang w:eastAsia="zh-HK"/>
        </w:rPr>
        <w:t xml:space="preserve">Purchases for Resales to </w:t>
      </w:r>
      <w:r w:rsidR="00A0326B" w:rsidRPr="00532A38">
        <w:rPr>
          <w:rFonts w:ascii="Times New Roman" w:hAnsi="Times New Roman" w:cs="Times New Roman"/>
          <w:sz w:val="24"/>
          <w:szCs w:val="24"/>
          <w:lang w:eastAsia="zh-HK"/>
        </w:rPr>
        <w:t>the PRC Subsidiary</w:t>
      </w:r>
      <w:r w:rsidRPr="00532A38">
        <w:rPr>
          <w:rFonts w:ascii="Times New Roman" w:hAnsi="Times New Roman" w:cs="Times New Roman"/>
          <w:sz w:val="24"/>
          <w:szCs w:val="24"/>
          <w:lang w:eastAsia="zh-HK"/>
        </w:rPr>
        <w:t xml:space="preserve">, the Appellant only charged </w:t>
      </w:r>
      <w:r w:rsidR="00A0326B" w:rsidRPr="00532A38">
        <w:rPr>
          <w:rFonts w:ascii="Times New Roman" w:hAnsi="Times New Roman" w:cs="Times New Roman"/>
          <w:sz w:val="24"/>
          <w:szCs w:val="24"/>
          <w:lang w:eastAsia="zh-HK"/>
        </w:rPr>
        <w:t xml:space="preserve">the PRC Subsidiary </w:t>
      </w:r>
      <w:r w:rsidRPr="00532A38">
        <w:rPr>
          <w:rFonts w:ascii="Times New Roman" w:hAnsi="Times New Roman" w:cs="Times New Roman"/>
          <w:sz w:val="24"/>
          <w:szCs w:val="24"/>
          <w:lang w:eastAsia="zh-HK"/>
        </w:rPr>
        <w:t>at cost plus freight on transfer of raw materials shown in Appendices B1</w:t>
      </w:r>
      <w:r w:rsidR="00C707C2">
        <w:rPr>
          <w:rFonts w:ascii="Times New Roman" w:hAnsi="Times New Roman" w:cs="Times New Roman"/>
          <w:sz w:val="24"/>
          <w:szCs w:val="24"/>
          <w:lang w:eastAsia="zh-HK"/>
        </w:rPr>
        <w:t xml:space="preserve"> </w:t>
      </w:r>
      <w:r w:rsidRPr="00532A38">
        <w:rPr>
          <w:rFonts w:ascii="Times New Roman" w:hAnsi="Times New Roman" w:cs="Times New Roman"/>
          <w:sz w:val="24"/>
          <w:szCs w:val="24"/>
          <w:lang w:eastAsia="zh-HK"/>
        </w:rPr>
        <w:t>to B12.</w:t>
      </w:r>
    </w:p>
    <w:p w14:paraId="7CCAE951" w14:textId="77777777" w:rsidR="00DC4EEE" w:rsidRPr="00532A38" w:rsidRDefault="00DC4EEE" w:rsidP="0046026A">
      <w:pPr>
        <w:pStyle w:val="a3"/>
        <w:tabs>
          <w:tab w:val="left" w:pos="709"/>
        </w:tabs>
        <w:overflowPunct w:val="0"/>
        <w:spacing w:after="0" w:line="240" w:lineRule="auto"/>
        <w:ind w:left="0"/>
        <w:jc w:val="both"/>
        <w:rPr>
          <w:rFonts w:ascii="Times New Roman" w:hAnsi="Times New Roman" w:cs="Times New Roman"/>
          <w:sz w:val="24"/>
          <w:szCs w:val="24"/>
        </w:rPr>
      </w:pPr>
    </w:p>
    <w:p w14:paraId="7CCAE952" w14:textId="77777777" w:rsidR="00DC4EEE" w:rsidRPr="00532A38" w:rsidRDefault="00DC4EEE" w:rsidP="00C707C2">
      <w:pPr>
        <w:pStyle w:val="a3"/>
        <w:numPr>
          <w:ilvl w:val="0"/>
          <w:numId w:val="27"/>
        </w:numPr>
        <w:tabs>
          <w:tab w:val="left" w:pos="1932"/>
        </w:tabs>
        <w:overflowPunct w:val="0"/>
        <w:spacing w:after="0" w:line="240" w:lineRule="auto"/>
        <w:ind w:leftChars="638" w:left="1932" w:hangingChars="220" w:hanging="528"/>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 xml:space="preserve">For the year of assessment 2007/08, the average selling price of card products with IC chips provided by customers was $0.69 per unit, which was far less than that of card products with IC chips provided by the Appellant of $4.45.   </w:t>
      </w:r>
    </w:p>
    <w:p w14:paraId="4E30611F" w14:textId="77777777" w:rsidR="002835D4" w:rsidRPr="00532A38" w:rsidRDefault="002835D4" w:rsidP="0046026A">
      <w:pPr>
        <w:tabs>
          <w:tab w:val="left" w:pos="709"/>
        </w:tabs>
        <w:overflowPunct w:val="0"/>
        <w:spacing w:after="0" w:line="240" w:lineRule="auto"/>
        <w:jc w:val="both"/>
        <w:rPr>
          <w:rFonts w:ascii="Times New Roman" w:hAnsi="Times New Roman" w:cs="Times New Roman"/>
          <w:sz w:val="24"/>
          <w:szCs w:val="24"/>
          <w:lang w:eastAsia="zh-HK"/>
        </w:rPr>
      </w:pPr>
    </w:p>
    <w:p w14:paraId="7CCAE953" w14:textId="06015495" w:rsidR="00DC4EEE" w:rsidRPr="00532A38" w:rsidRDefault="002835D4" w:rsidP="00C707C2">
      <w:pPr>
        <w:pStyle w:val="a3"/>
        <w:numPr>
          <w:ilvl w:val="0"/>
          <w:numId w:val="2"/>
        </w:numPr>
        <w:shd w:val="clear" w:color="auto" w:fill="FFFFFF"/>
        <w:overflowPunct w:val="0"/>
        <w:spacing w:after="0" w:line="240" w:lineRule="auto"/>
        <w:ind w:left="0" w:firstLine="0"/>
        <w:contextualSpacing w:val="0"/>
        <w:jc w:val="both"/>
        <w:rPr>
          <w:rFonts w:ascii="Times New Roman" w:hAnsi="Times New Roman" w:cs="Times New Roman"/>
          <w:sz w:val="24"/>
          <w:szCs w:val="24"/>
        </w:rPr>
      </w:pPr>
      <w:r w:rsidRPr="00532A38">
        <w:rPr>
          <w:rFonts w:ascii="Times New Roman" w:hAnsi="Times New Roman" w:cs="Times New Roman"/>
          <w:sz w:val="24"/>
          <w:szCs w:val="24"/>
        </w:rPr>
        <w:t>This Boa</w:t>
      </w:r>
      <w:r w:rsidR="00D032C9" w:rsidRPr="00532A38">
        <w:rPr>
          <w:rFonts w:ascii="Times New Roman" w:hAnsi="Times New Roman" w:cs="Times New Roman"/>
          <w:sz w:val="24"/>
          <w:szCs w:val="24"/>
        </w:rPr>
        <w:t>rd</w:t>
      </w:r>
      <w:r w:rsidRPr="00532A38">
        <w:rPr>
          <w:rFonts w:ascii="Times New Roman" w:hAnsi="Times New Roman" w:cs="Times New Roman"/>
          <w:sz w:val="24"/>
          <w:szCs w:val="24"/>
        </w:rPr>
        <w:t xml:space="preserve"> agrees with </w:t>
      </w:r>
      <w:r w:rsidR="00D032C9" w:rsidRPr="00532A38">
        <w:rPr>
          <w:rFonts w:ascii="Times New Roman" w:hAnsi="Times New Roman" w:cs="Times New Roman"/>
          <w:sz w:val="24"/>
          <w:szCs w:val="24"/>
        </w:rPr>
        <w:t>th</w:t>
      </w:r>
      <w:r w:rsidRPr="00532A38">
        <w:rPr>
          <w:rFonts w:ascii="Times New Roman" w:hAnsi="Times New Roman" w:cs="Times New Roman"/>
          <w:sz w:val="24"/>
          <w:szCs w:val="24"/>
        </w:rPr>
        <w:t xml:space="preserve">e </w:t>
      </w:r>
      <w:r w:rsidR="00D032C9" w:rsidRPr="00532A38">
        <w:rPr>
          <w:rFonts w:ascii="Times New Roman" w:hAnsi="Times New Roman" w:cs="Times New Roman"/>
          <w:sz w:val="24"/>
          <w:szCs w:val="24"/>
        </w:rPr>
        <w:t>I</w:t>
      </w:r>
      <w:r w:rsidRPr="00532A38">
        <w:rPr>
          <w:rFonts w:ascii="Times New Roman" w:hAnsi="Times New Roman" w:cs="Times New Roman"/>
          <w:sz w:val="24"/>
          <w:szCs w:val="24"/>
        </w:rPr>
        <w:t xml:space="preserve">nland Revenue Department’s </w:t>
      </w:r>
      <w:r w:rsidR="00D032C9" w:rsidRPr="00532A38">
        <w:rPr>
          <w:rFonts w:ascii="Times New Roman" w:hAnsi="Times New Roman" w:cs="Times New Roman"/>
          <w:sz w:val="24"/>
          <w:szCs w:val="24"/>
        </w:rPr>
        <w:t>analysis on this issue.</w:t>
      </w:r>
    </w:p>
    <w:p w14:paraId="5D90A99B" w14:textId="77777777" w:rsidR="00D032C9" w:rsidRPr="00532A38" w:rsidRDefault="00D032C9" w:rsidP="0046026A">
      <w:pPr>
        <w:pStyle w:val="a3"/>
        <w:shd w:val="clear" w:color="auto" w:fill="FFFFFF"/>
        <w:overflowPunct w:val="0"/>
        <w:spacing w:after="0" w:line="240" w:lineRule="auto"/>
        <w:ind w:left="360"/>
        <w:contextualSpacing w:val="0"/>
        <w:jc w:val="both"/>
        <w:rPr>
          <w:rFonts w:ascii="Times New Roman" w:hAnsi="Times New Roman" w:cs="Times New Roman"/>
          <w:sz w:val="24"/>
          <w:szCs w:val="24"/>
        </w:rPr>
      </w:pPr>
    </w:p>
    <w:p w14:paraId="7CCAE954" w14:textId="2B67FE63" w:rsidR="00042086" w:rsidRPr="00C707C2" w:rsidRDefault="00042086" w:rsidP="0046026A">
      <w:pPr>
        <w:overflowPunct w:val="0"/>
        <w:spacing w:after="0" w:line="240" w:lineRule="auto"/>
        <w:jc w:val="both"/>
        <w:rPr>
          <w:rFonts w:ascii="Times New Roman" w:hAnsi="Times New Roman" w:cs="Times New Roman"/>
          <w:b/>
          <w:sz w:val="24"/>
          <w:szCs w:val="24"/>
        </w:rPr>
      </w:pPr>
      <w:r w:rsidRPr="00C707C2">
        <w:rPr>
          <w:rFonts w:ascii="Times New Roman" w:hAnsi="Times New Roman" w:cs="Times New Roman"/>
          <w:b/>
          <w:sz w:val="24"/>
          <w:szCs w:val="24"/>
        </w:rPr>
        <w:t>Issues 2 and 3</w:t>
      </w:r>
    </w:p>
    <w:p w14:paraId="4F96E146" w14:textId="77777777" w:rsidR="00C707C2" w:rsidRPr="00532A38" w:rsidRDefault="00C707C2" w:rsidP="0046026A">
      <w:pPr>
        <w:overflowPunct w:val="0"/>
        <w:spacing w:after="0" w:line="240" w:lineRule="auto"/>
        <w:jc w:val="both"/>
        <w:rPr>
          <w:rFonts w:ascii="Times New Roman" w:hAnsi="Times New Roman" w:cs="Times New Roman"/>
          <w:b/>
          <w:sz w:val="24"/>
          <w:szCs w:val="24"/>
          <w:u w:val="single"/>
        </w:rPr>
      </w:pPr>
    </w:p>
    <w:p w14:paraId="7CCAE955" w14:textId="6A4D14F1" w:rsidR="00507B67" w:rsidRPr="00C707C2" w:rsidRDefault="00042086" w:rsidP="0046026A">
      <w:pPr>
        <w:overflowPunct w:val="0"/>
        <w:spacing w:after="0" w:line="240" w:lineRule="auto"/>
        <w:jc w:val="both"/>
        <w:rPr>
          <w:rFonts w:ascii="Times New Roman" w:hAnsi="Times New Roman" w:cs="Times New Roman"/>
          <w:b/>
          <w:i/>
          <w:sz w:val="24"/>
          <w:szCs w:val="24"/>
        </w:rPr>
      </w:pPr>
      <w:r w:rsidRPr="00C707C2">
        <w:rPr>
          <w:rFonts w:ascii="Times New Roman" w:hAnsi="Times New Roman" w:cs="Times New Roman"/>
          <w:b/>
          <w:i/>
          <w:sz w:val="24"/>
          <w:szCs w:val="24"/>
        </w:rPr>
        <w:t>The Appellant’s Case</w:t>
      </w:r>
    </w:p>
    <w:p w14:paraId="2A294B93" w14:textId="77777777" w:rsidR="00C707C2" w:rsidRPr="00532A38" w:rsidRDefault="00C707C2" w:rsidP="0046026A">
      <w:pPr>
        <w:overflowPunct w:val="0"/>
        <w:spacing w:after="0" w:line="240" w:lineRule="auto"/>
        <w:jc w:val="both"/>
        <w:rPr>
          <w:rFonts w:ascii="Times New Roman" w:hAnsi="Times New Roman" w:cs="Times New Roman"/>
          <w:i/>
          <w:sz w:val="24"/>
          <w:szCs w:val="24"/>
        </w:rPr>
      </w:pPr>
    </w:p>
    <w:p w14:paraId="7CCAE956" w14:textId="77777777" w:rsidR="00507B67" w:rsidRPr="00532A38" w:rsidRDefault="00507B67" w:rsidP="00C707C2">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There is no dispute in the present case that all machinery and equipment were purchased by the Appellant and were delivered to the factory of the PRC Subsidiary in Shenzhen for its use to manufacture card products for the Appellant. </w:t>
      </w:r>
    </w:p>
    <w:p w14:paraId="7CCAE957" w14:textId="77777777" w:rsidR="00507B67" w:rsidRPr="00532A38" w:rsidRDefault="00507B67" w:rsidP="00C707C2">
      <w:pPr>
        <w:pStyle w:val="a3"/>
        <w:overflowPunct w:val="0"/>
        <w:spacing w:after="0" w:line="240" w:lineRule="auto"/>
        <w:ind w:left="0"/>
        <w:jc w:val="both"/>
        <w:rPr>
          <w:rFonts w:ascii="Times New Roman" w:hAnsi="Times New Roman" w:cs="Times New Roman"/>
          <w:sz w:val="24"/>
          <w:szCs w:val="24"/>
        </w:rPr>
      </w:pPr>
    </w:p>
    <w:p w14:paraId="26287786" w14:textId="19FB7769" w:rsidR="00286B4D" w:rsidRPr="00532A38" w:rsidRDefault="00507B67" w:rsidP="00C707C2">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The Appellant argued that despite such arrangement</w:t>
      </w:r>
      <w:r w:rsidR="00134A18">
        <w:rPr>
          <w:rFonts w:ascii="Times New Roman" w:hAnsi="Times New Roman" w:cs="Times New Roman"/>
          <w:sz w:val="24"/>
          <w:szCs w:val="24"/>
        </w:rPr>
        <w:t>,</w:t>
      </w:r>
      <w:r w:rsidRPr="00532A38">
        <w:rPr>
          <w:rFonts w:ascii="Times New Roman" w:hAnsi="Times New Roman" w:cs="Times New Roman"/>
          <w:sz w:val="24"/>
          <w:szCs w:val="24"/>
        </w:rPr>
        <w:t xml:space="preserve"> capital deductions and deduction of hire purchase interest ought to be made in respect of these machinery and equipment provided to the PRC Subsidiary for its use to manufacture card products for the Appellant.   </w:t>
      </w:r>
    </w:p>
    <w:p w14:paraId="73DE5518" w14:textId="77777777" w:rsidR="00286B4D" w:rsidRPr="00532A38" w:rsidRDefault="00286B4D" w:rsidP="00C707C2">
      <w:pPr>
        <w:pStyle w:val="a3"/>
        <w:overflowPunct w:val="0"/>
        <w:spacing w:after="0" w:line="240" w:lineRule="auto"/>
        <w:ind w:left="0"/>
        <w:jc w:val="both"/>
        <w:rPr>
          <w:rFonts w:ascii="Times New Roman" w:hAnsi="Times New Roman" w:cs="Times New Roman"/>
          <w:sz w:val="24"/>
          <w:szCs w:val="24"/>
        </w:rPr>
      </w:pPr>
    </w:p>
    <w:p w14:paraId="7CCAE95A" w14:textId="3B80FF07" w:rsidR="00507B67" w:rsidRPr="00532A38" w:rsidRDefault="00CE04B9" w:rsidP="00C707C2">
      <w:pPr>
        <w:pStyle w:val="Web"/>
        <w:numPr>
          <w:ilvl w:val="0"/>
          <w:numId w:val="2"/>
        </w:numPr>
        <w:overflowPunct w:val="0"/>
        <w:spacing w:before="0" w:beforeAutospacing="0" w:after="0" w:afterAutospacing="0"/>
        <w:ind w:left="0" w:firstLine="0"/>
        <w:jc w:val="both"/>
      </w:pPr>
      <w:r w:rsidRPr="00532A38">
        <w:t>The</w:t>
      </w:r>
      <w:r w:rsidRPr="00532A38">
        <w:rPr>
          <w:rFonts w:eastAsiaTheme="minorEastAsia"/>
          <w:lang w:eastAsia="zh-HK"/>
        </w:rPr>
        <w:t xml:space="preserve"> </w:t>
      </w:r>
      <w:r w:rsidR="00507B67" w:rsidRPr="00532A38">
        <w:t xml:space="preserve">Appellant argued that as these machinery and equipment were delivered to the PRC Subsidiary under </w:t>
      </w:r>
      <w:r w:rsidR="00C707C2">
        <w:t>‘</w:t>
      </w:r>
      <w:r w:rsidR="00507B67" w:rsidRPr="00532A38">
        <w:t>tax-bonded arrangement</w:t>
      </w:r>
      <w:r w:rsidR="00C707C2">
        <w:t>’</w:t>
      </w:r>
      <w:r w:rsidR="00507B67" w:rsidRPr="00532A38">
        <w:t xml:space="preserve">, the PRC Subsidiary had </w:t>
      </w:r>
      <w:r w:rsidR="00C707C2">
        <w:t>‘</w:t>
      </w:r>
      <w:r w:rsidR="00507B67" w:rsidRPr="00532A38">
        <w:t>no freedom, no entitlement and therefore no right</w:t>
      </w:r>
      <w:r w:rsidR="00C707C2">
        <w:t>’</w:t>
      </w:r>
      <w:r w:rsidR="00507B67" w:rsidRPr="00532A38">
        <w:t xml:space="preserve"> to use the machinery and equipment, and therefore the PRC Subsidiary had not been granted the right to use of those.  In essence, the Appellant is arguing that the machinery and equipment were not </w:t>
      </w:r>
      <w:r w:rsidR="00C707C2">
        <w:t>‘</w:t>
      </w:r>
      <w:r w:rsidR="00507B67" w:rsidRPr="00532A38">
        <w:rPr>
          <w:i/>
        </w:rPr>
        <w:t>fixed asset in which any person holds rights as a lessee under a lease</w:t>
      </w:r>
      <w:r w:rsidR="00C707C2">
        <w:t>’</w:t>
      </w:r>
      <w:r w:rsidR="00507B67" w:rsidRPr="00532A38">
        <w:t xml:space="preserve"> and were therefore not </w:t>
      </w:r>
      <w:r w:rsidR="00C707C2">
        <w:t>‘</w:t>
      </w:r>
      <w:r w:rsidR="00507B67" w:rsidRPr="00532A38">
        <w:rPr>
          <w:i/>
        </w:rPr>
        <w:t>excluded fixed asset</w:t>
      </w:r>
      <w:r w:rsidR="00C707C2">
        <w:t>’</w:t>
      </w:r>
      <w:r w:rsidR="00507B67" w:rsidRPr="00532A38">
        <w:rPr>
          <w:i/>
        </w:rPr>
        <w:t xml:space="preserve"> </w:t>
      </w:r>
      <w:r w:rsidR="00507B67" w:rsidRPr="00532A38">
        <w:t xml:space="preserve">under the meaning of section 16G of </w:t>
      </w:r>
      <w:r w:rsidR="00134A18">
        <w:t xml:space="preserve">the </w:t>
      </w:r>
      <w:r w:rsidR="00507B67" w:rsidRPr="00532A38">
        <w:t>IRO and therefore their capital expenditure are qualified for the Section 16G Deductions.</w:t>
      </w:r>
    </w:p>
    <w:p w14:paraId="7CCAE95B" w14:textId="77777777" w:rsidR="00507B67" w:rsidRPr="00532A38" w:rsidRDefault="00507B67" w:rsidP="00C707C2">
      <w:pPr>
        <w:pStyle w:val="a3"/>
        <w:overflowPunct w:val="0"/>
        <w:spacing w:after="0" w:line="240" w:lineRule="auto"/>
        <w:ind w:left="0"/>
        <w:jc w:val="both"/>
        <w:rPr>
          <w:rFonts w:ascii="Times New Roman" w:hAnsi="Times New Roman" w:cs="Times New Roman"/>
          <w:sz w:val="24"/>
          <w:szCs w:val="24"/>
        </w:rPr>
      </w:pPr>
    </w:p>
    <w:p w14:paraId="7CCAE95C" w14:textId="787425ED" w:rsidR="00507B67" w:rsidRPr="00532A38" w:rsidRDefault="00507B67" w:rsidP="00C707C2">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terms of evidence, there is no evidence adduced before this Board that th</w:t>
      </w:r>
      <w:r w:rsidR="00286B4D" w:rsidRPr="00532A38">
        <w:rPr>
          <w:rFonts w:ascii="Times New Roman" w:hAnsi="Times New Roman" w:cs="Times New Roman"/>
          <w:sz w:val="24"/>
          <w:szCs w:val="24"/>
          <w:lang w:eastAsia="zh-HK"/>
        </w:rPr>
        <w:t>e</w:t>
      </w:r>
      <w:r w:rsidRPr="00532A38">
        <w:rPr>
          <w:rFonts w:ascii="Times New Roman" w:hAnsi="Times New Roman" w:cs="Times New Roman"/>
          <w:sz w:val="24"/>
          <w:szCs w:val="24"/>
        </w:rPr>
        <w:t xml:space="preserve"> PRC Subsidiary has </w:t>
      </w:r>
      <w:r w:rsidR="00C707C2">
        <w:rPr>
          <w:rFonts w:ascii="Times New Roman" w:hAnsi="Times New Roman" w:cs="Times New Roman"/>
          <w:sz w:val="24"/>
          <w:szCs w:val="24"/>
        </w:rPr>
        <w:t>‘</w:t>
      </w:r>
      <w:r w:rsidRPr="00532A38">
        <w:rPr>
          <w:rFonts w:ascii="Times New Roman" w:hAnsi="Times New Roman" w:cs="Times New Roman"/>
          <w:sz w:val="24"/>
          <w:szCs w:val="24"/>
        </w:rPr>
        <w:t>no freedom, no entitlement and therefore no right to use</w:t>
      </w:r>
      <w:r w:rsidR="00C707C2">
        <w:rPr>
          <w:rFonts w:ascii="Times New Roman" w:hAnsi="Times New Roman" w:cs="Times New Roman"/>
          <w:sz w:val="24"/>
          <w:szCs w:val="24"/>
        </w:rPr>
        <w:t>’</w:t>
      </w:r>
      <w:r w:rsidRPr="00532A38">
        <w:rPr>
          <w:rFonts w:ascii="Times New Roman" w:hAnsi="Times New Roman" w:cs="Times New Roman"/>
          <w:sz w:val="24"/>
          <w:szCs w:val="24"/>
        </w:rPr>
        <w:t xml:space="preserve"> the machinery and equipment. Indeed, the machinery and equipment were delivered to the PRC Subsidiary for its use. </w:t>
      </w:r>
    </w:p>
    <w:p w14:paraId="7CCAE95D" w14:textId="77777777" w:rsidR="00507B67" w:rsidRPr="00532A38" w:rsidRDefault="00507B67" w:rsidP="0046026A">
      <w:pPr>
        <w:pStyle w:val="a3"/>
        <w:overflowPunct w:val="0"/>
        <w:spacing w:after="0" w:line="240" w:lineRule="auto"/>
        <w:rPr>
          <w:rFonts w:ascii="Times New Roman" w:hAnsi="Times New Roman" w:cs="Times New Roman"/>
          <w:sz w:val="24"/>
          <w:szCs w:val="24"/>
        </w:rPr>
      </w:pPr>
    </w:p>
    <w:p w14:paraId="7CCAE95E" w14:textId="77777777" w:rsidR="00507B67" w:rsidRPr="00532A38" w:rsidRDefault="00507B67" w:rsidP="00C707C2">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any event, the Appellant’s argument is simply wrong as a matter of law. </w:t>
      </w:r>
    </w:p>
    <w:p w14:paraId="7CCAE95F" w14:textId="77777777" w:rsidR="00037AC4" w:rsidRPr="00532A38" w:rsidRDefault="00037AC4" w:rsidP="0046026A">
      <w:pPr>
        <w:pStyle w:val="a3"/>
        <w:overflowPunct w:val="0"/>
        <w:spacing w:after="0" w:line="240" w:lineRule="auto"/>
        <w:ind w:left="360"/>
        <w:jc w:val="both"/>
        <w:rPr>
          <w:rFonts w:ascii="Times New Roman" w:hAnsi="Times New Roman" w:cs="Times New Roman"/>
          <w:sz w:val="24"/>
          <w:szCs w:val="24"/>
        </w:rPr>
      </w:pPr>
    </w:p>
    <w:p w14:paraId="7CCAE960" w14:textId="1ADFDF93" w:rsidR="002A16DB" w:rsidRPr="00C707C2" w:rsidRDefault="002A16DB" w:rsidP="0046026A">
      <w:pPr>
        <w:overflowPunct w:val="0"/>
        <w:spacing w:after="0" w:line="240" w:lineRule="auto"/>
        <w:jc w:val="both"/>
        <w:rPr>
          <w:rFonts w:ascii="Times New Roman" w:hAnsi="Times New Roman" w:cs="Times New Roman"/>
          <w:b/>
          <w:i/>
          <w:sz w:val="24"/>
          <w:szCs w:val="24"/>
        </w:rPr>
      </w:pPr>
      <w:r w:rsidRPr="00C707C2">
        <w:rPr>
          <w:rFonts w:ascii="Times New Roman" w:hAnsi="Times New Roman" w:cs="Times New Roman"/>
          <w:b/>
          <w:i/>
          <w:sz w:val="24"/>
          <w:szCs w:val="24"/>
        </w:rPr>
        <w:lastRenderedPageBreak/>
        <w:t>Applicable Legal Principles</w:t>
      </w:r>
    </w:p>
    <w:p w14:paraId="1990C23A" w14:textId="77777777" w:rsidR="00C707C2" w:rsidRPr="00532A38" w:rsidRDefault="00C707C2" w:rsidP="0046026A">
      <w:pPr>
        <w:overflowPunct w:val="0"/>
        <w:spacing w:after="0" w:line="240" w:lineRule="auto"/>
        <w:jc w:val="both"/>
        <w:rPr>
          <w:rFonts w:ascii="Times New Roman" w:hAnsi="Times New Roman" w:cs="Times New Roman"/>
          <w:i/>
          <w:sz w:val="24"/>
          <w:szCs w:val="24"/>
          <w:u w:val="single"/>
        </w:rPr>
      </w:pPr>
    </w:p>
    <w:p w14:paraId="7CCAE961" w14:textId="77777777" w:rsidR="00042086" w:rsidRPr="00532A38" w:rsidRDefault="00042086" w:rsidP="00C707C2">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Section 16(1) and 17(1) of the IRO provides:</w:t>
      </w:r>
    </w:p>
    <w:p w14:paraId="7CCAE962" w14:textId="77777777" w:rsidR="00042086" w:rsidRPr="00532A38" w:rsidRDefault="00042086" w:rsidP="00C707C2">
      <w:pPr>
        <w:pStyle w:val="a3"/>
        <w:overflowPunct w:val="0"/>
        <w:spacing w:after="0" w:line="240" w:lineRule="auto"/>
        <w:ind w:left="0"/>
        <w:jc w:val="both"/>
        <w:rPr>
          <w:rFonts w:ascii="Times New Roman" w:hAnsi="Times New Roman" w:cs="Times New Roman"/>
          <w:sz w:val="24"/>
          <w:szCs w:val="24"/>
        </w:rPr>
      </w:pPr>
    </w:p>
    <w:p w14:paraId="7CCAE963" w14:textId="13942CDC" w:rsidR="00042086" w:rsidRDefault="00C707C2" w:rsidP="001264CD">
      <w:pPr>
        <w:pStyle w:val="a3"/>
        <w:tabs>
          <w:tab w:val="left" w:pos="2127"/>
        </w:tabs>
        <w:overflowPunct w:val="0"/>
        <w:spacing w:after="0" w:line="240" w:lineRule="auto"/>
        <w:ind w:leftChars="638" w:left="2126" w:hangingChars="301" w:hanging="722"/>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16(1)</w:t>
      </w:r>
      <w:r>
        <w:rPr>
          <w:rFonts w:ascii="Times New Roman" w:hAnsi="Times New Roman" w:cs="Times New Roman"/>
          <w:i/>
          <w:sz w:val="24"/>
          <w:szCs w:val="24"/>
        </w:rPr>
        <w:tab/>
      </w:r>
      <w:r w:rsidR="00042086" w:rsidRPr="00532A38">
        <w:rPr>
          <w:rFonts w:ascii="Times New Roman" w:hAnsi="Times New Roman" w:cs="Times New Roman"/>
          <w:i/>
          <w:sz w:val="24"/>
          <w:szCs w:val="24"/>
        </w:rPr>
        <w:t>In ascertaining the profits in respect of which a person is chargeable to tax under [Profit Tax] for any year of assessment there shall be deducted all outgoings and expenses to the extent to which they are incurred during the basis period for that year of assessment by such person in the production of profits in respect of which he is chargeable to tax under [Profit Tax] for any period, including—</w:t>
      </w:r>
    </w:p>
    <w:p w14:paraId="3689AC32" w14:textId="77777777" w:rsidR="001264CD" w:rsidRPr="00532A38" w:rsidRDefault="001264CD" w:rsidP="001264CD">
      <w:pPr>
        <w:pStyle w:val="a3"/>
        <w:tabs>
          <w:tab w:val="left" w:pos="2127"/>
        </w:tabs>
        <w:overflowPunct w:val="0"/>
        <w:spacing w:after="0" w:line="240" w:lineRule="auto"/>
        <w:ind w:leftChars="638" w:left="2126" w:hangingChars="301" w:hanging="722"/>
        <w:jc w:val="both"/>
        <w:rPr>
          <w:rFonts w:ascii="Times New Roman" w:hAnsi="Times New Roman" w:cs="Times New Roman"/>
          <w:i/>
          <w:sz w:val="24"/>
          <w:szCs w:val="24"/>
        </w:rPr>
      </w:pPr>
    </w:p>
    <w:p w14:paraId="7CCAE964" w14:textId="5A9FBD73" w:rsidR="00042086" w:rsidRDefault="00042086" w:rsidP="001264CD">
      <w:pPr>
        <w:pStyle w:val="a3"/>
        <w:overflowPunct w:val="0"/>
        <w:spacing w:after="0" w:line="240" w:lineRule="auto"/>
        <w:ind w:left="2127"/>
        <w:jc w:val="both"/>
        <w:rPr>
          <w:rFonts w:ascii="Times New Roman" w:hAnsi="Times New Roman" w:cs="Times New Roman"/>
          <w:i/>
          <w:sz w:val="24"/>
          <w:szCs w:val="24"/>
        </w:rPr>
      </w:pPr>
      <w:r w:rsidRPr="00532A38">
        <w:rPr>
          <w:rFonts w:ascii="Times New Roman" w:hAnsi="Times New Roman" w:cs="Times New Roman"/>
          <w:i/>
          <w:sz w:val="24"/>
          <w:szCs w:val="24"/>
        </w:rPr>
        <w:t>…</w:t>
      </w:r>
    </w:p>
    <w:p w14:paraId="3D33C2F6" w14:textId="77777777" w:rsidR="001264CD" w:rsidRPr="00532A38" w:rsidRDefault="001264CD" w:rsidP="0046026A">
      <w:pPr>
        <w:pStyle w:val="a3"/>
        <w:overflowPunct w:val="0"/>
        <w:spacing w:after="0" w:line="240" w:lineRule="auto"/>
        <w:ind w:left="360"/>
        <w:jc w:val="both"/>
        <w:rPr>
          <w:rFonts w:ascii="Times New Roman" w:hAnsi="Times New Roman" w:cs="Times New Roman"/>
          <w:i/>
          <w:sz w:val="24"/>
          <w:szCs w:val="24"/>
        </w:rPr>
      </w:pPr>
    </w:p>
    <w:p w14:paraId="7CCAE965" w14:textId="3465505E" w:rsidR="00042086" w:rsidRDefault="00042086" w:rsidP="001264CD">
      <w:pPr>
        <w:pStyle w:val="a3"/>
        <w:tabs>
          <w:tab w:val="left" w:pos="2655"/>
        </w:tabs>
        <w:overflowPunct w:val="0"/>
        <w:spacing w:after="0" w:line="240" w:lineRule="auto"/>
        <w:ind w:leftChars="967" w:left="2655"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(ga)</w:t>
      </w:r>
      <w:r w:rsidR="00C707C2">
        <w:rPr>
          <w:rFonts w:ascii="Times New Roman" w:hAnsi="Times New Roman" w:cs="Times New Roman"/>
          <w:i/>
          <w:sz w:val="24"/>
          <w:szCs w:val="24"/>
        </w:rPr>
        <w:tab/>
      </w:r>
      <w:r w:rsidRPr="00532A38">
        <w:rPr>
          <w:rFonts w:ascii="Times New Roman" w:hAnsi="Times New Roman" w:cs="Times New Roman"/>
          <w:i/>
          <w:sz w:val="24"/>
          <w:szCs w:val="24"/>
        </w:rPr>
        <w:t>the payments and expenditure specified in… [section] 16G, as provided therein.</w:t>
      </w:r>
    </w:p>
    <w:p w14:paraId="2DC90443" w14:textId="77777777" w:rsidR="001264CD" w:rsidRPr="00532A38" w:rsidRDefault="001264CD" w:rsidP="001264CD">
      <w:pPr>
        <w:pStyle w:val="a3"/>
        <w:tabs>
          <w:tab w:val="left" w:pos="2655"/>
        </w:tabs>
        <w:overflowPunct w:val="0"/>
        <w:spacing w:after="0" w:line="240" w:lineRule="auto"/>
        <w:ind w:leftChars="967" w:left="2655" w:hangingChars="220" w:hanging="528"/>
        <w:jc w:val="both"/>
        <w:rPr>
          <w:rFonts w:ascii="Times New Roman" w:hAnsi="Times New Roman" w:cs="Times New Roman"/>
          <w:i/>
          <w:sz w:val="24"/>
          <w:szCs w:val="24"/>
        </w:rPr>
      </w:pPr>
    </w:p>
    <w:p w14:paraId="7CCAE966" w14:textId="13B53737" w:rsidR="00042086" w:rsidRDefault="00042086" w:rsidP="00E528D4">
      <w:pPr>
        <w:pStyle w:val="a3"/>
        <w:overflowPunct w:val="0"/>
        <w:spacing w:after="0" w:line="240" w:lineRule="auto"/>
        <w:ind w:left="2127"/>
        <w:jc w:val="both"/>
        <w:rPr>
          <w:rFonts w:ascii="Times New Roman" w:hAnsi="Times New Roman" w:cs="Times New Roman"/>
          <w:i/>
          <w:sz w:val="24"/>
          <w:szCs w:val="24"/>
        </w:rPr>
      </w:pPr>
      <w:r w:rsidRPr="00532A38">
        <w:rPr>
          <w:rFonts w:ascii="Times New Roman" w:hAnsi="Times New Roman" w:cs="Times New Roman"/>
          <w:i/>
          <w:sz w:val="24"/>
          <w:szCs w:val="24"/>
        </w:rPr>
        <w:t>…</w:t>
      </w:r>
    </w:p>
    <w:p w14:paraId="2A13E74A" w14:textId="77777777" w:rsidR="001264CD" w:rsidRPr="00532A38" w:rsidRDefault="001264CD" w:rsidP="001264CD">
      <w:pPr>
        <w:pStyle w:val="a3"/>
        <w:overflowPunct w:val="0"/>
        <w:spacing w:after="0" w:line="240" w:lineRule="auto"/>
        <w:ind w:left="2618"/>
        <w:jc w:val="both"/>
        <w:rPr>
          <w:rFonts w:ascii="Times New Roman" w:hAnsi="Times New Roman" w:cs="Times New Roman"/>
          <w:i/>
          <w:sz w:val="24"/>
          <w:szCs w:val="24"/>
        </w:rPr>
      </w:pPr>
    </w:p>
    <w:p w14:paraId="7CCAE967" w14:textId="5C69C0C6" w:rsidR="00042086" w:rsidRDefault="00042086" w:rsidP="00C707C2">
      <w:pPr>
        <w:pStyle w:val="a3"/>
        <w:tabs>
          <w:tab w:val="left" w:pos="2127"/>
        </w:tabs>
        <w:overflowPunct w:val="0"/>
        <w:spacing w:after="0" w:line="240" w:lineRule="auto"/>
        <w:ind w:leftChars="638" w:left="2126" w:hangingChars="301" w:hanging="722"/>
        <w:jc w:val="both"/>
        <w:rPr>
          <w:rFonts w:ascii="Times New Roman" w:hAnsi="Times New Roman" w:cs="Times New Roman"/>
          <w:i/>
          <w:sz w:val="24"/>
          <w:szCs w:val="24"/>
        </w:rPr>
      </w:pPr>
      <w:r w:rsidRPr="00532A38">
        <w:rPr>
          <w:rFonts w:ascii="Times New Roman" w:hAnsi="Times New Roman" w:cs="Times New Roman"/>
          <w:i/>
          <w:sz w:val="24"/>
          <w:szCs w:val="24"/>
        </w:rPr>
        <w:t>17(1)</w:t>
      </w:r>
      <w:r w:rsidR="00C707C2">
        <w:rPr>
          <w:rFonts w:ascii="Times New Roman" w:hAnsi="Times New Roman" w:cs="Times New Roman"/>
          <w:i/>
          <w:sz w:val="24"/>
          <w:szCs w:val="24"/>
        </w:rPr>
        <w:tab/>
      </w:r>
      <w:r w:rsidRPr="00532A38">
        <w:rPr>
          <w:rFonts w:ascii="Times New Roman" w:hAnsi="Times New Roman" w:cs="Times New Roman"/>
          <w:i/>
          <w:sz w:val="24"/>
          <w:szCs w:val="24"/>
        </w:rPr>
        <w:t>For the purpose of ascertaining profits in respect of which a person is chargeable to tax under [Profit Tax] no deduction shall be allowed in respect of-</w:t>
      </w:r>
    </w:p>
    <w:p w14:paraId="60156516" w14:textId="77777777" w:rsidR="001264CD" w:rsidRPr="00532A38" w:rsidRDefault="001264CD" w:rsidP="00C707C2">
      <w:pPr>
        <w:pStyle w:val="a3"/>
        <w:tabs>
          <w:tab w:val="left" w:pos="2127"/>
        </w:tabs>
        <w:overflowPunct w:val="0"/>
        <w:spacing w:after="0" w:line="240" w:lineRule="auto"/>
        <w:ind w:leftChars="638" w:left="2126" w:hangingChars="301" w:hanging="722"/>
        <w:jc w:val="both"/>
        <w:rPr>
          <w:rFonts w:ascii="Times New Roman" w:hAnsi="Times New Roman" w:cs="Times New Roman"/>
          <w:i/>
          <w:sz w:val="24"/>
          <w:szCs w:val="24"/>
        </w:rPr>
      </w:pPr>
    </w:p>
    <w:p w14:paraId="7CCAE968" w14:textId="3629A3E5" w:rsidR="00042086" w:rsidRDefault="00042086" w:rsidP="001264CD">
      <w:pPr>
        <w:pStyle w:val="a3"/>
        <w:overflowPunct w:val="0"/>
        <w:spacing w:after="0" w:line="240" w:lineRule="auto"/>
        <w:ind w:left="2127"/>
        <w:jc w:val="both"/>
        <w:rPr>
          <w:rFonts w:ascii="Times New Roman" w:hAnsi="Times New Roman" w:cs="Times New Roman"/>
          <w:i/>
          <w:sz w:val="24"/>
          <w:szCs w:val="24"/>
        </w:rPr>
      </w:pPr>
      <w:r w:rsidRPr="00532A38">
        <w:rPr>
          <w:rFonts w:ascii="Times New Roman" w:hAnsi="Times New Roman" w:cs="Times New Roman"/>
          <w:i/>
          <w:sz w:val="24"/>
          <w:szCs w:val="24"/>
        </w:rPr>
        <w:t>…</w:t>
      </w:r>
    </w:p>
    <w:p w14:paraId="768160C1" w14:textId="77777777" w:rsidR="001264CD" w:rsidRPr="00532A38" w:rsidRDefault="001264CD" w:rsidP="001264CD">
      <w:pPr>
        <w:pStyle w:val="a3"/>
        <w:overflowPunct w:val="0"/>
        <w:spacing w:after="0" w:line="240" w:lineRule="auto"/>
        <w:ind w:left="2127"/>
        <w:jc w:val="both"/>
        <w:rPr>
          <w:rFonts w:ascii="Times New Roman" w:hAnsi="Times New Roman" w:cs="Times New Roman"/>
          <w:i/>
          <w:sz w:val="24"/>
          <w:szCs w:val="24"/>
        </w:rPr>
      </w:pPr>
    </w:p>
    <w:p w14:paraId="7CCAE969" w14:textId="2204DCAC" w:rsidR="00042086" w:rsidRPr="00532A38" w:rsidRDefault="00042086" w:rsidP="001264CD">
      <w:pPr>
        <w:pStyle w:val="a3"/>
        <w:tabs>
          <w:tab w:val="left" w:pos="2655"/>
        </w:tabs>
        <w:overflowPunct w:val="0"/>
        <w:spacing w:after="0" w:line="240" w:lineRule="auto"/>
        <w:ind w:leftChars="967" w:left="2655"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(b)</w:t>
      </w:r>
      <w:r w:rsidR="00C707C2">
        <w:rPr>
          <w:rFonts w:ascii="Times New Roman" w:hAnsi="Times New Roman" w:cs="Times New Roman"/>
          <w:i/>
          <w:sz w:val="24"/>
          <w:szCs w:val="24"/>
        </w:rPr>
        <w:tab/>
      </w:r>
      <w:r w:rsidRPr="00532A38">
        <w:rPr>
          <w:rFonts w:ascii="Times New Roman" w:hAnsi="Times New Roman" w:cs="Times New Roman"/>
          <w:i/>
          <w:sz w:val="24"/>
          <w:szCs w:val="24"/>
        </w:rPr>
        <w:t>subject to section 16AA, any disbursements or expenses not being money expended for the purpose of producing such profits.</w:t>
      </w:r>
      <w:r w:rsidR="00C707C2">
        <w:rPr>
          <w:rFonts w:ascii="Times New Roman" w:hAnsi="Times New Roman" w:cs="Times New Roman"/>
          <w:sz w:val="24"/>
          <w:szCs w:val="24"/>
        </w:rPr>
        <w:t>’</w:t>
      </w:r>
    </w:p>
    <w:p w14:paraId="12E40D60" w14:textId="77777777" w:rsidR="001D215B" w:rsidRPr="00532A38" w:rsidRDefault="001D215B" w:rsidP="0046026A">
      <w:pPr>
        <w:overflowPunct w:val="0"/>
        <w:spacing w:after="0" w:line="240" w:lineRule="auto"/>
        <w:jc w:val="both"/>
        <w:rPr>
          <w:rFonts w:ascii="Times New Roman" w:hAnsi="Times New Roman" w:cs="Times New Roman"/>
          <w:i/>
          <w:sz w:val="24"/>
          <w:szCs w:val="24"/>
        </w:rPr>
      </w:pPr>
    </w:p>
    <w:p w14:paraId="7CCAE96B" w14:textId="2FD3F22E" w:rsidR="00042086" w:rsidRDefault="00042086" w:rsidP="001264CD">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Section 16G of the IRO provides:</w:t>
      </w:r>
    </w:p>
    <w:p w14:paraId="70FEABD8" w14:textId="77777777" w:rsidR="001264CD" w:rsidRPr="00532A38" w:rsidRDefault="001264CD" w:rsidP="001264CD">
      <w:pPr>
        <w:pStyle w:val="a3"/>
        <w:tabs>
          <w:tab w:val="left" w:pos="567"/>
        </w:tabs>
        <w:overflowPunct w:val="0"/>
        <w:spacing w:after="0" w:line="240" w:lineRule="auto"/>
        <w:ind w:left="360"/>
        <w:jc w:val="both"/>
        <w:rPr>
          <w:rFonts w:ascii="Times New Roman" w:hAnsi="Times New Roman" w:cs="Times New Roman"/>
          <w:sz w:val="24"/>
          <w:szCs w:val="24"/>
        </w:rPr>
      </w:pPr>
    </w:p>
    <w:p w14:paraId="7CCAE96C" w14:textId="133F9FC5" w:rsidR="00042086" w:rsidRDefault="001264CD"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(1)</w:t>
      </w:r>
      <w:r>
        <w:rPr>
          <w:rFonts w:ascii="Times New Roman" w:hAnsi="Times New Roman" w:cs="Times New Roman"/>
          <w:i/>
          <w:sz w:val="24"/>
          <w:szCs w:val="24"/>
        </w:rPr>
        <w:tab/>
      </w:r>
      <w:r w:rsidR="00042086" w:rsidRPr="00532A38">
        <w:rPr>
          <w:rFonts w:ascii="Times New Roman" w:hAnsi="Times New Roman" w:cs="Times New Roman"/>
          <w:i/>
          <w:sz w:val="24"/>
          <w:szCs w:val="24"/>
        </w:rPr>
        <w:t>Notwithstanding anything in section 17, in ascertaining the profits of a person from any trade, profession or business in respect of which the person is chargeable to tax under this Part for any year of assessment, there shall, subject to subsections (2) and (3), be deducted any specified capital expenditure incurred by the person during the basis period for that year of assessment.</w:t>
      </w:r>
    </w:p>
    <w:p w14:paraId="66615CB2" w14:textId="77777777" w:rsidR="001264CD" w:rsidRPr="00532A38" w:rsidRDefault="001264CD"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6D" w14:textId="39A2AE88" w:rsidR="00042086" w:rsidRDefault="00042086"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(2)</w:t>
      </w:r>
      <w:r w:rsidR="001264CD">
        <w:rPr>
          <w:rFonts w:ascii="Times New Roman" w:hAnsi="Times New Roman" w:cs="Times New Roman"/>
          <w:i/>
          <w:sz w:val="24"/>
          <w:szCs w:val="24"/>
        </w:rPr>
        <w:tab/>
      </w:r>
      <w:r w:rsidRPr="00532A38">
        <w:rPr>
          <w:rFonts w:ascii="Times New Roman" w:hAnsi="Times New Roman" w:cs="Times New Roman"/>
          <w:i/>
          <w:sz w:val="24"/>
          <w:szCs w:val="24"/>
        </w:rPr>
        <w:t>Where a prescribed fixed asset in respect of which any specified capital expenditure is incurred is used partly in the production of profits chargeable to tax under this Part and partly for any other purposes, the deduction allowable under this section shall be such part of the specified capital expenditure as is proportionate to the extent of the use of the asset in the production of the profits so chargeable to tax under this Part.</w:t>
      </w:r>
    </w:p>
    <w:p w14:paraId="310E7897" w14:textId="77777777" w:rsidR="001264CD" w:rsidRPr="001264CD" w:rsidRDefault="001264CD"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6E" w14:textId="0658670F" w:rsidR="00042086" w:rsidRDefault="00042086"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w:t>
      </w:r>
    </w:p>
    <w:p w14:paraId="0876663F" w14:textId="77777777" w:rsidR="001264CD" w:rsidRPr="00532A38" w:rsidRDefault="001264CD"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6F" w14:textId="413D306A" w:rsidR="00042086" w:rsidRDefault="00042086"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(6)</w:t>
      </w:r>
      <w:r w:rsidR="001264CD">
        <w:rPr>
          <w:rFonts w:ascii="Times New Roman" w:hAnsi="Times New Roman" w:cs="Times New Roman"/>
          <w:i/>
          <w:sz w:val="24"/>
          <w:szCs w:val="24"/>
        </w:rPr>
        <w:tab/>
      </w:r>
      <w:r w:rsidRPr="00532A38">
        <w:rPr>
          <w:rFonts w:ascii="Times New Roman" w:hAnsi="Times New Roman" w:cs="Times New Roman"/>
          <w:i/>
          <w:sz w:val="24"/>
          <w:szCs w:val="24"/>
        </w:rPr>
        <w:t>In this section-</w:t>
      </w:r>
    </w:p>
    <w:p w14:paraId="63772ED1" w14:textId="77777777" w:rsidR="001264CD" w:rsidRPr="001264CD" w:rsidRDefault="001264CD" w:rsidP="001264CD">
      <w:pPr>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70" w14:textId="46BDDDE1" w:rsidR="00042086" w:rsidRDefault="00042086" w:rsidP="001264CD">
      <w:pPr>
        <w:overflowPunct w:val="0"/>
        <w:spacing w:after="0" w:line="240" w:lineRule="auto"/>
        <w:ind w:leftChars="878" w:left="1932"/>
        <w:jc w:val="both"/>
        <w:rPr>
          <w:rFonts w:ascii="Times New Roman" w:hAnsi="Times New Roman" w:cs="Times New Roman"/>
          <w:i/>
          <w:sz w:val="24"/>
          <w:szCs w:val="24"/>
        </w:rPr>
      </w:pPr>
      <w:r w:rsidRPr="00532A38">
        <w:rPr>
          <w:rFonts w:ascii="Times New Roman" w:hAnsi="Times New Roman" w:cs="Times New Roman"/>
          <w:i/>
          <w:sz w:val="24"/>
          <w:szCs w:val="24"/>
        </w:rPr>
        <w:t>excluded</w:t>
      </w:r>
      <w:r w:rsidR="001264CD">
        <w:rPr>
          <w:rFonts w:ascii="Times New Roman" w:hAnsi="Times New Roman" w:cs="Times New Roman"/>
          <w:i/>
          <w:sz w:val="24"/>
          <w:szCs w:val="24"/>
        </w:rPr>
        <w:t xml:space="preserve"> fixed asset (</w:t>
      </w:r>
      <w:r w:rsidRPr="001264CD">
        <w:rPr>
          <w:rFonts w:ascii="Times New Roman" w:eastAsia="標楷體" w:hAnsi="Times New Roman" w:cs="Times New Roman"/>
          <w:i/>
          <w:sz w:val="24"/>
          <w:szCs w:val="24"/>
        </w:rPr>
        <w:t>例外固定資產</w:t>
      </w:r>
      <w:r w:rsidRPr="00532A38">
        <w:rPr>
          <w:rFonts w:ascii="Times New Roman" w:hAnsi="Times New Roman" w:cs="Times New Roman"/>
          <w:i/>
          <w:sz w:val="24"/>
          <w:szCs w:val="24"/>
        </w:rPr>
        <w:t>) means a fixed asset in which any person holds rights as a lessee under a lease;</w:t>
      </w:r>
    </w:p>
    <w:p w14:paraId="4520CAF7" w14:textId="77777777" w:rsidR="001264CD" w:rsidRPr="00532A38" w:rsidRDefault="001264CD" w:rsidP="001264CD">
      <w:pPr>
        <w:overflowPunct w:val="0"/>
        <w:spacing w:after="0" w:line="240" w:lineRule="auto"/>
        <w:ind w:leftChars="878" w:left="1932"/>
        <w:jc w:val="both"/>
        <w:rPr>
          <w:rFonts w:ascii="Times New Roman" w:hAnsi="Times New Roman" w:cs="Times New Roman"/>
          <w:i/>
          <w:sz w:val="24"/>
          <w:szCs w:val="24"/>
        </w:rPr>
      </w:pPr>
    </w:p>
    <w:p w14:paraId="7CCAE971" w14:textId="0B54116B" w:rsidR="00042086" w:rsidRDefault="001264CD" w:rsidP="001264CD">
      <w:pPr>
        <w:overflowPunct w:val="0"/>
        <w:spacing w:after="0" w:line="240" w:lineRule="auto"/>
        <w:ind w:leftChars="878" w:left="1932"/>
        <w:jc w:val="both"/>
        <w:rPr>
          <w:rFonts w:ascii="Times New Roman" w:hAnsi="Times New Roman" w:cs="Times New Roman"/>
          <w:i/>
          <w:sz w:val="24"/>
          <w:szCs w:val="24"/>
        </w:rPr>
      </w:pPr>
      <w:r>
        <w:rPr>
          <w:rFonts w:ascii="Times New Roman" w:hAnsi="Times New Roman" w:cs="Times New Roman"/>
          <w:i/>
          <w:sz w:val="24"/>
          <w:szCs w:val="24"/>
        </w:rPr>
        <w:t xml:space="preserve">prescribed fixed asset </w:t>
      </w:r>
      <w:r w:rsidRPr="001264CD">
        <w:rPr>
          <w:rFonts w:ascii="Times New Roman" w:eastAsia="標楷體" w:hAnsi="Times New Roman" w:cs="Times New Roman"/>
          <w:i/>
          <w:sz w:val="24"/>
          <w:szCs w:val="24"/>
        </w:rPr>
        <w:t>(</w:t>
      </w:r>
      <w:r w:rsidR="00042086" w:rsidRPr="001264CD">
        <w:rPr>
          <w:rFonts w:ascii="Times New Roman" w:eastAsia="標楷體" w:hAnsi="Times New Roman" w:cs="Times New Roman"/>
          <w:i/>
          <w:sz w:val="24"/>
          <w:szCs w:val="24"/>
        </w:rPr>
        <w:t>訂明固定資產</w:t>
      </w:r>
      <w:r w:rsidR="00042086" w:rsidRPr="001264CD">
        <w:rPr>
          <w:rFonts w:ascii="Times New Roman" w:eastAsia="標楷體" w:hAnsi="Times New Roman" w:cs="Times New Roman"/>
          <w:i/>
          <w:sz w:val="24"/>
          <w:szCs w:val="24"/>
        </w:rPr>
        <w:t>)</w:t>
      </w:r>
      <w:r w:rsidR="00042086" w:rsidRPr="00532A38">
        <w:rPr>
          <w:rFonts w:ascii="Times New Roman" w:hAnsi="Times New Roman" w:cs="Times New Roman"/>
          <w:i/>
          <w:sz w:val="24"/>
          <w:szCs w:val="24"/>
        </w:rPr>
        <w:t xml:space="preserve"> means—</w:t>
      </w:r>
    </w:p>
    <w:p w14:paraId="162AC77D" w14:textId="77777777" w:rsidR="001264CD" w:rsidRPr="00532A38" w:rsidRDefault="001264CD" w:rsidP="001264CD">
      <w:pPr>
        <w:overflowPunct w:val="0"/>
        <w:spacing w:after="0" w:line="240" w:lineRule="auto"/>
        <w:ind w:leftChars="878" w:left="1932"/>
        <w:jc w:val="both"/>
        <w:rPr>
          <w:rFonts w:ascii="Times New Roman" w:hAnsi="Times New Roman" w:cs="Times New Roman"/>
          <w:i/>
          <w:sz w:val="24"/>
          <w:szCs w:val="24"/>
        </w:rPr>
      </w:pPr>
    </w:p>
    <w:p w14:paraId="7CCAE972" w14:textId="6E006A0E" w:rsidR="00042086" w:rsidRPr="001B7040" w:rsidRDefault="00042086" w:rsidP="001B7040">
      <w:pPr>
        <w:pStyle w:val="a3"/>
        <w:numPr>
          <w:ilvl w:val="0"/>
          <w:numId w:val="30"/>
        </w:numPr>
        <w:tabs>
          <w:tab w:val="left" w:pos="2460"/>
        </w:tabs>
        <w:overflowPunct w:val="0"/>
        <w:spacing w:after="0" w:line="240" w:lineRule="auto"/>
        <w:jc w:val="both"/>
        <w:rPr>
          <w:rFonts w:ascii="Times New Roman" w:hAnsi="Times New Roman" w:cs="Times New Roman"/>
          <w:i/>
          <w:sz w:val="24"/>
          <w:szCs w:val="24"/>
        </w:rPr>
      </w:pPr>
      <w:r w:rsidRPr="001B7040">
        <w:rPr>
          <w:rFonts w:ascii="Times New Roman" w:hAnsi="Times New Roman" w:cs="Times New Roman"/>
          <w:i/>
          <w:sz w:val="24"/>
          <w:szCs w:val="24"/>
        </w:rPr>
        <w:t>such of the machinery or plant specified in items 16, 20, 24, 26, 28, 29, 31, 33 and 35 of the First Part of the Table annexed to rule 2 of the Inland Revenue Rules (Cap. 112 sub. leg. A) as is used specifically and directly for any manufacturing process;</w:t>
      </w:r>
    </w:p>
    <w:p w14:paraId="29098A03" w14:textId="77777777" w:rsidR="001B7040" w:rsidRPr="001B7040" w:rsidRDefault="001B7040" w:rsidP="001B7040">
      <w:pPr>
        <w:pStyle w:val="a3"/>
        <w:tabs>
          <w:tab w:val="left" w:pos="2460"/>
        </w:tabs>
        <w:overflowPunct w:val="0"/>
        <w:spacing w:after="0" w:line="240" w:lineRule="auto"/>
        <w:ind w:left="2457"/>
        <w:jc w:val="both"/>
        <w:rPr>
          <w:rFonts w:ascii="Times New Roman" w:hAnsi="Times New Roman" w:cs="Times New Roman"/>
          <w:i/>
          <w:sz w:val="24"/>
          <w:szCs w:val="24"/>
        </w:rPr>
      </w:pPr>
    </w:p>
    <w:p w14:paraId="7CCAE973" w14:textId="2C85FADC" w:rsidR="00042086" w:rsidRDefault="00042086" w:rsidP="001B7040">
      <w:p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(b)</w:t>
      </w:r>
      <w:r w:rsidR="001264CD">
        <w:rPr>
          <w:rFonts w:ascii="Times New Roman" w:hAnsi="Times New Roman" w:cs="Times New Roman"/>
          <w:i/>
          <w:sz w:val="24"/>
          <w:szCs w:val="24"/>
        </w:rPr>
        <w:tab/>
      </w:r>
      <w:r w:rsidRPr="00532A38">
        <w:rPr>
          <w:rFonts w:ascii="Times New Roman" w:hAnsi="Times New Roman" w:cs="Times New Roman"/>
          <w:i/>
          <w:sz w:val="24"/>
          <w:szCs w:val="24"/>
        </w:rPr>
        <w:t>computer hardware, other than that which is an integral part of any machinery or plant;</w:t>
      </w:r>
    </w:p>
    <w:p w14:paraId="2AF5A51C" w14:textId="77777777" w:rsidR="001B7040" w:rsidRPr="00532A38" w:rsidRDefault="001B7040" w:rsidP="001B7040">
      <w:p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p>
    <w:p w14:paraId="7CCAE974" w14:textId="161FE503" w:rsidR="00042086" w:rsidRDefault="00042086" w:rsidP="001B7040">
      <w:pPr>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(c)</w:t>
      </w:r>
      <w:r w:rsidR="001264CD">
        <w:rPr>
          <w:rFonts w:ascii="Times New Roman" w:hAnsi="Times New Roman" w:cs="Times New Roman"/>
          <w:i/>
          <w:sz w:val="24"/>
          <w:szCs w:val="24"/>
        </w:rPr>
        <w:tab/>
      </w:r>
      <w:r w:rsidRPr="00532A38">
        <w:rPr>
          <w:rFonts w:ascii="Times New Roman" w:hAnsi="Times New Roman" w:cs="Times New Roman"/>
          <w:i/>
          <w:sz w:val="24"/>
          <w:szCs w:val="24"/>
        </w:rPr>
        <w:t>computer software and computer systems,</w:t>
      </w:r>
    </w:p>
    <w:p w14:paraId="60A17157" w14:textId="77777777" w:rsidR="001B7040" w:rsidRPr="00532A38" w:rsidRDefault="001B7040" w:rsidP="001B7040">
      <w:pPr>
        <w:tabs>
          <w:tab w:val="left" w:pos="2460"/>
        </w:tabs>
        <w:overflowPunct w:val="0"/>
        <w:spacing w:after="0" w:line="240" w:lineRule="auto"/>
        <w:ind w:leftChars="878" w:left="2508" w:hangingChars="240" w:hanging="576"/>
        <w:jc w:val="both"/>
        <w:rPr>
          <w:rFonts w:ascii="Times New Roman" w:hAnsi="Times New Roman" w:cs="Times New Roman"/>
          <w:i/>
          <w:sz w:val="24"/>
          <w:szCs w:val="24"/>
        </w:rPr>
      </w:pPr>
    </w:p>
    <w:p w14:paraId="7CCAE975" w14:textId="46F9463F" w:rsidR="00042086" w:rsidRDefault="00042086" w:rsidP="001B7040">
      <w:pPr>
        <w:overflowPunct w:val="0"/>
        <w:spacing w:after="0" w:line="240" w:lineRule="auto"/>
        <w:ind w:leftChars="1118" w:left="2460"/>
        <w:jc w:val="both"/>
        <w:rPr>
          <w:rFonts w:ascii="Times New Roman" w:hAnsi="Times New Roman" w:cs="Times New Roman"/>
          <w:i/>
          <w:sz w:val="24"/>
          <w:szCs w:val="24"/>
        </w:rPr>
      </w:pPr>
      <w:r w:rsidRPr="00532A38">
        <w:rPr>
          <w:rFonts w:ascii="Times New Roman" w:hAnsi="Times New Roman" w:cs="Times New Roman"/>
          <w:i/>
          <w:sz w:val="24"/>
          <w:szCs w:val="24"/>
        </w:rPr>
        <w:t>but does not include an excluded fixed asset;</w:t>
      </w:r>
    </w:p>
    <w:p w14:paraId="6408B667" w14:textId="77777777" w:rsidR="001B7040" w:rsidRPr="00532A38" w:rsidRDefault="001B7040" w:rsidP="0046026A">
      <w:pPr>
        <w:overflowPunct w:val="0"/>
        <w:spacing w:after="0" w:line="240" w:lineRule="auto"/>
        <w:ind w:left="360"/>
        <w:jc w:val="both"/>
        <w:rPr>
          <w:rFonts w:ascii="Times New Roman" w:hAnsi="Times New Roman" w:cs="Times New Roman"/>
          <w:i/>
          <w:sz w:val="24"/>
          <w:szCs w:val="24"/>
        </w:rPr>
      </w:pPr>
    </w:p>
    <w:p w14:paraId="7CCAE976" w14:textId="652456F8" w:rsidR="00042086" w:rsidRDefault="001B7040" w:rsidP="001B7040">
      <w:pPr>
        <w:overflowPunct w:val="0"/>
        <w:spacing w:after="0" w:line="240" w:lineRule="auto"/>
        <w:ind w:leftChars="1118" w:left="2460"/>
        <w:jc w:val="both"/>
        <w:rPr>
          <w:rFonts w:ascii="Times New Roman" w:hAnsi="Times New Roman" w:cs="Times New Roman"/>
          <w:i/>
          <w:sz w:val="24"/>
          <w:szCs w:val="24"/>
        </w:rPr>
      </w:pPr>
      <w:r>
        <w:rPr>
          <w:rFonts w:ascii="Times New Roman" w:hAnsi="Times New Roman" w:cs="Times New Roman"/>
          <w:i/>
          <w:sz w:val="24"/>
          <w:szCs w:val="24"/>
        </w:rPr>
        <w:t xml:space="preserve">specified capital expenditure </w:t>
      </w:r>
      <w:r w:rsidRPr="001B7040">
        <w:rPr>
          <w:rFonts w:ascii="Times New Roman" w:eastAsia="標楷體" w:hAnsi="Times New Roman" w:cs="Times New Roman"/>
          <w:i/>
          <w:sz w:val="24"/>
          <w:szCs w:val="24"/>
        </w:rPr>
        <w:t>(</w:t>
      </w:r>
      <w:r w:rsidR="00042086" w:rsidRPr="001B7040">
        <w:rPr>
          <w:rFonts w:ascii="Times New Roman" w:eastAsia="標楷體" w:hAnsi="Times New Roman" w:cs="Times New Roman"/>
          <w:i/>
          <w:sz w:val="24"/>
          <w:szCs w:val="24"/>
        </w:rPr>
        <w:t>指明資本開支</w:t>
      </w:r>
      <w:r w:rsidR="00042086" w:rsidRPr="001B7040">
        <w:rPr>
          <w:rFonts w:ascii="Times New Roman" w:eastAsia="標楷體" w:hAnsi="Times New Roman" w:cs="Times New Roman"/>
          <w:i/>
          <w:sz w:val="24"/>
          <w:szCs w:val="24"/>
        </w:rPr>
        <w:t>)</w:t>
      </w:r>
      <w:r w:rsidR="00042086" w:rsidRPr="00532A38">
        <w:rPr>
          <w:rFonts w:ascii="Times New Roman" w:hAnsi="Times New Roman" w:cs="Times New Roman"/>
          <w:i/>
          <w:sz w:val="24"/>
          <w:szCs w:val="24"/>
        </w:rPr>
        <w:t>, in relation to a person, means any capital expenditure incurred by the person on the provision of a prescribed fixed asset, but does not include—</w:t>
      </w:r>
    </w:p>
    <w:p w14:paraId="5908F058" w14:textId="77777777" w:rsidR="001B7040" w:rsidRPr="00532A38" w:rsidRDefault="001B7040" w:rsidP="001B7040">
      <w:pPr>
        <w:overflowPunct w:val="0"/>
        <w:spacing w:after="0" w:line="240" w:lineRule="auto"/>
        <w:ind w:leftChars="1118" w:left="2460"/>
        <w:jc w:val="both"/>
        <w:rPr>
          <w:rFonts w:ascii="Times New Roman" w:hAnsi="Times New Roman" w:cs="Times New Roman"/>
          <w:i/>
          <w:sz w:val="24"/>
          <w:szCs w:val="24"/>
        </w:rPr>
      </w:pPr>
    </w:p>
    <w:p w14:paraId="7CCAE977" w14:textId="27771595" w:rsidR="00042086" w:rsidRDefault="00042086" w:rsidP="001B7040">
      <w:pPr>
        <w:tabs>
          <w:tab w:val="left" w:pos="2988"/>
        </w:tabs>
        <w:overflowPunct w:val="0"/>
        <w:spacing w:after="0" w:line="240" w:lineRule="auto"/>
        <w:ind w:leftChars="1118" w:left="2988"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(a)</w:t>
      </w:r>
      <w:r w:rsidR="001B7040">
        <w:rPr>
          <w:rFonts w:ascii="Times New Roman" w:hAnsi="Times New Roman" w:cs="Times New Roman"/>
          <w:i/>
          <w:sz w:val="24"/>
          <w:szCs w:val="24"/>
        </w:rPr>
        <w:tab/>
      </w:r>
      <w:r w:rsidRPr="00532A38">
        <w:rPr>
          <w:rFonts w:ascii="Times New Roman" w:hAnsi="Times New Roman" w:cs="Times New Roman"/>
          <w:i/>
          <w:sz w:val="24"/>
          <w:szCs w:val="24"/>
        </w:rPr>
        <w:t>capital expenditure that may be deducted under any other section in this Part;</w:t>
      </w:r>
    </w:p>
    <w:p w14:paraId="1E83C262" w14:textId="77777777" w:rsidR="001B7040" w:rsidRPr="001B7040" w:rsidRDefault="001B7040" w:rsidP="001B7040">
      <w:pPr>
        <w:tabs>
          <w:tab w:val="left" w:pos="2988"/>
        </w:tabs>
        <w:overflowPunct w:val="0"/>
        <w:spacing w:after="0" w:line="240" w:lineRule="auto"/>
        <w:ind w:leftChars="1118" w:left="2988" w:hangingChars="220" w:hanging="528"/>
        <w:jc w:val="both"/>
        <w:rPr>
          <w:rFonts w:ascii="Times New Roman" w:hAnsi="Times New Roman" w:cs="Times New Roman"/>
          <w:i/>
          <w:sz w:val="24"/>
          <w:szCs w:val="24"/>
        </w:rPr>
      </w:pPr>
    </w:p>
    <w:p w14:paraId="7CCAE978" w14:textId="13A9ACEE" w:rsidR="00042086" w:rsidRPr="00532A38" w:rsidRDefault="00042086" w:rsidP="001B7040">
      <w:pPr>
        <w:tabs>
          <w:tab w:val="left" w:pos="2988"/>
        </w:tabs>
        <w:overflowPunct w:val="0"/>
        <w:spacing w:after="0" w:line="240" w:lineRule="auto"/>
        <w:ind w:leftChars="1118" w:left="2988"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(b)</w:t>
      </w:r>
      <w:r w:rsidR="001B7040">
        <w:rPr>
          <w:rFonts w:ascii="Times New Roman" w:hAnsi="Times New Roman" w:cs="Times New Roman"/>
          <w:i/>
          <w:sz w:val="24"/>
          <w:szCs w:val="24"/>
        </w:rPr>
        <w:tab/>
      </w:r>
      <w:r w:rsidRPr="00532A38">
        <w:rPr>
          <w:rFonts w:ascii="Times New Roman" w:hAnsi="Times New Roman" w:cs="Times New Roman"/>
          <w:i/>
          <w:sz w:val="24"/>
          <w:szCs w:val="24"/>
        </w:rPr>
        <w:t>capital expenditure incurred under a hire-purchase agreement.</w:t>
      </w:r>
      <w:r w:rsidR="001264CD">
        <w:rPr>
          <w:rFonts w:ascii="Times New Roman" w:hAnsi="Times New Roman" w:cs="Times New Roman"/>
          <w:sz w:val="24"/>
          <w:szCs w:val="24"/>
        </w:rPr>
        <w:t>’</w:t>
      </w:r>
    </w:p>
    <w:p w14:paraId="7CCAE979" w14:textId="77777777" w:rsidR="00042086" w:rsidRPr="00532A38" w:rsidRDefault="00042086" w:rsidP="0046026A">
      <w:pPr>
        <w:overflowPunct w:val="0"/>
        <w:spacing w:after="0" w:line="240" w:lineRule="auto"/>
        <w:jc w:val="both"/>
        <w:rPr>
          <w:rFonts w:ascii="Times New Roman" w:hAnsi="Times New Roman" w:cs="Times New Roman"/>
          <w:sz w:val="24"/>
          <w:szCs w:val="24"/>
        </w:rPr>
      </w:pPr>
    </w:p>
    <w:p w14:paraId="7CCAE97A" w14:textId="390F22A8" w:rsidR="00042086" w:rsidRPr="00532A38" w:rsidRDefault="00042086" w:rsidP="001B7040">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Section 2 defines </w:t>
      </w:r>
      <w:r w:rsidR="00593D7E">
        <w:rPr>
          <w:rFonts w:ascii="Times New Roman" w:hAnsi="Times New Roman" w:cs="Times New Roman"/>
          <w:sz w:val="24"/>
          <w:szCs w:val="24"/>
        </w:rPr>
        <w:t>‘</w:t>
      </w:r>
      <w:r w:rsidRPr="00532A38">
        <w:rPr>
          <w:rFonts w:ascii="Times New Roman" w:hAnsi="Times New Roman" w:cs="Times New Roman"/>
          <w:sz w:val="24"/>
          <w:szCs w:val="24"/>
        </w:rPr>
        <w:t>lease</w:t>
      </w:r>
      <w:r w:rsidR="00593D7E">
        <w:rPr>
          <w:rFonts w:ascii="Times New Roman" w:hAnsi="Times New Roman" w:cs="Times New Roman"/>
          <w:sz w:val="24"/>
          <w:szCs w:val="24"/>
        </w:rPr>
        <w:t>’</w:t>
      </w:r>
      <w:r w:rsidRPr="00532A38">
        <w:rPr>
          <w:rFonts w:ascii="Times New Roman" w:hAnsi="Times New Roman" w:cs="Times New Roman"/>
          <w:sz w:val="24"/>
          <w:szCs w:val="24"/>
        </w:rPr>
        <w:t xml:space="preserve"> in relation to any machinery or plant, to include:</w:t>
      </w:r>
    </w:p>
    <w:p w14:paraId="7CCAE97B" w14:textId="77777777" w:rsidR="00042086" w:rsidRPr="00532A38" w:rsidRDefault="00042086" w:rsidP="0046026A">
      <w:pPr>
        <w:pStyle w:val="a3"/>
        <w:overflowPunct w:val="0"/>
        <w:spacing w:after="0" w:line="240" w:lineRule="auto"/>
        <w:ind w:left="360"/>
        <w:jc w:val="both"/>
        <w:rPr>
          <w:rFonts w:ascii="Times New Roman" w:hAnsi="Times New Roman" w:cs="Times New Roman"/>
          <w:sz w:val="24"/>
          <w:szCs w:val="24"/>
        </w:rPr>
      </w:pPr>
    </w:p>
    <w:p w14:paraId="7CCAE97C" w14:textId="4A827F62" w:rsidR="00042086" w:rsidRPr="00532A38" w:rsidRDefault="001B7040" w:rsidP="001B7040">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(a)</w:t>
      </w:r>
      <w:r>
        <w:rPr>
          <w:rFonts w:ascii="Times New Roman" w:hAnsi="Times New Roman" w:cs="Times New Roman"/>
          <w:i/>
          <w:sz w:val="24"/>
          <w:szCs w:val="24"/>
        </w:rPr>
        <w:tab/>
      </w:r>
      <w:r w:rsidR="00042086" w:rsidRPr="00532A38">
        <w:rPr>
          <w:rFonts w:ascii="Times New Roman" w:hAnsi="Times New Roman" w:cs="Times New Roman"/>
          <w:i/>
          <w:sz w:val="24"/>
          <w:szCs w:val="24"/>
        </w:rPr>
        <w:t>any arrangement under which a right to use the machinery or plant is granted by the owner of the machinery or plant to another person….</w:t>
      </w:r>
      <w:r>
        <w:rPr>
          <w:rFonts w:ascii="Times New Roman" w:hAnsi="Times New Roman" w:cs="Times New Roman"/>
          <w:sz w:val="24"/>
          <w:szCs w:val="24"/>
        </w:rPr>
        <w:t>’</w:t>
      </w:r>
    </w:p>
    <w:p w14:paraId="7CCAE97D" w14:textId="77777777" w:rsidR="00042086" w:rsidRPr="00532A38" w:rsidRDefault="00042086" w:rsidP="0046026A">
      <w:pPr>
        <w:pStyle w:val="a3"/>
        <w:overflowPunct w:val="0"/>
        <w:spacing w:after="0" w:line="240" w:lineRule="auto"/>
        <w:ind w:left="360"/>
        <w:jc w:val="both"/>
        <w:rPr>
          <w:rFonts w:ascii="Times New Roman" w:hAnsi="Times New Roman" w:cs="Times New Roman"/>
          <w:sz w:val="24"/>
          <w:szCs w:val="24"/>
        </w:rPr>
      </w:pPr>
    </w:p>
    <w:p w14:paraId="7CCAE97E" w14:textId="2290AF56" w:rsidR="00042086" w:rsidRPr="00532A38" w:rsidRDefault="00042086" w:rsidP="001B7040">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Section 39B of the IRO provides for initial and annual allowances on machinery and plant:</w:t>
      </w:r>
    </w:p>
    <w:p w14:paraId="7CCAE97F" w14:textId="77777777" w:rsidR="00042086" w:rsidRPr="00532A38" w:rsidRDefault="00042086" w:rsidP="0046026A">
      <w:pPr>
        <w:pStyle w:val="a3"/>
        <w:overflowPunct w:val="0"/>
        <w:spacing w:after="0" w:line="240" w:lineRule="auto"/>
        <w:ind w:left="360"/>
        <w:jc w:val="both"/>
        <w:rPr>
          <w:rFonts w:ascii="Times New Roman" w:hAnsi="Times New Roman" w:cs="Times New Roman"/>
          <w:sz w:val="24"/>
          <w:szCs w:val="24"/>
        </w:rPr>
      </w:pPr>
    </w:p>
    <w:p w14:paraId="7CCAE980" w14:textId="15D653EB" w:rsidR="00042086" w:rsidRPr="00532A38" w:rsidRDefault="001B7040"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(1)</w:t>
      </w:r>
      <w:r>
        <w:rPr>
          <w:rFonts w:ascii="Times New Roman" w:hAnsi="Times New Roman" w:cs="Times New Roman"/>
          <w:i/>
          <w:sz w:val="24"/>
          <w:szCs w:val="24"/>
        </w:rPr>
        <w:tab/>
      </w:r>
      <w:r w:rsidR="00042086" w:rsidRPr="00532A38">
        <w:rPr>
          <w:rFonts w:ascii="Times New Roman" w:hAnsi="Times New Roman" w:cs="Times New Roman"/>
          <w:i/>
          <w:sz w:val="24"/>
          <w:szCs w:val="24"/>
        </w:rPr>
        <w:t xml:space="preserve">Where a person carrying on a trade, profession or business incurs capital expenditure on the provision of machinery or plant for the purposes of producing profits chargeable to tax under Part </w:t>
      </w:r>
      <w:r w:rsidR="00593D7E">
        <w:rPr>
          <w:rFonts w:ascii="Times New Roman" w:hAnsi="Times New Roman" w:cs="Times New Roman"/>
          <w:i/>
          <w:sz w:val="24"/>
          <w:szCs w:val="24"/>
        </w:rPr>
        <w:t>IV</w:t>
      </w:r>
      <w:r w:rsidR="00042086" w:rsidRPr="00532A38">
        <w:rPr>
          <w:rFonts w:ascii="Times New Roman" w:hAnsi="Times New Roman" w:cs="Times New Roman"/>
          <w:i/>
          <w:sz w:val="24"/>
          <w:szCs w:val="24"/>
        </w:rPr>
        <w:t xml:space="preserve"> then, except where such expenditure is expenditure of a kind described in section 16B(1)(b) or 16G, there shall be made to him, for the year of assessment in the basis period for which the expenditure is incurred, an allowance, to be k</w:t>
      </w:r>
      <w:r w:rsidR="00593D7E">
        <w:rPr>
          <w:rFonts w:ascii="Times New Roman" w:hAnsi="Times New Roman" w:cs="Times New Roman"/>
          <w:i/>
          <w:sz w:val="24"/>
          <w:szCs w:val="24"/>
        </w:rPr>
        <w:t>nown as an “initial allowance”.</w:t>
      </w:r>
    </w:p>
    <w:p w14:paraId="72E9086A" w14:textId="77777777" w:rsidR="00593D7E" w:rsidRDefault="00593D7E"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81" w14:textId="48D01CAE" w:rsidR="00042086" w:rsidRPr="00532A38" w:rsidRDefault="00042086"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lastRenderedPageBreak/>
        <w:t>…</w:t>
      </w:r>
    </w:p>
    <w:p w14:paraId="7CCAE982" w14:textId="77777777" w:rsidR="00042086" w:rsidRPr="00532A38" w:rsidRDefault="00042086"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p>
    <w:p w14:paraId="7CCAE983" w14:textId="5E462251" w:rsidR="00042086" w:rsidRPr="00532A38" w:rsidRDefault="00042086"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(2)</w:t>
      </w:r>
      <w:r w:rsidR="001B7040">
        <w:rPr>
          <w:rFonts w:ascii="Times New Roman" w:hAnsi="Times New Roman" w:cs="Times New Roman"/>
          <w:i/>
          <w:sz w:val="24"/>
          <w:szCs w:val="24"/>
        </w:rPr>
        <w:tab/>
      </w:r>
      <w:r w:rsidRPr="00532A38">
        <w:rPr>
          <w:rFonts w:ascii="Times New Roman" w:hAnsi="Times New Roman" w:cs="Times New Roman"/>
          <w:i/>
          <w:sz w:val="24"/>
          <w:szCs w:val="24"/>
        </w:rPr>
        <w:t xml:space="preserve">Where during the basis period for any year of assessment or during the basis period for any earlier year of assessment a person owns or has owned and has in use or has had in use any machinery or plant for the purposes of producing profits chargeable to tax under Part </w:t>
      </w:r>
      <w:r w:rsidR="00593D7E">
        <w:rPr>
          <w:rFonts w:ascii="Times New Roman" w:hAnsi="Times New Roman" w:cs="Times New Roman"/>
          <w:i/>
          <w:sz w:val="24"/>
          <w:szCs w:val="24"/>
        </w:rPr>
        <w:t>IV</w:t>
      </w:r>
      <w:r w:rsidRPr="00532A38">
        <w:rPr>
          <w:rFonts w:ascii="Times New Roman" w:hAnsi="Times New Roman" w:cs="Times New Roman"/>
          <w:i/>
          <w:sz w:val="24"/>
          <w:szCs w:val="24"/>
        </w:rPr>
        <w:t>, there shall be made to him in respect of each class of machinery or plant for that year of assessment an allowance, to be known as an “annual allowance”, for depreciation by wear and tear of such machinery or plant.</w:t>
      </w:r>
      <w:r w:rsidR="001B7040">
        <w:rPr>
          <w:rFonts w:ascii="Times New Roman" w:hAnsi="Times New Roman" w:cs="Times New Roman"/>
          <w:sz w:val="24"/>
          <w:szCs w:val="24"/>
        </w:rPr>
        <w:t>’</w:t>
      </w:r>
    </w:p>
    <w:p w14:paraId="7CCAE984" w14:textId="77777777" w:rsidR="00042086" w:rsidRPr="00532A38" w:rsidRDefault="00042086" w:rsidP="0046026A">
      <w:pPr>
        <w:pStyle w:val="a3"/>
        <w:overflowPunct w:val="0"/>
        <w:spacing w:after="0" w:line="240" w:lineRule="auto"/>
        <w:ind w:left="360"/>
        <w:jc w:val="both"/>
        <w:rPr>
          <w:rFonts w:ascii="Times New Roman" w:hAnsi="Times New Roman" w:cs="Times New Roman"/>
          <w:sz w:val="24"/>
          <w:szCs w:val="24"/>
        </w:rPr>
      </w:pPr>
    </w:p>
    <w:p w14:paraId="7CCAE985" w14:textId="77777777" w:rsidR="00042086" w:rsidRPr="00532A38" w:rsidRDefault="00042086" w:rsidP="00593D7E">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Section 39E of the IRO, however, provides:</w:t>
      </w:r>
    </w:p>
    <w:p w14:paraId="7CCAE986" w14:textId="77777777" w:rsidR="00042086" w:rsidRPr="00532A38" w:rsidRDefault="00042086" w:rsidP="0046026A">
      <w:pPr>
        <w:pStyle w:val="a3"/>
        <w:overflowPunct w:val="0"/>
        <w:spacing w:after="0" w:line="240" w:lineRule="auto"/>
        <w:ind w:left="360"/>
        <w:jc w:val="both"/>
        <w:rPr>
          <w:rFonts w:ascii="Times New Roman" w:hAnsi="Times New Roman" w:cs="Times New Roman"/>
          <w:sz w:val="24"/>
          <w:szCs w:val="24"/>
        </w:rPr>
      </w:pPr>
    </w:p>
    <w:p w14:paraId="7CCAE987" w14:textId="7C1F3669" w:rsidR="00042086" w:rsidRDefault="006562F1" w:rsidP="00593D7E">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(1)</w:t>
      </w:r>
      <w:r w:rsidR="00593D7E">
        <w:rPr>
          <w:rFonts w:ascii="Times New Roman" w:hAnsi="Times New Roman" w:cs="Times New Roman"/>
          <w:i/>
          <w:sz w:val="24"/>
          <w:szCs w:val="24"/>
        </w:rPr>
        <w:tab/>
      </w:r>
      <w:r w:rsidR="00042086" w:rsidRPr="00532A38">
        <w:rPr>
          <w:rFonts w:ascii="Times New Roman" w:hAnsi="Times New Roman" w:cs="Times New Roman"/>
          <w:i/>
          <w:sz w:val="24"/>
          <w:szCs w:val="24"/>
        </w:rPr>
        <w:t xml:space="preserve">Notwithstanding anything to the contrary in [Part 6], a person (in this section referred to as the taxpayer) who incurs capital expenditure on the provision of machinery or plant, being machinery or plant acquired by the taxpayer under a contract entered into after the commencement of the Inland Revenue (Amendment) Ordinance 1986 (7 of 1986), for the purpose of producing profits chargeable to tax under Part </w:t>
      </w:r>
      <w:r w:rsidR="00F03E23">
        <w:rPr>
          <w:rFonts w:ascii="Times New Roman" w:hAnsi="Times New Roman" w:cs="Times New Roman"/>
          <w:i/>
          <w:sz w:val="24"/>
          <w:szCs w:val="24"/>
        </w:rPr>
        <w:t>IV</w:t>
      </w:r>
      <w:r w:rsidR="00042086" w:rsidRPr="00532A38">
        <w:rPr>
          <w:rFonts w:ascii="Times New Roman" w:hAnsi="Times New Roman" w:cs="Times New Roman"/>
          <w:i/>
          <w:sz w:val="24"/>
          <w:szCs w:val="24"/>
        </w:rPr>
        <w:t xml:space="preserve"> shall not have made to him the initial or annual allowances prescribed in section 37, 37A or 39B if, at a time when the machinery or plant is owned by the taxpayer, a person holds rights as lessee under a lease of the machinery or plant, and—</w:t>
      </w:r>
    </w:p>
    <w:p w14:paraId="3F700A4C" w14:textId="77777777" w:rsidR="00593D7E" w:rsidRPr="00532A38" w:rsidRDefault="00593D7E" w:rsidP="0046026A">
      <w:pPr>
        <w:pStyle w:val="a3"/>
        <w:overflowPunct w:val="0"/>
        <w:spacing w:after="0" w:line="240" w:lineRule="auto"/>
        <w:ind w:left="360"/>
        <w:jc w:val="both"/>
        <w:rPr>
          <w:rFonts w:ascii="Times New Roman" w:hAnsi="Times New Roman" w:cs="Times New Roman"/>
          <w:i/>
          <w:sz w:val="24"/>
          <w:szCs w:val="24"/>
        </w:rPr>
      </w:pPr>
    </w:p>
    <w:p w14:paraId="7CCAE988" w14:textId="4847E5D1" w:rsidR="00042086" w:rsidRDefault="00042086" w:rsidP="00593D7E">
      <w:pPr>
        <w:pStyle w:val="a3"/>
        <w:tabs>
          <w:tab w:val="left" w:pos="3315"/>
        </w:tabs>
        <w:overflowPunct w:val="0"/>
        <w:spacing w:after="0" w:line="240" w:lineRule="auto"/>
        <w:ind w:leftChars="878" w:left="1932"/>
        <w:jc w:val="both"/>
        <w:rPr>
          <w:rFonts w:ascii="Times New Roman" w:hAnsi="Times New Roman" w:cs="Times New Roman"/>
          <w:i/>
          <w:sz w:val="24"/>
          <w:szCs w:val="24"/>
        </w:rPr>
      </w:pPr>
      <w:r w:rsidRPr="00532A38">
        <w:rPr>
          <w:rFonts w:ascii="Times New Roman" w:hAnsi="Times New Roman" w:cs="Times New Roman"/>
          <w:i/>
          <w:sz w:val="24"/>
          <w:szCs w:val="24"/>
        </w:rPr>
        <w:t>…</w:t>
      </w:r>
    </w:p>
    <w:p w14:paraId="09486576" w14:textId="77777777" w:rsidR="00593D7E" w:rsidRPr="00532A38" w:rsidRDefault="00593D7E" w:rsidP="00593D7E">
      <w:pPr>
        <w:pStyle w:val="a3"/>
        <w:tabs>
          <w:tab w:val="left" w:pos="3315"/>
        </w:tabs>
        <w:overflowPunct w:val="0"/>
        <w:spacing w:after="0" w:line="240" w:lineRule="auto"/>
        <w:ind w:left="360"/>
        <w:jc w:val="both"/>
        <w:rPr>
          <w:rFonts w:ascii="Times New Roman" w:hAnsi="Times New Roman" w:cs="Times New Roman"/>
          <w:i/>
          <w:sz w:val="24"/>
          <w:szCs w:val="24"/>
        </w:rPr>
      </w:pPr>
    </w:p>
    <w:p w14:paraId="7CCAE989" w14:textId="39690DE0" w:rsidR="00042086" w:rsidRDefault="00042086" w:rsidP="00593D7E">
      <w:pPr>
        <w:pStyle w:val="a3"/>
        <w:tabs>
          <w:tab w:val="left" w:pos="2460"/>
        </w:tabs>
        <w:overflowPunct w:val="0"/>
        <w:spacing w:after="0" w:line="240" w:lineRule="auto"/>
        <w:ind w:leftChars="878" w:left="2460"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(b)</w:t>
      </w:r>
      <w:r w:rsidR="00593D7E">
        <w:rPr>
          <w:rFonts w:ascii="Times New Roman" w:hAnsi="Times New Roman" w:cs="Times New Roman"/>
          <w:i/>
          <w:sz w:val="24"/>
          <w:szCs w:val="24"/>
        </w:rPr>
        <w:tab/>
      </w:r>
      <w:r w:rsidRPr="00532A38">
        <w:rPr>
          <w:rFonts w:ascii="Times New Roman" w:hAnsi="Times New Roman" w:cs="Times New Roman"/>
          <w:i/>
          <w:sz w:val="24"/>
          <w:szCs w:val="24"/>
        </w:rPr>
        <w:t>the machinery or plant, not being a ship or aircraft or any part thereof, is while the lease is in force—</w:t>
      </w:r>
    </w:p>
    <w:p w14:paraId="0E461216" w14:textId="77777777" w:rsidR="00593D7E" w:rsidRPr="00593D7E" w:rsidRDefault="00593D7E" w:rsidP="0046026A">
      <w:pPr>
        <w:pStyle w:val="a3"/>
        <w:overflowPunct w:val="0"/>
        <w:spacing w:after="0" w:line="240" w:lineRule="auto"/>
        <w:ind w:left="360"/>
        <w:jc w:val="both"/>
        <w:rPr>
          <w:rFonts w:ascii="Times New Roman" w:hAnsi="Times New Roman" w:cs="Times New Roman"/>
          <w:i/>
          <w:sz w:val="24"/>
          <w:szCs w:val="24"/>
        </w:rPr>
      </w:pPr>
    </w:p>
    <w:p w14:paraId="7CCAE98A" w14:textId="1E19105A" w:rsidR="00042086" w:rsidRPr="00532A38" w:rsidRDefault="00042086" w:rsidP="00593D7E">
      <w:pPr>
        <w:pStyle w:val="a3"/>
        <w:tabs>
          <w:tab w:val="left" w:pos="2988"/>
        </w:tabs>
        <w:overflowPunct w:val="0"/>
        <w:spacing w:after="0" w:line="240" w:lineRule="auto"/>
        <w:ind w:leftChars="1118" w:left="2988" w:hangingChars="220" w:hanging="528"/>
        <w:jc w:val="both"/>
        <w:rPr>
          <w:rFonts w:ascii="Times New Roman" w:hAnsi="Times New Roman" w:cs="Times New Roman"/>
          <w:i/>
          <w:sz w:val="24"/>
          <w:szCs w:val="24"/>
        </w:rPr>
      </w:pPr>
      <w:r w:rsidRPr="00532A38">
        <w:rPr>
          <w:rFonts w:ascii="Times New Roman" w:hAnsi="Times New Roman" w:cs="Times New Roman"/>
          <w:i/>
          <w:sz w:val="24"/>
          <w:szCs w:val="24"/>
        </w:rPr>
        <w:t>(i)</w:t>
      </w:r>
      <w:r w:rsidR="00593D7E">
        <w:rPr>
          <w:rFonts w:ascii="Times New Roman" w:hAnsi="Times New Roman" w:cs="Times New Roman"/>
          <w:i/>
          <w:sz w:val="24"/>
          <w:szCs w:val="24"/>
        </w:rPr>
        <w:tab/>
      </w:r>
      <w:r w:rsidRPr="00532A38">
        <w:rPr>
          <w:rFonts w:ascii="Times New Roman" w:hAnsi="Times New Roman" w:cs="Times New Roman"/>
          <w:i/>
          <w:sz w:val="24"/>
          <w:szCs w:val="24"/>
        </w:rPr>
        <w:t>used wholly or principally outside Hong Kong by a person other than the taxpayer…</w:t>
      </w:r>
      <w:r w:rsidR="006562F1">
        <w:rPr>
          <w:rFonts w:ascii="Times New Roman" w:hAnsi="Times New Roman" w:cs="Times New Roman"/>
          <w:sz w:val="24"/>
          <w:szCs w:val="24"/>
        </w:rPr>
        <w:t>’</w:t>
      </w:r>
    </w:p>
    <w:p w14:paraId="7CCAE98B" w14:textId="77777777" w:rsidR="00042086" w:rsidRPr="00532A38" w:rsidRDefault="00042086" w:rsidP="0046026A">
      <w:pPr>
        <w:overflowPunct w:val="0"/>
        <w:spacing w:after="0" w:line="240" w:lineRule="auto"/>
        <w:jc w:val="both"/>
        <w:rPr>
          <w:rFonts w:ascii="Times New Roman" w:hAnsi="Times New Roman" w:cs="Times New Roman"/>
          <w:sz w:val="24"/>
          <w:szCs w:val="24"/>
        </w:rPr>
      </w:pPr>
    </w:p>
    <w:p w14:paraId="7CCAE98C" w14:textId="363A3F10" w:rsidR="00042086" w:rsidRDefault="00042086" w:rsidP="00593D7E">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Section 18F of the IRO provides:</w:t>
      </w:r>
    </w:p>
    <w:p w14:paraId="73922340" w14:textId="77777777" w:rsidR="00593D7E" w:rsidRPr="00532A38" w:rsidRDefault="00593D7E" w:rsidP="00593D7E">
      <w:pPr>
        <w:pStyle w:val="a3"/>
        <w:overflowPunct w:val="0"/>
        <w:spacing w:after="0" w:line="240" w:lineRule="auto"/>
        <w:ind w:left="0"/>
        <w:jc w:val="both"/>
        <w:rPr>
          <w:rFonts w:ascii="Times New Roman" w:hAnsi="Times New Roman" w:cs="Times New Roman"/>
          <w:sz w:val="24"/>
          <w:szCs w:val="24"/>
        </w:rPr>
      </w:pPr>
    </w:p>
    <w:p w14:paraId="7CCAE98D" w14:textId="59B39A33" w:rsidR="00042086" w:rsidRPr="00532A38" w:rsidRDefault="006562F1" w:rsidP="006562F1">
      <w:pPr>
        <w:pStyle w:val="a3"/>
        <w:tabs>
          <w:tab w:val="left" w:pos="1932"/>
        </w:tabs>
        <w:overflowPunct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rPr>
        <w:t>‘</w:t>
      </w:r>
      <w:r w:rsidR="00042086" w:rsidRPr="00532A38">
        <w:rPr>
          <w:rFonts w:ascii="Times New Roman" w:hAnsi="Times New Roman" w:cs="Times New Roman"/>
          <w:i/>
          <w:sz w:val="24"/>
          <w:szCs w:val="24"/>
        </w:rPr>
        <w:t>(1)</w:t>
      </w:r>
      <w:r w:rsidR="00593D7E">
        <w:rPr>
          <w:rFonts w:ascii="Times New Roman" w:hAnsi="Times New Roman" w:cs="Times New Roman"/>
          <w:i/>
          <w:sz w:val="24"/>
          <w:szCs w:val="24"/>
        </w:rPr>
        <w:tab/>
      </w:r>
      <w:r w:rsidR="00042086" w:rsidRPr="00532A38">
        <w:rPr>
          <w:rFonts w:ascii="Times New Roman" w:hAnsi="Times New Roman" w:cs="Times New Roman"/>
          <w:i/>
          <w:sz w:val="24"/>
          <w:szCs w:val="24"/>
        </w:rPr>
        <w:t>The amount of assessable profits for any year of assessment of a person chargeable to tax under [Profits Tax] shall be… decreased by the allowances made to that person under [Profit Tax] for that year of assessment to the extent to which the relevant assets are used in the production of the assessable profits.</w:t>
      </w:r>
      <w:r>
        <w:rPr>
          <w:rFonts w:ascii="Times New Roman" w:hAnsi="Times New Roman" w:cs="Times New Roman"/>
          <w:sz w:val="24"/>
          <w:szCs w:val="24"/>
        </w:rPr>
        <w:t>’</w:t>
      </w:r>
    </w:p>
    <w:p w14:paraId="7CCAE98F" w14:textId="77777777" w:rsidR="002A16DB" w:rsidRPr="00532A38" w:rsidRDefault="002A16DB" w:rsidP="0046026A">
      <w:pPr>
        <w:pStyle w:val="a3"/>
        <w:overflowPunct w:val="0"/>
        <w:spacing w:after="0" w:line="240" w:lineRule="auto"/>
        <w:rPr>
          <w:rFonts w:ascii="Times New Roman" w:hAnsi="Times New Roman" w:cs="Times New Roman"/>
          <w:sz w:val="24"/>
          <w:szCs w:val="24"/>
        </w:rPr>
      </w:pPr>
    </w:p>
    <w:p w14:paraId="7CCAE990" w14:textId="587EE82A" w:rsidR="00C92EAE" w:rsidRPr="00532A38" w:rsidRDefault="00042086" w:rsidP="00593D7E">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w:t>
      </w:r>
      <w:r w:rsidR="002A16DB" w:rsidRPr="00532A38">
        <w:rPr>
          <w:rFonts w:ascii="Times New Roman" w:hAnsi="Times New Roman" w:cs="Times New Roman"/>
          <w:sz w:val="24"/>
          <w:szCs w:val="24"/>
        </w:rPr>
        <w:t xml:space="preserve">t should be noted that </w:t>
      </w:r>
      <w:r w:rsidRPr="00532A38">
        <w:rPr>
          <w:rFonts w:ascii="Times New Roman" w:hAnsi="Times New Roman" w:cs="Times New Roman"/>
          <w:sz w:val="24"/>
          <w:szCs w:val="24"/>
        </w:rPr>
        <w:t xml:space="preserve">the definition of </w:t>
      </w:r>
      <w:r w:rsidR="006562F1">
        <w:rPr>
          <w:rFonts w:ascii="Times New Roman" w:hAnsi="Times New Roman" w:cs="Times New Roman"/>
          <w:sz w:val="24"/>
          <w:szCs w:val="24"/>
        </w:rPr>
        <w:t>‘</w:t>
      </w:r>
      <w:r w:rsidRPr="00532A38">
        <w:rPr>
          <w:rFonts w:ascii="Times New Roman" w:hAnsi="Times New Roman" w:cs="Times New Roman"/>
          <w:sz w:val="24"/>
          <w:szCs w:val="24"/>
        </w:rPr>
        <w:t>lease</w:t>
      </w:r>
      <w:r w:rsidR="006562F1">
        <w:rPr>
          <w:rFonts w:ascii="Times New Roman" w:hAnsi="Times New Roman" w:cs="Times New Roman"/>
          <w:sz w:val="24"/>
          <w:szCs w:val="24"/>
        </w:rPr>
        <w:t>’</w:t>
      </w:r>
      <w:r w:rsidRPr="00532A38">
        <w:rPr>
          <w:rFonts w:ascii="Times New Roman" w:hAnsi="Times New Roman" w:cs="Times New Roman"/>
          <w:sz w:val="24"/>
          <w:szCs w:val="24"/>
        </w:rPr>
        <w:t xml:space="preserve"> in section 2(1) of the IRO involves a wider concept of a </w:t>
      </w:r>
      <w:r w:rsidR="006562F1">
        <w:rPr>
          <w:rFonts w:ascii="Times New Roman" w:hAnsi="Times New Roman" w:cs="Times New Roman"/>
          <w:sz w:val="24"/>
          <w:szCs w:val="24"/>
        </w:rPr>
        <w:t>‘</w:t>
      </w:r>
      <w:r w:rsidRPr="00532A38">
        <w:rPr>
          <w:rFonts w:ascii="Times New Roman" w:hAnsi="Times New Roman" w:cs="Times New Roman"/>
          <w:sz w:val="24"/>
          <w:szCs w:val="24"/>
        </w:rPr>
        <w:t>lease</w:t>
      </w:r>
      <w:r w:rsidR="006562F1">
        <w:rPr>
          <w:rFonts w:ascii="Times New Roman" w:hAnsi="Times New Roman" w:cs="Times New Roman"/>
          <w:sz w:val="24"/>
          <w:szCs w:val="24"/>
        </w:rPr>
        <w:t>’</w:t>
      </w:r>
      <w:r w:rsidRPr="00532A38">
        <w:rPr>
          <w:rFonts w:ascii="Times New Roman" w:hAnsi="Times New Roman" w:cs="Times New Roman"/>
          <w:sz w:val="24"/>
          <w:szCs w:val="24"/>
        </w:rPr>
        <w:t xml:space="preserve"> than the concept as commonly understood under the general law.  As long as an arrangement was made under which a right to use the machinery and equipment was granted by the owner to another party, the machinery and equipment could be subject to a </w:t>
      </w:r>
      <w:r w:rsidR="006562F1">
        <w:rPr>
          <w:rFonts w:ascii="Times New Roman" w:hAnsi="Times New Roman" w:cs="Times New Roman"/>
          <w:sz w:val="24"/>
          <w:szCs w:val="24"/>
        </w:rPr>
        <w:t>‘</w:t>
      </w:r>
      <w:r w:rsidRPr="00532A38">
        <w:rPr>
          <w:rFonts w:ascii="Times New Roman" w:hAnsi="Times New Roman" w:cs="Times New Roman"/>
          <w:sz w:val="24"/>
          <w:szCs w:val="24"/>
        </w:rPr>
        <w:t>lease</w:t>
      </w:r>
      <w:r w:rsidR="006562F1">
        <w:rPr>
          <w:rFonts w:ascii="Times New Roman" w:hAnsi="Times New Roman" w:cs="Times New Roman"/>
          <w:sz w:val="24"/>
          <w:szCs w:val="24"/>
        </w:rPr>
        <w:t>’</w:t>
      </w:r>
      <w:r w:rsidRPr="00532A38">
        <w:rPr>
          <w:rFonts w:ascii="Times New Roman" w:hAnsi="Times New Roman" w:cs="Times New Roman"/>
          <w:sz w:val="24"/>
          <w:szCs w:val="24"/>
        </w:rPr>
        <w:t xml:space="preserve"> under the meaning of section 2 of the IRO (</w:t>
      </w:r>
      <w:r w:rsidR="006562F1" w:rsidRPr="006562F1">
        <w:rPr>
          <w:rFonts w:ascii="Times New Roman" w:hAnsi="Times New Roman" w:cs="Times New Roman"/>
          <w:sz w:val="24"/>
          <w:szCs w:val="24"/>
          <w:u w:val="single"/>
        </w:rPr>
        <w:t>Braitrim (Far East) Limited v</w:t>
      </w:r>
      <w:r w:rsidRPr="006562F1">
        <w:rPr>
          <w:rFonts w:ascii="Times New Roman" w:hAnsi="Times New Roman" w:cs="Times New Roman"/>
          <w:sz w:val="24"/>
          <w:szCs w:val="24"/>
          <w:u w:val="single"/>
        </w:rPr>
        <w:t xml:space="preserve"> Commissioner of Inland Revenue</w:t>
      </w:r>
      <w:r w:rsidRPr="006562F1">
        <w:rPr>
          <w:rFonts w:ascii="Times New Roman" w:hAnsi="Times New Roman" w:cs="Times New Roman"/>
          <w:sz w:val="24"/>
          <w:szCs w:val="24"/>
        </w:rPr>
        <w:t xml:space="preserve"> </w:t>
      </w:r>
      <w:r w:rsidRPr="00532A38">
        <w:rPr>
          <w:rFonts w:ascii="Times New Roman" w:hAnsi="Times New Roman" w:cs="Times New Roman"/>
          <w:sz w:val="24"/>
          <w:szCs w:val="24"/>
        </w:rPr>
        <w:t>(2013) 16 HKCFAR 519; and</w:t>
      </w:r>
      <w:r w:rsidRPr="00532A38">
        <w:rPr>
          <w:rFonts w:ascii="Times New Roman" w:hAnsi="Times New Roman" w:cs="Times New Roman"/>
          <w:i/>
          <w:sz w:val="24"/>
          <w:szCs w:val="24"/>
          <w:u w:val="single"/>
        </w:rPr>
        <w:t xml:space="preserve"> </w:t>
      </w:r>
      <w:r w:rsidRPr="006562F1">
        <w:rPr>
          <w:rFonts w:ascii="Times New Roman" w:hAnsi="Times New Roman" w:cs="Times New Roman"/>
          <w:sz w:val="24"/>
          <w:szCs w:val="24"/>
          <w:u w:val="single"/>
        </w:rPr>
        <w:t>Board of Review decision D12/12</w:t>
      </w:r>
      <w:r w:rsidRPr="006562F1">
        <w:rPr>
          <w:rFonts w:ascii="Times New Roman" w:hAnsi="Times New Roman" w:cs="Times New Roman"/>
          <w:sz w:val="24"/>
          <w:szCs w:val="24"/>
        </w:rPr>
        <w:t>)</w:t>
      </w:r>
      <w:r w:rsidRPr="00532A38">
        <w:rPr>
          <w:rFonts w:ascii="Times New Roman" w:hAnsi="Times New Roman" w:cs="Times New Roman"/>
          <w:sz w:val="24"/>
          <w:szCs w:val="24"/>
        </w:rPr>
        <w:t xml:space="preserve">.  </w:t>
      </w:r>
    </w:p>
    <w:p w14:paraId="7CCAE991" w14:textId="77777777" w:rsidR="00C92EAE" w:rsidRPr="00532A38" w:rsidRDefault="00C92EAE" w:rsidP="0046026A">
      <w:pPr>
        <w:pStyle w:val="a3"/>
        <w:overflowPunct w:val="0"/>
        <w:spacing w:after="0" w:line="240" w:lineRule="auto"/>
        <w:ind w:left="360"/>
        <w:jc w:val="both"/>
        <w:rPr>
          <w:rFonts w:ascii="Times New Roman" w:hAnsi="Times New Roman" w:cs="Times New Roman"/>
          <w:sz w:val="24"/>
          <w:szCs w:val="24"/>
        </w:rPr>
      </w:pPr>
    </w:p>
    <w:p w14:paraId="7CCAE992" w14:textId="4F2D09F9" w:rsidR="00D05649" w:rsidRPr="00532A38" w:rsidRDefault="00D05649" w:rsidP="006562F1">
      <w:pPr>
        <w:pStyle w:val="a3"/>
        <w:numPr>
          <w:ilvl w:val="0"/>
          <w:numId w:val="2"/>
        </w:numPr>
        <w:overflowPunct w:val="0"/>
        <w:spacing w:after="0" w:line="240" w:lineRule="auto"/>
        <w:ind w:left="0" w:firstLine="0"/>
        <w:jc w:val="both"/>
        <w:rPr>
          <w:rFonts w:ascii="Times New Roman" w:hAnsi="Times New Roman" w:cs="Times New Roman"/>
          <w:sz w:val="24"/>
          <w:szCs w:val="24"/>
          <w:lang w:eastAsia="zh-HK"/>
        </w:rPr>
      </w:pPr>
      <w:r w:rsidRPr="00532A38">
        <w:rPr>
          <w:rFonts w:ascii="Times New Roman" w:hAnsi="Times New Roman" w:cs="Times New Roman"/>
          <w:snapToGrid w:val="0"/>
          <w:sz w:val="24"/>
          <w:szCs w:val="24"/>
          <w:lang w:eastAsia="zh-HK"/>
        </w:rPr>
        <w:t>In</w:t>
      </w:r>
      <w:r w:rsidRPr="00532A38">
        <w:rPr>
          <w:rFonts w:ascii="Times New Roman" w:hAnsi="Times New Roman" w:cs="Times New Roman"/>
          <w:i/>
          <w:snapToGrid w:val="0"/>
          <w:sz w:val="24"/>
          <w:szCs w:val="24"/>
        </w:rPr>
        <w:t xml:space="preserve"> </w:t>
      </w:r>
      <w:r w:rsidRPr="006562F1">
        <w:rPr>
          <w:rFonts w:ascii="Times New Roman" w:hAnsi="Times New Roman" w:cs="Times New Roman"/>
          <w:snapToGrid w:val="0"/>
          <w:sz w:val="24"/>
          <w:szCs w:val="24"/>
          <w:u w:val="single"/>
        </w:rPr>
        <w:t>Braitrim</w:t>
      </w:r>
      <w:r w:rsidRPr="006562F1">
        <w:rPr>
          <w:rFonts w:ascii="Times New Roman" w:hAnsi="Times New Roman" w:cs="Times New Roman"/>
          <w:snapToGrid w:val="0"/>
          <w:sz w:val="24"/>
          <w:szCs w:val="24"/>
          <w:u w:val="single"/>
          <w:lang w:eastAsia="zh-HK"/>
        </w:rPr>
        <w:t xml:space="preserve"> (Far East) Limited v CIR</w:t>
      </w:r>
      <w:r w:rsidRPr="006562F1">
        <w:rPr>
          <w:rFonts w:ascii="Times New Roman" w:hAnsi="Times New Roman" w:cs="Times New Roman"/>
          <w:snapToGrid w:val="0"/>
          <w:sz w:val="24"/>
          <w:szCs w:val="24"/>
          <w:lang w:eastAsia="zh-HK"/>
        </w:rPr>
        <w:t>,</w:t>
      </w:r>
      <w:r w:rsidRPr="00532A38">
        <w:rPr>
          <w:rFonts w:ascii="Times New Roman" w:hAnsi="Times New Roman" w:cs="Times New Roman"/>
          <w:snapToGrid w:val="0"/>
          <w:sz w:val="24"/>
          <w:szCs w:val="24"/>
          <w:lang w:eastAsia="zh-HK"/>
        </w:rPr>
        <w:t xml:space="preserve"> it </w:t>
      </w:r>
      <w:r w:rsidR="0039083B" w:rsidRPr="00532A38">
        <w:rPr>
          <w:rFonts w:ascii="Times New Roman" w:hAnsi="Times New Roman" w:cs="Times New Roman"/>
          <w:snapToGrid w:val="0"/>
          <w:sz w:val="24"/>
          <w:szCs w:val="24"/>
          <w:lang w:eastAsia="zh-HK"/>
        </w:rPr>
        <w:t>was</w:t>
      </w:r>
      <w:r w:rsidRPr="00532A38">
        <w:rPr>
          <w:rFonts w:ascii="Times New Roman" w:hAnsi="Times New Roman" w:cs="Times New Roman"/>
          <w:snapToGrid w:val="0"/>
          <w:sz w:val="24"/>
          <w:szCs w:val="24"/>
          <w:lang w:eastAsia="zh-HK"/>
        </w:rPr>
        <w:t xml:space="preserve"> not disputed</w:t>
      </w:r>
      <w:r w:rsidRPr="00532A38">
        <w:rPr>
          <w:rFonts w:ascii="Times New Roman" w:hAnsi="Times New Roman" w:cs="Times New Roman"/>
          <w:snapToGrid w:val="0"/>
          <w:sz w:val="24"/>
          <w:szCs w:val="24"/>
        </w:rPr>
        <w:t xml:space="preserve"> </w:t>
      </w:r>
      <w:r w:rsidRPr="00532A38">
        <w:rPr>
          <w:rFonts w:ascii="Times New Roman" w:hAnsi="Times New Roman" w:cs="Times New Roman"/>
          <w:snapToGrid w:val="0"/>
          <w:sz w:val="24"/>
          <w:szCs w:val="24"/>
          <w:lang w:eastAsia="zh-HK"/>
        </w:rPr>
        <w:t xml:space="preserve">that the definition of </w:t>
      </w:r>
      <w:r w:rsidR="006562F1">
        <w:rPr>
          <w:rFonts w:ascii="Times New Roman" w:hAnsi="Times New Roman" w:cs="Times New Roman"/>
          <w:snapToGrid w:val="0"/>
          <w:sz w:val="24"/>
          <w:szCs w:val="24"/>
          <w:lang w:eastAsia="zh-HK"/>
        </w:rPr>
        <w:t>‘</w:t>
      </w:r>
      <w:r w:rsidRPr="00532A38">
        <w:rPr>
          <w:rFonts w:ascii="Times New Roman" w:hAnsi="Times New Roman" w:cs="Times New Roman"/>
          <w:snapToGrid w:val="0"/>
          <w:sz w:val="24"/>
          <w:szCs w:val="24"/>
          <w:lang w:eastAsia="zh-HK"/>
        </w:rPr>
        <w:t>lease</w:t>
      </w:r>
      <w:r w:rsidR="006562F1">
        <w:rPr>
          <w:rFonts w:ascii="Times New Roman" w:hAnsi="Times New Roman" w:cs="Times New Roman"/>
          <w:snapToGrid w:val="0"/>
          <w:sz w:val="24"/>
          <w:szCs w:val="24"/>
          <w:lang w:eastAsia="zh-HK"/>
        </w:rPr>
        <w:t>’</w:t>
      </w:r>
      <w:r w:rsidRPr="00532A38">
        <w:rPr>
          <w:rFonts w:ascii="Times New Roman" w:hAnsi="Times New Roman" w:cs="Times New Roman"/>
          <w:snapToGrid w:val="0"/>
          <w:sz w:val="24"/>
          <w:szCs w:val="24"/>
          <w:lang w:eastAsia="zh-HK"/>
        </w:rPr>
        <w:t xml:space="preserve"> in section 2(1) of the IRO involves a wider concept of a </w:t>
      </w:r>
      <w:r w:rsidR="006562F1">
        <w:rPr>
          <w:rFonts w:ascii="Times New Roman" w:hAnsi="Times New Roman" w:cs="Times New Roman"/>
          <w:snapToGrid w:val="0"/>
          <w:sz w:val="24"/>
          <w:szCs w:val="24"/>
          <w:lang w:eastAsia="zh-HK"/>
        </w:rPr>
        <w:t>‘</w:t>
      </w:r>
      <w:r w:rsidRPr="00532A38">
        <w:rPr>
          <w:rFonts w:ascii="Times New Roman" w:hAnsi="Times New Roman" w:cs="Times New Roman"/>
          <w:snapToGrid w:val="0"/>
          <w:sz w:val="24"/>
          <w:szCs w:val="24"/>
          <w:lang w:eastAsia="zh-HK"/>
        </w:rPr>
        <w:t>lease</w:t>
      </w:r>
      <w:r w:rsidR="006562F1">
        <w:rPr>
          <w:rFonts w:ascii="Times New Roman" w:hAnsi="Times New Roman" w:cs="Times New Roman"/>
          <w:snapToGrid w:val="0"/>
          <w:sz w:val="24"/>
          <w:szCs w:val="24"/>
          <w:lang w:eastAsia="zh-HK"/>
        </w:rPr>
        <w:t>’</w:t>
      </w:r>
      <w:r w:rsidRPr="00532A38">
        <w:rPr>
          <w:rFonts w:ascii="Times New Roman" w:hAnsi="Times New Roman" w:cs="Times New Roman"/>
          <w:snapToGrid w:val="0"/>
          <w:sz w:val="24"/>
          <w:szCs w:val="24"/>
          <w:lang w:eastAsia="zh-HK"/>
        </w:rPr>
        <w:t xml:space="preserve"> than the concept as commonly understood under the general law.  It </w:t>
      </w:r>
      <w:r w:rsidR="0039083B" w:rsidRPr="00532A38">
        <w:rPr>
          <w:rFonts w:ascii="Times New Roman" w:hAnsi="Times New Roman" w:cs="Times New Roman"/>
          <w:snapToGrid w:val="0"/>
          <w:sz w:val="24"/>
          <w:szCs w:val="24"/>
          <w:lang w:eastAsia="zh-HK"/>
        </w:rPr>
        <w:t>was</w:t>
      </w:r>
      <w:r w:rsidRPr="00532A38">
        <w:rPr>
          <w:rFonts w:ascii="Times New Roman" w:hAnsi="Times New Roman" w:cs="Times New Roman"/>
          <w:snapToGrid w:val="0"/>
          <w:sz w:val="24"/>
          <w:szCs w:val="24"/>
          <w:lang w:eastAsia="zh-HK"/>
        </w:rPr>
        <w:t xml:space="preserve"> also not disputed that by an arrangement under which a right to use the moulds was granted by the taxpayer to the mainland manufacturers, the moulds were the subject of a lease as defined in s</w:t>
      </w:r>
      <w:r w:rsidR="006562F1">
        <w:rPr>
          <w:rFonts w:ascii="Times New Roman" w:hAnsi="Times New Roman" w:cs="Times New Roman"/>
          <w:snapToGrid w:val="0"/>
          <w:sz w:val="24"/>
          <w:szCs w:val="24"/>
          <w:lang w:eastAsia="zh-HK"/>
        </w:rPr>
        <w:t xml:space="preserve">ection </w:t>
      </w:r>
      <w:r w:rsidRPr="00532A38">
        <w:rPr>
          <w:rFonts w:ascii="Times New Roman" w:hAnsi="Times New Roman" w:cs="Times New Roman"/>
          <w:snapToGrid w:val="0"/>
          <w:sz w:val="24"/>
          <w:szCs w:val="24"/>
          <w:lang w:eastAsia="zh-HK"/>
        </w:rPr>
        <w:t xml:space="preserve">2(1) of the IRO.  The Court of Appeal held that it </w:t>
      </w:r>
      <w:r w:rsidR="0039083B" w:rsidRPr="00532A38">
        <w:rPr>
          <w:rFonts w:ascii="Times New Roman" w:hAnsi="Times New Roman" w:cs="Times New Roman"/>
          <w:snapToGrid w:val="0"/>
          <w:sz w:val="24"/>
          <w:szCs w:val="24"/>
          <w:lang w:eastAsia="zh-HK"/>
        </w:rPr>
        <w:t>was</w:t>
      </w:r>
      <w:r w:rsidRPr="00532A38">
        <w:rPr>
          <w:rFonts w:ascii="Times New Roman" w:hAnsi="Times New Roman" w:cs="Times New Roman"/>
          <w:snapToGrid w:val="0"/>
          <w:sz w:val="24"/>
          <w:szCs w:val="24"/>
          <w:lang w:eastAsia="zh-HK"/>
        </w:rPr>
        <w:t xml:space="preserve"> bound to apply the extended meaning unless something in the context of the IRO required the contrary.  The Court of Final Appeal held that the reasoning of the Court of Appeal </w:t>
      </w:r>
      <w:r w:rsidR="0039083B" w:rsidRPr="00532A38">
        <w:rPr>
          <w:rFonts w:ascii="Times New Roman" w:hAnsi="Times New Roman" w:cs="Times New Roman"/>
          <w:snapToGrid w:val="0"/>
          <w:sz w:val="24"/>
          <w:szCs w:val="24"/>
          <w:lang w:eastAsia="zh-HK"/>
        </w:rPr>
        <w:t>was</w:t>
      </w:r>
      <w:r w:rsidRPr="00532A38">
        <w:rPr>
          <w:rFonts w:ascii="Times New Roman" w:hAnsi="Times New Roman" w:cs="Times New Roman"/>
          <w:snapToGrid w:val="0"/>
          <w:sz w:val="24"/>
          <w:szCs w:val="24"/>
          <w:lang w:eastAsia="zh-HK"/>
        </w:rPr>
        <w:t xml:space="preserve"> unassailable.</w:t>
      </w:r>
    </w:p>
    <w:p w14:paraId="7CCAE993" w14:textId="77777777" w:rsidR="00D05649" w:rsidRPr="00532A38" w:rsidRDefault="00D05649" w:rsidP="0046026A">
      <w:pPr>
        <w:tabs>
          <w:tab w:val="left" w:pos="709"/>
        </w:tabs>
        <w:overflowPunct w:val="0"/>
        <w:spacing w:after="0" w:line="240" w:lineRule="auto"/>
        <w:contextualSpacing/>
        <w:jc w:val="both"/>
        <w:rPr>
          <w:rFonts w:ascii="Times New Roman" w:hAnsi="Times New Roman" w:cs="Times New Roman"/>
          <w:sz w:val="24"/>
          <w:szCs w:val="24"/>
          <w:lang w:eastAsia="zh-HK"/>
        </w:rPr>
      </w:pPr>
    </w:p>
    <w:p w14:paraId="7CCAE994" w14:textId="77777777" w:rsidR="00D05649" w:rsidRPr="00532A38" w:rsidRDefault="00D05649" w:rsidP="006562F1">
      <w:pPr>
        <w:pStyle w:val="a3"/>
        <w:numPr>
          <w:ilvl w:val="0"/>
          <w:numId w:val="2"/>
        </w:numPr>
        <w:overflowPunct w:val="0"/>
        <w:spacing w:after="0" w:line="240" w:lineRule="auto"/>
        <w:ind w:left="0" w:firstLine="0"/>
        <w:jc w:val="both"/>
        <w:rPr>
          <w:rFonts w:ascii="Times New Roman" w:hAnsi="Times New Roman" w:cs="Times New Roman"/>
          <w:sz w:val="24"/>
          <w:szCs w:val="24"/>
          <w:lang w:eastAsia="zh-HK"/>
        </w:rPr>
      </w:pPr>
      <w:r w:rsidRPr="00532A38">
        <w:rPr>
          <w:rFonts w:ascii="Times New Roman" w:hAnsi="Times New Roman" w:cs="Times New Roman"/>
          <w:sz w:val="24"/>
          <w:szCs w:val="24"/>
          <w:lang w:eastAsia="zh-HK"/>
        </w:rPr>
        <w:t>In</w:t>
      </w:r>
      <w:r w:rsidRPr="00532A38">
        <w:rPr>
          <w:rFonts w:ascii="Times New Roman" w:hAnsi="Times New Roman" w:cs="Times New Roman"/>
          <w:sz w:val="24"/>
          <w:szCs w:val="24"/>
        </w:rPr>
        <w:t xml:space="preserve"> </w:t>
      </w:r>
      <w:r w:rsidRPr="006562F1">
        <w:rPr>
          <w:rFonts w:ascii="Times New Roman" w:hAnsi="Times New Roman" w:cs="Times New Roman"/>
          <w:sz w:val="24"/>
          <w:szCs w:val="24"/>
          <w:u w:val="single"/>
        </w:rPr>
        <w:t>D</w:t>
      </w:r>
      <w:r w:rsidRPr="006562F1">
        <w:rPr>
          <w:rFonts w:ascii="Times New Roman" w:hAnsi="Times New Roman" w:cs="Times New Roman"/>
          <w:sz w:val="24"/>
          <w:szCs w:val="24"/>
          <w:u w:val="single"/>
          <w:lang w:eastAsia="zh-HK"/>
        </w:rPr>
        <w:t>12/12</w:t>
      </w:r>
      <w:r w:rsidRPr="00532A38">
        <w:rPr>
          <w:rFonts w:ascii="Times New Roman" w:hAnsi="Times New Roman" w:cs="Times New Roman"/>
          <w:sz w:val="24"/>
          <w:szCs w:val="24"/>
          <w:lang w:eastAsia="zh-HK"/>
        </w:rPr>
        <w:t>, the Board said that at paragraph 21 that:</w:t>
      </w:r>
    </w:p>
    <w:p w14:paraId="7CCAE995" w14:textId="77777777" w:rsidR="00D05649" w:rsidRPr="00532A38" w:rsidRDefault="00D05649" w:rsidP="0046026A">
      <w:pPr>
        <w:pStyle w:val="a3"/>
        <w:overflowPunct w:val="0"/>
        <w:spacing w:after="0" w:line="240" w:lineRule="auto"/>
        <w:rPr>
          <w:rFonts w:ascii="Times New Roman" w:hAnsi="Times New Roman" w:cs="Times New Roman"/>
          <w:sz w:val="24"/>
          <w:szCs w:val="24"/>
          <w:lang w:eastAsia="zh-HK"/>
        </w:rPr>
      </w:pPr>
    </w:p>
    <w:p w14:paraId="7CCAE996" w14:textId="679F5F5E" w:rsidR="00D05649" w:rsidRPr="00532A38" w:rsidRDefault="006562F1" w:rsidP="0046026A">
      <w:pPr>
        <w:overflowPunct w:val="0"/>
        <w:autoSpaceDE w:val="0"/>
        <w:autoSpaceDN w:val="0"/>
        <w:adjustRightInd w:val="0"/>
        <w:spacing w:after="0" w:line="240" w:lineRule="auto"/>
        <w:ind w:left="1440"/>
        <w:jc w:val="both"/>
        <w:rPr>
          <w:rFonts w:ascii="Times New Roman" w:hAnsi="Times New Roman" w:cs="Times New Roman"/>
          <w:color w:val="000000"/>
          <w:sz w:val="24"/>
          <w:szCs w:val="24"/>
          <w:lang w:eastAsia="zh-HK"/>
        </w:rPr>
      </w:pPr>
      <w:r>
        <w:rPr>
          <w:rFonts w:ascii="Times New Roman" w:hAnsi="Times New Roman" w:cs="Times New Roman"/>
          <w:color w:val="000000"/>
          <w:sz w:val="24"/>
          <w:szCs w:val="24"/>
        </w:rPr>
        <w:t>‘</w:t>
      </w:r>
      <w:r w:rsidR="00D05649" w:rsidRPr="006562F1">
        <w:rPr>
          <w:rFonts w:ascii="Times New Roman" w:hAnsi="Times New Roman" w:cs="Times New Roman"/>
          <w:i/>
          <w:color w:val="000000"/>
          <w:sz w:val="24"/>
          <w:szCs w:val="24"/>
        </w:rPr>
        <w:t xml:space="preserve">The definition of a </w:t>
      </w:r>
      <w:r>
        <w:rPr>
          <w:rFonts w:ascii="Times New Roman" w:hAnsi="Times New Roman" w:cs="Times New Roman"/>
          <w:i/>
          <w:color w:val="000000"/>
          <w:sz w:val="24"/>
          <w:szCs w:val="24"/>
        </w:rPr>
        <w:t>“</w:t>
      </w:r>
      <w:r w:rsidR="00D05649" w:rsidRPr="006562F1">
        <w:rPr>
          <w:rFonts w:ascii="Times New Roman" w:hAnsi="Times New Roman" w:cs="Times New Roman"/>
          <w:i/>
          <w:color w:val="000000"/>
          <w:sz w:val="24"/>
          <w:szCs w:val="24"/>
        </w:rPr>
        <w:t>lease</w:t>
      </w:r>
      <w:r>
        <w:rPr>
          <w:rFonts w:ascii="Times New Roman" w:hAnsi="Times New Roman" w:cs="Times New Roman"/>
          <w:i/>
          <w:color w:val="000000"/>
          <w:sz w:val="24"/>
          <w:szCs w:val="24"/>
        </w:rPr>
        <w:t>”</w:t>
      </w:r>
      <w:r w:rsidR="00D05649" w:rsidRPr="006562F1">
        <w:rPr>
          <w:rFonts w:ascii="Times New Roman" w:hAnsi="Times New Roman" w:cs="Times New Roman"/>
          <w:i/>
          <w:color w:val="000000"/>
          <w:sz w:val="24"/>
          <w:szCs w:val="24"/>
        </w:rPr>
        <w:t xml:space="preserve"> in the IRO is very wide. </w:t>
      </w:r>
      <w:r w:rsidR="00D05649" w:rsidRPr="006562F1">
        <w:rPr>
          <w:rFonts w:ascii="Times New Roman" w:hAnsi="Times New Roman" w:cs="Times New Roman"/>
          <w:i/>
          <w:color w:val="000000"/>
          <w:sz w:val="24"/>
          <w:szCs w:val="24"/>
          <w:lang w:eastAsia="zh-HK"/>
        </w:rPr>
        <w:t xml:space="preserve"> </w:t>
      </w:r>
      <w:r w:rsidR="00D05649" w:rsidRPr="006562F1">
        <w:rPr>
          <w:rFonts w:ascii="Times New Roman" w:hAnsi="Times New Roman" w:cs="Times New Roman"/>
          <w:i/>
          <w:color w:val="000000"/>
          <w:sz w:val="24"/>
          <w:szCs w:val="24"/>
        </w:rPr>
        <w:t>Once it is accepted, as does the Appellant, that Factory D has the status of a legal person, then in the eyes of the law, Factory D’s rights to use the Audited Equipment and Machinery could only be as a lessee under a lease within the meaning of the IRO.</w:t>
      </w:r>
      <w:r>
        <w:rPr>
          <w:rFonts w:ascii="Times New Roman" w:hAnsi="Times New Roman" w:cs="Times New Roman"/>
          <w:color w:val="000000"/>
          <w:sz w:val="24"/>
          <w:szCs w:val="24"/>
        </w:rPr>
        <w:t>’</w:t>
      </w:r>
    </w:p>
    <w:p w14:paraId="7CCAE997" w14:textId="77777777" w:rsidR="00C92EAE" w:rsidRPr="00532A38" w:rsidRDefault="00C92EAE" w:rsidP="0046026A">
      <w:pPr>
        <w:pStyle w:val="a3"/>
        <w:overflowPunct w:val="0"/>
        <w:spacing w:after="0" w:line="240" w:lineRule="auto"/>
        <w:rPr>
          <w:rFonts w:ascii="Times New Roman" w:hAnsi="Times New Roman" w:cs="Times New Roman"/>
          <w:sz w:val="24"/>
          <w:szCs w:val="24"/>
        </w:rPr>
      </w:pPr>
    </w:p>
    <w:p w14:paraId="7CCAE998" w14:textId="078F515D" w:rsidR="00042086" w:rsidRPr="00532A38" w:rsidRDefault="00042086" w:rsidP="006562F1">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In the present appeal, it is never disputed by the </w:t>
      </w:r>
      <w:r w:rsidR="002A16DB" w:rsidRPr="00532A38">
        <w:rPr>
          <w:rFonts w:ascii="Times New Roman" w:hAnsi="Times New Roman" w:cs="Times New Roman"/>
          <w:sz w:val="24"/>
          <w:szCs w:val="24"/>
        </w:rPr>
        <w:t xml:space="preserve">Appellant </w:t>
      </w:r>
      <w:r w:rsidRPr="00532A38">
        <w:rPr>
          <w:rFonts w:ascii="Times New Roman" w:hAnsi="Times New Roman" w:cs="Times New Roman"/>
          <w:sz w:val="24"/>
          <w:szCs w:val="24"/>
        </w:rPr>
        <w:t xml:space="preserve">that the PRC Subsidiary had the right to use the machinery and equipment to manufacture card products for the </w:t>
      </w:r>
      <w:r w:rsidR="002A16DB" w:rsidRPr="00532A38">
        <w:rPr>
          <w:rFonts w:ascii="Times New Roman" w:hAnsi="Times New Roman" w:cs="Times New Roman"/>
          <w:sz w:val="24"/>
          <w:szCs w:val="24"/>
        </w:rPr>
        <w:t>Appellant</w:t>
      </w:r>
      <w:r w:rsidRPr="00532A38">
        <w:rPr>
          <w:rFonts w:ascii="Times New Roman" w:hAnsi="Times New Roman" w:cs="Times New Roman"/>
          <w:sz w:val="24"/>
          <w:szCs w:val="24"/>
        </w:rPr>
        <w:t xml:space="preserve">, the machinery and equipment could be subject to a </w:t>
      </w:r>
      <w:r w:rsidR="006562F1">
        <w:rPr>
          <w:rFonts w:ascii="Times New Roman" w:hAnsi="Times New Roman" w:cs="Times New Roman"/>
          <w:sz w:val="24"/>
          <w:szCs w:val="24"/>
        </w:rPr>
        <w:t>‘</w:t>
      </w:r>
      <w:r w:rsidRPr="00532A38">
        <w:rPr>
          <w:rFonts w:ascii="Times New Roman" w:hAnsi="Times New Roman" w:cs="Times New Roman"/>
          <w:sz w:val="24"/>
          <w:szCs w:val="24"/>
        </w:rPr>
        <w:t>lease</w:t>
      </w:r>
      <w:r w:rsidR="006562F1">
        <w:rPr>
          <w:rFonts w:ascii="Times New Roman" w:hAnsi="Times New Roman" w:cs="Times New Roman"/>
          <w:sz w:val="24"/>
          <w:szCs w:val="24"/>
        </w:rPr>
        <w:t>’</w:t>
      </w:r>
      <w:r w:rsidRPr="00532A38">
        <w:rPr>
          <w:rFonts w:ascii="Times New Roman" w:hAnsi="Times New Roman" w:cs="Times New Roman"/>
          <w:sz w:val="24"/>
          <w:szCs w:val="24"/>
        </w:rPr>
        <w:t xml:space="preserve"> under the meaning of section 2 of the I</w:t>
      </w:r>
      <w:r w:rsidR="00134A18">
        <w:rPr>
          <w:rFonts w:ascii="Times New Roman" w:hAnsi="Times New Roman" w:cs="Times New Roman"/>
          <w:sz w:val="24"/>
          <w:szCs w:val="24"/>
        </w:rPr>
        <w:t>RO</w:t>
      </w:r>
      <w:r w:rsidR="004503F4" w:rsidRPr="00532A38">
        <w:rPr>
          <w:rFonts w:ascii="Times New Roman" w:hAnsi="Times New Roman" w:cs="Times New Roman"/>
          <w:sz w:val="24"/>
          <w:szCs w:val="24"/>
        </w:rPr>
        <w:t>,</w:t>
      </w:r>
      <w:r w:rsidRPr="00532A38">
        <w:rPr>
          <w:rFonts w:ascii="Times New Roman" w:hAnsi="Times New Roman" w:cs="Times New Roman"/>
          <w:sz w:val="24"/>
          <w:szCs w:val="24"/>
        </w:rPr>
        <w:t xml:space="preserve"> and therefore were </w:t>
      </w:r>
      <w:r w:rsidR="006562F1">
        <w:rPr>
          <w:rFonts w:ascii="Times New Roman" w:hAnsi="Times New Roman" w:cs="Times New Roman"/>
          <w:sz w:val="24"/>
          <w:szCs w:val="24"/>
        </w:rPr>
        <w:t>‘</w:t>
      </w:r>
      <w:r w:rsidRPr="00532A38">
        <w:rPr>
          <w:rFonts w:ascii="Times New Roman" w:hAnsi="Times New Roman" w:cs="Times New Roman"/>
          <w:sz w:val="24"/>
          <w:szCs w:val="24"/>
        </w:rPr>
        <w:t>excluded fixed asset</w:t>
      </w:r>
      <w:r w:rsidR="006562F1">
        <w:rPr>
          <w:rFonts w:ascii="Times New Roman" w:hAnsi="Times New Roman" w:cs="Times New Roman"/>
          <w:sz w:val="24"/>
          <w:szCs w:val="24"/>
        </w:rPr>
        <w:t>’</w:t>
      </w:r>
      <w:r w:rsidRPr="00532A38">
        <w:rPr>
          <w:rFonts w:ascii="Times New Roman" w:hAnsi="Times New Roman" w:cs="Times New Roman"/>
          <w:sz w:val="24"/>
          <w:szCs w:val="24"/>
        </w:rPr>
        <w:t xml:space="preserve"> under the meaning of section 16G of </w:t>
      </w:r>
      <w:r w:rsidR="00134A18">
        <w:rPr>
          <w:rFonts w:ascii="Times New Roman" w:hAnsi="Times New Roman" w:cs="Times New Roman"/>
          <w:sz w:val="24"/>
          <w:szCs w:val="24"/>
        </w:rPr>
        <w:t>the IRO</w:t>
      </w:r>
      <w:r w:rsidR="004503F4" w:rsidRPr="00532A38">
        <w:rPr>
          <w:rFonts w:ascii="Times New Roman" w:hAnsi="Times New Roman" w:cs="Times New Roman"/>
          <w:sz w:val="24"/>
          <w:szCs w:val="24"/>
        </w:rPr>
        <w:t xml:space="preserve"> </w:t>
      </w:r>
      <w:r w:rsidRPr="00532A38">
        <w:rPr>
          <w:rFonts w:ascii="Times New Roman" w:hAnsi="Times New Roman" w:cs="Times New Roman"/>
          <w:sz w:val="24"/>
          <w:szCs w:val="24"/>
        </w:rPr>
        <w:t>and therefore their capital expenditure are not qualified for the Section 16G Deductions.</w:t>
      </w:r>
    </w:p>
    <w:p w14:paraId="7CCAE999" w14:textId="77777777" w:rsidR="00042086" w:rsidRPr="00532A38" w:rsidRDefault="00042086" w:rsidP="006562F1">
      <w:pPr>
        <w:pStyle w:val="a3"/>
        <w:overflowPunct w:val="0"/>
        <w:spacing w:after="0" w:line="240" w:lineRule="auto"/>
        <w:ind w:left="0"/>
        <w:rPr>
          <w:rFonts w:ascii="Times New Roman" w:hAnsi="Times New Roman" w:cs="Times New Roman"/>
          <w:sz w:val="24"/>
          <w:szCs w:val="24"/>
        </w:rPr>
      </w:pPr>
    </w:p>
    <w:p w14:paraId="7CCAE99A" w14:textId="20310C24" w:rsidR="002114BC" w:rsidRPr="00532A38" w:rsidRDefault="00BD35C4" w:rsidP="006562F1">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Mr Yue’s argument touches on </w:t>
      </w:r>
      <w:r w:rsidR="002114BC" w:rsidRPr="00532A38">
        <w:rPr>
          <w:rFonts w:eastAsiaTheme="minorEastAsia"/>
        </w:rPr>
        <w:t xml:space="preserve">the interpretation of the phrase ‘right to use’ under the definition of lease in </w:t>
      </w:r>
      <w:r w:rsidR="006562F1">
        <w:rPr>
          <w:rFonts w:eastAsiaTheme="minorEastAsia"/>
        </w:rPr>
        <w:t xml:space="preserve">section </w:t>
      </w:r>
      <w:r w:rsidR="002114BC" w:rsidRPr="00532A38">
        <w:rPr>
          <w:rFonts w:eastAsiaTheme="minorEastAsia"/>
        </w:rPr>
        <w:t>2 of the I</w:t>
      </w:r>
      <w:r w:rsidR="00134A18">
        <w:rPr>
          <w:rFonts w:eastAsiaTheme="minorEastAsia"/>
        </w:rPr>
        <w:t>RO</w:t>
      </w:r>
      <w:r w:rsidR="002114BC" w:rsidRPr="00532A38">
        <w:rPr>
          <w:rFonts w:eastAsiaTheme="minorEastAsia"/>
        </w:rPr>
        <w:t xml:space="preserve">.  While he concedes that </w:t>
      </w:r>
      <w:r w:rsidRPr="00532A38">
        <w:rPr>
          <w:rFonts w:eastAsiaTheme="minorEastAsia"/>
        </w:rPr>
        <w:t xml:space="preserve">the PRC Subsidiary </w:t>
      </w:r>
      <w:r w:rsidR="002114BC" w:rsidRPr="00532A38">
        <w:rPr>
          <w:rFonts w:eastAsiaTheme="minorEastAsia"/>
        </w:rPr>
        <w:t xml:space="preserve">can and does use the machines purchased and provided by the Appellant, it has no right to those machines because it has no freedom or entitlement when using them.  Mr Yue referred the Board to the Wikipedia definition of ‘right’ in support of his argument.  </w:t>
      </w:r>
    </w:p>
    <w:p w14:paraId="7CCAE99B" w14:textId="77777777" w:rsidR="002114BC" w:rsidRPr="00532A38" w:rsidRDefault="002114BC" w:rsidP="006562F1">
      <w:pPr>
        <w:pStyle w:val="Web"/>
        <w:overflowPunct w:val="0"/>
        <w:spacing w:before="0" w:beforeAutospacing="0" w:after="0" w:afterAutospacing="0"/>
        <w:jc w:val="both"/>
        <w:rPr>
          <w:rFonts w:eastAsiaTheme="minorEastAsia"/>
        </w:rPr>
      </w:pPr>
    </w:p>
    <w:p w14:paraId="7CCAE99C" w14:textId="1538087F" w:rsidR="00E50D7B" w:rsidRPr="00532A38" w:rsidRDefault="00BD35C4" w:rsidP="006562F1">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 xml:space="preserve">This Board rejects Mr Yue’s argument. </w:t>
      </w:r>
      <w:r w:rsidR="002114BC" w:rsidRPr="00532A38">
        <w:rPr>
          <w:rFonts w:eastAsiaTheme="minorEastAsia"/>
        </w:rPr>
        <w:t>First,</w:t>
      </w:r>
      <w:r w:rsidRPr="00532A38">
        <w:rPr>
          <w:rFonts w:eastAsiaTheme="minorEastAsia"/>
        </w:rPr>
        <w:t xml:space="preserve"> </w:t>
      </w:r>
      <w:r w:rsidR="002114BC" w:rsidRPr="00532A38">
        <w:rPr>
          <w:rFonts w:eastAsiaTheme="minorEastAsia"/>
        </w:rPr>
        <w:t xml:space="preserve">Mr Yue’s Wikipedia article refer to rights in the context of </w:t>
      </w:r>
      <w:r w:rsidR="006562F1">
        <w:rPr>
          <w:rFonts w:eastAsiaTheme="minorEastAsia"/>
        </w:rPr>
        <w:t>‘</w:t>
      </w:r>
      <w:r w:rsidR="002114BC" w:rsidRPr="00532A38">
        <w:rPr>
          <w:rFonts w:eastAsiaTheme="minorEastAsia"/>
        </w:rPr>
        <w:t>fundamental normative values about what is allowed of people or owed to people…</w:t>
      </w:r>
      <w:r w:rsidR="006562F1">
        <w:rPr>
          <w:rFonts w:eastAsiaTheme="minorEastAsia"/>
        </w:rPr>
        <w:t>’</w:t>
      </w:r>
      <w:r w:rsidR="002114BC" w:rsidRPr="00532A38">
        <w:rPr>
          <w:rFonts w:eastAsiaTheme="minorEastAsia"/>
        </w:rPr>
        <w:t>, i.e., human rights</w:t>
      </w:r>
      <w:r w:rsidR="0039083B" w:rsidRPr="00532A38">
        <w:rPr>
          <w:rFonts w:eastAsiaTheme="minorEastAsia"/>
        </w:rPr>
        <w:t>.</w:t>
      </w:r>
      <w:r w:rsidR="002114BC" w:rsidRPr="00532A38">
        <w:rPr>
          <w:rFonts w:eastAsiaTheme="minorEastAsia"/>
        </w:rPr>
        <w:t xml:space="preserve"> </w:t>
      </w:r>
      <w:r w:rsidR="0039083B" w:rsidRPr="00532A38">
        <w:rPr>
          <w:rFonts w:eastAsiaTheme="minorEastAsia"/>
        </w:rPr>
        <w:t>With respect,</w:t>
      </w:r>
      <w:r w:rsidR="002114BC" w:rsidRPr="00532A38">
        <w:rPr>
          <w:rFonts w:eastAsiaTheme="minorEastAsia"/>
        </w:rPr>
        <w:t xml:space="preserve"> such definition of ‘rights’ is irrelevant to all three grounds of appeal.  Second</w:t>
      </w:r>
      <w:r w:rsidRPr="00532A38">
        <w:rPr>
          <w:rFonts w:eastAsiaTheme="minorEastAsia"/>
        </w:rPr>
        <w:t>ly</w:t>
      </w:r>
      <w:r w:rsidR="002114BC" w:rsidRPr="00532A38">
        <w:rPr>
          <w:rFonts w:eastAsiaTheme="minorEastAsia"/>
        </w:rPr>
        <w:t>, the word ‘right’ should not be considered separately from the phrase ‘to use’ in applying s</w:t>
      </w:r>
      <w:r w:rsidR="006562F1">
        <w:rPr>
          <w:rFonts w:eastAsiaTheme="minorEastAsia"/>
        </w:rPr>
        <w:t xml:space="preserve">ection </w:t>
      </w:r>
      <w:r w:rsidR="002114BC" w:rsidRPr="00532A38">
        <w:rPr>
          <w:rFonts w:eastAsiaTheme="minorEastAsia"/>
        </w:rPr>
        <w:t>2 of the I</w:t>
      </w:r>
      <w:r w:rsidR="00134A18">
        <w:rPr>
          <w:rFonts w:eastAsiaTheme="minorEastAsia"/>
        </w:rPr>
        <w:t>RO</w:t>
      </w:r>
      <w:r w:rsidRPr="00532A38">
        <w:rPr>
          <w:rFonts w:eastAsiaTheme="minorEastAsia"/>
        </w:rPr>
        <w:t xml:space="preserve"> to</w:t>
      </w:r>
      <w:r w:rsidR="002114BC" w:rsidRPr="00532A38">
        <w:rPr>
          <w:rFonts w:eastAsiaTheme="minorEastAsia"/>
        </w:rPr>
        <w:t xml:space="preserve"> this appeal.   The right to use machines by </w:t>
      </w:r>
      <w:r w:rsidRPr="00532A38">
        <w:rPr>
          <w:rFonts w:eastAsiaTheme="minorEastAsia"/>
        </w:rPr>
        <w:t xml:space="preserve">the PRC Subsidiary </w:t>
      </w:r>
      <w:r w:rsidR="002114BC" w:rsidRPr="00532A38">
        <w:rPr>
          <w:rFonts w:eastAsiaTheme="minorEastAsia"/>
        </w:rPr>
        <w:t>as a lessee in the context of s</w:t>
      </w:r>
      <w:r w:rsidR="006562F1">
        <w:rPr>
          <w:rFonts w:eastAsiaTheme="minorEastAsia"/>
        </w:rPr>
        <w:t xml:space="preserve">ection </w:t>
      </w:r>
      <w:r w:rsidR="002114BC" w:rsidRPr="00532A38">
        <w:rPr>
          <w:rFonts w:eastAsiaTheme="minorEastAsia"/>
        </w:rPr>
        <w:t>2 of the I</w:t>
      </w:r>
      <w:r w:rsidR="00134A18">
        <w:rPr>
          <w:rFonts w:eastAsiaTheme="minorEastAsia"/>
        </w:rPr>
        <w:t>RO</w:t>
      </w:r>
      <w:r w:rsidRPr="00532A38">
        <w:rPr>
          <w:rFonts w:eastAsiaTheme="minorEastAsia"/>
        </w:rPr>
        <w:t xml:space="preserve"> r</w:t>
      </w:r>
      <w:r w:rsidR="002114BC" w:rsidRPr="00532A38">
        <w:rPr>
          <w:rFonts w:eastAsiaTheme="minorEastAsia"/>
        </w:rPr>
        <w:t xml:space="preserve">efers to the permission to use them as granted by the Appellant as the owner / lessor of those machines.  </w:t>
      </w:r>
    </w:p>
    <w:p w14:paraId="7CCAE99D" w14:textId="77777777" w:rsidR="00E50D7B" w:rsidRPr="00532A38" w:rsidRDefault="00E50D7B" w:rsidP="006562F1">
      <w:pPr>
        <w:pStyle w:val="a3"/>
        <w:overflowPunct w:val="0"/>
        <w:spacing w:after="0" w:line="240" w:lineRule="auto"/>
        <w:ind w:left="0"/>
        <w:rPr>
          <w:rFonts w:ascii="Times New Roman" w:hAnsi="Times New Roman" w:cs="Times New Roman"/>
          <w:sz w:val="24"/>
          <w:szCs w:val="24"/>
        </w:rPr>
      </w:pPr>
    </w:p>
    <w:p w14:paraId="7CCAE99E" w14:textId="21AAA9C2" w:rsidR="002114BC" w:rsidRPr="00532A38" w:rsidRDefault="00E50D7B" w:rsidP="006562F1">
      <w:pPr>
        <w:pStyle w:val="Web"/>
        <w:numPr>
          <w:ilvl w:val="0"/>
          <w:numId w:val="2"/>
        </w:numPr>
        <w:overflowPunct w:val="0"/>
        <w:spacing w:before="0" w:beforeAutospacing="0" w:after="0" w:afterAutospacing="0"/>
        <w:ind w:left="0" w:firstLine="0"/>
        <w:jc w:val="both"/>
        <w:rPr>
          <w:rFonts w:eastAsiaTheme="minorEastAsia"/>
        </w:rPr>
      </w:pPr>
      <w:r w:rsidRPr="00532A38">
        <w:rPr>
          <w:rFonts w:eastAsiaTheme="minorEastAsia"/>
        </w:rPr>
        <w:t>This Board</w:t>
      </w:r>
      <w:r w:rsidR="0039083B" w:rsidRPr="00532A38">
        <w:rPr>
          <w:rFonts w:eastAsiaTheme="minorEastAsia"/>
        </w:rPr>
        <w:t xml:space="preserve"> takes note that</w:t>
      </w:r>
      <w:r w:rsidR="002114BC" w:rsidRPr="00532A38">
        <w:rPr>
          <w:rFonts w:eastAsiaTheme="minorEastAsia"/>
        </w:rPr>
        <w:t xml:space="preserve"> </w:t>
      </w:r>
      <w:r w:rsidR="00BD35C4" w:rsidRPr="00532A38">
        <w:rPr>
          <w:rFonts w:eastAsiaTheme="minorEastAsia"/>
        </w:rPr>
        <w:t xml:space="preserve">the PRC Subsidiary </w:t>
      </w:r>
      <w:r w:rsidR="002114BC" w:rsidRPr="00532A38">
        <w:rPr>
          <w:rFonts w:eastAsiaTheme="minorEastAsia"/>
        </w:rPr>
        <w:t xml:space="preserve">is permitted by the Appellant, who owns the machines (what Mr Yue claims as meaning </w:t>
      </w:r>
      <w:r w:rsidRPr="00532A38">
        <w:rPr>
          <w:rFonts w:eastAsiaTheme="minorEastAsia"/>
        </w:rPr>
        <w:t xml:space="preserve">the PRC Subsidiary </w:t>
      </w:r>
      <w:r w:rsidR="002114BC" w:rsidRPr="00532A38">
        <w:rPr>
          <w:rFonts w:eastAsiaTheme="minorEastAsia"/>
        </w:rPr>
        <w:t xml:space="preserve">has no entitlement), to use them for the manufacturing of card products, even if it means using those machines in a limited sense as confined by the agreement(s) between them (i.e., no freedom, as asserted by Mr Yue), is sufficient to establish the fact that </w:t>
      </w:r>
      <w:r w:rsidRPr="00532A38">
        <w:rPr>
          <w:rFonts w:eastAsiaTheme="minorEastAsia"/>
        </w:rPr>
        <w:t xml:space="preserve">the PRC Subsidiary </w:t>
      </w:r>
      <w:r w:rsidR="002114BC" w:rsidRPr="00532A38">
        <w:rPr>
          <w:rFonts w:eastAsiaTheme="minorEastAsia"/>
        </w:rPr>
        <w:t>has the right to use the machines as a lessee under a lease as per s</w:t>
      </w:r>
      <w:r w:rsidR="006562F1">
        <w:rPr>
          <w:rFonts w:eastAsiaTheme="minorEastAsia"/>
        </w:rPr>
        <w:t xml:space="preserve">ection </w:t>
      </w:r>
      <w:r w:rsidR="002114BC" w:rsidRPr="00532A38">
        <w:rPr>
          <w:rFonts w:eastAsiaTheme="minorEastAsia"/>
        </w:rPr>
        <w:t>2 of the I</w:t>
      </w:r>
      <w:r w:rsidR="00134A18">
        <w:rPr>
          <w:rFonts w:eastAsiaTheme="minorEastAsia"/>
        </w:rPr>
        <w:t>RO</w:t>
      </w:r>
      <w:r w:rsidR="002114BC" w:rsidRPr="00532A38">
        <w:rPr>
          <w:rFonts w:eastAsiaTheme="minorEastAsia"/>
        </w:rPr>
        <w:t xml:space="preserve">.  </w:t>
      </w:r>
    </w:p>
    <w:p w14:paraId="7CCAE99F" w14:textId="77777777" w:rsidR="002114BC" w:rsidRPr="00532A38" w:rsidRDefault="002114BC" w:rsidP="0046026A">
      <w:pPr>
        <w:pStyle w:val="a3"/>
        <w:overflowPunct w:val="0"/>
        <w:spacing w:after="0" w:line="240" w:lineRule="auto"/>
        <w:rPr>
          <w:rFonts w:ascii="Times New Roman" w:hAnsi="Times New Roman" w:cs="Times New Roman"/>
          <w:sz w:val="24"/>
          <w:szCs w:val="24"/>
        </w:rPr>
      </w:pPr>
    </w:p>
    <w:p w14:paraId="7CCAE9A0" w14:textId="2B3F451B" w:rsidR="00D42771" w:rsidRPr="00532A38" w:rsidRDefault="00D42771" w:rsidP="006562F1">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relation to the Appellant’s claim of hire purchase interest incurred for the subject machinery and equipment, as the manufacturing activities were that of the PRC Subsidiary (</w:t>
      </w:r>
      <w:r w:rsidR="00134A18">
        <w:rPr>
          <w:rFonts w:ascii="Times New Roman" w:hAnsi="Times New Roman" w:cs="Times New Roman"/>
          <w:sz w:val="24"/>
          <w:szCs w:val="24"/>
        </w:rPr>
        <w:t>but</w:t>
      </w:r>
      <w:r w:rsidR="00134A18" w:rsidRPr="00532A38">
        <w:rPr>
          <w:rFonts w:ascii="Times New Roman" w:hAnsi="Times New Roman" w:cs="Times New Roman"/>
          <w:sz w:val="24"/>
          <w:szCs w:val="24"/>
        </w:rPr>
        <w:t xml:space="preserve"> </w:t>
      </w:r>
      <w:r w:rsidRPr="00532A38">
        <w:rPr>
          <w:rFonts w:ascii="Times New Roman" w:hAnsi="Times New Roman" w:cs="Times New Roman"/>
          <w:sz w:val="24"/>
          <w:szCs w:val="24"/>
        </w:rPr>
        <w:t xml:space="preserve">not of the Appellant), the hire purchase interest incurred were not expenses incurred for the production of the Appellant’s own profits.  </w:t>
      </w:r>
    </w:p>
    <w:p w14:paraId="7CCAE9A1" w14:textId="77777777" w:rsidR="00D42771" w:rsidRPr="00532A38" w:rsidRDefault="00D42771" w:rsidP="006562F1">
      <w:pPr>
        <w:pStyle w:val="a3"/>
        <w:overflowPunct w:val="0"/>
        <w:spacing w:after="0" w:line="240" w:lineRule="auto"/>
        <w:ind w:left="0"/>
        <w:rPr>
          <w:rFonts w:ascii="Times New Roman" w:hAnsi="Times New Roman" w:cs="Times New Roman"/>
          <w:sz w:val="24"/>
          <w:szCs w:val="24"/>
        </w:rPr>
      </w:pPr>
    </w:p>
    <w:p w14:paraId="7CCAE9A2" w14:textId="77777777" w:rsidR="00042086" w:rsidRPr="00532A38" w:rsidRDefault="00042086" w:rsidP="006562F1">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In the circumstances, it should not qualify for deduction under section 16(1) of the IRO or should be prohibited from deduction by virtue of section 17(1)(b) of the IRO.</w:t>
      </w:r>
    </w:p>
    <w:p w14:paraId="741CCAC0" w14:textId="77777777" w:rsidR="00CE04B9" w:rsidRPr="00532A38" w:rsidRDefault="00CE04B9" w:rsidP="0046026A">
      <w:pPr>
        <w:pStyle w:val="a3"/>
        <w:overflowPunct w:val="0"/>
        <w:spacing w:after="0" w:line="240" w:lineRule="auto"/>
        <w:rPr>
          <w:rFonts w:ascii="Times New Roman" w:hAnsi="Times New Roman" w:cs="Times New Roman"/>
          <w:sz w:val="24"/>
          <w:szCs w:val="24"/>
          <w:lang w:eastAsia="zh-HK"/>
        </w:rPr>
      </w:pPr>
    </w:p>
    <w:p w14:paraId="7CCAE9A4" w14:textId="44270B7D" w:rsidR="00042086" w:rsidRPr="006562F1" w:rsidRDefault="006562F1" w:rsidP="0046026A">
      <w:pPr>
        <w:overflowPunct w:val="0"/>
        <w:spacing w:after="0" w:line="240" w:lineRule="auto"/>
        <w:jc w:val="both"/>
        <w:rPr>
          <w:rFonts w:ascii="Times New Roman" w:hAnsi="Times New Roman" w:cs="Times New Roman"/>
          <w:b/>
          <w:sz w:val="24"/>
          <w:szCs w:val="24"/>
        </w:rPr>
      </w:pPr>
      <w:r w:rsidRPr="006562F1">
        <w:rPr>
          <w:rFonts w:ascii="Times New Roman" w:hAnsi="Times New Roman" w:cs="Times New Roman"/>
          <w:b/>
          <w:sz w:val="24"/>
          <w:szCs w:val="24"/>
        </w:rPr>
        <w:t>Disposition</w:t>
      </w:r>
    </w:p>
    <w:p w14:paraId="28F090CE" w14:textId="77777777" w:rsidR="006562F1" w:rsidRPr="00532A38" w:rsidRDefault="006562F1" w:rsidP="0046026A">
      <w:pPr>
        <w:overflowPunct w:val="0"/>
        <w:spacing w:after="0" w:line="240" w:lineRule="auto"/>
        <w:jc w:val="both"/>
        <w:rPr>
          <w:rFonts w:ascii="Times New Roman" w:hAnsi="Times New Roman" w:cs="Times New Roman"/>
          <w:sz w:val="24"/>
          <w:szCs w:val="24"/>
          <w:u w:val="single"/>
        </w:rPr>
      </w:pPr>
    </w:p>
    <w:p w14:paraId="7CCAE9A5" w14:textId="77777777" w:rsidR="00042086" w:rsidRPr="00532A38" w:rsidRDefault="00FB3658" w:rsidP="006562F1">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 xml:space="preserve">For all the above reasons, </w:t>
      </w:r>
      <w:r w:rsidR="00042086" w:rsidRPr="00532A38">
        <w:rPr>
          <w:rFonts w:ascii="Times New Roman" w:hAnsi="Times New Roman" w:cs="Times New Roman"/>
          <w:sz w:val="24"/>
          <w:szCs w:val="24"/>
        </w:rPr>
        <w:t xml:space="preserve">the Board dismisses all the arguments advanced by the </w:t>
      </w:r>
      <w:r w:rsidRPr="00532A38">
        <w:rPr>
          <w:rFonts w:ascii="Times New Roman" w:hAnsi="Times New Roman" w:cs="Times New Roman"/>
          <w:sz w:val="24"/>
          <w:szCs w:val="24"/>
        </w:rPr>
        <w:t xml:space="preserve">Appellant </w:t>
      </w:r>
      <w:r w:rsidR="00042086" w:rsidRPr="00532A38">
        <w:rPr>
          <w:rFonts w:ascii="Times New Roman" w:hAnsi="Times New Roman" w:cs="Times New Roman"/>
          <w:sz w:val="24"/>
          <w:szCs w:val="24"/>
        </w:rPr>
        <w:t xml:space="preserve">in respect of </w:t>
      </w:r>
      <w:r w:rsidRPr="00532A38">
        <w:rPr>
          <w:rFonts w:ascii="Times New Roman" w:hAnsi="Times New Roman" w:cs="Times New Roman"/>
          <w:sz w:val="24"/>
          <w:szCs w:val="24"/>
        </w:rPr>
        <w:t xml:space="preserve">all three </w:t>
      </w:r>
      <w:r w:rsidR="00042086" w:rsidRPr="00532A38">
        <w:rPr>
          <w:rFonts w:ascii="Times New Roman" w:hAnsi="Times New Roman" w:cs="Times New Roman"/>
          <w:sz w:val="24"/>
          <w:szCs w:val="24"/>
        </w:rPr>
        <w:t xml:space="preserve">Issues and upholds the </w:t>
      </w:r>
      <w:r w:rsidRPr="00532A38">
        <w:rPr>
          <w:rFonts w:ascii="Times New Roman" w:hAnsi="Times New Roman" w:cs="Times New Roman"/>
          <w:sz w:val="24"/>
          <w:szCs w:val="24"/>
        </w:rPr>
        <w:t>D</w:t>
      </w:r>
      <w:r w:rsidR="00042086" w:rsidRPr="00532A38">
        <w:rPr>
          <w:rFonts w:ascii="Times New Roman" w:hAnsi="Times New Roman" w:cs="Times New Roman"/>
          <w:sz w:val="24"/>
          <w:szCs w:val="24"/>
        </w:rPr>
        <w:t>etermination</w:t>
      </w:r>
      <w:r w:rsidRPr="00532A38">
        <w:rPr>
          <w:rFonts w:ascii="Times New Roman" w:hAnsi="Times New Roman" w:cs="Times New Roman"/>
          <w:sz w:val="24"/>
          <w:szCs w:val="24"/>
        </w:rPr>
        <w:t xml:space="preserve">. </w:t>
      </w:r>
    </w:p>
    <w:p w14:paraId="7CCAE9A6" w14:textId="77777777" w:rsidR="00FB3658" w:rsidRPr="00532A38" w:rsidRDefault="00FB3658" w:rsidP="0046026A">
      <w:pPr>
        <w:pStyle w:val="a3"/>
        <w:overflowPunct w:val="0"/>
        <w:spacing w:after="0" w:line="240" w:lineRule="auto"/>
        <w:ind w:left="360"/>
        <w:jc w:val="both"/>
        <w:rPr>
          <w:rFonts w:ascii="Times New Roman" w:hAnsi="Times New Roman" w:cs="Times New Roman"/>
          <w:sz w:val="24"/>
          <w:szCs w:val="24"/>
        </w:rPr>
      </w:pPr>
    </w:p>
    <w:p w14:paraId="7CCAE9A7" w14:textId="6C1A2EEF" w:rsidR="003273C9" w:rsidRPr="006562F1" w:rsidRDefault="003273C9" w:rsidP="0046026A">
      <w:pPr>
        <w:overflowPunct w:val="0"/>
        <w:spacing w:after="0" w:line="240" w:lineRule="auto"/>
        <w:jc w:val="both"/>
        <w:rPr>
          <w:rFonts w:ascii="Times New Roman" w:hAnsi="Times New Roman" w:cs="Times New Roman"/>
          <w:b/>
          <w:sz w:val="24"/>
          <w:szCs w:val="24"/>
        </w:rPr>
      </w:pPr>
      <w:r w:rsidRPr="006562F1">
        <w:rPr>
          <w:rFonts w:ascii="Times New Roman" w:hAnsi="Times New Roman" w:cs="Times New Roman"/>
          <w:b/>
          <w:sz w:val="24"/>
          <w:szCs w:val="24"/>
        </w:rPr>
        <w:t>Costs</w:t>
      </w:r>
    </w:p>
    <w:p w14:paraId="43877797" w14:textId="77777777" w:rsidR="006562F1" w:rsidRPr="00532A38" w:rsidRDefault="006562F1" w:rsidP="0046026A">
      <w:pPr>
        <w:overflowPunct w:val="0"/>
        <w:spacing w:after="0" w:line="240" w:lineRule="auto"/>
        <w:jc w:val="both"/>
        <w:rPr>
          <w:rFonts w:ascii="Times New Roman" w:hAnsi="Times New Roman" w:cs="Times New Roman"/>
          <w:sz w:val="24"/>
          <w:szCs w:val="24"/>
          <w:u w:val="single"/>
        </w:rPr>
      </w:pPr>
    </w:p>
    <w:p w14:paraId="7CCAE9A8" w14:textId="2848B8BD" w:rsidR="00FB3658" w:rsidRPr="00532A38" w:rsidRDefault="00BA6382" w:rsidP="006562F1">
      <w:pPr>
        <w:pStyle w:val="a3"/>
        <w:numPr>
          <w:ilvl w:val="0"/>
          <w:numId w:val="2"/>
        </w:numPr>
        <w:overflowPunct w:val="0"/>
        <w:spacing w:after="0" w:line="240" w:lineRule="auto"/>
        <w:ind w:left="0" w:firstLine="0"/>
        <w:jc w:val="both"/>
        <w:rPr>
          <w:rFonts w:ascii="Times New Roman" w:hAnsi="Times New Roman" w:cs="Times New Roman"/>
          <w:sz w:val="24"/>
          <w:szCs w:val="24"/>
        </w:rPr>
      </w:pPr>
      <w:r w:rsidRPr="00532A38">
        <w:rPr>
          <w:rFonts w:ascii="Times New Roman" w:hAnsi="Times New Roman" w:cs="Times New Roman"/>
          <w:sz w:val="24"/>
          <w:szCs w:val="24"/>
        </w:rPr>
        <w:t>The Board will also like to express that in the course of this hearing, the Appellant has unreasonably raise</w:t>
      </w:r>
      <w:r w:rsidR="00F3212D">
        <w:rPr>
          <w:rFonts w:ascii="Times New Roman" w:hAnsi="Times New Roman" w:cs="Times New Roman"/>
          <w:sz w:val="24"/>
          <w:szCs w:val="24"/>
        </w:rPr>
        <w:t>d</w:t>
      </w:r>
      <w:r w:rsidRPr="00532A38">
        <w:rPr>
          <w:rFonts w:ascii="Times New Roman" w:hAnsi="Times New Roman" w:cs="Times New Roman"/>
          <w:sz w:val="24"/>
          <w:szCs w:val="24"/>
        </w:rPr>
        <w:t xml:space="preserve"> many wrong accusations of criminal conduct</w:t>
      </w:r>
      <w:r w:rsidR="00F3212D">
        <w:rPr>
          <w:rFonts w:ascii="Times New Roman" w:hAnsi="Times New Roman" w:cs="Times New Roman"/>
          <w:sz w:val="24"/>
          <w:szCs w:val="24"/>
        </w:rPr>
        <w:t>s</w:t>
      </w:r>
      <w:r w:rsidRPr="00532A38">
        <w:rPr>
          <w:rFonts w:ascii="Times New Roman" w:hAnsi="Times New Roman" w:cs="Times New Roman"/>
          <w:sz w:val="24"/>
          <w:szCs w:val="24"/>
        </w:rPr>
        <w:t xml:space="preserve"> against the Inland Revenue Department, had produced documents and witnesses which are not relevant to the issues to be determined by this Board and had failed to produce relevant contracts with the PRC Subsidiary</w:t>
      </w:r>
      <w:r w:rsidR="0039083B" w:rsidRPr="00532A38">
        <w:rPr>
          <w:rFonts w:ascii="Times New Roman" w:hAnsi="Times New Roman" w:cs="Times New Roman"/>
          <w:sz w:val="24"/>
          <w:szCs w:val="24"/>
        </w:rPr>
        <w:t>.</w:t>
      </w:r>
      <w:r w:rsidRPr="00532A38">
        <w:rPr>
          <w:rFonts w:ascii="Times New Roman" w:hAnsi="Times New Roman" w:cs="Times New Roman"/>
          <w:sz w:val="24"/>
          <w:szCs w:val="24"/>
        </w:rPr>
        <w:t xml:space="preserve"> </w:t>
      </w:r>
      <w:r w:rsidR="0039083B" w:rsidRPr="00532A38">
        <w:rPr>
          <w:rFonts w:ascii="Times New Roman" w:hAnsi="Times New Roman" w:cs="Times New Roman"/>
          <w:sz w:val="24"/>
          <w:szCs w:val="24"/>
        </w:rPr>
        <w:t>I</w:t>
      </w:r>
      <w:r w:rsidR="003273C9" w:rsidRPr="00532A38">
        <w:rPr>
          <w:rFonts w:ascii="Times New Roman" w:hAnsi="Times New Roman" w:cs="Times New Roman"/>
          <w:sz w:val="24"/>
          <w:szCs w:val="24"/>
        </w:rPr>
        <w:t xml:space="preserve">n the circumstances, this Board orders the Appellant to pay the costs of HK$25,000 to the Inland Revenue Department. </w:t>
      </w:r>
    </w:p>
    <w:p w14:paraId="7CCAE9A9" w14:textId="77777777" w:rsidR="00042086" w:rsidRPr="00532A38" w:rsidRDefault="00042086" w:rsidP="006562F1">
      <w:pPr>
        <w:pStyle w:val="a3"/>
        <w:overflowPunct w:val="0"/>
        <w:spacing w:after="0" w:line="240" w:lineRule="auto"/>
        <w:ind w:left="0"/>
        <w:jc w:val="both"/>
        <w:rPr>
          <w:rFonts w:ascii="Times New Roman" w:hAnsi="Times New Roman" w:cs="Times New Roman"/>
          <w:sz w:val="24"/>
          <w:szCs w:val="24"/>
        </w:rPr>
      </w:pPr>
    </w:p>
    <w:p w14:paraId="68EE99BB" w14:textId="09BE6F9E" w:rsidR="00787C15" w:rsidRPr="006562F1" w:rsidRDefault="003273C9" w:rsidP="006562F1">
      <w:pPr>
        <w:pStyle w:val="a3"/>
        <w:numPr>
          <w:ilvl w:val="0"/>
          <w:numId w:val="2"/>
        </w:numPr>
        <w:overflowPunct w:val="0"/>
        <w:spacing w:after="0" w:line="240" w:lineRule="auto"/>
        <w:ind w:left="0" w:firstLine="0"/>
        <w:jc w:val="both"/>
        <w:rPr>
          <w:rFonts w:ascii="Times New Roman" w:hAnsi="Times New Roman" w:cs="Times New Roman"/>
          <w:b/>
          <w:sz w:val="24"/>
          <w:szCs w:val="24"/>
          <w:u w:val="single"/>
        </w:rPr>
      </w:pPr>
      <w:r w:rsidRPr="00532A38">
        <w:rPr>
          <w:rFonts w:ascii="Times New Roman" w:hAnsi="Times New Roman" w:cs="Times New Roman"/>
          <w:sz w:val="24"/>
          <w:szCs w:val="24"/>
        </w:rPr>
        <w:t xml:space="preserve">Lastly, this Board would like to thank Miss Katherine Chan </w:t>
      </w:r>
      <w:r w:rsidR="004912AF" w:rsidRPr="00532A38">
        <w:rPr>
          <w:rFonts w:ascii="Times New Roman" w:hAnsi="Times New Roman" w:cs="Times New Roman"/>
          <w:sz w:val="24"/>
          <w:szCs w:val="24"/>
        </w:rPr>
        <w:t xml:space="preserve">of the Department of Justice </w:t>
      </w:r>
      <w:r w:rsidRPr="00532A38">
        <w:rPr>
          <w:rFonts w:ascii="Times New Roman" w:hAnsi="Times New Roman" w:cs="Times New Roman"/>
          <w:sz w:val="24"/>
          <w:szCs w:val="24"/>
        </w:rPr>
        <w:t>for her very able submissions and helpful assistance to this Board.</w:t>
      </w:r>
    </w:p>
    <w:sectPr w:rsidR="00787C15" w:rsidRPr="006562F1" w:rsidSect="00E6078D">
      <w:headerReference w:type="default" r:id="rId12"/>
      <w:footerReference w:type="default" r:id="rId13"/>
      <w:pgSz w:w="11906" w:h="16838" w:code="9"/>
      <w:pgMar w:top="1985" w:right="1588" w:bottom="1701" w:left="1588" w:header="1361" w:footer="1134" w:gutter="0"/>
      <w:pgNumType w:start="4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A9CA" w14:textId="77777777" w:rsidR="009359D4" w:rsidRDefault="009359D4" w:rsidP="006A539A">
      <w:pPr>
        <w:spacing w:after="0" w:line="240" w:lineRule="auto"/>
      </w:pPr>
      <w:r>
        <w:separator/>
      </w:r>
    </w:p>
  </w:endnote>
  <w:endnote w:type="continuationSeparator" w:id="0">
    <w:p w14:paraId="6EA3738E" w14:textId="77777777" w:rsidR="009359D4" w:rsidRDefault="009359D4" w:rsidP="006A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altName w:val="Arial Unicode MS"/>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77778"/>
      <w:docPartObj>
        <w:docPartGallery w:val="Page Numbers (Bottom of Page)"/>
        <w:docPartUnique/>
      </w:docPartObj>
    </w:sdtPr>
    <w:sdtEndPr>
      <w:rPr>
        <w:rFonts w:ascii="Times New Roman" w:hAnsi="Times New Roman" w:cs="Times New Roman"/>
        <w:sz w:val="20"/>
        <w:szCs w:val="20"/>
      </w:rPr>
    </w:sdtEndPr>
    <w:sdtContent>
      <w:p w14:paraId="4B66F139" w14:textId="6F4D55C6" w:rsidR="00E6078D" w:rsidRPr="00E6078D" w:rsidRDefault="00E6078D">
        <w:pPr>
          <w:pStyle w:val="a7"/>
          <w:jc w:val="center"/>
          <w:rPr>
            <w:rFonts w:ascii="Times New Roman" w:hAnsi="Times New Roman" w:cs="Times New Roman"/>
            <w:sz w:val="20"/>
            <w:szCs w:val="20"/>
          </w:rPr>
        </w:pPr>
        <w:r w:rsidRPr="00E6078D">
          <w:rPr>
            <w:rFonts w:ascii="Times New Roman" w:hAnsi="Times New Roman" w:cs="Times New Roman"/>
            <w:sz w:val="20"/>
            <w:szCs w:val="20"/>
          </w:rPr>
          <w:fldChar w:fldCharType="begin"/>
        </w:r>
        <w:r w:rsidRPr="00E6078D">
          <w:rPr>
            <w:rFonts w:ascii="Times New Roman" w:hAnsi="Times New Roman" w:cs="Times New Roman"/>
            <w:sz w:val="20"/>
            <w:szCs w:val="20"/>
          </w:rPr>
          <w:instrText>PAGE   \* MERGEFORMAT</w:instrText>
        </w:r>
        <w:r w:rsidRPr="00E6078D">
          <w:rPr>
            <w:rFonts w:ascii="Times New Roman" w:hAnsi="Times New Roman" w:cs="Times New Roman"/>
            <w:sz w:val="20"/>
            <w:szCs w:val="20"/>
          </w:rPr>
          <w:fldChar w:fldCharType="separate"/>
        </w:r>
        <w:r w:rsidR="00C95C31" w:rsidRPr="00C95C31">
          <w:rPr>
            <w:rFonts w:ascii="Times New Roman" w:hAnsi="Times New Roman" w:cs="Times New Roman"/>
            <w:noProof/>
            <w:sz w:val="20"/>
            <w:szCs w:val="20"/>
            <w:lang w:val="zh-TW"/>
          </w:rPr>
          <w:t>491</w:t>
        </w:r>
        <w:r w:rsidRPr="00E6078D">
          <w:rPr>
            <w:rFonts w:ascii="Times New Roman" w:hAnsi="Times New Roman" w:cs="Times New Roman"/>
            <w:sz w:val="20"/>
            <w:szCs w:val="20"/>
          </w:rPr>
          <w:fldChar w:fldCharType="end"/>
        </w:r>
      </w:p>
    </w:sdtContent>
  </w:sdt>
  <w:p w14:paraId="7CCAE9B0" w14:textId="77777777" w:rsidR="00EE12D2" w:rsidRDefault="00EE12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038F" w14:textId="77777777" w:rsidR="009359D4" w:rsidRDefault="009359D4" w:rsidP="006A539A">
      <w:pPr>
        <w:spacing w:after="0" w:line="240" w:lineRule="auto"/>
      </w:pPr>
      <w:r>
        <w:separator/>
      </w:r>
    </w:p>
  </w:footnote>
  <w:footnote w:type="continuationSeparator" w:id="0">
    <w:p w14:paraId="6BE63D2A" w14:textId="77777777" w:rsidR="009359D4" w:rsidRDefault="009359D4" w:rsidP="006A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EF24" w14:textId="77777777" w:rsidR="00EE12D2" w:rsidRPr="00532A38" w:rsidRDefault="00EE12D2" w:rsidP="00532A38">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sidRPr="00532A38">
      <w:rPr>
        <w:rFonts w:ascii="Times New Roman" w:eastAsia="細明體" w:hAnsi="Times New Roman" w:cs="Times New Roman"/>
        <w:sz w:val="24"/>
        <w:szCs w:val="24"/>
      </w:rPr>
      <w:t>(20</w:t>
    </w:r>
    <w:r w:rsidRPr="00532A38">
      <w:rPr>
        <w:rFonts w:ascii="Times New Roman" w:eastAsia="細明體" w:hAnsi="Times New Roman" w:cs="Times New Roman"/>
        <w:sz w:val="24"/>
        <w:szCs w:val="24"/>
        <w:lang w:eastAsia="zh-HK"/>
      </w:rPr>
      <w:t>19-20</w:t>
    </w:r>
    <w:r w:rsidRPr="00532A38">
      <w:rPr>
        <w:rFonts w:ascii="Times New Roman" w:eastAsia="細明體" w:hAnsi="Times New Roman" w:cs="Times New Roman"/>
        <w:sz w:val="24"/>
        <w:szCs w:val="24"/>
      </w:rPr>
      <w:t xml:space="preserve">) VOLUME </w:t>
    </w:r>
    <w:r w:rsidRPr="00532A38">
      <w:rPr>
        <w:rFonts w:ascii="Times New Roman" w:eastAsia="細明體" w:hAnsi="Times New Roman" w:cs="Times New Roman"/>
        <w:sz w:val="24"/>
        <w:szCs w:val="24"/>
        <w:lang w:eastAsia="zh-HK"/>
      </w:rPr>
      <w:t>34</w:t>
    </w:r>
    <w:r w:rsidRPr="00532A38">
      <w:rPr>
        <w:rFonts w:ascii="Times New Roman" w:eastAsia="細明體" w:hAnsi="Times New Roman" w:cs="Times New Roman"/>
        <w:sz w:val="24"/>
        <w:szCs w:val="24"/>
      </w:rPr>
      <w:t xml:space="preserve"> INLAND REVENUE BOARD OF REVIEW DECISIONS</w:t>
    </w:r>
  </w:p>
  <w:p w14:paraId="6537FD03" w14:textId="77777777" w:rsidR="00EE12D2" w:rsidRPr="00532A38" w:rsidRDefault="00EE12D2" w:rsidP="00532A38">
    <w:pPr>
      <w:pStyle w:val="a5"/>
      <w:rPr>
        <w:rFonts w:ascii="Times New Roman" w:hAnsi="Times New Roman" w:cs="Times New Roman"/>
        <w:sz w:val="20"/>
        <w:szCs w:val="20"/>
      </w:rPr>
    </w:pPr>
  </w:p>
  <w:p w14:paraId="6EFDFDC7" w14:textId="7AACB5E3" w:rsidR="00EE12D2" w:rsidRPr="00532A38" w:rsidRDefault="00EE12D2" w:rsidP="00532A38">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3B7"/>
    <w:multiLevelType w:val="hybridMultilevel"/>
    <w:tmpl w:val="DAAC7440"/>
    <w:lvl w:ilvl="0" w:tplc="3A122C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7A3E"/>
    <w:multiLevelType w:val="hybridMultilevel"/>
    <w:tmpl w:val="51081338"/>
    <w:lvl w:ilvl="0" w:tplc="2A22C3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B1FBE"/>
    <w:multiLevelType w:val="hybridMultilevel"/>
    <w:tmpl w:val="B2585BC4"/>
    <w:lvl w:ilvl="0" w:tplc="52504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023C2"/>
    <w:multiLevelType w:val="hybridMultilevel"/>
    <w:tmpl w:val="DB469882"/>
    <w:lvl w:ilvl="0" w:tplc="35ECEDFE">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C853C9"/>
    <w:multiLevelType w:val="hybridMultilevel"/>
    <w:tmpl w:val="264E0016"/>
    <w:lvl w:ilvl="0" w:tplc="B8D2C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2852"/>
    <w:multiLevelType w:val="hybridMultilevel"/>
    <w:tmpl w:val="7F403CB4"/>
    <w:lvl w:ilvl="0" w:tplc="0B74DCC6">
      <w:start w:val="1"/>
      <w:numFmt w:val="decimal"/>
      <w:lvlText w:val="(%1)"/>
      <w:lvlJc w:val="left"/>
      <w:pPr>
        <w:ind w:left="720" w:hanging="360"/>
      </w:pPr>
      <w:rPr>
        <w:rFonts w:hint="default"/>
      </w:rPr>
    </w:lvl>
    <w:lvl w:ilvl="1" w:tplc="CCC66A68">
      <w:start w:val="1"/>
      <w:numFmt w:val="lowerLetter"/>
      <w:lvlText w:val="(%2)"/>
      <w:lvlJc w:val="left"/>
      <w:pPr>
        <w:ind w:left="1440" w:hanging="360"/>
      </w:pPr>
      <w:rPr>
        <w:rFonts w:hint="eastAsia"/>
      </w:rPr>
    </w:lvl>
    <w:lvl w:ilvl="2" w:tplc="D1F8C506">
      <w:start w:val="24"/>
      <w:numFmt w:val="bullet"/>
      <w:lvlText w:val="-"/>
      <w:lvlJc w:val="left"/>
      <w:pPr>
        <w:ind w:left="2340" w:hanging="360"/>
      </w:pPr>
      <w:rPr>
        <w:rFonts w:ascii="Times New Roman" w:eastAsiaTheme="minorHAnsi"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27E00"/>
    <w:multiLevelType w:val="hybridMultilevel"/>
    <w:tmpl w:val="BC50F970"/>
    <w:lvl w:ilvl="0" w:tplc="58D420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16FC1"/>
    <w:multiLevelType w:val="hybridMultilevel"/>
    <w:tmpl w:val="A14A096A"/>
    <w:lvl w:ilvl="0" w:tplc="F4A2A800">
      <w:start w:val="1"/>
      <w:numFmt w:val="lowerLetter"/>
      <w:lvlText w:val="(%1)"/>
      <w:lvlJc w:val="left"/>
      <w:pPr>
        <w:ind w:left="2457" w:hanging="525"/>
      </w:pPr>
      <w:rPr>
        <w:rFonts w:hint="default"/>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8" w15:restartNumberingAfterBreak="0">
    <w:nsid w:val="215024EB"/>
    <w:multiLevelType w:val="hybridMultilevel"/>
    <w:tmpl w:val="8F286E76"/>
    <w:lvl w:ilvl="0" w:tplc="1BC0093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8F3530"/>
    <w:multiLevelType w:val="hybridMultilevel"/>
    <w:tmpl w:val="5A54CB2C"/>
    <w:lvl w:ilvl="0" w:tplc="B5FC2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C6E36"/>
    <w:multiLevelType w:val="hybridMultilevel"/>
    <w:tmpl w:val="0CE4CDD8"/>
    <w:lvl w:ilvl="0" w:tplc="853E436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92E0A7D"/>
    <w:multiLevelType w:val="hybridMultilevel"/>
    <w:tmpl w:val="70CCC21E"/>
    <w:lvl w:ilvl="0" w:tplc="B32A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73F3"/>
    <w:multiLevelType w:val="hybridMultilevel"/>
    <w:tmpl w:val="F898771E"/>
    <w:lvl w:ilvl="0" w:tplc="AE125F1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8E96F1B"/>
    <w:multiLevelType w:val="hybridMultilevel"/>
    <w:tmpl w:val="5CC8EA1A"/>
    <w:lvl w:ilvl="0" w:tplc="FA7C3090">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9C74B1B"/>
    <w:multiLevelType w:val="hybridMultilevel"/>
    <w:tmpl w:val="17A0BD70"/>
    <w:lvl w:ilvl="0" w:tplc="F878CC2E">
      <w:start w:val="1"/>
      <w:numFmt w:val="decimal"/>
      <w:lvlText w:val="%1."/>
      <w:lvlJc w:val="left"/>
      <w:pPr>
        <w:ind w:left="360" w:hanging="360"/>
      </w:pPr>
      <w:rPr>
        <w:rFonts w:ascii="Times New Roman" w:hAnsi="Times New Roman" w:cs="Times New Roman" w:hint="default"/>
        <w:b w:val="0"/>
      </w:rPr>
    </w:lvl>
    <w:lvl w:ilvl="1" w:tplc="B6AC9188">
      <w:start w:val="1"/>
      <w:numFmt w:val="lowerLetter"/>
      <w:lvlText w:val="(%2)"/>
      <w:lvlJc w:val="left"/>
      <w:pPr>
        <w:ind w:left="1080" w:hanging="360"/>
      </w:pPr>
      <w:rPr>
        <w:rFonts w:hint="eastAsi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C44D81"/>
    <w:multiLevelType w:val="hybridMultilevel"/>
    <w:tmpl w:val="33408E7C"/>
    <w:lvl w:ilvl="0" w:tplc="9E42C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67700"/>
    <w:multiLevelType w:val="hybridMultilevel"/>
    <w:tmpl w:val="174E4C5E"/>
    <w:lvl w:ilvl="0" w:tplc="1548B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93814"/>
    <w:multiLevelType w:val="hybridMultilevel"/>
    <w:tmpl w:val="23DC15D2"/>
    <w:lvl w:ilvl="0" w:tplc="55447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97F08"/>
    <w:multiLevelType w:val="hybridMultilevel"/>
    <w:tmpl w:val="B23E86D2"/>
    <w:lvl w:ilvl="0" w:tplc="6FC2C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A69EB"/>
    <w:multiLevelType w:val="hybridMultilevel"/>
    <w:tmpl w:val="49A226D6"/>
    <w:lvl w:ilvl="0" w:tplc="B8D2C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90449"/>
    <w:multiLevelType w:val="hybridMultilevel"/>
    <w:tmpl w:val="0EBCA53E"/>
    <w:lvl w:ilvl="0" w:tplc="0E0AE85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0B00"/>
    <w:multiLevelType w:val="hybridMultilevel"/>
    <w:tmpl w:val="5B7653DC"/>
    <w:lvl w:ilvl="0" w:tplc="3F8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74792"/>
    <w:multiLevelType w:val="hybridMultilevel"/>
    <w:tmpl w:val="AC6063F6"/>
    <w:lvl w:ilvl="0" w:tplc="3214AEB2">
      <w:start w:val="1"/>
      <w:numFmt w:val="lowerRoman"/>
      <w:lvlText w:val="%1)"/>
      <w:lvlJc w:val="left"/>
      <w:pPr>
        <w:ind w:left="720" w:hanging="360"/>
      </w:pPr>
      <w:rPr>
        <w:rFonts w:ascii="Times New Roman" w:eastAsiaTheme="minorEastAsia" w:hAnsi="Times New Roman" w:cs="Times New Roman"/>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6ABF5FC4"/>
    <w:multiLevelType w:val="hybridMultilevel"/>
    <w:tmpl w:val="565EEF5C"/>
    <w:lvl w:ilvl="0" w:tplc="72581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85D06"/>
    <w:multiLevelType w:val="hybridMultilevel"/>
    <w:tmpl w:val="C26C3B00"/>
    <w:lvl w:ilvl="0" w:tplc="A97C7F9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DDF5078"/>
    <w:multiLevelType w:val="singleLevel"/>
    <w:tmpl w:val="F46218EE"/>
    <w:lvl w:ilvl="0">
      <w:start w:val="1"/>
      <w:numFmt w:val="decimal"/>
      <w:lvlText w:val="%1."/>
      <w:lvlJc w:val="left"/>
      <w:pPr>
        <w:ind w:left="480" w:hanging="480"/>
      </w:pPr>
      <w:rPr>
        <w:rFonts w:hint="default"/>
        <w:b w:val="0"/>
        <w:i w:val="0"/>
        <w:sz w:val="24"/>
      </w:rPr>
    </w:lvl>
  </w:abstractNum>
  <w:abstractNum w:abstractNumId="26" w15:restartNumberingAfterBreak="0">
    <w:nsid w:val="73A96424"/>
    <w:multiLevelType w:val="hybridMultilevel"/>
    <w:tmpl w:val="789A1528"/>
    <w:lvl w:ilvl="0" w:tplc="D56E7C1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03F9D"/>
    <w:multiLevelType w:val="hybridMultilevel"/>
    <w:tmpl w:val="7B2A84CC"/>
    <w:lvl w:ilvl="0" w:tplc="13F29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0D5C90"/>
    <w:multiLevelType w:val="hybridMultilevel"/>
    <w:tmpl w:val="D1FAEE5E"/>
    <w:lvl w:ilvl="0" w:tplc="0D780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73716"/>
    <w:multiLevelType w:val="hybridMultilevel"/>
    <w:tmpl w:val="AF444E92"/>
    <w:lvl w:ilvl="0" w:tplc="D75CA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A1689"/>
    <w:multiLevelType w:val="hybridMultilevel"/>
    <w:tmpl w:val="07E0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9"/>
  </w:num>
  <w:num w:numId="5">
    <w:abstractNumId w:val="17"/>
  </w:num>
  <w:num w:numId="6">
    <w:abstractNumId w:val="23"/>
  </w:num>
  <w:num w:numId="7">
    <w:abstractNumId w:val="11"/>
  </w:num>
  <w:num w:numId="8">
    <w:abstractNumId w:val="16"/>
  </w:num>
  <w:num w:numId="9">
    <w:abstractNumId w:val="21"/>
  </w:num>
  <w:num w:numId="10">
    <w:abstractNumId w:val="9"/>
  </w:num>
  <w:num w:numId="11">
    <w:abstractNumId w:val="5"/>
  </w:num>
  <w:num w:numId="12">
    <w:abstractNumId w:val="28"/>
  </w:num>
  <w:num w:numId="13">
    <w:abstractNumId w:val="1"/>
  </w:num>
  <w:num w:numId="14">
    <w:abstractNumId w:val="2"/>
  </w:num>
  <w:num w:numId="15">
    <w:abstractNumId w:val="18"/>
  </w:num>
  <w:num w:numId="16">
    <w:abstractNumId w:val="26"/>
  </w:num>
  <w:num w:numId="17">
    <w:abstractNumId w:val="0"/>
  </w:num>
  <w:num w:numId="18">
    <w:abstractNumId w:val="20"/>
  </w:num>
  <w:num w:numId="19">
    <w:abstractNumId w:val="8"/>
  </w:num>
  <w:num w:numId="20">
    <w:abstractNumId w:val="22"/>
  </w:num>
  <w:num w:numId="21">
    <w:abstractNumId w:val="13"/>
  </w:num>
  <w:num w:numId="22">
    <w:abstractNumId w:val="3"/>
  </w:num>
  <w:num w:numId="23">
    <w:abstractNumId w:val="12"/>
  </w:num>
  <w:num w:numId="24">
    <w:abstractNumId w:val="24"/>
  </w:num>
  <w:num w:numId="25">
    <w:abstractNumId w:val="6"/>
  </w:num>
  <w:num w:numId="26">
    <w:abstractNumId w:val="27"/>
  </w:num>
  <w:num w:numId="27">
    <w:abstractNumId w:val="4"/>
  </w:num>
  <w:num w:numId="28">
    <w:abstractNumId w:val="19"/>
  </w:num>
  <w:num w:numId="29">
    <w:abstractNumId w:val="10"/>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140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D1"/>
    <w:rsid w:val="00000D1B"/>
    <w:rsid w:val="00000F43"/>
    <w:rsid w:val="000016B6"/>
    <w:rsid w:val="00001B81"/>
    <w:rsid w:val="0000209B"/>
    <w:rsid w:val="00002146"/>
    <w:rsid w:val="0000306A"/>
    <w:rsid w:val="000030CE"/>
    <w:rsid w:val="0000336D"/>
    <w:rsid w:val="000051AC"/>
    <w:rsid w:val="00005406"/>
    <w:rsid w:val="00010B3D"/>
    <w:rsid w:val="000115A1"/>
    <w:rsid w:val="00011A87"/>
    <w:rsid w:val="0001450F"/>
    <w:rsid w:val="000147D6"/>
    <w:rsid w:val="000147FD"/>
    <w:rsid w:val="00017569"/>
    <w:rsid w:val="00017F63"/>
    <w:rsid w:val="0002039A"/>
    <w:rsid w:val="00020EAE"/>
    <w:rsid w:val="00021508"/>
    <w:rsid w:val="00021ED8"/>
    <w:rsid w:val="00021F00"/>
    <w:rsid w:val="0002264C"/>
    <w:rsid w:val="00022ABB"/>
    <w:rsid w:val="00022B6A"/>
    <w:rsid w:val="0002371C"/>
    <w:rsid w:val="0002498B"/>
    <w:rsid w:val="00024C93"/>
    <w:rsid w:val="00026D6D"/>
    <w:rsid w:val="00026FC7"/>
    <w:rsid w:val="00027A9B"/>
    <w:rsid w:val="00027E73"/>
    <w:rsid w:val="00030971"/>
    <w:rsid w:val="00030E0A"/>
    <w:rsid w:val="0003163B"/>
    <w:rsid w:val="00031F3F"/>
    <w:rsid w:val="00032A05"/>
    <w:rsid w:val="000340D6"/>
    <w:rsid w:val="00035777"/>
    <w:rsid w:val="00036229"/>
    <w:rsid w:val="00036409"/>
    <w:rsid w:val="000375D5"/>
    <w:rsid w:val="00037AC4"/>
    <w:rsid w:val="00037F86"/>
    <w:rsid w:val="00041692"/>
    <w:rsid w:val="00042086"/>
    <w:rsid w:val="000446A5"/>
    <w:rsid w:val="00044717"/>
    <w:rsid w:val="000451D6"/>
    <w:rsid w:val="000460C9"/>
    <w:rsid w:val="000472DC"/>
    <w:rsid w:val="00047430"/>
    <w:rsid w:val="00047B2D"/>
    <w:rsid w:val="00047C56"/>
    <w:rsid w:val="00050C91"/>
    <w:rsid w:val="0005124A"/>
    <w:rsid w:val="000518B7"/>
    <w:rsid w:val="00051FD9"/>
    <w:rsid w:val="00052C19"/>
    <w:rsid w:val="0005302F"/>
    <w:rsid w:val="000538F5"/>
    <w:rsid w:val="000554B0"/>
    <w:rsid w:val="00055987"/>
    <w:rsid w:val="00056889"/>
    <w:rsid w:val="00057756"/>
    <w:rsid w:val="00057E9C"/>
    <w:rsid w:val="00061723"/>
    <w:rsid w:val="00061CD2"/>
    <w:rsid w:val="00061F56"/>
    <w:rsid w:val="00063306"/>
    <w:rsid w:val="0006413A"/>
    <w:rsid w:val="00064A38"/>
    <w:rsid w:val="00064C90"/>
    <w:rsid w:val="00064CBB"/>
    <w:rsid w:val="00064FC7"/>
    <w:rsid w:val="000651DE"/>
    <w:rsid w:val="00066BF7"/>
    <w:rsid w:val="00070114"/>
    <w:rsid w:val="00070A55"/>
    <w:rsid w:val="0007133B"/>
    <w:rsid w:val="00073720"/>
    <w:rsid w:val="000739DF"/>
    <w:rsid w:val="00073D9C"/>
    <w:rsid w:val="00075ED0"/>
    <w:rsid w:val="0007628A"/>
    <w:rsid w:val="000770DF"/>
    <w:rsid w:val="000803B4"/>
    <w:rsid w:val="000811DB"/>
    <w:rsid w:val="000811E1"/>
    <w:rsid w:val="00082CF5"/>
    <w:rsid w:val="00083169"/>
    <w:rsid w:val="00085DD7"/>
    <w:rsid w:val="00085F3A"/>
    <w:rsid w:val="00090E96"/>
    <w:rsid w:val="000914F1"/>
    <w:rsid w:val="0009182D"/>
    <w:rsid w:val="00092DF0"/>
    <w:rsid w:val="00096855"/>
    <w:rsid w:val="000A01F4"/>
    <w:rsid w:val="000A0498"/>
    <w:rsid w:val="000A0910"/>
    <w:rsid w:val="000A0EA6"/>
    <w:rsid w:val="000A1066"/>
    <w:rsid w:val="000A1D38"/>
    <w:rsid w:val="000A1DEA"/>
    <w:rsid w:val="000A2275"/>
    <w:rsid w:val="000A317A"/>
    <w:rsid w:val="000A3FC9"/>
    <w:rsid w:val="000A443C"/>
    <w:rsid w:val="000A44AD"/>
    <w:rsid w:val="000A5AED"/>
    <w:rsid w:val="000B177A"/>
    <w:rsid w:val="000B1A9C"/>
    <w:rsid w:val="000B424E"/>
    <w:rsid w:val="000B4DE2"/>
    <w:rsid w:val="000B4E24"/>
    <w:rsid w:val="000C03FD"/>
    <w:rsid w:val="000C0973"/>
    <w:rsid w:val="000C1843"/>
    <w:rsid w:val="000C3310"/>
    <w:rsid w:val="000C338A"/>
    <w:rsid w:val="000C38EA"/>
    <w:rsid w:val="000C39F5"/>
    <w:rsid w:val="000C3DF4"/>
    <w:rsid w:val="000C4D31"/>
    <w:rsid w:val="000C5D1B"/>
    <w:rsid w:val="000C6AE1"/>
    <w:rsid w:val="000C73E4"/>
    <w:rsid w:val="000C7AEF"/>
    <w:rsid w:val="000D0571"/>
    <w:rsid w:val="000D0628"/>
    <w:rsid w:val="000D1E8F"/>
    <w:rsid w:val="000D209C"/>
    <w:rsid w:val="000D2B7D"/>
    <w:rsid w:val="000D3007"/>
    <w:rsid w:val="000D4134"/>
    <w:rsid w:val="000D57D3"/>
    <w:rsid w:val="000D5F61"/>
    <w:rsid w:val="000D7EBB"/>
    <w:rsid w:val="000E05CA"/>
    <w:rsid w:val="000E084E"/>
    <w:rsid w:val="000E095E"/>
    <w:rsid w:val="000E0CAA"/>
    <w:rsid w:val="000E1016"/>
    <w:rsid w:val="000E2DEE"/>
    <w:rsid w:val="000E2E83"/>
    <w:rsid w:val="000E458C"/>
    <w:rsid w:val="000E46B2"/>
    <w:rsid w:val="000E6550"/>
    <w:rsid w:val="000E7187"/>
    <w:rsid w:val="000E7AEE"/>
    <w:rsid w:val="000F060F"/>
    <w:rsid w:val="000F1F61"/>
    <w:rsid w:val="000F2233"/>
    <w:rsid w:val="000F2588"/>
    <w:rsid w:val="000F27B6"/>
    <w:rsid w:val="000F2B78"/>
    <w:rsid w:val="000F34F2"/>
    <w:rsid w:val="000F3E45"/>
    <w:rsid w:val="000F7C26"/>
    <w:rsid w:val="000F7CF9"/>
    <w:rsid w:val="00101E6A"/>
    <w:rsid w:val="00102E91"/>
    <w:rsid w:val="0010450C"/>
    <w:rsid w:val="00104709"/>
    <w:rsid w:val="00104844"/>
    <w:rsid w:val="001049E7"/>
    <w:rsid w:val="00104ACB"/>
    <w:rsid w:val="001056A2"/>
    <w:rsid w:val="00107C1B"/>
    <w:rsid w:val="00110002"/>
    <w:rsid w:val="0011305E"/>
    <w:rsid w:val="00113AD3"/>
    <w:rsid w:val="00114309"/>
    <w:rsid w:val="00115185"/>
    <w:rsid w:val="00115CD1"/>
    <w:rsid w:val="001170D4"/>
    <w:rsid w:val="00117542"/>
    <w:rsid w:val="00117793"/>
    <w:rsid w:val="00117968"/>
    <w:rsid w:val="001200ED"/>
    <w:rsid w:val="00120B2F"/>
    <w:rsid w:val="00121731"/>
    <w:rsid w:val="00122EE1"/>
    <w:rsid w:val="001231FC"/>
    <w:rsid w:val="00123AF7"/>
    <w:rsid w:val="00123BCA"/>
    <w:rsid w:val="0012453D"/>
    <w:rsid w:val="001247F7"/>
    <w:rsid w:val="00124881"/>
    <w:rsid w:val="001253EF"/>
    <w:rsid w:val="001264CD"/>
    <w:rsid w:val="001304BC"/>
    <w:rsid w:val="00130E63"/>
    <w:rsid w:val="001324A2"/>
    <w:rsid w:val="00132D14"/>
    <w:rsid w:val="00133647"/>
    <w:rsid w:val="001336A5"/>
    <w:rsid w:val="00134A18"/>
    <w:rsid w:val="0013522A"/>
    <w:rsid w:val="00135489"/>
    <w:rsid w:val="00135606"/>
    <w:rsid w:val="001362F8"/>
    <w:rsid w:val="00136AAC"/>
    <w:rsid w:val="001375FD"/>
    <w:rsid w:val="001413CE"/>
    <w:rsid w:val="001416ED"/>
    <w:rsid w:val="001444A5"/>
    <w:rsid w:val="001444C7"/>
    <w:rsid w:val="00144BCF"/>
    <w:rsid w:val="00145DE7"/>
    <w:rsid w:val="00146CA0"/>
    <w:rsid w:val="00150547"/>
    <w:rsid w:val="00150CAB"/>
    <w:rsid w:val="00151BBB"/>
    <w:rsid w:val="00152019"/>
    <w:rsid w:val="001539C7"/>
    <w:rsid w:val="00153C5D"/>
    <w:rsid w:val="001541A8"/>
    <w:rsid w:val="00154D64"/>
    <w:rsid w:val="00154EEF"/>
    <w:rsid w:val="00154FEC"/>
    <w:rsid w:val="001555EA"/>
    <w:rsid w:val="00155A45"/>
    <w:rsid w:val="00156B56"/>
    <w:rsid w:val="0015720E"/>
    <w:rsid w:val="001601A1"/>
    <w:rsid w:val="001604C3"/>
    <w:rsid w:val="0016145D"/>
    <w:rsid w:val="00161F3D"/>
    <w:rsid w:val="0016258E"/>
    <w:rsid w:val="001625B7"/>
    <w:rsid w:val="00162DE3"/>
    <w:rsid w:val="00162E83"/>
    <w:rsid w:val="001633FA"/>
    <w:rsid w:val="00165250"/>
    <w:rsid w:val="001657B0"/>
    <w:rsid w:val="001658AF"/>
    <w:rsid w:val="0016703B"/>
    <w:rsid w:val="001711A5"/>
    <w:rsid w:val="001713E9"/>
    <w:rsid w:val="00172FA0"/>
    <w:rsid w:val="0017446C"/>
    <w:rsid w:val="00175E17"/>
    <w:rsid w:val="001773B9"/>
    <w:rsid w:val="0017753B"/>
    <w:rsid w:val="00177A28"/>
    <w:rsid w:val="00180093"/>
    <w:rsid w:val="00180464"/>
    <w:rsid w:val="001814C3"/>
    <w:rsid w:val="00181E0F"/>
    <w:rsid w:val="00182212"/>
    <w:rsid w:val="00183156"/>
    <w:rsid w:val="00183D85"/>
    <w:rsid w:val="001853C1"/>
    <w:rsid w:val="0019021F"/>
    <w:rsid w:val="00191646"/>
    <w:rsid w:val="00192408"/>
    <w:rsid w:val="00192700"/>
    <w:rsid w:val="001927F9"/>
    <w:rsid w:val="001932B3"/>
    <w:rsid w:val="00193EA7"/>
    <w:rsid w:val="00194877"/>
    <w:rsid w:val="0019496C"/>
    <w:rsid w:val="00194AEB"/>
    <w:rsid w:val="001951F1"/>
    <w:rsid w:val="00195A8D"/>
    <w:rsid w:val="0019620F"/>
    <w:rsid w:val="00197D5E"/>
    <w:rsid w:val="001A0307"/>
    <w:rsid w:val="001A13A6"/>
    <w:rsid w:val="001A1A9F"/>
    <w:rsid w:val="001A1F2B"/>
    <w:rsid w:val="001A2C65"/>
    <w:rsid w:val="001A3C86"/>
    <w:rsid w:val="001A3D02"/>
    <w:rsid w:val="001A4773"/>
    <w:rsid w:val="001A4AFA"/>
    <w:rsid w:val="001A50DB"/>
    <w:rsid w:val="001A5366"/>
    <w:rsid w:val="001A61A2"/>
    <w:rsid w:val="001A63FD"/>
    <w:rsid w:val="001A6B50"/>
    <w:rsid w:val="001B0625"/>
    <w:rsid w:val="001B1080"/>
    <w:rsid w:val="001B205F"/>
    <w:rsid w:val="001B23D1"/>
    <w:rsid w:val="001B2E65"/>
    <w:rsid w:val="001B323B"/>
    <w:rsid w:val="001B3A04"/>
    <w:rsid w:val="001B440F"/>
    <w:rsid w:val="001B4605"/>
    <w:rsid w:val="001B4639"/>
    <w:rsid w:val="001B4FE0"/>
    <w:rsid w:val="001B580D"/>
    <w:rsid w:val="001B6CBD"/>
    <w:rsid w:val="001B6F3C"/>
    <w:rsid w:val="001B7040"/>
    <w:rsid w:val="001B718B"/>
    <w:rsid w:val="001C01B8"/>
    <w:rsid w:val="001C1169"/>
    <w:rsid w:val="001C1476"/>
    <w:rsid w:val="001C14E5"/>
    <w:rsid w:val="001C22BC"/>
    <w:rsid w:val="001C2BC6"/>
    <w:rsid w:val="001C2F1E"/>
    <w:rsid w:val="001C3693"/>
    <w:rsid w:val="001C43A0"/>
    <w:rsid w:val="001C68C5"/>
    <w:rsid w:val="001D0BCC"/>
    <w:rsid w:val="001D0D9E"/>
    <w:rsid w:val="001D203E"/>
    <w:rsid w:val="001D215B"/>
    <w:rsid w:val="001D3146"/>
    <w:rsid w:val="001D35E9"/>
    <w:rsid w:val="001D56AE"/>
    <w:rsid w:val="001D5715"/>
    <w:rsid w:val="001D616B"/>
    <w:rsid w:val="001D6601"/>
    <w:rsid w:val="001D72F8"/>
    <w:rsid w:val="001D7C09"/>
    <w:rsid w:val="001E1680"/>
    <w:rsid w:val="001E25C9"/>
    <w:rsid w:val="001E28B2"/>
    <w:rsid w:val="001E2F06"/>
    <w:rsid w:val="001E2F2F"/>
    <w:rsid w:val="001E326B"/>
    <w:rsid w:val="001E56CF"/>
    <w:rsid w:val="001E5BAD"/>
    <w:rsid w:val="001E5F46"/>
    <w:rsid w:val="001E6251"/>
    <w:rsid w:val="001E6600"/>
    <w:rsid w:val="001F3EFF"/>
    <w:rsid w:val="001F4688"/>
    <w:rsid w:val="001F63F9"/>
    <w:rsid w:val="001F6AE0"/>
    <w:rsid w:val="001F7605"/>
    <w:rsid w:val="001F7C34"/>
    <w:rsid w:val="001F7FB7"/>
    <w:rsid w:val="0020018A"/>
    <w:rsid w:val="00200483"/>
    <w:rsid w:val="00202CA8"/>
    <w:rsid w:val="00203A52"/>
    <w:rsid w:val="00204AE3"/>
    <w:rsid w:val="00205ADE"/>
    <w:rsid w:val="00206FCB"/>
    <w:rsid w:val="002079FB"/>
    <w:rsid w:val="00210B43"/>
    <w:rsid w:val="002114BC"/>
    <w:rsid w:val="00212D08"/>
    <w:rsid w:val="00212E1E"/>
    <w:rsid w:val="00212FAF"/>
    <w:rsid w:val="00214A30"/>
    <w:rsid w:val="00214A4B"/>
    <w:rsid w:val="00214A66"/>
    <w:rsid w:val="0021709A"/>
    <w:rsid w:val="00217A2B"/>
    <w:rsid w:val="00217F29"/>
    <w:rsid w:val="00220F8A"/>
    <w:rsid w:val="0022155D"/>
    <w:rsid w:val="00221AE2"/>
    <w:rsid w:val="00222433"/>
    <w:rsid w:val="002231DF"/>
    <w:rsid w:val="002260B3"/>
    <w:rsid w:val="0022620B"/>
    <w:rsid w:val="0022631B"/>
    <w:rsid w:val="002273BD"/>
    <w:rsid w:val="002301A0"/>
    <w:rsid w:val="0023036E"/>
    <w:rsid w:val="002310C5"/>
    <w:rsid w:val="00231353"/>
    <w:rsid w:val="002316E1"/>
    <w:rsid w:val="00233965"/>
    <w:rsid w:val="00234C86"/>
    <w:rsid w:val="0024077E"/>
    <w:rsid w:val="00240AF8"/>
    <w:rsid w:val="0024336D"/>
    <w:rsid w:val="002434BA"/>
    <w:rsid w:val="00243790"/>
    <w:rsid w:val="00243C06"/>
    <w:rsid w:val="00243D1A"/>
    <w:rsid w:val="00245677"/>
    <w:rsid w:val="00245FDD"/>
    <w:rsid w:val="00247023"/>
    <w:rsid w:val="0024713D"/>
    <w:rsid w:val="00251C52"/>
    <w:rsid w:val="00252D63"/>
    <w:rsid w:val="00252E7C"/>
    <w:rsid w:val="002533F1"/>
    <w:rsid w:val="002548BD"/>
    <w:rsid w:val="00254D8F"/>
    <w:rsid w:val="00255758"/>
    <w:rsid w:val="00255E74"/>
    <w:rsid w:val="002629C3"/>
    <w:rsid w:val="002642DF"/>
    <w:rsid w:val="00265568"/>
    <w:rsid w:val="00265A74"/>
    <w:rsid w:val="00266D08"/>
    <w:rsid w:val="002672A7"/>
    <w:rsid w:val="002676B5"/>
    <w:rsid w:val="002678A5"/>
    <w:rsid w:val="0027109E"/>
    <w:rsid w:val="00271FBA"/>
    <w:rsid w:val="0027383C"/>
    <w:rsid w:val="00273EA9"/>
    <w:rsid w:val="00274C4E"/>
    <w:rsid w:val="00275E42"/>
    <w:rsid w:val="00277203"/>
    <w:rsid w:val="0027768B"/>
    <w:rsid w:val="00277E35"/>
    <w:rsid w:val="00280664"/>
    <w:rsid w:val="00281462"/>
    <w:rsid w:val="00281940"/>
    <w:rsid w:val="0028285F"/>
    <w:rsid w:val="00282B34"/>
    <w:rsid w:val="00283584"/>
    <w:rsid w:val="002835D4"/>
    <w:rsid w:val="0028363F"/>
    <w:rsid w:val="00283ECE"/>
    <w:rsid w:val="00284648"/>
    <w:rsid w:val="00284B90"/>
    <w:rsid w:val="00286389"/>
    <w:rsid w:val="00286B4D"/>
    <w:rsid w:val="00286E75"/>
    <w:rsid w:val="00287CD9"/>
    <w:rsid w:val="00287DFE"/>
    <w:rsid w:val="00290B09"/>
    <w:rsid w:val="00291670"/>
    <w:rsid w:val="00291683"/>
    <w:rsid w:val="002925E3"/>
    <w:rsid w:val="00292C65"/>
    <w:rsid w:val="00294942"/>
    <w:rsid w:val="00294A2B"/>
    <w:rsid w:val="00295A7F"/>
    <w:rsid w:val="002969B2"/>
    <w:rsid w:val="00296AFD"/>
    <w:rsid w:val="002979BC"/>
    <w:rsid w:val="00297C18"/>
    <w:rsid w:val="00297C4C"/>
    <w:rsid w:val="002A16DB"/>
    <w:rsid w:val="002A1878"/>
    <w:rsid w:val="002A2284"/>
    <w:rsid w:val="002A2720"/>
    <w:rsid w:val="002A338E"/>
    <w:rsid w:val="002A36C9"/>
    <w:rsid w:val="002A376E"/>
    <w:rsid w:val="002A4128"/>
    <w:rsid w:val="002A44DA"/>
    <w:rsid w:val="002A4FE8"/>
    <w:rsid w:val="002A5E53"/>
    <w:rsid w:val="002A79A2"/>
    <w:rsid w:val="002A7DCD"/>
    <w:rsid w:val="002B1461"/>
    <w:rsid w:val="002B17D7"/>
    <w:rsid w:val="002B6D81"/>
    <w:rsid w:val="002B714A"/>
    <w:rsid w:val="002B7674"/>
    <w:rsid w:val="002C0300"/>
    <w:rsid w:val="002C03C6"/>
    <w:rsid w:val="002C1025"/>
    <w:rsid w:val="002C1516"/>
    <w:rsid w:val="002C198A"/>
    <w:rsid w:val="002C420E"/>
    <w:rsid w:val="002C43E4"/>
    <w:rsid w:val="002C4F8E"/>
    <w:rsid w:val="002C514A"/>
    <w:rsid w:val="002C7444"/>
    <w:rsid w:val="002C771F"/>
    <w:rsid w:val="002C7DAB"/>
    <w:rsid w:val="002D054C"/>
    <w:rsid w:val="002D1537"/>
    <w:rsid w:val="002D352E"/>
    <w:rsid w:val="002D5A58"/>
    <w:rsid w:val="002D6ED3"/>
    <w:rsid w:val="002D6EEB"/>
    <w:rsid w:val="002D72E2"/>
    <w:rsid w:val="002E01E8"/>
    <w:rsid w:val="002E0CB7"/>
    <w:rsid w:val="002E2264"/>
    <w:rsid w:val="002E48C8"/>
    <w:rsid w:val="002E5A91"/>
    <w:rsid w:val="002E68D4"/>
    <w:rsid w:val="002E7A7A"/>
    <w:rsid w:val="002F1F2F"/>
    <w:rsid w:val="002F2D01"/>
    <w:rsid w:val="002F4760"/>
    <w:rsid w:val="002F52BE"/>
    <w:rsid w:val="002F6459"/>
    <w:rsid w:val="003001B5"/>
    <w:rsid w:val="00301AC3"/>
    <w:rsid w:val="00303ED9"/>
    <w:rsid w:val="003049D7"/>
    <w:rsid w:val="0030562D"/>
    <w:rsid w:val="00305D4A"/>
    <w:rsid w:val="00307A3C"/>
    <w:rsid w:val="00307E7E"/>
    <w:rsid w:val="003106FE"/>
    <w:rsid w:val="00313138"/>
    <w:rsid w:val="003138D2"/>
    <w:rsid w:val="003149A9"/>
    <w:rsid w:val="003169FE"/>
    <w:rsid w:val="00317DBB"/>
    <w:rsid w:val="003200E4"/>
    <w:rsid w:val="00320636"/>
    <w:rsid w:val="00320D7B"/>
    <w:rsid w:val="00321293"/>
    <w:rsid w:val="00321D1C"/>
    <w:rsid w:val="0032349E"/>
    <w:rsid w:val="00323552"/>
    <w:rsid w:val="003245CB"/>
    <w:rsid w:val="003251A9"/>
    <w:rsid w:val="00326183"/>
    <w:rsid w:val="003273C9"/>
    <w:rsid w:val="00327B96"/>
    <w:rsid w:val="00330B9D"/>
    <w:rsid w:val="00330D78"/>
    <w:rsid w:val="00330ECE"/>
    <w:rsid w:val="00332023"/>
    <w:rsid w:val="00332536"/>
    <w:rsid w:val="00332755"/>
    <w:rsid w:val="00333C2D"/>
    <w:rsid w:val="00333E50"/>
    <w:rsid w:val="0033456F"/>
    <w:rsid w:val="00336052"/>
    <w:rsid w:val="003366AA"/>
    <w:rsid w:val="00337476"/>
    <w:rsid w:val="00337972"/>
    <w:rsid w:val="00337CE7"/>
    <w:rsid w:val="0034062A"/>
    <w:rsid w:val="00340C1D"/>
    <w:rsid w:val="00340E6E"/>
    <w:rsid w:val="00342E7F"/>
    <w:rsid w:val="00342F96"/>
    <w:rsid w:val="003434E1"/>
    <w:rsid w:val="00343817"/>
    <w:rsid w:val="003453B2"/>
    <w:rsid w:val="00345D7C"/>
    <w:rsid w:val="003467F0"/>
    <w:rsid w:val="0034726E"/>
    <w:rsid w:val="003507CC"/>
    <w:rsid w:val="00351095"/>
    <w:rsid w:val="0035159B"/>
    <w:rsid w:val="00352F0E"/>
    <w:rsid w:val="003532C9"/>
    <w:rsid w:val="00353763"/>
    <w:rsid w:val="003558D5"/>
    <w:rsid w:val="00355989"/>
    <w:rsid w:val="003568B5"/>
    <w:rsid w:val="00356FEF"/>
    <w:rsid w:val="00360B48"/>
    <w:rsid w:val="003614A0"/>
    <w:rsid w:val="00366F12"/>
    <w:rsid w:val="00370B2A"/>
    <w:rsid w:val="00371BD9"/>
    <w:rsid w:val="0037250C"/>
    <w:rsid w:val="00372E81"/>
    <w:rsid w:val="0037350D"/>
    <w:rsid w:val="0037615C"/>
    <w:rsid w:val="00376B0C"/>
    <w:rsid w:val="00376DAD"/>
    <w:rsid w:val="00376EA0"/>
    <w:rsid w:val="00380635"/>
    <w:rsid w:val="00380777"/>
    <w:rsid w:val="0038092B"/>
    <w:rsid w:val="00380937"/>
    <w:rsid w:val="00381934"/>
    <w:rsid w:val="0038440F"/>
    <w:rsid w:val="003847DE"/>
    <w:rsid w:val="00384FCB"/>
    <w:rsid w:val="003855D7"/>
    <w:rsid w:val="003855F6"/>
    <w:rsid w:val="00386172"/>
    <w:rsid w:val="0039083B"/>
    <w:rsid w:val="00391CD2"/>
    <w:rsid w:val="00392D1F"/>
    <w:rsid w:val="0039304D"/>
    <w:rsid w:val="00393271"/>
    <w:rsid w:val="003948A4"/>
    <w:rsid w:val="00395461"/>
    <w:rsid w:val="003955B3"/>
    <w:rsid w:val="003A068D"/>
    <w:rsid w:val="003A1F7D"/>
    <w:rsid w:val="003A30E7"/>
    <w:rsid w:val="003A3755"/>
    <w:rsid w:val="003A3960"/>
    <w:rsid w:val="003A3A0A"/>
    <w:rsid w:val="003A3CC5"/>
    <w:rsid w:val="003A433E"/>
    <w:rsid w:val="003A472C"/>
    <w:rsid w:val="003A4C42"/>
    <w:rsid w:val="003A5975"/>
    <w:rsid w:val="003A6461"/>
    <w:rsid w:val="003A7A36"/>
    <w:rsid w:val="003B145C"/>
    <w:rsid w:val="003B1567"/>
    <w:rsid w:val="003B3042"/>
    <w:rsid w:val="003B33D1"/>
    <w:rsid w:val="003B3A8C"/>
    <w:rsid w:val="003B44B0"/>
    <w:rsid w:val="003B4D18"/>
    <w:rsid w:val="003B5948"/>
    <w:rsid w:val="003B5C6D"/>
    <w:rsid w:val="003B6137"/>
    <w:rsid w:val="003B722E"/>
    <w:rsid w:val="003B775F"/>
    <w:rsid w:val="003B79B9"/>
    <w:rsid w:val="003C015F"/>
    <w:rsid w:val="003C19FF"/>
    <w:rsid w:val="003C2009"/>
    <w:rsid w:val="003C21F6"/>
    <w:rsid w:val="003C278A"/>
    <w:rsid w:val="003C2BE5"/>
    <w:rsid w:val="003C3274"/>
    <w:rsid w:val="003C6089"/>
    <w:rsid w:val="003C65CA"/>
    <w:rsid w:val="003C71F4"/>
    <w:rsid w:val="003D131E"/>
    <w:rsid w:val="003D1CBD"/>
    <w:rsid w:val="003D2E85"/>
    <w:rsid w:val="003D3D17"/>
    <w:rsid w:val="003D4072"/>
    <w:rsid w:val="003D4D13"/>
    <w:rsid w:val="003D4D44"/>
    <w:rsid w:val="003D4E14"/>
    <w:rsid w:val="003D51CA"/>
    <w:rsid w:val="003D621B"/>
    <w:rsid w:val="003D79A8"/>
    <w:rsid w:val="003E0DC3"/>
    <w:rsid w:val="003E170B"/>
    <w:rsid w:val="003E272D"/>
    <w:rsid w:val="003E346F"/>
    <w:rsid w:val="003E443A"/>
    <w:rsid w:val="003E5E8D"/>
    <w:rsid w:val="003E6A98"/>
    <w:rsid w:val="003E7F0D"/>
    <w:rsid w:val="003F2029"/>
    <w:rsid w:val="003F2B74"/>
    <w:rsid w:val="003F2D59"/>
    <w:rsid w:val="003F308E"/>
    <w:rsid w:val="003F3323"/>
    <w:rsid w:val="003F42D4"/>
    <w:rsid w:val="003F4874"/>
    <w:rsid w:val="003F5BB9"/>
    <w:rsid w:val="003F5D0D"/>
    <w:rsid w:val="003F7F69"/>
    <w:rsid w:val="004013BD"/>
    <w:rsid w:val="00401E3C"/>
    <w:rsid w:val="00402498"/>
    <w:rsid w:val="00402BD7"/>
    <w:rsid w:val="00402EF6"/>
    <w:rsid w:val="004033C3"/>
    <w:rsid w:val="00403B22"/>
    <w:rsid w:val="004043A0"/>
    <w:rsid w:val="00404D07"/>
    <w:rsid w:val="00405726"/>
    <w:rsid w:val="0040680B"/>
    <w:rsid w:val="0041025D"/>
    <w:rsid w:val="00411C2C"/>
    <w:rsid w:val="0041312E"/>
    <w:rsid w:val="00413838"/>
    <w:rsid w:val="00413D14"/>
    <w:rsid w:val="00414020"/>
    <w:rsid w:val="00414CC4"/>
    <w:rsid w:val="00414D6D"/>
    <w:rsid w:val="0041603A"/>
    <w:rsid w:val="0041689A"/>
    <w:rsid w:val="00416CAA"/>
    <w:rsid w:val="00417650"/>
    <w:rsid w:val="00417E96"/>
    <w:rsid w:val="004205CA"/>
    <w:rsid w:val="00420D61"/>
    <w:rsid w:val="0042194D"/>
    <w:rsid w:val="00421B67"/>
    <w:rsid w:val="00422BD1"/>
    <w:rsid w:val="00423A1A"/>
    <w:rsid w:val="00425684"/>
    <w:rsid w:val="00426D86"/>
    <w:rsid w:val="0043168A"/>
    <w:rsid w:val="0043308C"/>
    <w:rsid w:val="004342F9"/>
    <w:rsid w:val="0043454F"/>
    <w:rsid w:val="00434E52"/>
    <w:rsid w:val="00435388"/>
    <w:rsid w:val="004363B4"/>
    <w:rsid w:val="00440210"/>
    <w:rsid w:val="0044084D"/>
    <w:rsid w:val="00440877"/>
    <w:rsid w:val="004419DE"/>
    <w:rsid w:val="00443EE8"/>
    <w:rsid w:val="00444376"/>
    <w:rsid w:val="00444B21"/>
    <w:rsid w:val="00446F0E"/>
    <w:rsid w:val="0044731F"/>
    <w:rsid w:val="004503F4"/>
    <w:rsid w:val="00451517"/>
    <w:rsid w:val="00452BE6"/>
    <w:rsid w:val="00453AF2"/>
    <w:rsid w:val="0045542A"/>
    <w:rsid w:val="00455FF4"/>
    <w:rsid w:val="004565D3"/>
    <w:rsid w:val="00456B29"/>
    <w:rsid w:val="00457F35"/>
    <w:rsid w:val="0046026A"/>
    <w:rsid w:val="004605D4"/>
    <w:rsid w:val="00460E20"/>
    <w:rsid w:val="00461A5B"/>
    <w:rsid w:val="00462636"/>
    <w:rsid w:val="00462CE8"/>
    <w:rsid w:val="0046434D"/>
    <w:rsid w:val="00465DEE"/>
    <w:rsid w:val="0046655F"/>
    <w:rsid w:val="00466D12"/>
    <w:rsid w:val="00470B4F"/>
    <w:rsid w:val="0047107C"/>
    <w:rsid w:val="00471418"/>
    <w:rsid w:val="00471441"/>
    <w:rsid w:val="0047254B"/>
    <w:rsid w:val="0047280D"/>
    <w:rsid w:val="00472BA5"/>
    <w:rsid w:val="00473476"/>
    <w:rsid w:val="00473711"/>
    <w:rsid w:val="00473AA9"/>
    <w:rsid w:val="00474647"/>
    <w:rsid w:val="00476952"/>
    <w:rsid w:val="00477276"/>
    <w:rsid w:val="004776F2"/>
    <w:rsid w:val="00481382"/>
    <w:rsid w:val="004815EF"/>
    <w:rsid w:val="0048183B"/>
    <w:rsid w:val="00482DA7"/>
    <w:rsid w:val="00482FB9"/>
    <w:rsid w:val="00485AEF"/>
    <w:rsid w:val="00486623"/>
    <w:rsid w:val="00486CEE"/>
    <w:rsid w:val="00487EF2"/>
    <w:rsid w:val="004912AF"/>
    <w:rsid w:val="00492EB0"/>
    <w:rsid w:val="00494718"/>
    <w:rsid w:val="00494DBD"/>
    <w:rsid w:val="00494F4F"/>
    <w:rsid w:val="00495497"/>
    <w:rsid w:val="004969B2"/>
    <w:rsid w:val="00496F9F"/>
    <w:rsid w:val="004977FC"/>
    <w:rsid w:val="004979AB"/>
    <w:rsid w:val="004A46D0"/>
    <w:rsid w:val="004A4AC9"/>
    <w:rsid w:val="004A7624"/>
    <w:rsid w:val="004B1B17"/>
    <w:rsid w:val="004B20CC"/>
    <w:rsid w:val="004B28DD"/>
    <w:rsid w:val="004B2BBA"/>
    <w:rsid w:val="004B60A1"/>
    <w:rsid w:val="004C2772"/>
    <w:rsid w:val="004C2D12"/>
    <w:rsid w:val="004C3926"/>
    <w:rsid w:val="004C3D35"/>
    <w:rsid w:val="004C3EEA"/>
    <w:rsid w:val="004C5A7F"/>
    <w:rsid w:val="004C5E44"/>
    <w:rsid w:val="004C6489"/>
    <w:rsid w:val="004C73EC"/>
    <w:rsid w:val="004D0459"/>
    <w:rsid w:val="004D0BCC"/>
    <w:rsid w:val="004D35F9"/>
    <w:rsid w:val="004D44A2"/>
    <w:rsid w:val="004D48B4"/>
    <w:rsid w:val="004D49B4"/>
    <w:rsid w:val="004D5888"/>
    <w:rsid w:val="004D664F"/>
    <w:rsid w:val="004D7142"/>
    <w:rsid w:val="004D7F59"/>
    <w:rsid w:val="004E0463"/>
    <w:rsid w:val="004E1797"/>
    <w:rsid w:val="004E3EBC"/>
    <w:rsid w:val="004E4256"/>
    <w:rsid w:val="004E4A5A"/>
    <w:rsid w:val="004E4E17"/>
    <w:rsid w:val="004E5DD0"/>
    <w:rsid w:val="004E6F51"/>
    <w:rsid w:val="004E79E8"/>
    <w:rsid w:val="004F0484"/>
    <w:rsid w:val="004F16DC"/>
    <w:rsid w:val="004F31A3"/>
    <w:rsid w:val="004F51DA"/>
    <w:rsid w:val="004F5581"/>
    <w:rsid w:val="004F5CC2"/>
    <w:rsid w:val="004F5EC5"/>
    <w:rsid w:val="004F728B"/>
    <w:rsid w:val="004F7AA8"/>
    <w:rsid w:val="0050028D"/>
    <w:rsid w:val="00501B9E"/>
    <w:rsid w:val="0050363E"/>
    <w:rsid w:val="00503CF5"/>
    <w:rsid w:val="00504314"/>
    <w:rsid w:val="005047E7"/>
    <w:rsid w:val="00504B58"/>
    <w:rsid w:val="005079F7"/>
    <w:rsid w:val="00507B67"/>
    <w:rsid w:val="00507FF4"/>
    <w:rsid w:val="00510408"/>
    <w:rsid w:val="005107FC"/>
    <w:rsid w:val="00512498"/>
    <w:rsid w:val="00513250"/>
    <w:rsid w:val="00514731"/>
    <w:rsid w:val="005157E2"/>
    <w:rsid w:val="005162EF"/>
    <w:rsid w:val="005172B0"/>
    <w:rsid w:val="00517EE3"/>
    <w:rsid w:val="00517F8C"/>
    <w:rsid w:val="0052040D"/>
    <w:rsid w:val="005208CB"/>
    <w:rsid w:val="00520D87"/>
    <w:rsid w:val="00520D94"/>
    <w:rsid w:val="005212BD"/>
    <w:rsid w:val="005224D3"/>
    <w:rsid w:val="0052424C"/>
    <w:rsid w:val="00525E0C"/>
    <w:rsid w:val="00526E86"/>
    <w:rsid w:val="00527941"/>
    <w:rsid w:val="00527DEF"/>
    <w:rsid w:val="00530AF3"/>
    <w:rsid w:val="00532A38"/>
    <w:rsid w:val="005336CE"/>
    <w:rsid w:val="00533E6D"/>
    <w:rsid w:val="00534706"/>
    <w:rsid w:val="00534D9C"/>
    <w:rsid w:val="0053564F"/>
    <w:rsid w:val="005357D6"/>
    <w:rsid w:val="005359FB"/>
    <w:rsid w:val="00535D8E"/>
    <w:rsid w:val="00536DE2"/>
    <w:rsid w:val="00537499"/>
    <w:rsid w:val="00537ECC"/>
    <w:rsid w:val="00541D41"/>
    <w:rsid w:val="005433AC"/>
    <w:rsid w:val="00543930"/>
    <w:rsid w:val="00544DBC"/>
    <w:rsid w:val="00545DD3"/>
    <w:rsid w:val="00546557"/>
    <w:rsid w:val="00550C1D"/>
    <w:rsid w:val="00551715"/>
    <w:rsid w:val="00555DB0"/>
    <w:rsid w:val="005569D9"/>
    <w:rsid w:val="00561965"/>
    <w:rsid w:val="00561FCC"/>
    <w:rsid w:val="005626A4"/>
    <w:rsid w:val="0056383C"/>
    <w:rsid w:val="00563D81"/>
    <w:rsid w:val="005649DE"/>
    <w:rsid w:val="00564BA9"/>
    <w:rsid w:val="0056587A"/>
    <w:rsid w:val="00565D12"/>
    <w:rsid w:val="0056730F"/>
    <w:rsid w:val="00570142"/>
    <w:rsid w:val="0057015E"/>
    <w:rsid w:val="005706D4"/>
    <w:rsid w:val="00571460"/>
    <w:rsid w:val="00572685"/>
    <w:rsid w:val="005734E0"/>
    <w:rsid w:val="0057395E"/>
    <w:rsid w:val="00575243"/>
    <w:rsid w:val="005756BB"/>
    <w:rsid w:val="00576252"/>
    <w:rsid w:val="0057719F"/>
    <w:rsid w:val="0058088B"/>
    <w:rsid w:val="0058094B"/>
    <w:rsid w:val="00581278"/>
    <w:rsid w:val="005817C6"/>
    <w:rsid w:val="00581EF6"/>
    <w:rsid w:val="0058273B"/>
    <w:rsid w:val="00582EA4"/>
    <w:rsid w:val="00585A3E"/>
    <w:rsid w:val="00585D17"/>
    <w:rsid w:val="00585F61"/>
    <w:rsid w:val="0058771B"/>
    <w:rsid w:val="0059097B"/>
    <w:rsid w:val="00590C99"/>
    <w:rsid w:val="005918C4"/>
    <w:rsid w:val="00592272"/>
    <w:rsid w:val="0059282C"/>
    <w:rsid w:val="00592C47"/>
    <w:rsid w:val="00593D7E"/>
    <w:rsid w:val="0059481B"/>
    <w:rsid w:val="00594B97"/>
    <w:rsid w:val="00594E53"/>
    <w:rsid w:val="0059522F"/>
    <w:rsid w:val="005953B6"/>
    <w:rsid w:val="00596C3B"/>
    <w:rsid w:val="005A0528"/>
    <w:rsid w:val="005A05C7"/>
    <w:rsid w:val="005A1821"/>
    <w:rsid w:val="005A20CF"/>
    <w:rsid w:val="005A388A"/>
    <w:rsid w:val="005A38F7"/>
    <w:rsid w:val="005A3B4A"/>
    <w:rsid w:val="005A6C6D"/>
    <w:rsid w:val="005A6F48"/>
    <w:rsid w:val="005A756C"/>
    <w:rsid w:val="005A76B5"/>
    <w:rsid w:val="005A7FC4"/>
    <w:rsid w:val="005B1A63"/>
    <w:rsid w:val="005B349B"/>
    <w:rsid w:val="005B351E"/>
    <w:rsid w:val="005B4F53"/>
    <w:rsid w:val="005B518D"/>
    <w:rsid w:val="005B6303"/>
    <w:rsid w:val="005B6BE3"/>
    <w:rsid w:val="005C2BE4"/>
    <w:rsid w:val="005C3A86"/>
    <w:rsid w:val="005C3AE6"/>
    <w:rsid w:val="005C411C"/>
    <w:rsid w:val="005C480F"/>
    <w:rsid w:val="005C49AA"/>
    <w:rsid w:val="005C4DFE"/>
    <w:rsid w:val="005C5DF3"/>
    <w:rsid w:val="005C61ED"/>
    <w:rsid w:val="005C6D5B"/>
    <w:rsid w:val="005C6DD6"/>
    <w:rsid w:val="005C6EA3"/>
    <w:rsid w:val="005C6FA1"/>
    <w:rsid w:val="005C7390"/>
    <w:rsid w:val="005C7E41"/>
    <w:rsid w:val="005D0219"/>
    <w:rsid w:val="005D0EF8"/>
    <w:rsid w:val="005D1BF8"/>
    <w:rsid w:val="005D4E45"/>
    <w:rsid w:val="005E0908"/>
    <w:rsid w:val="005E2FA2"/>
    <w:rsid w:val="005E337D"/>
    <w:rsid w:val="005E5EDE"/>
    <w:rsid w:val="005E68E1"/>
    <w:rsid w:val="005E7500"/>
    <w:rsid w:val="005F076E"/>
    <w:rsid w:val="005F12D9"/>
    <w:rsid w:val="005F1A4E"/>
    <w:rsid w:val="005F3D61"/>
    <w:rsid w:val="005F3ECB"/>
    <w:rsid w:val="005F4AC6"/>
    <w:rsid w:val="005F5852"/>
    <w:rsid w:val="005F620D"/>
    <w:rsid w:val="005F7E11"/>
    <w:rsid w:val="00600866"/>
    <w:rsid w:val="00600984"/>
    <w:rsid w:val="00600A1D"/>
    <w:rsid w:val="006027DF"/>
    <w:rsid w:val="0060325C"/>
    <w:rsid w:val="00604E45"/>
    <w:rsid w:val="00606108"/>
    <w:rsid w:val="00606FF0"/>
    <w:rsid w:val="006078AB"/>
    <w:rsid w:val="0061003D"/>
    <w:rsid w:val="006102CC"/>
    <w:rsid w:val="00610586"/>
    <w:rsid w:val="00611469"/>
    <w:rsid w:val="0061160E"/>
    <w:rsid w:val="006120F7"/>
    <w:rsid w:val="006129F5"/>
    <w:rsid w:val="00615247"/>
    <w:rsid w:val="00615772"/>
    <w:rsid w:val="00615921"/>
    <w:rsid w:val="00615929"/>
    <w:rsid w:val="00617CE5"/>
    <w:rsid w:val="00617D25"/>
    <w:rsid w:val="00620EF3"/>
    <w:rsid w:val="006228B4"/>
    <w:rsid w:val="00622926"/>
    <w:rsid w:val="00622A0C"/>
    <w:rsid w:val="006232E0"/>
    <w:rsid w:val="00623360"/>
    <w:rsid w:val="00626115"/>
    <w:rsid w:val="00626A1F"/>
    <w:rsid w:val="00627485"/>
    <w:rsid w:val="00627526"/>
    <w:rsid w:val="00627CCD"/>
    <w:rsid w:val="00627DDE"/>
    <w:rsid w:val="00627E63"/>
    <w:rsid w:val="006309DB"/>
    <w:rsid w:val="00631B28"/>
    <w:rsid w:val="00631DB3"/>
    <w:rsid w:val="006320FA"/>
    <w:rsid w:val="00633943"/>
    <w:rsid w:val="00634280"/>
    <w:rsid w:val="0063437B"/>
    <w:rsid w:val="00635AA6"/>
    <w:rsid w:val="0063755D"/>
    <w:rsid w:val="0064047B"/>
    <w:rsid w:val="00643F7B"/>
    <w:rsid w:val="00647351"/>
    <w:rsid w:val="00647D1F"/>
    <w:rsid w:val="006506E7"/>
    <w:rsid w:val="00650CEB"/>
    <w:rsid w:val="00651210"/>
    <w:rsid w:val="006512E9"/>
    <w:rsid w:val="00652AD1"/>
    <w:rsid w:val="006538DE"/>
    <w:rsid w:val="00653966"/>
    <w:rsid w:val="00653A7D"/>
    <w:rsid w:val="00654283"/>
    <w:rsid w:val="00654868"/>
    <w:rsid w:val="006550D5"/>
    <w:rsid w:val="006562F1"/>
    <w:rsid w:val="00656707"/>
    <w:rsid w:val="0065772C"/>
    <w:rsid w:val="006612AA"/>
    <w:rsid w:val="00661EF0"/>
    <w:rsid w:val="00663A80"/>
    <w:rsid w:val="006647BE"/>
    <w:rsid w:val="006648A2"/>
    <w:rsid w:val="00664F8A"/>
    <w:rsid w:val="00665C81"/>
    <w:rsid w:val="00666DD6"/>
    <w:rsid w:val="00667178"/>
    <w:rsid w:val="00667CAD"/>
    <w:rsid w:val="00667CE1"/>
    <w:rsid w:val="006710B7"/>
    <w:rsid w:val="00671206"/>
    <w:rsid w:val="006714D9"/>
    <w:rsid w:val="00671F71"/>
    <w:rsid w:val="00672489"/>
    <w:rsid w:val="0067457F"/>
    <w:rsid w:val="00674FA3"/>
    <w:rsid w:val="00676C25"/>
    <w:rsid w:val="006805D5"/>
    <w:rsid w:val="00680BE7"/>
    <w:rsid w:val="006813AF"/>
    <w:rsid w:val="00681DED"/>
    <w:rsid w:val="0068218E"/>
    <w:rsid w:val="006822F6"/>
    <w:rsid w:val="00683716"/>
    <w:rsid w:val="00684031"/>
    <w:rsid w:val="006841B5"/>
    <w:rsid w:val="0068511F"/>
    <w:rsid w:val="00686724"/>
    <w:rsid w:val="006872EF"/>
    <w:rsid w:val="0068750B"/>
    <w:rsid w:val="0069058B"/>
    <w:rsid w:val="006912CD"/>
    <w:rsid w:val="0069168D"/>
    <w:rsid w:val="00692743"/>
    <w:rsid w:val="00692A56"/>
    <w:rsid w:val="0069401E"/>
    <w:rsid w:val="0069412D"/>
    <w:rsid w:val="00695504"/>
    <w:rsid w:val="00695EE4"/>
    <w:rsid w:val="00696625"/>
    <w:rsid w:val="006A0216"/>
    <w:rsid w:val="006A0ACC"/>
    <w:rsid w:val="006A332E"/>
    <w:rsid w:val="006A3FBC"/>
    <w:rsid w:val="006A4E3D"/>
    <w:rsid w:val="006A539A"/>
    <w:rsid w:val="006A5BB7"/>
    <w:rsid w:val="006A7463"/>
    <w:rsid w:val="006B1E1F"/>
    <w:rsid w:val="006B1FFA"/>
    <w:rsid w:val="006B259C"/>
    <w:rsid w:val="006B353F"/>
    <w:rsid w:val="006B3EB8"/>
    <w:rsid w:val="006B48A7"/>
    <w:rsid w:val="006B6FC8"/>
    <w:rsid w:val="006C16CE"/>
    <w:rsid w:val="006C1E82"/>
    <w:rsid w:val="006C29C3"/>
    <w:rsid w:val="006C30D8"/>
    <w:rsid w:val="006C3B8B"/>
    <w:rsid w:val="006C3E26"/>
    <w:rsid w:val="006C4955"/>
    <w:rsid w:val="006C5A0F"/>
    <w:rsid w:val="006C6253"/>
    <w:rsid w:val="006D0890"/>
    <w:rsid w:val="006D2A66"/>
    <w:rsid w:val="006D2B96"/>
    <w:rsid w:val="006D3692"/>
    <w:rsid w:val="006D3784"/>
    <w:rsid w:val="006D405F"/>
    <w:rsid w:val="006D48E5"/>
    <w:rsid w:val="006D5A2C"/>
    <w:rsid w:val="006D6F40"/>
    <w:rsid w:val="006D74EB"/>
    <w:rsid w:val="006D76B5"/>
    <w:rsid w:val="006E176D"/>
    <w:rsid w:val="006E1A38"/>
    <w:rsid w:val="006E1BF0"/>
    <w:rsid w:val="006E1E34"/>
    <w:rsid w:val="006E1EB0"/>
    <w:rsid w:val="006E60C2"/>
    <w:rsid w:val="006E6805"/>
    <w:rsid w:val="006E71D5"/>
    <w:rsid w:val="006E7588"/>
    <w:rsid w:val="006F029C"/>
    <w:rsid w:val="006F0CD9"/>
    <w:rsid w:val="006F1290"/>
    <w:rsid w:val="006F1DDF"/>
    <w:rsid w:val="006F2967"/>
    <w:rsid w:val="006F301D"/>
    <w:rsid w:val="006F4CB4"/>
    <w:rsid w:val="006F4E0E"/>
    <w:rsid w:val="006F502C"/>
    <w:rsid w:val="006F570B"/>
    <w:rsid w:val="006F6639"/>
    <w:rsid w:val="007000B6"/>
    <w:rsid w:val="00700D68"/>
    <w:rsid w:val="00701598"/>
    <w:rsid w:val="00702A29"/>
    <w:rsid w:val="00702D7E"/>
    <w:rsid w:val="00703188"/>
    <w:rsid w:val="00704068"/>
    <w:rsid w:val="00704738"/>
    <w:rsid w:val="007047AD"/>
    <w:rsid w:val="00705C24"/>
    <w:rsid w:val="007065AF"/>
    <w:rsid w:val="0070690F"/>
    <w:rsid w:val="00706B26"/>
    <w:rsid w:val="00707EEE"/>
    <w:rsid w:val="00711AAB"/>
    <w:rsid w:val="00711D51"/>
    <w:rsid w:val="00714229"/>
    <w:rsid w:val="0071536F"/>
    <w:rsid w:val="007153CA"/>
    <w:rsid w:val="0071729D"/>
    <w:rsid w:val="00717CD1"/>
    <w:rsid w:val="00717CEA"/>
    <w:rsid w:val="00720717"/>
    <w:rsid w:val="007223A8"/>
    <w:rsid w:val="00723702"/>
    <w:rsid w:val="00723A9B"/>
    <w:rsid w:val="00724802"/>
    <w:rsid w:val="00724A02"/>
    <w:rsid w:val="00724E57"/>
    <w:rsid w:val="00726D67"/>
    <w:rsid w:val="0072725B"/>
    <w:rsid w:val="00727C64"/>
    <w:rsid w:val="00727D46"/>
    <w:rsid w:val="00731116"/>
    <w:rsid w:val="00732742"/>
    <w:rsid w:val="00732B23"/>
    <w:rsid w:val="007338FC"/>
    <w:rsid w:val="00733FD8"/>
    <w:rsid w:val="007344D8"/>
    <w:rsid w:val="00736257"/>
    <w:rsid w:val="00741A45"/>
    <w:rsid w:val="00741ABF"/>
    <w:rsid w:val="00743FF8"/>
    <w:rsid w:val="00745179"/>
    <w:rsid w:val="007461A8"/>
    <w:rsid w:val="0074621D"/>
    <w:rsid w:val="00746C96"/>
    <w:rsid w:val="00747B88"/>
    <w:rsid w:val="00747E26"/>
    <w:rsid w:val="00751530"/>
    <w:rsid w:val="00752ADD"/>
    <w:rsid w:val="007535FE"/>
    <w:rsid w:val="00754EC0"/>
    <w:rsid w:val="007568D1"/>
    <w:rsid w:val="00756F35"/>
    <w:rsid w:val="007574A4"/>
    <w:rsid w:val="007576C7"/>
    <w:rsid w:val="007601A7"/>
    <w:rsid w:val="007608ED"/>
    <w:rsid w:val="00761FC1"/>
    <w:rsid w:val="00764857"/>
    <w:rsid w:val="00764BA3"/>
    <w:rsid w:val="00764C12"/>
    <w:rsid w:val="0076525E"/>
    <w:rsid w:val="00765A47"/>
    <w:rsid w:val="00767A55"/>
    <w:rsid w:val="00770B8B"/>
    <w:rsid w:val="007733F9"/>
    <w:rsid w:val="00773E49"/>
    <w:rsid w:val="007740DD"/>
    <w:rsid w:val="007742B1"/>
    <w:rsid w:val="00774B64"/>
    <w:rsid w:val="00774EC6"/>
    <w:rsid w:val="00775B60"/>
    <w:rsid w:val="00776A65"/>
    <w:rsid w:val="00782575"/>
    <w:rsid w:val="00783B25"/>
    <w:rsid w:val="00783C6F"/>
    <w:rsid w:val="0078495B"/>
    <w:rsid w:val="007856C3"/>
    <w:rsid w:val="007856CA"/>
    <w:rsid w:val="00786343"/>
    <w:rsid w:val="007866EC"/>
    <w:rsid w:val="00787807"/>
    <w:rsid w:val="00787B86"/>
    <w:rsid w:val="00787C15"/>
    <w:rsid w:val="00787F61"/>
    <w:rsid w:val="00790C23"/>
    <w:rsid w:val="0079150E"/>
    <w:rsid w:val="007933C5"/>
    <w:rsid w:val="00794341"/>
    <w:rsid w:val="00795571"/>
    <w:rsid w:val="00795BD3"/>
    <w:rsid w:val="00795C6E"/>
    <w:rsid w:val="007A061A"/>
    <w:rsid w:val="007A0802"/>
    <w:rsid w:val="007A1C48"/>
    <w:rsid w:val="007A1FCB"/>
    <w:rsid w:val="007A27F4"/>
    <w:rsid w:val="007A2CE8"/>
    <w:rsid w:val="007A2DF3"/>
    <w:rsid w:val="007A42FD"/>
    <w:rsid w:val="007A51AD"/>
    <w:rsid w:val="007A5267"/>
    <w:rsid w:val="007A5AA7"/>
    <w:rsid w:val="007A5DD1"/>
    <w:rsid w:val="007A6C4B"/>
    <w:rsid w:val="007A7877"/>
    <w:rsid w:val="007B0695"/>
    <w:rsid w:val="007B335A"/>
    <w:rsid w:val="007B3418"/>
    <w:rsid w:val="007B3B73"/>
    <w:rsid w:val="007B4217"/>
    <w:rsid w:val="007B491A"/>
    <w:rsid w:val="007B753A"/>
    <w:rsid w:val="007B79F6"/>
    <w:rsid w:val="007C0B60"/>
    <w:rsid w:val="007C1293"/>
    <w:rsid w:val="007C140E"/>
    <w:rsid w:val="007C178E"/>
    <w:rsid w:val="007C19D4"/>
    <w:rsid w:val="007C34E6"/>
    <w:rsid w:val="007C3E95"/>
    <w:rsid w:val="007C5217"/>
    <w:rsid w:val="007D152A"/>
    <w:rsid w:val="007D16AF"/>
    <w:rsid w:val="007D1B06"/>
    <w:rsid w:val="007D2586"/>
    <w:rsid w:val="007D3067"/>
    <w:rsid w:val="007D3564"/>
    <w:rsid w:val="007D35BA"/>
    <w:rsid w:val="007D367C"/>
    <w:rsid w:val="007D3F14"/>
    <w:rsid w:val="007D4457"/>
    <w:rsid w:val="007D50D5"/>
    <w:rsid w:val="007D54E5"/>
    <w:rsid w:val="007D6826"/>
    <w:rsid w:val="007D6FDC"/>
    <w:rsid w:val="007E08C2"/>
    <w:rsid w:val="007E1E33"/>
    <w:rsid w:val="007E2A45"/>
    <w:rsid w:val="007E46E9"/>
    <w:rsid w:val="007E48CA"/>
    <w:rsid w:val="007E542A"/>
    <w:rsid w:val="007E639E"/>
    <w:rsid w:val="007E69F6"/>
    <w:rsid w:val="007E73A0"/>
    <w:rsid w:val="007F05E6"/>
    <w:rsid w:val="007F2743"/>
    <w:rsid w:val="007F326D"/>
    <w:rsid w:val="007F434A"/>
    <w:rsid w:val="007F4351"/>
    <w:rsid w:val="007F43C8"/>
    <w:rsid w:val="007F47A6"/>
    <w:rsid w:val="007F6341"/>
    <w:rsid w:val="007F6898"/>
    <w:rsid w:val="007F7178"/>
    <w:rsid w:val="007F7423"/>
    <w:rsid w:val="008000EF"/>
    <w:rsid w:val="0080086E"/>
    <w:rsid w:val="008008D2"/>
    <w:rsid w:val="00800DAC"/>
    <w:rsid w:val="00801820"/>
    <w:rsid w:val="00802184"/>
    <w:rsid w:val="00802348"/>
    <w:rsid w:val="00802367"/>
    <w:rsid w:val="008025D1"/>
    <w:rsid w:val="00803862"/>
    <w:rsid w:val="00803965"/>
    <w:rsid w:val="00804560"/>
    <w:rsid w:val="0080575E"/>
    <w:rsid w:val="00805DE9"/>
    <w:rsid w:val="0080662C"/>
    <w:rsid w:val="008109F2"/>
    <w:rsid w:val="00810A91"/>
    <w:rsid w:val="008110C3"/>
    <w:rsid w:val="00811F80"/>
    <w:rsid w:val="00812364"/>
    <w:rsid w:val="00813834"/>
    <w:rsid w:val="00813DD0"/>
    <w:rsid w:val="00813FB0"/>
    <w:rsid w:val="00815B17"/>
    <w:rsid w:val="00817A73"/>
    <w:rsid w:val="00820780"/>
    <w:rsid w:val="00821851"/>
    <w:rsid w:val="00821D83"/>
    <w:rsid w:val="00822294"/>
    <w:rsid w:val="0082261F"/>
    <w:rsid w:val="008235A4"/>
    <w:rsid w:val="00823BE5"/>
    <w:rsid w:val="0082628D"/>
    <w:rsid w:val="008275B0"/>
    <w:rsid w:val="00830275"/>
    <w:rsid w:val="00830DBD"/>
    <w:rsid w:val="00831172"/>
    <w:rsid w:val="00831707"/>
    <w:rsid w:val="00831896"/>
    <w:rsid w:val="0083238B"/>
    <w:rsid w:val="00832B31"/>
    <w:rsid w:val="00832BBE"/>
    <w:rsid w:val="008366AD"/>
    <w:rsid w:val="008367D0"/>
    <w:rsid w:val="008374DB"/>
    <w:rsid w:val="00837B8E"/>
    <w:rsid w:val="00841573"/>
    <w:rsid w:val="00841B21"/>
    <w:rsid w:val="00841BE9"/>
    <w:rsid w:val="00843DA4"/>
    <w:rsid w:val="008443CE"/>
    <w:rsid w:val="0084493D"/>
    <w:rsid w:val="00844ABC"/>
    <w:rsid w:val="008456C4"/>
    <w:rsid w:val="008458F8"/>
    <w:rsid w:val="00845982"/>
    <w:rsid w:val="00845A53"/>
    <w:rsid w:val="008469D9"/>
    <w:rsid w:val="00847731"/>
    <w:rsid w:val="0085058A"/>
    <w:rsid w:val="0085296A"/>
    <w:rsid w:val="00852C8D"/>
    <w:rsid w:val="008547B0"/>
    <w:rsid w:val="00855E9F"/>
    <w:rsid w:val="00855EE8"/>
    <w:rsid w:val="00856243"/>
    <w:rsid w:val="00856371"/>
    <w:rsid w:val="00856E47"/>
    <w:rsid w:val="008602D0"/>
    <w:rsid w:val="008602DC"/>
    <w:rsid w:val="008606AF"/>
    <w:rsid w:val="008606F3"/>
    <w:rsid w:val="008626D0"/>
    <w:rsid w:val="00862A44"/>
    <w:rsid w:val="00862E54"/>
    <w:rsid w:val="008638BC"/>
    <w:rsid w:val="00864D9F"/>
    <w:rsid w:val="00866E08"/>
    <w:rsid w:val="0086709A"/>
    <w:rsid w:val="00867404"/>
    <w:rsid w:val="00870428"/>
    <w:rsid w:val="00870A8B"/>
    <w:rsid w:val="00872384"/>
    <w:rsid w:val="008727CF"/>
    <w:rsid w:val="00874D55"/>
    <w:rsid w:val="00875B04"/>
    <w:rsid w:val="00877193"/>
    <w:rsid w:val="0087764A"/>
    <w:rsid w:val="00877679"/>
    <w:rsid w:val="00886075"/>
    <w:rsid w:val="0088612C"/>
    <w:rsid w:val="00886439"/>
    <w:rsid w:val="00886BDC"/>
    <w:rsid w:val="00887391"/>
    <w:rsid w:val="00887450"/>
    <w:rsid w:val="008874A3"/>
    <w:rsid w:val="008905D2"/>
    <w:rsid w:val="00890E0E"/>
    <w:rsid w:val="00892227"/>
    <w:rsid w:val="00892D9A"/>
    <w:rsid w:val="00893F7F"/>
    <w:rsid w:val="00895EB6"/>
    <w:rsid w:val="00897554"/>
    <w:rsid w:val="008A08A9"/>
    <w:rsid w:val="008A1C81"/>
    <w:rsid w:val="008A2932"/>
    <w:rsid w:val="008A3AF7"/>
    <w:rsid w:val="008A5956"/>
    <w:rsid w:val="008A78B7"/>
    <w:rsid w:val="008B0145"/>
    <w:rsid w:val="008B0D08"/>
    <w:rsid w:val="008B32CE"/>
    <w:rsid w:val="008B3442"/>
    <w:rsid w:val="008B5C9C"/>
    <w:rsid w:val="008B6A4C"/>
    <w:rsid w:val="008C03AA"/>
    <w:rsid w:val="008C0A42"/>
    <w:rsid w:val="008C2727"/>
    <w:rsid w:val="008C33B1"/>
    <w:rsid w:val="008C5ACD"/>
    <w:rsid w:val="008C5B1E"/>
    <w:rsid w:val="008D1F6E"/>
    <w:rsid w:val="008D229F"/>
    <w:rsid w:val="008D2FC2"/>
    <w:rsid w:val="008D3955"/>
    <w:rsid w:val="008D3EFD"/>
    <w:rsid w:val="008D6146"/>
    <w:rsid w:val="008D6B0E"/>
    <w:rsid w:val="008D6E39"/>
    <w:rsid w:val="008E092D"/>
    <w:rsid w:val="008E28AD"/>
    <w:rsid w:val="008E30B8"/>
    <w:rsid w:val="008E381D"/>
    <w:rsid w:val="008E3EF9"/>
    <w:rsid w:val="008E4B47"/>
    <w:rsid w:val="008E566E"/>
    <w:rsid w:val="008E5D90"/>
    <w:rsid w:val="008E7F98"/>
    <w:rsid w:val="008F3095"/>
    <w:rsid w:val="008F3148"/>
    <w:rsid w:val="008F4215"/>
    <w:rsid w:val="008F5285"/>
    <w:rsid w:val="008F5D12"/>
    <w:rsid w:val="008F5FA0"/>
    <w:rsid w:val="008F741E"/>
    <w:rsid w:val="008F79D5"/>
    <w:rsid w:val="00900568"/>
    <w:rsid w:val="00901D2B"/>
    <w:rsid w:val="00904CC7"/>
    <w:rsid w:val="0090550C"/>
    <w:rsid w:val="0090636B"/>
    <w:rsid w:val="0090695D"/>
    <w:rsid w:val="009120E8"/>
    <w:rsid w:val="009131D1"/>
    <w:rsid w:val="00916F89"/>
    <w:rsid w:val="009208CD"/>
    <w:rsid w:val="009209FA"/>
    <w:rsid w:val="009214FA"/>
    <w:rsid w:val="00921743"/>
    <w:rsid w:val="00921E42"/>
    <w:rsid w:val="00921FD5"/>
    <w:rsid w:val="00923A66"/>
    <w:rsid w:val="009241F8"/>
    <w:rsid w:val="0092502D"/>
    <w:rsid w:val="00925120"/>
    <w:rsid w:val="009257A8"/>
    <w:rsid w:val="009257AD"/>
    <w:rsid w:val="00925BCD"/>
    <w:rsid w:val="00926C3B"/>
    <w:rsid w:val="00926DE3"/>
    <w:rsid w:val="0093022A"/>
    <w:rsid w:val="00930376"/>
    <w:rsid w:val="00930C50"/>
    <w:rsid w:val="0093156E"/>
    <w:rsid w:val="0093339B"/>
    <w:rsid w:val="009334EB"/>
    <w:rsid w:val="00934AD5"/>
    <w:rsid w:val="00934B4C"/>
    <w:rsid w:val="009357F5"/>
    <w:rsid w:val="0093584D"/>
    <w:rsid w:val="009358EB"/>
    <w:rsid w:val="009359D4"/>
    <w:rsid w:val="00936834"/>
    <w:rsid w:val="00940F1C"/>
    <w:rsid w:val="009413EF"/>
    <w:rsid w:val="00942647"/>
    <w:rsid w:val="00944D5E"/>
    <w:rsid w:val="009456DA"/>
    <w:rsid w:val="00946817"/>
    <w:rsid w:val="009474B0"/>
    <w:rsid w:val="00947601"/>
    <w:rsid w:val="0094767C"/>
    <w:rsid w:val="00947B7A"/>
    <w:rsid w:val="00951BAE"/>
    <w:rsid w:val="00951BC4"/>
    <w:rsid w:val="00951EBD"/>
    <w:rsid w:val="009523F5"/>
    <w:rsid w:val="0095318B"/>
    <w:rsid w:val="009535DB"/>
    <w:rsid w:val="00955EBC"/>
    <w:rsid w:val="009563EE"/>
    <w:rsid w:val="0095715C"/>
    <w:rsid w:val="00957684"/>
    <w:rsid w:val="00960186"/>
    <w:rsid w:val="009606C2"/>
    <w:rsid w:val="00960E47"/>
    <w:rsid w:val="00961323"/>
    <w:rsid w:val="00962C45"/>
    <w:rsid w:val="0096332B"/>
    <w:rsid w:val="009645CD"/>
    <w:rsid w:val="00965D6B"/>
    <w:rsid w:val="00967D60"/>
    <w:rsid w:val="00970C3B"/>
    <w:rsid w:val="009716EC"/>
    <w:rsid w:val="00971E70"/>
    <w:rsid w:val="00972051"/>
    <w:rsid w:val="0097314A"/>
    <w:rsid w:val="009733AA"/>
    <w:rsid w:val="0097572C"/>
    <w:rsid w:val="009758A0"/>
    <w:rsid w:val="009766CE"/>
    <w:rsid w:val="0097763C"/>
    <w:rsid w:val="00980297"/>
    <w:rsid w:val="00980EBF"/>
    <w:rsid w:val="009824E1"/>
    <w:rsid w:val="009849EF"/>
    <w:rsid w:val="0098538F"/>
    <w:rsid w:val="00985D1B"/>
    <w:rsid w:val="00987145"/>
    <w:rsid w:val="0098727E"/>
    <w:rsid w:val="00992E62"/>
    <w:rsid w:val="00993214"/>
    <w:rsid w:val="009937C1"/>
    <w:rsid w:val="009938AA"/>
    <w:rsid w:val="009951A0"/>
    <w:rsid w:val="009955A4"/>
    <w:rsid w:val="00996161"/>
    <w:rsid w:val="00996A6C"/>
    <w:rsid w:val="009A2594"/>
    <w:rsid w:val="009A29C6"/>
    <w:rsid w:val="009A3683"/>
    <w:rsid w:val="009A3B22"/>
    <w:rsid w:val="009A46C4"/>
    <w:rsid w:val="009A5170"/>
    <w:rsid w:val="009A5D24"/>
    <w:rsid w:val="009A6DEE"/>
    <w:rsid w:val="009B094F"/>
    <w:rsid w:val="009B29C2"/>
    <w:rsid w:val="009B3BAB"/>
    <w:rsid w:val="009B6F5D"/>
    <w:rsid w:val="009B7D18"/>
    <w:rsid w:val="009B7F04"/>
    <w:rsid w:val="009C0959"/>
    <w:rsid w:val="009C0A22"/>
    <w:rsid w:val="009C0D68"/>
    <w:rsid w:val="009C39E5"/>
    <w:rsid w:val="009C5457"/>
    <w:rsid w:val="009C5749"/>
    <w:rsid w:val="009C5DF9"/>
    <w:rsid w:val="009C7CAD"/>
    <w:rsid w:val="009D05CE"/>
    <w:rsid w:val="009D4B63"/>
    <w:rsid w:val="009D4C69"/>
    <w:rsid w:val="009D5927"/>
    <w:rsid w:val="009D6590"/>
    <w:rsid w:val="009D6DEA"/>
    <w:rsid w:val="009D7A3E"/>
    <w:rsid w:val="009D7C64"/>
    <w:rsid w:val="009E1042"/>
    <w:rsid w:val="009E13BE"/>
    <w:rsid w:val="009E1EE8"/>
    <w:rsid w:val="009E3A4C"/>
    <w:rsid w:val="009E3E05"/>
    <w:rsid w:val="009E4119"/>
    <w:rsid w:val="009E446F"/>
    <w:rsid w:val="009E4519"/>
    <w:rsid w:val="009E4E98"/>
    <w:rsid w:val="009E5FE4"/>
    <w:rsid w:val="009E64CC"/>
    <w:rsid w:val="009E6D3F"/>
    <w:rsid w:val="009E6FA8"/>
    <w:rsid w:val="009E748B"/>
    <w:rsid w:val="009E7FD8"/>
    <w:rsid w:val="009F10AB"/>
    <w:rsid w:val="009F1F5E"/>
    <w:rsid w:val="009F2290"/>
    <w:rsid w:val="009F4560"/>
    <w:rsid w:val="009F5658"/>
    <w:rsid w:val="009F58EC"/>
    <w:rsid w:val="009F5A5F"/>
    <w:rsid w:val="009F5E8C"/>
    <w:rsid w:val="009F7148"/>
    <w:rsid w:val="009F7A4D"/>
    <w:rsid w:val="00A0326B"/>
    <w:rsid w:val="00A0373F"/>
    <w:rsid w:val="00A03D2C"/>
    <w:rsid w:val="00A03E15"/>
    <w:rsid w:val="00A0453C"/>
    <w:rsid w:val="00A05676"/>
    <w:rsid w:val="00A05E26"/>
    <w:rsid w:val="00A05F37"/>
    <w:rsid w:val="00A06B7F"/>
    <w:rsid w:val="00A06EED"/>
    <w:rsid w:val="00A07514"/>
    <w:rsid w:val="00A075A3"/>
    <w:rsid w:val="00A11276"/>
    <w:rsid w:val="00A12647"/>
    <w:rsid w:val="00A13051"/>
    <w:rsid w:val="00A13AB8"/>
    <w:rsid w:val="00A13EBF"/>
    <w:rsid w:val="00A14492"/>
    <w:rsid w:val="00A15092"/>
    <w:rsid w:val="00A1535C"/>
    <w:rsid w:val="00A15CAB"/>
    <w:rsid w:val="00A15D61"/>
    <w:rsid w:val="00A15E47"/>
    <w:rsid w:val="00A204C4"/>
    <w:rsid w:val="00A22E07"/>
    <w:rsid w:val="00A23B9C"/>
    <w:rsid w:val="00A2611B"/>
    <w:rsid w:val="00A2635F"/>
    <w:rsid w:val="00A2649E"/>
    <w:rsid w:val="00A26FD8"/>
    <w:rsid w:val="00A309B1"/>
    <w:rsid w:val="00A3217D"/>
    <w:rsid w:val="00A34A5D"/>
    <w:rsid w:val="00A35253"/>
    <w:rsid w:val="00A352DD"/>
    <w:rsid w:val="00A35B3F"/>
    <w:rsid w:val="00A36E0D"/>
    <w:rsid w:val="00A36E7A"/>
    <w:rsid w:val="00A410AC"/>
    <w:rsid w:val="00A42350"/>
    <w:rsid w:val="00A44891"/>
    <w:rsid w:val="00A46155"/>
    <w:rsid w:val="00A46D29"/>
    <w:rsid w:val="00A47DB1"/>
    <w:rsid w:val="00A5052D"/>
    <w:rsid w:val="00A51FED"/>
    <w:rsid w:val="00A528CB"/>
    <w:rsid w:val="00A53845"/>
    <w:rsid w:val="00A54581"/>
    <w:rsid w:val="00A5755D"/>
    <w:rsid w:val="00A577FC"/>
    <w:rsid w:val="00A57EA9"/>
    <w:rsid w:val="00A607F9"/>
    <w:rsid w:val="00A6224E"/>
    <w:rsid w:val="00A63B1A"/>
    <w:rsid w:val="00A63DF8"/>
    <w:rsid w:val="00A64AF3"/>
    <w:rsid w:val="00A656BA"/>
    <w:rsid w:val="00A65D1D"/>
    <w:rsid w:val="00A66673"/>
    <w:rsid w:val="00A66CD8"/>
    <w:rsid w:val="00A67987"/>
    <w:rsid w:val="00A70641"/>
    <w:rsid w:val="00A70F0F"/>
    <w:rsid w:val="00A710AB"/>
    <w:rsid w:val="00A7134B"/>
    <w:rsid w:val="00A719A7"/>
    <w:rsid w:val="00A729D3"/>
    <w:rsid w:val="00A72B11"/>
    <w:rsid w:val="00A72F98"/>
    <w:rsid w:val="00A7535F"/>
    <w:rsid w:val="00A7626B"/>
    <w:rsid w:val="00A80AD3"/>
    <w:rsid w:val="00A81452"/>
    <w:rsid w:val="00A8176F"/>
    <w:rsid w:val="00A82BCD"/>
    <w:rsid w:val="00A84B39"/>
    <w:rsid w:val="00A85405"/>
    <w:rsid w:val="00A85457"/>
    <w:rsid w:val="00A857DB"/>
    <w:rsid w:val="00A86FAF"/>
    <w:rsid w:val="00A9043D"/>
    <w:rsid w:val="00A90629"/>
    <w:rsid w:val="00A91330"/>
    <w:rsid w:val="00A917E0"/>
    <w:rsid w:val="00A93399"/>
    <w:rsid w:val="00A93EE7"/>
    <w:rsid w:val="00A949CF"/>
    <w:rsid w:val="00A95F4E"/>
    <w:rsid w:val="00A962BA"/>
    <w:rsid w:val="00A96600"/>
    <w:rsid w:val="00A97746"/>
    <w:rsid w:val="00AA06D2"/>
    <w:rsid w:val="00AA181C"/>
    <w:rsid w:val="00AA2A5C"/>
    <w:rsid w:val="00AA2AE8"/>
    <w:rsid w:val="00AA2BE6"/>
    <w:rsid w:val="00AA31EA"/>
    <w:rsid w:val="00AA384A"/>
    <w:rsid w:val="00AA43E5"/>
    <w:rsid w:val="00AA4453"/>
    <w:rsid w:val="00AA448F"/>
    <w:rsid w:val="00AA4A0F"/>
    <w:rsid w:val="00AA4D4B"/>
    <w:rsid w:val="00AA4DF5"/>
    <w:rsid w:val="00AA5D0A"/>
    <w:rsid w:val="00AA644E"/>
    <w:rsid w:val="00AA683B"/>
    <w:rsid w:val="00AA72C2"/>
    <w:rsid w:val="00AA7356"/>
    <w:rsid w:val="00AB1CCC"/>
    <w:rsid w:val="00AB1F81"/>
    <w:rsid w:val="00AB21EA"/>
    <w:rsid w:val="00AB38A9"/>
    <w:rsid w:val="00AB3C6E"/>
    <w:rsid w:val="00AB4FB8"/>
    <w:rsid w:val="00AC02D0"/>
    <w:rsid w:val="00AC07CE"/>
    <w:rsid w:val="00AC1225"/>
    <w:rsid w:val="00AC13D8"/>
    <w:rsid w:val="00AC172A"/>
    <w:rsid w:val="00AC2A8D"/>
    <w:rsid w:val="00AC353B"/>
    <w:rsid w:val="00AC51CB"/>
    <w:rsid w:val="00AC5ACC"/>
    <w:rsid w:val="00AC5D72"/>
    <w:rsid w:val="00AC5DFE"/>
    <w:rsid w:val="00AC6A43"/>
    <w:rsid w:val="00AC7228"/>
    <w:rsid w:val="00AC7230"/>
    <w:rsid w:val="00AC7A66"/>
    <w:rsid w:val="00AD0786"/>
    <w:rsid w:val="00AD21FD"/>
    <w:rsid w:val="00AD29E4"/>
    <w:rsid w:val="00AD2E8C"/>
    <w:rsid w:val="00AD3106"/>
    <w:rsid w:val="00AD374E"/>
    <w:rsid w:val="00AD384C"/>
    <w:rsid w:val="00AD3B9B"/>
    <w:rsid w:val="00AD6257"/>
    <w:rsid w:val="00AD6369"/>
    <w:rsid w:val="00AD772C"/>
    <w:rsid w:val="00AE0032"/>
    <w:rsid w:val="00AE0518"/>
    <w:rsid w:val="00AE39D9"/>
    <w:rsid w:val="00AE400A"/>
    <w:rsid w:val="00AE4049"/>
    <w:rsid w:val="00AE433E"/>
    <w:rsid w:val="00AE55B9"/>
    <w:rsid w:val="00AE62F5"/>
    <w:rsid w:val="00AE7179"/>
    <w:rsid w:val="00AE77D8"/>
    <w:rsid w:val="00AF00E4"/>
    <w:rsid w:val="00AF1A99"/>
    <w:rsid w:val="00AF3671"/>
    <w:rsid w:val="00AF4887"/>
    <w:rsid w:val="00AF4EB8"/>
    <w:rsid w:val="00AF505E"/>
    <w:rsid w:val="00AF5426"/>
    <w:rsid w:val="00AF5E1F"/>
    <w:rsid w:val="00AF65C7"/>
    <w:rsid w:val="00AF7FCA"/>
    <w:rsid w:val="00B01CF0"/>
    <w:rsid w:val="00B02740"/>
    <w:rsid w:val="00B02AEE"/>
    <w:rsid w:val="00B02CC6"/>
    <w:rsid w:val="00B03386"/>
    <w:rsid w:val="00B03795"/>
    <w:rsid w:val="00B04712"/>
    <w:rsid w:val="00B05A68"/>
    <w:rsid w:val="00B0774B"/>
    <w:rsid w:val="00B07996"/>
    <w:rsid w:val="00B07BE5"/>
    <w:rsid w:val="00B07C1F"/>
    <w:rsid w:val="00B11383"/>
    <w:rsid w:val="00B12614"/>
    <w:rsid w:val="00B12FA3"/>
    <w:rsid w:val="00B134F8"/>
    <w:rsid w:val="00B149A2"/>
    <w:rsid w:val="00B14A6F"/>
    <w:rsid w:val="00B1555E"/>
    <w:rsid w:val="00B16083"/>
    <w:rsid w:val="00B17501"/>
    <w:rsid w:val="00B176C3"/>
    <w:rsid w:val="00B201CC"/>
    <w:rsid w:val="00B2121D"/>
    <w:rsid w:val="00B2143A"/>
    <w:rsid w:val="00B216C9"/>
    <w:rsid w:val="00B2177E"/>
    <w:rsid w:val="00B229E7"/>
    <w:rsid w:val="00B22D75"/>
    <w:rsid w:val="00B257ED"/>
    <w:rsid w:val="00B259E3"/>
    <w:rsid w:val="00B262DF"/>
    <w:rsid w:val="00B30389"/>
    <w:rsid w:val="00B30463"/>
    <w:rsid w:val="00B3294E"/>
    <w:rsid w:val="00B350A8"/>
    <w:rsid w:val="00B3532A"/>
    <w:rsid w:val="00B35717"/>
    <w:rsid w:val="00B35F7B"/>
    <w:rsid w:val="00B378C7"/>
    <w:rsid w:val="00B407C9"/>
    <w:rsid w:val="00B47B05"/>
    <w:rsid w:val="00B47D7E"/>
    <w:rsid w:val="00B5008E"/>
    <w:rsid w:val="00B5173C"/>
    <w:rsid w:val="00B52CA4"/>
    <w:rsid w:val="00B531E2"/>
    <w:rsid w:val="00B5429D"/>
    <w:rsid w:val="00B61EB9"/>
    <w:rsid w:val="00B62816"/>
    <w:rsid w:val="00B649EA"/>
    <w:rsid w:val="00B65B3B"/>
    <w:rsid w:val="00B65BFE"/>
    <w:rsid w:val="00B66614"/>
    <w:rsid w:val="00B66A77"/>
    <w:rsid w:val="00B6731D"/>
    <w:rsid w:val="00B6740D"/>
    <w:rsid w:val="00B67DB3"/>
    <w:rsid w:val="00B67E8E"/>
    <w:rsid w:val="00B71113"/>
    <w:rsid w:val="00B716FD"/>
    <w:rsid w:val="00B71882"/>
    <w:rsid w:val="00B72406"/>
    <w:rsid w:val="00B72C1D"/>
    <w:rsid w:val="00B72F9E"/>
    <w:rsid w:val="00B73083"/>
    <w:rsid w:val="00B74821"/>
    <w:rsid w:val="00B74B3E"/>
    <w:rsid w:val="00B80ED0"/>
    <w:rsid w:val="00B81704"/>
    <w:rsid w:val="00B81DCA"/>
    <w:rsid w:val="00B82716"/>
    <w:rsid w:val="00B8294E"/>
    <w:rsid w:val="00B82DDC"/>
    <w:rsid w:val="00B83563"/>
    <w:rsid w:val="00B84169"/>
    <w:rsid w:val="00B85B50"/>
    <w:rsid w:val="00B85B78"/>
    <w:rsid w:val="00B910CC"/>
    <w:rsid w:val="00B94093"/>
    <w:rsid w:val="00B94627"/>
    <w:rsid w:val="00B94BA2"/>
    <w:rsid w:val="00B951CD"/>
    <w:rsid w:val="00B963FF"/>
    <w:rsid w:val="00B9687F"/>
    <w:rsid w:val="00B9730E"/>
    <w:rsid w:val="00BA0DC3"/>
    <w:rsid w:val="00BA1B8B"/>
    <w:rsid w:val="00BA2B0C"/>
    <w:rsid w:val="00BA4546"/>
    <w:rsid w:val="00BA497D"/>
    <w:rsid w:val="00BA51D3"/>
    <w:rsid w:val="00BA6382"/>
    <w:rsid w:val="00BA6551"/>
    <w:rsid w:val="00BA6EB8"/>
    <w:rsid w:val="00BA6FC5"/>
    <w:rsid w:val="00BB0927"/>
    <w:rsid w:val="00BB170E"/>
    <w:rsid w:val="00BB23A3"/>
    <w:rsid w:val="00BB3480"/>
    <w:rsid w:val="00BB3A52"/>
    <w:rsid w:val="00BB4402"/>
    <w:rsid w:val="00BB512E"/>
    <w:rsid w:val="00BB5F30"/>
    <w:rsid w:val="00BB6591"/>
    <w:rsid w:val="00BB663F"/>
    <w:rsid w:val="00BB6CD0"/>
    <w:rsid w:val="00BB7086"/>
    <w:rsid w:val="00BB7C2C"/>
    <w:rsid w:val="00BC19F5"/>
    <w:rsid w:val="00BC2931"/>
    <w:rsid w:val="00BC2C03"/>
    <w:rsid w:val="00BC2F8E"/>
    <w:rsid w:val="00BC34A0"/>
    <w:rsid w:val="00BC3D08"/>
    <w:rsid w:val="00BC45FB"/>
    <w:rsid w:val="00BC5512"/>
    <w:rsid w:val="00BC6D8D"/>
    <w:rsid w:val="00BC6F1B"/>
    <w:rsid w:val="00BC788D"/>
    <w:rsid w:val="00BC7A46"/>
    <w:rsid w:val="00BC7B5F"/>
    <w:rsid w:val="00BD0172"/>
    <w:rsid w:val="00BD09F0"/>
    <w:rsid w:val="00BD0B63"/>
    <w:rsid w:val="00BD1252"/>
    <w:rsid w:val="00BD1554"/>
    <w:rsid w:val="00BD2E1C"/>
    <w:rsid w:val="00BD31AF"/>
    <w:rsid w:val="00BD35C4"/>
    <w:rsid w:val="00BD3B33"/>
    <w:rsid w:val="00BD3D4F"/>
    <w:rsid w:val="00BD6027"/>
    <w:rsid w:val="00BD639B"/>
    <w:rsid w:val="00BD6E8D"/>
    <w:rsid w:val="00BE0B9E"/>
    <w:rsid w:val="00BE1F7F"/>
    <w:rsid w:val="00BE32F8"/>
    <w:rsid w:val="00BE3541"/>
    <w:rsid w:val="00BE3BF1"/>
    <w:rsid w:val="00BE3FA3"/>
    <w:rsid w:val="00BE7C4A"/>
    <w:rsid w:val="00BF0056"/>
    <w:rsid w:val="00BF06B4"/>
    <w:rsid w:val="00BF0D1D"/>
    <w:rsid w:val="00BF14E0"/>
    <w:rsid w:val="00BF15C0"/>
    <w:rsid w:val="00BF436E"/>
    <w:rsid w:val="00BF4855"/>
    <w:rsid w:val="00BF4E8A"/>
    <w:rsid w:val="00BF5A2E"/>
    <w:rsid w:val="00BF5ADC"/>
    <w:rsid w:val="00BF5C90"/>
    <w:rsid w:val="00BF5F12"/>
    <w:rsid w:val="00BF6C2F"/>
    <w:rsid w:val="00C0185B"/>
    <w:rsid w:val="00C02AF8"/>
    <w:rsid w:val="00C035B2"/>
    <w:rsid w:val="00C056FC"/>
    <w:rsid w:val="00C060EA"/>
    <w:rsid w:val="00C077A4"/>
    <w:rsid w:val="00C07EBD"/>
    <w:rsid w:val="00C1040D"/>
    <w:rsid w:val="00C11F79"/>
    <w:rsid w:val="00C12A83"/>
    <w:rsid w:val="00C12C64"/>
    <w:rsid w:val="00C138BA"/>
    <w:rsid w:val="00C14640"/>
    <w:rsid w:val="00C146F3"/>
    <w:rsid w:val="00C14D73"/>
    <w:rsid w:val="00C151FC"/>
    <w:rsid w:val="00C15B80"/>
    <w:rsid w:val="00C15DEA"/>
    <w:rsid w:val="00C170DA"/>
    <w:rsid w:val="00C1748C"/>
    <w:rsid w:val="00C206D4"/>
    <w:rsid w:val="00C20E03"/>
    <w:rsid w:val="00C22334"/>
    <w:rsid w:val="00C24423"/>
    <w:rsid w:val="00C24EED"/>
    <w:rsid w:val="00C26CB2"/>
    <w:rsid w:val="00C27A33"/>
    <w:rsid w:val="00C27CE5"/>
    <w:rsid w:val="00C3009C"/>
    <w:rsid w:val="00C305F6"/>
    <w:rsid w:val="00C31B3F"/>
    <w:rsid w:val="00C3223A"/>
    <w:rsid w:val="00C34BB0"/>
    <w:rsid w:val="00C35760"/>
    <w:rsid w:val="00C376BB"/>
    <w:rsid w:val="00C40219"/>
    <w:rsid w:val="00C4060F"/>
    <w:rsid w:val="00C4370D"/>
    <w:rsid w:val="00C44A12"/>
    <w:rsid w:val="00C44EE6"/>
    <w:rsid w:val="00C460EF"/>
    <w:rsid w:val="00C46683"/>
    <w:rsid w:val="00C47120"/>
    <w:rsid w:val="00C477EE"/>
    <w:rsid w:val="00C50889"/>
    <w:rsid w:val="00C50A54"/>
    <w:rsid w:val="00C52914"/>
    <w:rsid w:val="00C54621"/>
    <w:rsid w:val="00C56FDC"/>
    <w:rsid w:val="00C571AA"/>
    <w:rsid w:val="00C57576"/>
    <w:rsid w:val="00C57780"/>
    <w:rsid w:val="00C60D9B"/>
    <w:rsid w:val="00C62732"/>
    <w:rsid w:val="00C62EF4"/>
    <w:rsid w:val="00C63453"/>
    <w:rsid w:val="00C6349F"/>
    <w:rsid w:val="00C63E96"/>
    <w:rsid w:val="00C65A2A"/>
    <w:rsid w:val="00C65BD0"/>
    <w:rsid w:val="00C661AA"/>
    <w:rsid w:val="00C66D86"/>
    <w:rsid w:val="00C670DD"/>
    <w:rsid w:val="00C67549"/>
    <w:rsid w:val="00C67ED6"/>
    <w:rsid w:val="00C707C2"/>
    <w:rsid w:val="00C7092E"/>
    <w:rsid w:val="00C70A83"/>
    <w:rsid w:val="00C72210"/>
    <w:rsid w:val="00C7223F"/>
    <w:rsid w:val="00C723B6"/>
    <w:rsid w:val="00C7261C"/>
    <w:rsid w:val="00C73FB4"/>
    <w:rsid w:val="00C7526E"/>
    <w:rsid w:val="00C76EF2"/>
    <w:rsid w:val="00C7748A"/>
    <w:rsid w:val="00C77985"/>
    <w:rsid w:val="00C80EC7"/>
    <w:rsid w:val="00C8106D"/>
    <w:rsid w:val="00C83776"/>
    <w:rsid w:val="00C837CD"/>
    <w:rsid w:val="00C83BA9"/>
    <w:rsid w:val="00C84C16"/>
    <w:rsid w:val="00C8583D"/>
    <w:rsid w:val="00C85E06"/>
    <w:rsid w:val="00C860AF"/>
    <w:rsid w:val="00C86263"/>
    <w:rsid w:val="00C8755B"/>
    <w:rsid w:val="00C91433"/>
    <w:rsid w:val="00C915D6"/>
    <w:rsid w:val="00C915EC"/>
    <w:rsid w:val="00C9186A"/>
    <w:rsid w:val="00C9256E"/>
    <w:rsid w:val="00C92719"/>
    <w:rsid w:val="00C92EAE"/>
    <w:rsid w:val="00C931E7"/>
    <w:rsid w:val="00C9326C"/>
    <w:rsid w:val="00C93C08"/>
    <w:rsid w:val="00C93C53"/>
    <w:rsid w:val="00C951AB"/>
    <w:rsid w:val="00C95C31"/>
    <w:rsid w:val="00C9727E"/>
    <w:rsid w:val="00C976AF"/>
    <w:rsid w:val="00C978EA"/>
    <w:rsid w:val="00C97916"/>
    <w:rsid w:val="00CA011B"/>
    <w:rsid w:val="00CA014D"/>
    <w:rsid w:val="00CA1313"/>
    <w:rsid w:val="00CA2575"/>
    <w:rsid w:val="00CA4A79"/>
    <w:rsid w:val="00CA75C7"/>
    <w:rsid w:val="00CB028B"/>
    <w:rsid w:val="00CB0854"/>
    <w:rsid w:val="00CB0BED"/>
    <w:rsid w:val="00CB1BE1"/>
    <w:rsid w:val="00CB37E3"/>
    <w:rsid w:val="00CB5A96"/>
    <w:rsid w:val="00CB6674"/>
    <w:rsid w:val="00CB67C5"/>
    <w:rsid w:val="00CC0D38"/>
    <w:rsid w:val="00CC16B3"/>
    <w:rsid w:val="00CC1D49"/>
    <w:rsid w:val="00CC2183"/>
    <w:rsid w:val="00CC4E2E"/>
    <w:rsid w:val="00CC553D"/>
    <w:rsid w:val="00CC6456"/>
    <w:rsid w:val="00CC66E8"/>
    <w:rsid w:val="00CD00A7"/>
    <w:rsid w:val="00CD3B9D"/>
    <w:rsid w:val="00CD4D8C"/>
    <w:rsid w:val="00CD539E"/>
    <w:rsid w:val="00CD6828"/>
    <w:rsid w:val="00CD6E6B"/>
    <w:rsid w:val="00CD73D2"/>
    <w:rsid w:val="00CE04B9"/>
    <w:rsid w:val="00CE2C5C"/>
    <w:rsid w:val="00CE2DD6"/>
    <w:rsid w:val="00CF069F"/>
    <w:rsid w:val="00CF16EC"/>
    <w:rsid w:val="00CF2BC9"/>
    <w:rsid w:val="00CF2E92"/>
    <w:rsid w:val="00CF3564"/>
    <w:rsid w:val="00CF3992"/>
    <w:rsid w:val="00CF407A"/>
    <w:rsid w:val="00CF5031"/>
    <w:rsid w:val="00CF5CDC"/>
    <w:rsid w:val="00CF63A0"/>
    <w:rsid w:val="00D01BA7"/>
    <w:rsid w:val="00D020A1"/>
    <w:rsid w:val="00D022FE"/>
    <w:rsid w:val="00D032C9"/>
    <w:rsid w:val="00D03BAD"/>
    <w:rsid w:val="00D03E4A"/>
    <w:rsid w:val="00D03E6A"/>
    <w:rsid w:val="00D043BA"/>
    <w:rsid w:val="00D05649"/>
    <w:rsid w:val="00D06BD1"/>
    <w:rsid w:val="00D11328"/>
    <w:rsid w:val="00D14001"/>
    <w:rsid w:val="00D14EBD"/>
    <w:rsid w:val="00D1584B"/>
    <w:rsid w:val="00D162BF"/>
    <w:rsid w:val="00D16481"/>
    <w:rsid w:val="00D21D58"/>
    <w:rsid w:val="00D25981"/>
    <w:rsid w:val="00D25C35"/>
    <w:rsid w:val="00D2783B"/>
    <w:rsid w:val="00D27FAF"/>
    <w:rsid w:val="00D310EC"/>
    <w:rsid w:val="00D31188"/>
    <w:rsid w:val="00D31DCA"/>
    <w:rsid w:val="00D320C5"/>
    <w:rsid w:val="00D32DA0"/>
    <w:rsid w:val="00D32EEC"/>
    <w:rsid w:val="00D335B8"/>
    <w:rsid w:val="00D34398"/>
    <w:rsid w:val="00D34672"/>
    <w:rsid w:val="00D35E80"/>
    <w:rsid w:val="00D36006"/>
    <w:rsid w:val="00D36399"/>
    <w:rsid w:val="00D36C2E"/>
    <w:rsid w:val="00D403D8"/>
    <w:rsid w:val="00D41265"/>
    <w:rsid w:val="00D414F4"/>
    <w:rsid w:val="00D41A98"/>
    <w:rsid w:val="00D41B65"/>
    <w:rsid w:val="00D42771"/>
    <w:rsid w:val="00D42C5F"/>
    <w:rsid w:val="00D4428D"/>
    <w:rsid w:val="00D46070"/>
    <w:rsid w:val="00D46A64"/>
    <w:rsid w:val="00D47D24"/>
    <w:rsid w:val="00D47F92"/>
    <w:rsid w:val="00D503CA"/>
    <w:rsid w:val="00D50F79"/>
    <w:rsid w:val="00D5152B"/>
    <w:rsid w:val="00D52758"/>
    <w:rsid w:val="00D52E66"/>
    <w:rsid w:val="00D5333C"/>
    <w:rsid w:val="00D5798F"/>
    <w:rsid w:val="00D57F99"/>
    <w:rsid w:val="00D60EBF"/>
    <w:rsid w:val="00D634F3"/>
    <w:rsid w:val="00D641E3"/>
    <w:rsid w:val="00D654F7"/>
    <w:rsid w:val="00D660FE"/>
    <w:rsid w:val="00D67F72"/>
    <w:rsid w:val="00D70DC3"/>
    <w:rsid w:val="00D71473"/>
    <w:rsid w:val="00D71C22"/>
    <w:rsid w:val="00D72BB3"/>
    <w:rsid w:val="00D736F1"/>
    <w:rsid w:val="00D73A70"/>
    <w:rsid w:val="00D73CED"/>
    <w:rsid w:val="00D745A0"/>
    <w:rsid w:val="00D75396"/>
    <w:rsid w:val="00D81097"/>
    <w:rsid w:val="00D8173B"/>
    <w:rsid w:val="00D82E4F"/>
    <w:rsid w:val="00D83C1E"/>
    <w:rsid w:val="00D85090"/>
    <w:rsid w:val="00D856A4"/>
    <w:rsid w:val="00D86ACF"/>
    <w:rsid w:val="00D87076"/>
    <w:rsid w:val="00D90877"/>
    <w:rsid w:val="00D91361"/>
    <w:rsid w:val="00D913C3"/>
    <w:rsid w:val="00D91A80"/>
    <w:rsid w:val="00D92B20"/>
    <w:rsid w:val="00D93B99"/>
    <w:rsid w:val="00D94561"/>
    <w:rsid w:val="00D94588"/>
    <w:rsid w:val="00D94FB4"/>
    <w:rsid w:val="00D96930"/>
    <w:rsid w:val="00D96CAD"/>
    <w:rsid w:val="00D9712D"/>
    <w:rsid w:val="00D97B7B"/>
    <w:rsid w:val="00DA11E9"/>
    <w:rsid w:val="00DA1DC3"/>
    <w:rsid w:val="00DA5B42"/>
    <w:rsid w:val="00DA62E6"/>
    <w:rsid w:val="00DA7749"/>
    <w:rsid w:val="00DA7DC2"/>
    <w:rsid w:val="00DB06A4"/>
    <w:rsid w:val="00DB0D27"/>
    <w:rsid w:val="00DB18FE"/>
    <w:rsid w:val="00DB426F"/>
    <w:rsid w:val="00DB4D79"/>
    <w:rsid w:val="00DB5B9D"/>
    <w:rsid w:val="00DB7DA2"/>
    <w:rsid w:val="00DC1698"/>
    <w:rsid w:val="00DC2FDC"/>
    <w:rsid w:val="00DC3EEB"/>
    <w:rsid w:val="00DC4EEE"/>
    <w:rsid w:val="00DC5362"/>
    <w:rsid w:val="00DC5CA3"/>
    <w:rsid w:val="00DC620E"/>
    <w:rsid w:val="00DC6F4B"/>
    <w:rsid w:val="00DD1398"/>
    <w:rsid w:val="00DD1505"/>
    <w:rsid w:val="00DD1799"/>
    <w:rsid w:val="00DD20E5"/>
    <w:rsid w:val="00DD2333"/>
    <w:rsid w:val="00DD3027"/>
    <w:rsid w:val="00DD3B2A"/>
    <w:rsid w:val="00DD3EBA"/>
    <w:rsid w:val="00DD410F"/>
    <w:rsid w:val="00DD4FBB"/>
    <w:rsid w:val="00DD6AEE"/>
    <w:rsid w:val="00DD6CA0"/>
    <w:rsid w:val="00DE039C"/>
    <w:rsid w:val="00DE3562"/>
    <w:rsid w:val="00DE5FA6"/>
    <w:rsid w:val="00DE6A0B"/>
    <w:rsid w:val="00DE6BB1"/>
    <w:rsid w:val="00DE7B87"/>
    <w:rsid w:val="00DF0348"/>
    <w:rsid w:val="00DF0867"/>
    <w:rsid w:val="00DF1710"/>
    <w:rsid w:val="00DF2054"/>
    <w:rsid w:val="00DF2745"/>
    <w:rsid w:val="00DF31C0"/>
    <w:rsid w:val="00DF631A"/>
    <w:rsid w:val="00DF65B6"/>
    <w:rsid w:val="00DF6C71"/>
    <w:rsid w:val="00DF782F"/>
    <w:rsid w:val="00E00488"/>
    <w:rsid w:val="00E00F5F"/>
    <w:rsid w:val="00E03A1C"/>
    <w:rsid w:val="00E04C79"/>
    <w:rsid w:val="00E05C3B"/>
    <w:rsid w:val="00E07E65"/>
    <w:rsid w:val="00E1048B"/>
    <w:rsid w:val="00E12560"/>
    <w:rsid w:val="00E12658"/>
    <w:rsid w:val="00E14F9B"/>
    <w:rsid w:val="00E1550D"/>
    <w:rsid w:val="00E15980"/>
    <w:rsid w:val="00E15B58"/>
    <w:rsid w:val="00E16684"/>
    <w:rsid w:val="00E1673E"/>
    <w:rsid w:val="00E1675C"/>
    <w:rsid w:val="00E171A5"/>
    <w:rsid w:val="00E174AA"/>
    <w:rsid w:val="00E17F53"/>
    <w:rsid w:val="00E22F8A"/>
    <w:rsid w:val="00E24547"/>
    <w:rsid w:val="00E24708"/>
    <w:rsid w:val="00E247C9"/>
    <w:rsid w:val="00E27070"/>
    <w:rsid w:val="00E30536"/>
    <w:rsid w:val="00E31DB5"/>
    <w:rsid w:val="00E32F9C"/>
    <w:rsid w:val="00E34299"/>
    <w:rsid w:val="00E349EB"/>
    <w:rsid w:val="00E4086B"/>
    <w:rsid w:val="00E4156A"/>
    <w:rsid w:val="00E41B9D"/>
    <w:rsid w:val="00E42F71"/>
    <w:rsid w:val="00E432BC"/>
    <w:rsid w:val="00E43CBE"/>
    <w:rsid w:val="00E43E4C"/>
    <w:rsid w:val="00E46076"/>
    <w:rsid w:val="00E4616C"/>
    <w:rsid w:val="00E46BC6"/>
    <w:rsid w:val="00E47B5F"/>
    <w:rsid w:val="00E50095"/>
    <w:rsid w:val="00E50D7B"/>
    <w:rsid w:val="00E517E4"/>
    <w:rsid w:val="00E52732"/>
    <w:rsid w:val="00E528D4"/>
    <w:rsid w:val="00E53552"/>
    <w:rsid w:val="00E54E23"/>
    <w:rsid w:val="00E5555B"/>
    <w:rsid w:val="00E56867"/>
    <w:rsid w:val="00E56EDA"/>
    <w:rsid w:val="00E6056D"/>
    <w:rsid w:val="00E6078D"/>
    <w:rsid w:val="00E60F5B"/>
    <w:rsid w:val="00E613D9"/>
    <w:rsid w:val="00E61B5B"/>
    <w:rsid w:val="00E61FB1"/>
    <w:rsid w:val="00E62195"/>
    <w:rsid w:val="00E625AC"/>
    <w:rsid w:val="00E63376"/>
    <w:rsid w:val="00E639C5"/>
    <w:rsid w:val="00E63D66"/>
    <w:rsid w:val="00E642AF"/>
    <w:rsid w:val="00E66189"/>
    <w:rsid w:val="00E6633F"/>
    <w:rsid w:val="00E66424"/>
    <w:rsid w:val="00E66A0B"/>
    <w:rsid w:val="00E67544"/>
    <w:rsid w:val="00E72299"/>
    <w:rsid w:val="00E73456"/>
    <w:rsid w:val="00E734C4"/>
    <w:rsid w:val="00E743E8"/>
    <w:rsid w:val="00E749F6"/>
    <w:rsid w:val="00E75968"/>
    <w:rsid w:val="00E77AC9"/>
    <w:rsid w:val="00E818A5"/>
    <w:rsid w:val="00E81929"/>
    <w:rsid w:val="00E823AC"/>
    <w:rsid w:val="00E83212"/>
    <w:rsid w:val="00E838A0"/>
    <w:rsid w:val="00E85900"/>
    <w:rsid w:val="00E8708C"/>
    <w:rsid w:val="00E878A0"/>
    <w:rsid w:val="00E9017C"/>
    <w:rsid w:val="00E90BF9"/>
    <w:rsid w:val="00E912A0"/>
    <w:rsid w:val="00E915D5"/>
    <w:rsid w:val="00E9225E"/>
    <w:rsid w:val="00E92827"/>
    <w:rsid w:val="00E93B54"/>
    <w:rsid w:val="00E94340"/>
    <w:rsid w:val="00E94CA3"/>
    <w:rsid w:val="00E96071"/>
    <w:rsid w:val="00E97255"/>
    <w:rsid w:val="00EA15C7"/>
    <w:rsid w:val="00EA1901"/>
    <w:rsid w:val="00EA28BF"/>
    <w:rsid w:val="00EA390B"/>
    <w:rsid w:val="00EA598C"/>
    <w:rsid w:val="00EA6307"/>
    <w:rsid w:val="00EA6881"/>
    <w:rsid w:val="00EB0902"/>
    <w:rsid w:val="00EB1912"/>
    <w:rsid w:val="00EB2E02"/>
    <w:rsid w:val="00EB38A8"/>
    <w:rsid w:val="00EB54BF"/>
    <w:rsid w:val="00EB5EC8"/>
    <w:rsid w:val="00EB65CA"/>
    <w:rsid w:val="00EC2438"/>
    <w:rsid w:val="00EC29AB"/>
    <w:rsid w:val="00EC2EB9"/>
    <w:rsid w:val="00EC2F18"/>
    <w:rsid w:val="00EC32AA"/>
    <w:rsid w:val="00EC4796"/>
    <w:rsid w:val="00EC4DCB"/>
    <w:rsid w:val="00EC5788"/>
    <w:rsid w:val="00ED0DEC"/>
    <w:rsid w:val="00ED20F4"/>
    <w:rsid w:val="00ED369B"/>
    <w:rsid w:val="00ED53DD"/>
    <w:rsid w:val="00ED6FF3"/>
    <w:rsid w:val="00ED72CB"/>
    <w:rsid w:val="00ED7936"/>
    <w:rsid w:val="00ED7DF6"/>
    <w:rsid w:val="00EE03B0"/>
    <w:rsid w:val="00EE12D2"/>
    <w:rsid w:val="00EE1C46"/>
    <w:rsid w:val="00EE36AC"/>
    <w:rsid w:val="00EE423B"/>
    <w:rsid w:val="00EE521C"/>
    <w:rsid w:val="00EE6408"/>
    <w:rsid w:val="00EE7769"/>
    <w:rsid w:val="00EF07A5"/>
    <w:rsid w:val="00EF1770"/>
    <w:rsid w:val="00EF1A17"/>
    <w:rsid w:val="00EF2475"/>
    <w:rsid w:val="00EF374F"/>
    <w:rsid w:val="00EF3B12"/>
    <w:rsid w:val="00EF3EF7"/>
    <w:rsid w:val="00EF4342"/>
    <w:rsid w:val="00EF4A60"/>
    <w:rsid w:val="00EF6582"/>
    <w:rsid w:val="00EF682E"/>
    <w:rsid w:val="00EF6F0C"/>
    <w:rsid w:val="00EF7262"/>
    <w:rsid w:val="00EF7951"/>
    <w:rsid w:val="00F00A38"/>
    <w:rsid w:val="00F01AA2"/>
    <w:rsid w:val="00F01D48"/>
    <w:rsid w:val="00F026C0"/>
    <w:rsid w:val="00F028C2"/>
    <w:rsid w:val="00F02E42"/>
    <w:rsid w:val="00F03E23"/>
    <w:rsid w:val="00F04276"/>
    <w:rsid w:val="00F05A0F"/>
    <w:rsid w:val="00F06537"/>
    <w:rsid w:val="00F06C2E"/>
    <w:rsid w:val="00F06D41"/>
    <w:rsid w:val="00F076EE"/>
    <w:rsid w:val="00F1005F"/>
    <w:rsid w:val="00F10902"/>
    <w:rsid w:val="00F1111C"/>
    <w:rsid w:val="00F1327B"/>
    <w:rsid w:val="00F14AA5"/>
    <w:rsid w:val="00F14ACF"/>
    <w:rsid w:val="00F154DE"/>
    <w:rsid w:val="00F15777"/>
    <w:rsid w:val="00F157BE"/>
    <w:rsid w:val="00F16119"/>
    <w:rsid w:val="00F16160"/>
    <w:rsid w:val="00F16EF0"/>
    <w:rsid w:val="00F172DF"/>
    <w:rsid w:val="00F17B2C"/>
    <w:rsid w:val="00F17B8D"/>
    <w:rsid w:val="00F20657"/>
    <w:rsid w:val="00F20725"/>
    <w:rsid w:val="00F23397"/>
    <w:rsid w:val="00F24DBB"/>
    <w:rsid w:val="00F25FA4"/>
    <w:rsid w:val="00F2655E"/>
    <w:rsid w:val="00F26843"/>
    <w:rsid w:val="00F273F3"/>
    <w:rsid w:val="00F31F9C"/>
    <w:rsid w:val="00F32087"/>
    <w:rsid w:val="00F3212D"/>
    <w:rsid w:val="00F3293F"/>
    <w:rsid w:val="00F34878"/>
    <w:rsid w:val="00F34C97"/>
    <w:rsid w:val="00F34E77"/>
    <w:rsid w:val="00F34F2D"/>
    <w:rsid w:val="00F361E6"/>
    <w:rsid w:val="00F36795"/>
    <w:rsid w:val="00F37158"/>
    <w:rsid w:val="00F4196E"/>
    <w:rsid w:val="00F41A89"/>
    <w:rsid w:val="00F41E62"/>
    <w:rsid w:val="00F42DEF"/>
    <w:rsid w:val="00F4386D"/>
    <w:rsid w:val="00F4571B"/>
    <w:rsid w:val="00F4594C"/>
    <w:rsid w:val="00F46D0C"/>
    <w:rsid w:val="00F46D83"/>
    <w:rsid w:val="00F47484"/>
    <w:rsid w:val="00F4757E"/>
    <w:rsid w:val="00F47723"/>
    <w:rsid w:val="00F504D4"/>
    <w:rsid w:val="00F50B32"/>
    <w:rsid w:val="00F5189C"/>
    <w:rsid w:val="00F51CA7"/>
    <w:rsid w:val="00F534D2"/>
    <w:rsid w:val="00F545CB"/>
    <w:rsid w:val="00F5491A"/>
    <w:rsid w:val="00F5492A"/>
    <w:rsid w:val="00F5503C"/>
    <w:rsid w:val="00F5585B"/>
    <w:rsid w:val="00F571C2"/>
    <w:rsid w:val="00F5777B"/>
    <w:rsid w:val="00F62E9F"/>
    <w:rsid w:val="00F63B94"/>
    <w:rsid w:val="00F642C8"/>
    <w:rsid w:val="00F64B03"/>
    <w:rsid w:val="00F657DF"/>
    <w:rsid w:val="00F665C1"/>
    <w:rsid w:val="00F66CDB"/>
    <w:rsid w:val="00F66DA8"/>
    <w:rsid w:val="00F66FC5"/>
    <w:rsid w:val="00F739FC"/>
    <w:rsid w:val="00F73E24"/>
    <w:rsid w:val="00F74EC4"/>
    <w:rsid w:val="00F75A48"/>
    <w:rsid w:val="00F76743"/>
    <w:rsid w:val="00F7724A"/>
    <w:rsid w:val="00F80162"/>
    <w:rsid w:val="00F816BD"/>
    <w:rsid w:val="00F81C19"/>
    <w:rsid w:val="00F82B1F"/>
    <w:rsid w:val="00F82F30"/>
    <w:rsid w:val="00F84389"/>
    <w:rsid w:val="00F8489B"/>
    <w:rsid w:val="00F8555B"/>
    <w:rsid w:val="00F85664"/>
    <w:rsid w:val="00F85E77"/>
    <w:rsid w:val="00F860C3"/>
    <w:rsid w:val="00F86A46"/>
    <w:rsid w:val="00F86C52"/>
    <w:rsid w:val="00F87701"/>
    <w:rsid w:val="00F90B0A"/>
    <w:rsid w:val="00F91BE4"/>
    <w:rsid w:val="00F9221C"/>
    <w:rsid w:val="00F922A9"/>
    <w:rsid w:val="00F92E5C"/>
    <w:rsid w:val="00F939DB"/>
    <w:rsid w:val="00F944A7"/>
    <w:rsid w:val="00F9541F"/>
    <w:rsid w:val="00F9549F"/>
    <w:rsid w:val="00F9681C"/>
    <w:rsid w:val="00F972CC"/>
    <w:rsid w:val="00FA1863"/>
    <w:rsid w:val="00FA1FA8"/>
    <w:rsid w:val="00FA2CCB"/>
    <w:rsid w:val="00FA4F8D"/>
    <w:rsid w:val="00FA5484"/>
    <w:rsid w:val="00FA5503"/>
    <w:rsid w:val="00FB2557"/>
    <w:rsid w:val="00FB2828"/>
    <w:rsid w:val="00FB2A3C"/>
    <w:rsid w:val="00FB2A45"/>
    <w:rsid w:val="00FB3658"/>
    <w:rsid w:val="00FB4092"/>
    <w:rsid w:val="00FB5FC1"/>
    <w:rsid w:val="00FB652B"/>
    <w:rsid w:val="00FC06EC"/>
    <w:rsid w:val="00FC1907"/>
    <w:rsid w:val="00FC34F3"/>
    <w:rsid w:val="00FC3DC4"/>
    <w:rsid w:val="00FC44AA"/>
    <w:rsid w:val="00FC5363"/>
    <w:rsid w:val="00FC54C4"/>
    <w:rsid w:val="00FC595A"/>
    <w:rsid w:val="00FC62A2"/>
    <w:rsid w:val="00FC68C7"/>
    <w:rsid w:val="00FC74C1"/>
    <w:rsid w:val="00FD0A75"/>
    <w:rsid w:val="00FD0EBC"/>
    <w:rsid w:val="00FD0FFC"/>
    <w:rsid w:val="00FD5444"/>
    <w:rsid w:val="00FD6B30"/>
    <w:rsid w:val="00FD720C"/>
    <w:rsid w:val="00FD7BC2"/>
    <w:rsid w:val="00FE0278"/>
    <w:rsid w:val="00FE18D1"/>
    <w:rsid w:val="00FE191E"/>
    <w:rsid w:val="00FE2006"/>
    <w:rsid w:val="00FE6340"/>
    <w:rsid w:val="00FE730B"/>
    <w:rsid w:val="00FE7878"/>
    <w:rsid w:val="00FE7EFD"/>
    <w:rsid w:val="00FF4030"/>
    <w:rsid w:val="00FF49BD"/>
    <w:rsid w:val="00FF571F"/>
    <w:rsid w:val="00FF7208"/>
    <w:rsid w:val="00FF7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E6F0"/>
  <w15:docId w15:val="{3A7C48D3-0C9A-46BF-9540-96B3770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7FD8"/>
    <w:pPr>
      <w:keepNext/>
      <w:spacing w:after="0" w:line="360" w:lineRule="auto"/>
      <w:jc w:val="center"/>
      <w:outlineLvl w:val="0"/>
    </w:pPr>
    <w:rPr>
      <w:rFonts w:ascii="Times New Roman" w:eastAsia="新細明體" w:hAnsi="Times New Roman" w:cs="Times New Roman"/>
      <w:sz w:val="28"/>
      <w:szCs w:val="28"/>
      <w:lang w:eastAsia="en-US"/>
    </w:rPr>
  </w:style>
  <w:style w:type="paragraph" w:styleId="2">
    <w:name w:val="heading 2"/>
    <w:basedOn w:val="a"/>
    <w:next w:val="a"/>
    <w:link w:val="20"/>
    <w:qFormat/>
    <w:rsid w:val="009E7FD8"/>
    <w:pPr>
      <w:keepNext/>
      <w:spacing w:after="0" w:line="360" w:lineRule="auto"/>
      <w:ind w:left="720" w:hanging="720"/>
      <w:outlineLvl w:val="1"/>
    </w:pPr>
    <w:rPr>
      <w:rFonts w:ascii="Times New Roman" w:eastAsia="新細明體"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39"/>
    <w:pPr>
      <w:ind w:left="720"/>
      <w:contextualSpacing/>
    </w:pPr>
  </w:style>
  <w:style w:type="table" w:styleId="a4">
    <w:name w:val="Table Grid"/>
    <w:basedOn w:val="a1"/>
    <w:uiPriority w:val="59"/>
    <w:rsid w:val="000E2DEE"/>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539A"/>
    <w:pPr>
      <w:tabs>
        <w:tab w:val="center" w:pos="4680"/>
        <w:tab w:val="right" w:pos="9360"/>
      </w:tabs>
      <w:spacing w:after="0" w:line="240" w:lineRule="auto"/>
    </w:pPr>
  </w:style>
  <w:style w:type="character" w:customStyle="1" w:styleId="a6">
    <w:name w:val="頁首 字元"/>
    <w:basedOn w:val="a0"/>
    <w:link w:val="a5"/>
    <w:uiPriority w:val="99"/>
    <w:rsid w:val="006A539A"/>
  </w:style>
  <w:style w:type="paragraph" w:styleId="a7">
    <w:name w:val="footer"/>
    <w:basedOn w:val="a"/>
    <w:link w:val="a8"/>
    <w:uiPriority w:val="99"/>
    <w:unhideWhenUsed/>
    <w:rsid w:val="006A539A"/>
    <w:pPr>
      <w:tabs>
        <w:tab w:val="center" w:pos="4680"/>
        <w:tab w:val="right" w:pos="9360"/>
      </w:tabs>
      <w:spacing w:after="0" w:line="240" w:lineRule="auto"/>
    </w:pPr>
  </w:style>
  <w:style w:type="character" w:customStyle="1" w:styleId="a8">
    <w:name w:val="頁尾 字元"/>
    <w:basedOn w:val="a0"/>
    <w:link w:val="a7"/>
    <w:uiPriority w:val="99"/>
    <w:rsid w:val="006A539A"/>
  </w:style>
  <w:style w:type="paragraph" w:styleId="a9">
    <w:name w:val="footnote text"/>
    <w:basedOn w:val="a"/>
    <w:link w:val="aa"/>
    <w:uiPriority w:val="99"/>
    <w:semiHidden/>
    <w:unhideWhenUsed/>
    <w:rsid w:val="00D05649"/>
    <w:pPr>
      <w:widowControl w:val="0"/>
      <w:snapToGrid w:val="0"/>
      <w:spacing w:after="0" w:line="240" w:lineRule="auto"/>
    </w:pPr>
    <w:rPr>
      <w:kern w:val="2"/>
      <w:sz w:val="20"/>
      <w:szCs w:val="20"/>
    </w:rPr>
  </w:style>
  <w:style w:type="character" w:customStyle="1" w:styleId="aa">
    <w:name w:val="註腳文字 字元"/>
    <w:basedOn w:val="a0"/>
    <w:link w:val="a9"/>
    <w:uiPriority w:val="99"/>
    <w:semiHidden/>
    <w:rsid w:val="00D05649"/>
    <w:rPr>
      <w:kern w:val="2"/>
      <w:sz w:val="20"/>
      <w:szCs w:val="20"/>
    </w:rPr>
  </w:style>
  <w:style w:type="character" w:styleId="ab">
    <w:name w:val="footnote reference"/>
    <w:basedOn w:val="a0"/>
    <w:uiPriority w:val="99"/>
    <w:semiHidden/>
    <w:unhideWhenUsed/>
    <w:rsid w:val="00D05649"/>
    <w:rPr>
      <w:vertAlign w:val="superscript"/>
    </w:rPr>
  </w:style>
  <w:style w:type="paragraph" w:styleId="Web">
    <w:name w:val="Normal (Web)"/>
    <w:basedOn w:val="a"/>
    <w:uiPriority w:val="99"/>
    <w:unhideWhenUsed/>
    <w:rsid w:val="00A70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標題 1 字元"/>
    <w:basedOn w:val="a0"/>
    <w:link w:val="1"/>
    <w:rsid w:val="009E7FD8"/>
    <w:rPr>
      <w:rFonts w:ascii="Times New Roman" w:eastAsia="新細明體" w:hAnsi="Times New Roman" w:cs="Times New Roman"/>
      <w:sz w:val="28"/>
      <w:szCs w:val="28"/>
      <w:lang w:eastAsia="en-US"/>
    </w:rPr>
  </w:style>
  <w:style w:type="character" w:customStyle="1" w:styleId="20">
    <w:name w:val="標題 2 字元"/>
    <w:basedOn w:val="a0"/>
    <w:link w:val="2"/>
    <w:rsid w:val="009E7FD8"/>
    <w:rPr>
      <w:rFonts w:ascii="Times New Roman" w:eastAsia="新細明體" w:hAnsi="Times New Roman" w:cs="Times New Roman"/>
      <w:sz w:val="28"/>
      <w:szCs w:val="28"/>
      <w:lang w:eastAsia="en-US"/>
    </w:rPr>
  </w:style>
  <w:style w:type="paragraph" w:styleId="ac">
    <w:name w:val="Balloon Text"/>
    <w:basedOn w:val="a"/>
    <w:link w:val="ad"/>
    <w:uiPriority w:val="99"/>
    <w:semiHidden/>
    <w:unhideWhenUsed/>
    <w:rsid w:val="0061160E"/>
    <w:pPr>
      <w:spacing w:after="0" w:line="240" w:lineRule="auto"/>
    </w:pPr>
    <w:rPr>
      <w:rFonts w:asciiTheme="majorHAnsi" w:eastAsiaTheme="majorEastAsia" w:hAnsiTheme="majorHAnsi" w:cstheme="majorBidi"/>
      <w:sz w:val="16"/>
      <w:szCs w:val="16"/>
    </w:rPr>
  </w:style>
  <w:style w:type="character" w:customStyle="1" w:styleId="ad">
    <w:name w:val="註解方塊文字 字元"/>
    <w:basedOn w:val="a0"/>
    <w:link w:val="ac"/>
    <w:uiPriority w:val="99"/>
    <w:semiHidden/>
    <w:rsid w:val="0061160E"/>
    <w:rPr>
      <w:rFonts w:asciiTheme="majorHAnsi" w:eastAsiaTheme="majorEastAsia" w:hAnsiTheme="majorHAnsi" w:cstheme="majorBidi"/>
      <w:sz w:val="16"/>
      <w:szCs w:val="16"/>
    </w:rPr>
  </w:style>
  <w:style w:type="paragraph" w:customStyle="1" w:styleId="E-text">
    <w:name w:val="E-text"/>
    <w:basedOn w:val="a"/>
    <w:qFormat/>
    <w:rsid w:val="00787C15"/>
    <w:pPr>
      <w:tabs>
        <w:tab w:val="left" w:pos="1134"/>
        <w:tab w:val="left" w:pos="1701"/>
        <w:tab w:val="left" w:pos="2268"/>
        <w:tab w:val="left" w:pos="2835"/>
        <w:tab w:val="left" w:pos="3402"/>
        <w:tab w:val="left" w:pos="3969"/>
        <w:tab w:val="left" w:pos="4536"/>
        <w:tab w:val="left" w:pos="5103"/>
        <w:tab w:val="left" w:pos="5670"/>
      </w:tabs>
      <w:spacing w:afterLines="100" w:after="360" w:line="240" w:lineRule="auto"/>
      <w:jc w:val="both"/>
    </w:pPr>
    <w:rPr>
      <w:rFonts w:ascii="Times New Roman" w:eastAsia="新細明體" w:hAnsi="Times New Roman" w:cs="Times New Roman"/>
      <w:kern w:val="2"/>
      <w:sz w:val="24"/>
      <w:szCs w:val="24"/>
      <w:lang w:val="en-GB"/>
    </w:rPr>
  </w:style>
  <w:style w:type="paragraph" w:customStyle="1" w:styleId="Single">
    <w:name w:val="Single"/>
    <w:basedOn w:val="a"/>
    <w:rsid w:val="00787C15"/>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pPr>
    <w:rPr>
      <w:rFonts w:ascii="Times New Roman" w:eastAsia="細明體" w:hAnsi="Times New Roman" w:cs="Times New Roman"/>
      <w:kern w:val="2"/>
      <w:sz w:val="24"/>
      <w:szCs w:val="24"/>
      <w:lang w:val="en-GB"/>
    </w:rPr>
  </w:style>
  <w:style w:type="paragraph" w:customStyle="1" w:styleId="E-norm">
    <w:name w:val="E-norm"/>
    <w:basedOn w:val="a"/>
    <w:qFormat/>
    <w:rsid w:val="00787C15"/>
    <w:pPr>
      <w:widowControl w:val="0"/>
      <w:adjustRightInd w:val="0"/>
      <w:spacing w:after="0" w:line="240" w:lineRule="auto"/>
      <w:jc w:val="both"/>
      <w:textAlignment w:val="baseline"/>
    </w:pPr>
    <w:rPr>
      <w:rFonts w:ascii="Times New Roman" w:eastAsia="細明體" w:hAnsi="Times New Roman" w:cs="Times New Roman"/>
      <w:sz w:val="24"/>
      <w:szCs w:val="20"/>
      <w:lang w:val="en-GB"/>
    </w:rPr>
  </w:style>
  <w:style w:type="paragraph" w:styleId="ae">
    <w:name w:val="Title"/>
    <w:basedOn w:val="a"/>
    <w:link w:val="af"/>
    <w:qFormat/>
    <w:rsid w:val="00532A38"/>
    <w:pPr>
      <w:overflowPunct w:val="0"/>
      <w:autoSpaceDE w:val="0"/>
      <w:autoSpaceDN w:val="0"/>
      <w:adjustRightInd w:val="0"/>
      <w:spacing w:after="0" w:line="240" w:lineRule="auto"/>
      <w:jc w:val="center"/>
      <w:textAlignment w:val="baseline"/>
    </w:pPr>
    <w:rPr>
      <w:rFonts w:ascii="CG Times (W1)" w:eastAsia="細明體" w:hAnsi="CG Times (W1)" w:cs="Times New Roman"/>
      <w:b/>
      <w:sz w:val="24"/>
      <w:szCs w:val="20"/>
      <w:lang w:val="en-GB"/>
    </w:rPr>
  </w:style>
  <w:style w:type="character" w:customStyle="1" w:styleId="af">
    <w:name w:val="標題 字元"/>
    <w:basedOn w:val="a0"/>
    <w:link w:val="ae"/>
    <w:rsid w:val="00532A38"/>
    <w:rPr>
      <w:rFonts w:ascii="CG Times (W1)" w:eastAsia="細明體" w:hAnsi="CG Times (W1)"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f355f3-3215-4a1c-a4d7-ff37fff6436a" xsi:nil="true"/>
    <_dlc_DocIdUrl xmlns="58f355f3-3215-4a1c-a4d7-ff37fff6436a">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7AC7EB084444FA4C4F4E9278A1C49" ma:contentTypeVersion="6" ma:contentTypeDescription="Create a new document." ma:contentTypeScope="" ma:versionID="49b049789e4f6f365e429f52eeba50cd">
  <xsd:schema xmlns:xsd="http://www.w3.org/2001/XMLSchema" xmlns:xs="http://www.w3.org/2001/XMLSchema" xmlns:p="http://schemas.microsoft.com/office/2006/metadata/properties" xmlns:ns2="58f355f3-3215-4a1c-a4d7-ff37fff6436a" targetNamespace="http://schemas.microsoft.com/office/2006/metadata/properties" ma:root="true" ma:fieldsID="4984da2fa2f6e2b10900aca9af32f88b" ns2:_="">
    <xsd:import namespace="58f355f3-3215-4a1c-a4d7-ff37fff643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55f3-3215-4a1c-a4d7-ff37fff643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F7FE-CF24-4E5F-8FAB-4828EA738DC2}">
  <ds:schemaRefs>
    <ds:schemaRef ds:uri="http://schemas.microsoft.com/office/2006/metadata/properties"/>
    <ds:schemaRef ds:uri="http://schemas.microsoft.com/office/infopath/2007/PartnerControls"/>
    <ds:schemaRef ds:uri="58f355f3-3215-4a1c-a4d7-ff37fff6436a"/>
  </ds:schemaRefs>
</ds:datastoreItem>
</file>

<file path=customXml/itemProps2.xml><?xml version="1.0" encoding="utf-8"?>
<ds:datastoreItem xmlns:ds="http://schemas.openxmlformats.org/officeDocument/2006/customXml" ds:itemID="{57A87393-A33F-4E90-8C10-0626686348C0}">
  <ds:schemaRefs>
    <ds:schemaRef ds:uri="http://schemas.microsoft.com/sharepoint/v3/contenttype/forms"/>
  </ds:schemaRefs>
</ds:datastoreItem>
</file>

<file path=customXml/itemProps3.xml><?xml version="1.0" encoding="utf-8"?>
<ds:datastoreItem xmlns:ds="http://schemas.openxmlformats.org/officeDocument/2006/customXml" ds:itemID="{F0A7305D-22B8-4367-9F11-03A03C0B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55f3-3215-4a1c-a4d7-ff37fff6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20615-8DB3-4F32-B4B6-642ED15B3D3A}">
  <ds:schemaRefs>
    <ds:schemaRef ds:uri="http://schemas.microsoft.com/sharepoint/events"/>
  </ds:schemaRefs>
</ds:datastoreItem>
</file>

<file path=customXml/itemProps5.xml><?xml version="1.0" encoding="utf-8"?>
<ds:datastoreItem xmlns:ds="http://schemas.openxmlformats.org/officeDocument/2006/customXml" ds:itemID="{2E3C5628-6F57-46F1-8024-4413774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37</Pages>
  <Words>13813</Words>
  <Characters>78737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Sandy PS CHEUNG </cp:lastModifiedBy>
  <cp:revision>27</cp:revision>
  <cp:lastPrinted>2020-07-07T02:09:00Z</cp:lastPrinted>
  <dcterms:created xsi:type="dcterms:W3CDTF">2018-11-22T03:06:00Z</dcterms:created>
  <dcterms:modified xsi:type="dcterms:W3CDTF">2020-07-07T02:12:00Z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0x01010048D7AC7EB084444FA4C4F4E9278A1C49</vt:lpwstr>
  </property>
  <property fmtid="{D5CDD505-2E9C-101B-9397-08002B2CF9AE}" pid="3" name="_dlc_DocIdItemGuid">
    <vt:lpwstr>06c701b3-1ac0-407b-86f4-879f63b4fd25</vt:lpwstr>
  </property>
</Properties>
</file>