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8C1" w:rsidRPr="0069274C" w:rsidRDefault="00B538C1" w:rsidP="00156E21">
      <w:pPr>
        <w:pStyle w:val="ac"/>
        <w:tabs>
          <w:tab w:val="left" w:pos="1276"/>
        </w:tabs>
        <w:rPr>
          <w:rFonts w:ascii="Times New Roman" w:eastAsia="標楷體" w:hAnsi="Times New Roman"/>
          <w:szCs w:val="24"/>
        </w:rPr>
      </w:pPr>
      <w:r w:rsidRPr="0069274C">
        <w:rPr>
          <w:rFonts w:ascii="Times New Roman" w:eastAsia="標楷體" w:hAnsi="Times New Roman"/>
          <w:szCs w:val="24"/>
        </w:rPr>
        <w:t>Case No. D11</w:t>
      </w:r>
      <w:r w:rsidRPr="0069274C">
        <w:rPr>
          <w:rFonts w:ascii="Times New Roman" w:eastAsia="標楷體" w:hAnsi="Times New Roman"/>
          <w:szCs w:val="24"/>
          <w:lang w:eastAsia="zh-HK"/>
        </w:rPr>
        <w:t>/20</w:t>
      </w:r>
    </w:p>
    <w:p w:rsidR="00B538C1" w:rsidRPr="0069274C" w:rsidRDefault="00B538C1" w:rsidP="00156E21">
      <w:pPr>
        <w:tabs>
          <w:tab w:val="left" w:pos="1276"/>
        </w:tabs>
        <w:overflowPunct w:val="0"/>
        <w:autoSpaceDE w:val="0"/>
        <w:autoSpaceDN w:val="0"/>
        <w:jc w:val="both"/>
        <w:rPr>
          <w:rFonts w:ascii="Times New Roman" w:eastAsia="標楷體" w:hAnsi="Times New Roman" w:cs="Times New Roman"/>
        </w:rPr>
      </w:pPr>
    </w:p>
    <w:p w:rsidR="00B538C1" w:rsidRDefault="00B538C1" w:rsidP="00156E21">
      <w:pPr>
        <w:tabs>
          <w:tab w:val="left" w:pos="1276"/>
        </w:tabs>
        <w:overflowPunct w:val="0"/>
        <w:autoSpaceDE w:val="0"/>
        <w:autoSpaceDN w:val="0"/>
        <w:jc w:val="both"/>
        <w:rPr>
          <w:rFonts w:ascii="Times New Roman" w:eastAsia="標楷體" w:hAnsi="Times New Roman" w:cs="Times New Roman"/>
        </w:rPr>
      </w:pPr>
    </w:p>
    <w:p w:rsidR="00FB1B70" w:rsidRDefault="00FB1B70" w:rsidP="00156E21">
      <w:pPr>
        <w:tabs>
          <w:tab w:val="left" w:pos="1276"/>
        </w:tabs>
        <w:overflowPunct w:val="0"/>
        <w:autoSpaceDE w:val="0"/>
        <w:autoSpaceDN w:val="0"/>
        <w:jc w:val="both"/>
        <w:rPr>
          <w:rFonts w:ascii="Times New Roman" w:eastAsia="標楷體" w:hAnsi="Times New Roman" w:cs="Times New Roman"/>
        </w:rPr>
      </w:pPr>
    </w:p>
    <w:p w:rsidR="00FB1B70" w:rsidRPr="0069274C" w:rsidRDefault="00FB1B70" w:rsidP="00156E21">
      <w:pPr>
        <w:tabs>
          <w:tab w:val="left" w:pos="1276"/>
        </w:tabs>
        <w:overflowPunct w:val="0"/>
        <w:autoSpaceDE w:val="0"/>
        <w:autoSpaceDN w:val="0"/>
        <w:jc w:val="both"/>
        <w:rPr>
          <w:rFonts w:ascii="Times New Roman" w:eastAsia="標楷體" w:hAnsi="Times New Roman" w:cs="Times New Roman"/>
        </w:rPr>
      </w:pPr>
    </w:p>
    <w:p w:rsidR="00B538C1" w:rsidRPr="0069274C" w:rsidRDefault="00FB1B70" w:rsidP="00FB1B70">
      <w:pPr>
        <w:tabs>
          <w:tab w:val="left" w:pos="1276"/>
        </w:tabs>
        <w:overflowPunct w:val="0"/>
        <w:autoSpaceDE w:val="0"/>
        <w:autoSpaceDN w:val="0"/>
        <w:jc w:val="both"/>
        <w:rPr>
          <w:rFonts w:ascii="Times New Roman" w:eastAsia="標楷體" w:hAnsi="Times New Roman" w:cs="Times New Roman"/>
        </w:rPr>
      </w:pPr>
      <w:r w:rsidRPr="00FB1B70">
        <w:rPr>
          <w:rFonts w:ascii="Times New Roman" w:eastAsia="標楷體" w:hAnsi="Times New Roman" w:cs="Times New Roman"/>
          <w:b/>
        </w:rPr>
        <w:t>Profits tax</w:t>
      </w:r>
      <w:r w:rsidRPr="00FB1B70">
        <w:rPr>
          <w:rFonts w:ascii="Times New Roman" w:eastAsia="標楷體" w:hAnsi="Times New Roman" w:cs="Times New Roman"/>
        </w:rPr>
        <w:t xml:space="preserve"> – </w:t>
      </w:r>
      <w:r>
        <w:rPr>
          <w:rFonts w:ascii="Times New Roman" w:eastAsia="標楷體" w:hAnsi="Times New Roman" w:cs="Times New Roman"/>
        </w:rPr>
        <w:t>a</w:t>
      </w:r>
      <w:r w:rsidRPr="00FB1B70">
        <w:rPr>
          <w:rFonts w:ascii="Times New Roman" w:eastAsia="標楷體" w:hAnsi="Times New Roman" w:cs="Times New Roman"/>
        </w:rPr>
        <w:t xml:space="preserve">ssessment – </w:t>
      </w:r>
      <w:r>
        <w:rPr>
          <w:rFonts w:ascii="Times New Roman" w:eastAsia="標楷體" w:hAnsi="Times New Roman" w:cs="Times New Roman"/>
        </w:rPr>
        <w:t>d</w:t>
      </w:r>
      <w:r w:rsidRPr="00FB1B70">
        <w:rPr>
          <w:rFonts w:ascii="Times New Roman" w:eastAsia="標楷體" w:hAnsi="Times New Roman" w:cs="Times New Roman"/>
        </w:rPr>
        <w:t>eductions – whether the taxpayer could deduct fees for property management service from the assessable profits – whether the taxpayer incurred a liability to pay such management fees – whether it was necessary to show that the taxpayer was legally obliged to pay such fees – sections 16, 17 of the Inland Revenue Ordinance (</w:t>
      </w:r>
      <w:r>
        <w:rPr>
          <w:rFonts w:ascii="Times New Roman" w:eastAsia="標楷體" w:hAnsi="Times New Roman" w:cs="Times New Roman"/>
        </w:rPr>
        <w:t>‘</w:t>
      </w:r>
      <w:r w:rsidRPr="00FB1B70">
        <w:rPr>
          <w:rFonts w:ascii="Times New Roman" w:eastAsia="標楷體" w:hAnsi="Times New Roman" w:cs="Times New Roman"/>
        </w:rPr>
        <w:t>the Ordinance</w:t>
      </w:r>
      <w:r>
        <w:rPr>
          <w:rFonts w:ascii="Times New Roman" w:eastAsia="標楷體" w:hAnsi="Times New Roman" w:cs="Times New Roman"/>
        </w:rPr>
        <w:t>’</w:t>
      </w:r>
      <w:r w:rsidRPr="00FB1B70">
        <w:rPr>
          <w:rFonts w:ascii="Times New Roman" w:eastAsia="標楷體" w:hAnsi="Times New Roman" w:cs="Times New Roman"/>
        </w:rPr>
        <w:t>)</w:t>
      </w:r>
    </w:p>
    <w:p w:rsidR="00B538C1" w:rsidRPr="0069274C" w:rsidRDefault="00B538C1" w:rsidP="00FB1B70">
      <w:pPr>
        <w:tabs>
          <w:tab w:val="left" w:pos="1276"/>
        </w:tabs>
        <w:overflowPunct w:val="0"/>
        <w:autoSpaceDE w:val="0"/>
        <w:autoSpaceDN w:val="0"/>
        <w:jc w:val="both"/>
        <w:rPr>
          <w:rFonts w:ascii="Times New Roman" w:eastAsia="標楷體" w:hAnsi="Times New Roman" w:cs="Times New Roman"/>
        </w:rPr>
      </w:pPr>
    </w:p>
    <w:p w:rsidR="00B538C1" w:rsidRPr="0069274C" w:rsidRDefault="00B538C1" w:rsidP="00FB1B70">
      <w:pPr>
        <w:tabs>
          <w:tab w:val="left" w:pos="840"/>
          <w:tab w:val="left" w:pos="1276"/>
        </w:tabs>
        <w:overflowPunct w:val="0"/>
        <w:autoSpaceDE w:val="0"/>
        <w:autoSpaceDN w:val="0"/>
        <w:ind w:left="720" w:hangingChars="300" w:hanging="720"/>
        <w:jc w:val="both"/>
        <w:rPr>
          <w:rFonts w:ascii="Times New Roman" w:eastAsia="標楷體" w:hAnsi="Times New Roman" w:cs="Times New Roman"/>
        </w:rPr>
      </w:pPr>
      <w:r w:rsidRPr="0069274C">
        <w:rPr>
          <w:rFonts w:ascii="Times New Roman" w:eastAsia="標楷體" w:hAnsi="Times New Roman" w:cs="Times New Roman"/>
        </w:rPr>
        <w:t xml:space="preserve">Panel: </w:t>
      </w:r>
      <w:r w:rsidRPr="0069274C">
        <w:rPr>
          <w:rFonts w:ascii="Times New Roman" w:eastAsia="標楷體" w:hAnsi="Times New Roman" w:cs="Times New Roman"/>
          <w:lang w:eastAsia="zh-HK"/>
        </w:rPr>
        <w:t>Lo Pui Yin</w:t>
      </w:r>
      <w:r w:rsidRPr="0069274C">
        <w:rPr>
          <w:rFonts w:ascii="Times New Roman" w:eastAsia="標楷體" w:hAnsi="Times New Roman" w:cs="Times New Roman"/>
        </w:rPr>
        <w:t xml:space="preserve"> (chairm</w:t>
      </w:r>
      <w:r w:rsidRPr="0069274C">
        <w:rPr>
          <w:rFonts w:ascii="Times New Roman" w:eastAsia="標楷體" w:hAnsi="Times New Roman" w:cs="Times New Roman"/>
          <w:lang w:eastAsia="zh-HK"/>
        </w:rPr>
        <w:t>an), Chan Wai Ho Alwin and Ha Suk Ling Shirley.</w:t>
      </w:r>
    </w:p>
    <w:p w:rsidR="00B538C1" w:rsidRPr="0069274C" w:rsidRDefault="00B538C1" w:rsidP="00FB1B70">
      <w:pPr>
        <w:tabs>
          <w:tab w:val="left" w:pos="840"/>
          <w:tab w:val="left" w:pos="1276"/>
        </w:tabs>
        <w:overflowPunct w:val="0"/>
        <w:autoSpaceDE w:val="0"/>
        <w:autoSpaceDN w:val="0"/>
        <w:jc w:val="both"/>
        <w:rPr>
          <w:rFonts w:ascii="Times New Roman" w:eastAsia="標楷體" w:hAnsi="Times New Roman" w:cs="Times New Roman"/>
        </w:rPr>
      </w:pPr>
    </w:p>
    <w:p w:rsidR="00B538C1" w:rsidRPr="0069274C" w:rsidRDefault="00B538C1" w:rsidP="00FB1B70">
      <w:pPr>
        <w:tabs>
          <w:tab w:val="left" w:pos="840"/>
          <w:tab w:val="left" w:pos="1276"/>
        </w:tabs>
        <w:overflowPunct w:val="0"/>
        <w:autoSpaceDE w:val="0"/>
        <w:autoSpaceDN w:val="0"/>
        <w:jc w:val="both"/>
        <w:rPr>
          <w:rFonts w:ascii="Times New Roman" w:eastAsia="標楷體" w:hAnsi="Times New Roman" w:cs="Times New Roman"/>
        </w:rPr>
      </w:pPr>
      <w:r w:rsidRPr="0069274C">
        <w:rPr>
          <w:rFonts w:ascii="Times New Roman" w:eastAsia="標楷體" w:hAnsi="Times New Roman" w:cs="Times New Roman"/>
        </w:rPr>
        <w:t>Dates of hearing:</w:t>
      </w:r>
      <w:r w:rsidRPr="0069274C">
        <w:rPr>
          <w:rFonts w:ascii="Times New Roman" w:eastAsia="標楷體" w:hAnsi="Times New Roman" w:cs="Times New Roman"/>
          <w:lang w:eastAsia="zh-HK"/>
        </w:rPr>
        <w:t xml:space="preserve"> 17, 18 &amp; 21 June 2019</w:t>
      </w:r>
      <w:r w:rsidRPr="0069274C">
        <w:rPr>
          <w:rFonts w:ascii="Times New Roman" w:eastAsia="標楷體" w:hAnsi="Times New Roman" w:cs="Times New Roman"/>
        </w:rPr>
        <w:t>.</w:t>
      </w:r>
    </w:p>
    <w:p w:rsidR="00B538C1" w:rsidRPr="0069274C" w:rsidRDefault="00B538C1" w:rsidP="00FB1B70">
      <w:pPr>
        <w:tabs>
          <w:tab w:val="left" w:pos="840"/>
          <w:tab w:val="left" w:pos="1276"/>
        </w:tabs>
        <w:overflowPunct w:val="0"/>
        <w:autoSpaceDE w:val="0"/>
        <w:autoSpaceDN w:val="0"/>
        <w:jc w:val="both"/>
        <w:rPr>
          <w:rFonts w:ascii="Times New Roman" w:eastAsia="標楷體" w:hAnsi="Times New Roman" w:cs="Times New Roman"/>
        </w:rPr>
      </w:pPr>
      <w:r w:rsidRPr="0069274C">
        <w:rPr>
          <w:rFonts w:ascii="Times New Roman" w:eastAsia="標楷體" w:hAnsi="Times New Roman" w:cs="Times New Roman"/>
        </w:rPr>
        <w:t>Date of decision: 30 November 2020.</w:t>
      </w:r>
    </w:p>
    <w:p w:rsidR="00B538C1" w:rsidRPr="0069274C" w:rsidRDefault="00B538C1" w:rsidP="00FB1B70">
      <w:pPr>
        <w:tabs>
          <w:tab w:val="left" w:pos="840"/>
          <w:tab w:val="left" w:pos="1276"/>
        </w:tabs>
        <w:overflowPunct w:val="0"/>
        <w:autoSpaceDE w:val="0"/>
        <w:autoSpaceDN w:val="0"/>
        <w:jc w:val="both"/>
        <w:rPr>
          <w:rFonts w:ascii="Times New Roman" w:eastAsia="標楷體" w:hAnsi="Times New Roman" w:cs="Times New Roman"/>
          <w:lang w:eastAsia="zh-HK"/>
        </w:rPr>
      </w:pPr>
    </w:p>
    <w:p w:rsidR="00B538C1" w:rsidRPr="0069274C" w:rsidRDefault="00B538C1" w:rsidP="00FB1B70">
      <w:pPr>
        <w:tabs>
          <w:tab w:val="left" w:pos="840"/>
          <w:tab w:val="left" w:pos="1276"/>
        </w:tabs>
        <w:overflowPunct w:val="0"/>
        <w:autoSpaceDE w:val="0"/>
        <w:autoSpaceDN w:val="0"/>
        <w:jc w:val="both"/>
        <w:rPr>
          <w:rFonts w:ascii="Times New Roman" w:eastAsia="標楷體" w:hAnsi="Times New Roman" w:cs="Times New Roman"/>
          <w:lang w:eastAsia="zh-HK"/>
        </w:rPr>
      </w:pPr>
    </w:p>
    <w:p w:rsidR="00FB1B70" w:rsidRDefault="00FB1B70" w:rsidP="009C3EB3">
      <w:pPr>
        <w:overflowPunct w:val="0"/>
        <w:autoSpaceDE w:val="0"/>
        <w:autoSpaceDN w:val="0"/>
        <w:ind w:firstLineChars="450" w:firstLine="1080"/>
        <w:jc w:val="both"/>
        <w:rPr>
          <w:rFonts w:ascii="Times New Roman" w:hAnsi="Times New Roman" w:cs="Times New Roman"/>
        </w:rPr>
      </w:pPr>
      <w:r>
        <w:rPr>
          <w:rFonts w:ascii="Times New Roman" w:hAnsi="Times New Roman" w:cs="Times New Roman"/>
        </w:rPr>
        <w:t>The Taxpayer owned shops and office units in a building (</w:t>
      </w:r>
      <w:r w:rsidR="00EE18BF">
        <w:rPr>
          <w:rFonts w:ascii="Times New Roman" w:hAnsi="Times New Roman" w:cs="Times New Roman"/>
        </w:rPr>
        <w:t>‘</w:t>
      </w:r>
      <w:r>
        <w:rPr>
          <w:rFonts w:ascii="Times New Roman" w:hAnsi="Times New Roman" w:cs="Times New Roman"/>
        </w:rPr>
        <w:t>the Property</w:t>
      </w:r>
      <w:r w:rsidR="00EE18BF">
        <w:rPr>
          <w:rFonts w:ascii="Times New Roman" w:hAnsi="Times New Roman" w:cs="Times New Roman"/>
        </w:rPr>
        <w:t>’</w:t>
      </w:r>
      <w:r>
        <w:rPr>
          <w:rFonts w:ascii="Times New Roman" w:hAnsi="Times New Roman" w:cs="Times New Roman"/>
        </w:rPr>
        <w:t>), and received rental income therefrom.  REIT K was a real estate investment trust (REIT) constituted by a trust deed, which was listed on the Stock Exchange of Hong Kong.  The Property was an asset under REIT K.  Under the trust deed, a manager (</w:t>
      </w:r>
      <w:r w:rsidR="00EE18BF">
        <w:rPr>
          <w:rFonts w:ascii="Times New Roman" w:hAnsi="Times New Roman" w:cs="Times New Roman"/>
        </w:rPr>
        <w:t>‘</w:t>
      </w:r>
      <w:r>
        <w:rPr>
          <w:rFonts w:ascii="Times New Roman" w:hAnsi="Times New Roman" w:cs="Times New Roman"/>
        </w:rPr>
        <w:t>the Manager</w:t>
      </w:r>
      <w:r w:rsidR="00EE18BF">
        <w:rPr>
          <w:rFonts w:ascii="Times New Roman" w:hAnsi="Times New Roman" w:cs="Times New Roman"/>
        </w:rPr>
        <w:t>’</w:t>
      </w:r>
      <w:r>
        <w:rPr>
          <w:rFonts w:ascii="Times New Roman" w:hAnsi="Times New Roman" w:cs="Times New Roman"/>
        </w:rPr>
        <w:t>) was appointed to assist the trustee to manage REIT K, and to observe the REIT Code and practice notes issued by the Securities and Futures Commission.  Remuneration for the Manager, and its calculations, were set out in the trust deed.  The Manager further delegated property management for the Property to a property manager (</w:t>
      </w:r>
      <w:r w:rsidR="00EE18BF">
        <w:rPr>
          <w:rFonts w:ascii="Times New Roman" w:hAnsi="Times New Roman" w:cs="Times New Roman"/>
        </w:rPr>
        <w:t>‘</w:t>
      </w:r>
      <w:r>
        <w:rPr>
          <w:rFonts w:ascii="Times New Roman" w:hAnsi="Times New Roman" w:cs="Times New Roman"/>
        </w:rPr>
        <w:t>the Property Manager</w:t>
      </w:r>
      <w:r w:rsidR="00EE18BF">
        <w:rPr>
          <w:rFonts w:ascii="Times New Roman" w:hAnsi="Times New Roman" w:cs="Times New Roman"/>
        </w:rPr>
        <w:t>’</w:t>
      </w:r>
      <w:r>
        <w:rPr>
          <w:rFonts w:ascii="Times New Roman" w:hAnsi="Times New Roman" w:cs="Times New Roman"/>
        </w:rPr>
        <w:t xml:space="preserve">).    </w:t>
      </w:r>
    </w:p>
    <w:p w:rsidR="00FB1B70" w:rsidRDefault="00FB1B70" w:rsidP="009C3EB3">
      <w:pPr>
        <w:overflowPunct w:val="0"/>
        <w:autoSpaceDE w:val="0"/>
        <w:autoSpaceDN w:val="0"/>
        <w:ind w:firstLineChars="450" w:firstLine="1080"/>
        <w:jc w:val="both"/>
        <w:rPr>
          <w:rFonts w:ascii="Times New Roman" w:hAnsi="Times New Roman" w:cs="Times New Roman"/>
        </w:rPr>
      </w:pPr>
    </w:p>
    <w:p w:rsidR="00FB1B70" w:rsidRDefault="00FB1B70" w:rsidP="009C3EB3">
      <w:pPr>
        <w:overflowPunct w:val="0"/>
        <w:autoSpaceDE w:val="0"/>
        <w:autoSpaceDN w:val="0"/>
        <w:ind w:firstLineChars="450" w:firstLine="1080"/>
        <w:jc w:val="both"/>
        <w:rPr>
          <w:rFonts w:ascii="Times New Roman" w:hAnsi="Times New Roman" w:cs="Times New Roman"/>
        </w:rPr>
      </w:pPr>
      <w:r>
        <w:rPr>
          <w:rFonts w:ascii="Times New Roman" w:hAnsi="Times New Roman" w:cs="Times New Roman"/>
        </w:rPr>
        <w:t>From 2007/08 to 2015/16 years of assessment, the Taxpayer sought to deduct from the assessable profits money it said to have paid the Manager and the Property Manager for their respective services provided to the Property.  The Assessor rejected the Taxpayer’s claims for deduction in relation to the money paid to the Manager and Property Manager.  After reviewing representations from the Taxpayer, she then agreed that the money paid to the Property Manager could be deducted from the assessable profits, but not for the sums to the Manager.  The Taxpayer objected to the revised assessments, but the Deputy Commissioner confirmed the revised assessments in the Determination.  The Taxpayer further appealed against the Determination.</w:t>
      </w:r>
    </w:p>
    <w:p w:rsidR="00FB1B70" w:rsidRDefault="00FB1B70" w:rsidP="009C3EB3">
      <w:pPr>
        <w:overflowPunct w:val="0"/>
        <w:autoSpaceDE w:val="0"/>
        <w:autoSpaceDN w:val="0"/>
        <w:ind w:firstLineChars="450" w:firstLine="1080"/>
        <w:jc w:val="both"/>
        <w:rPr>
          <w:rFonts w:ascii="Times New Roman" w:hAnsi="Times New Roman" w:cs="Times New Roman"/>
        </w:rPr>
      </w:pPr>
    </w:p>
    <w:p w:rsidR="00FB1B70" w:rsidRDefault="00FB1B70" w:rsidP="009C3EB3">
      <w:pPr>
        <w:overflowPunct w:val="0"/>
        <w:autoSpaceDE w:val="0"/>
        <w:autoSpaceDN w:val="0"/>
        <w:ind w:firstLineChars="450" w:firstLine="1080"/>
        <w:jc w:val="both"/>
        <w:rPr>
          <w:rFonts w:ascii="Times New Roman" w:hAnsi="Times New Roman" w:cs="Times New Roman"/>
        </w:rPr>
      </w:pPr>
      <w:r>
        <w:rPr>
          <w:rFonts w:ascii="Times New Roman" w:hAnsi="Times New Roman" w:cs="Times New Roman"/>
        </w:rPr>
        <w:t>The Taxpayer called evidence before the Board to show that the Taxpayer employed no staff.  Rental income was received, and expenditure paid, on the Taxpayer’s behalf by a treasury company.  Each month, entries would be made in the accounts of the treasury company for payment of service fees to the Manager and the Property Manager.  The Taxpayer’s witnesses testified that the Manager provided business management service to the Taxpayer, like formulation of leasing strategies, determination of rental pricing, or development of asset enhancement plans.</w:t>
      </w:r>
    </w:p>
    <w:p w:rsidR="00FB1B70" w:rsidRDefault="00FB1B70" w:rsidP="009C3EB3">
      <w:pPr>
        <w:overflowPunct w:val="0"/>
        <w:autoSpaceDE w:val="0"/>
        <w:autoSpaceDN w:val="0"/>
        <w:ind w:firstLineChars="450" w:firstLine="1080"/>
        <w:jc w:val="both"/>
        <w:rPr>
          <w:rFonts w:ascii="Times New Roman" w:hAnsi="Times New Roman" w:cs="Times New Roman"/>
        </w:rPr>
      </w:pPr>
    </w:p>
    <w:p w:rsidR="00FB1B70" w:rsidRDefault="00FB1B70" w:rsidP="009C3EB3">
      <w:pPr>
        <w:overflowPunct w:val="0"/>
        <w:autoSpaceDE w:val="0"/>
        <w:autoSpaceDN w:val="0"/>
        <w:ind w:firstLineChars="450" w:firstLine="1080"/>
        <w:jc w:val="both"/>
        <w:rPr>
          <w:rFonts w:ascii="Times New Roman" w:hAnsi="Times New Roman" w:cs="Times New Roman"/>
        </w:rPr>
      </w:pPr>
      <w:r>
        <w:rPr>
          <w:rFonts w:ascii="Times New Roman" w:hAnsi="Times New Roman" w:cs="Times New Roman"/>
        </w:rPr>
        <w:t xml:space="preserve">The Taxpayer argued before the Board that it did pay the Manager’s fees.  It was commercially necessary for the Taxpayer to have the Manager’s services.  The Determination erred in concluding that it was the trustee, rather than the Taxpayer, that paid </w:t>
      </w:r>
      <w:r>
        <w:rPr>
          <w:rFonts w:ascii="Times New Roman" w:hAnsi="Times New Roman" w:cs="Times New Roman"/>
        </w:rPr>
        <w:lastRenderedPageBreak/>
        <w:t>the Manager’s fees; and that antecedent legal liability for the Taxpayer to pay the Manager’s fees was essential before deduction could be allowed.  In any event, there was an implied contract for the Taxpayer to pay the Manager’s fees as it freely accepted the service provided by the Manager.</w:t>
      </w:r>
    </w:p>
    <w:p w:rsidR="00FB1B70" w:rsidRDefault="00FB1B70" w:rsidP="00FB1B70">
      <w:pPr>
        <w:overflowPunct w:val="0"/>
        <w:autoSpaceDE w:val="0"/>
        <w:autoSpaceDN w:val="0"/>
        <w:jc w:val="both"/>
        <w:rPr>
          <w:rFonts w:ascii="Times New Roman" w:hAnsi="Times New Roman" w:cs="Times New Roman"/>
        </w:rPr>
      </w:pPr>
    </w:p>
    <w:p w:rsidR="00FB1B70" w:rsidRDefault="00FB1B70" w:rsidP="00FB1B70">
      <w:pPr>
        <w:overflowPunct w:val="0"/>
        <w:autoSpaceDE w:val="0"/>
        <w:autoSpaceDN w:val="0"/>
        <w:jc w:val="both"/>
        <w:rPr>
          <w:rFonts w:ascii="Times New Roman" w:eastAsia="新細明體" w:hAnsi="Times New Roman" w:cs="Times New Roman"/>
          <w:lang w:eastAsia="zh-HK"/>
        </w:rPr>
      </w:pPr>
    </w:p>
    <w:p w:rsidR="00FB1B70" w:rsidRPr="00B4642C" w:rsidRDefault="00FB1B70" w:rsidP="009C3EB3">
      <w:pPr>
        <w:overflowPunct w:val="0"/>
        <w:autoSpaceDE w:val="0"/>
        <w:autoSpaceDN w:val="0"/>
        <w:ind w:leftChars="450" w:left="1080"/>
        <w:jc w:val="both"/>
        <w:rPr>
          <w:rFonts w:ascii="Times New Roman" w:eastAsia="新細明體" w:hAnsi="Times New Roman" w:cs="Times New Roman"/>
          <w:b/>
          <w:lang w:eastAsia="zh-HK"/>
        </w:rPr>
      </w:pPr>
      <w:r w:rsidRPr="00B4642C">
        <w:rPr>
          <w:rFonts w:ascii="Times New Roman" w:eastAsia="新細明體" w:hAnsi="Times New Roman" w:cs="Times New Roman"/>
          <w:b/>
          <w:lang w:eastAsia="zh-HK"/>
        </w:rPr>
        <w:t>Held:</w:t>
      </w:r>
    </w:p>
    <w:p w:rsidR="00FB1B70" w:rsidRDefault="00FB1B70" w:rsidP="00FB1B70">
      <w:pPr>
        <w:overflowPunct w:val="0"/>
        <w:autoSpaceDE w:val="0"/>
        <w:autoSpaceDN w:val="0"/>
        <w:jc w:val="both"/>
        <w:rPr>
          <w:rFonts w:ascii="Times New Roman" w:eastAsia="新細明體" w:hAnsi="Times New Roman" w:cs="Times New Roman"/>
          <w:lang w:eastAsia="zh-HK"/>
        </w:rPr>
      </w:pPr>
    </w:p>
    <w:p w:rsidR="00FB1B70" w:rsidRDefault="00FB1B70" w:rsidP="009C3EB3">
      <w:pPr>
        <w:pStyle w:val="a3"/>
        <w:numPr>
          <w:ilvl w:val="0"/>
          <w:numId w:val="25"/>
        </w:numPr>
        <w:overflowPunct w:val="0"/>
        <w:autoSpaceDE w:val="0"/>
        <w:autoSpaceDN w:val="0"/>
        <w:ind w:leftChars="450" w:left="1560" w:hangingChars="200" w:hanging="480"/>
        <w:jc w:val="both"/>
        <w:rPr>
          <w:rFonts w:ascii="Times New Roman" w:eastAsia="新細明體" w:hAnsi="Times New Roman" w:cs="Times New Roman"/>
          <w:lang w:eastAsia="zh-HK"/>
        </w:rPr>
      </w:pPr>
      <w:r>
        <w:rPr>
          <w:rFonts w:ascii="Times New Roman" w:eastAsia="新細明體" w:hAnsi="Times New Roman" w:cs="Times New Roman"/>
          <w:lang w:eastAsia="zh-HK"/>
        </w:rPr>
        <w:t xml:space="preserve">The word </w:t>
      </w:r>
      <w:r w:rsidR="00EE18BF">
        <w:rPr>
          <w:rFonts w:ascii="Times New Roman" w:eastAsia="新細明體" w:hAnsi="Times New Roman" w:cs="Times New Roman"/>
          <w:lang w:eastAsia="zh-HK"/>
        </w:rPr>
        <w:t>‘</w:t>
      </w:r>
      <w:r>
        <w:rPr>
          <w:rFonts w:ascii="Times New Roman" w:eastAsia="新細明體" w:hAnsi="Times New Roman" w:cs="Times New Roman"/>
          <w:lang w:eastAsia="zh-HK"/>
        </w:rPr>
        <w:t>incurred</w:t>
      </w:r>
      <w:r w:rsidR="00EE18BF">
        <w:rPr>
          <w:rFonts w:ascii="Times New Roman" w:eastAsia="新細明體" w:hAnsi="Times New Roman" w:cs="Times New Roman"/>
          <w:lang w:eastAsia="zh-HK"/>
        </w:rPr>
        <w:t>’</w:t>
      </w:r>
      <w:r>
        <w:rPr>
          <w:rFonts w:ascii="Times New Roman" w:eastAsia="新細明體" w:hAnsi="Times New Roman" w:cs="Times New Roman"/>
          <w:lang w:eastAsia="zh-HK"/>
        </w:rPr>
        <w:t xml:space="preserve"> under s</w:t>
      </w:r>
      <w:r w:rsidR="00EE18BF">
        <w:rPr>
          <w:rFonts w:ascii="Times New Roman" w:eastAsia="新細明體" w:hAnsi="Times New Roman" w:cs="Times New Roman"/>
          <w:lang w:eastAsia="zh-HK"/>
        </w:rPr>
        <w:t xml:space="preserve">ection </w:t>
      </w:r>
      <w:bookmarkStart w:id="0" w:name="_GoBack"/>
      <w:bookmarkEnd w:id="0"/>
      <w:r>
        <w:rPr>
          <w:rFonts w:ascii="Times New Roman" w:eastAsia="新細明體" w:hAnsi="Times New Roman" w:cs="Times New Roman"/>
          <w:lang w:eastAsia="zh-HK"/>
        </w:rPr>
        <w:t>16 of the Ordinance includes the acceptance of a liability, as well as the meeting of that liability as and when it matures (</w:t>
      </w:r>
      <w:r w:rsidRPr="001A2E03">
        <w:rPr>
          <w:rFonts w:ascii="Times New Roman" w:eastAsia="新細明體" w:hAnsi="Times New Roman" w:cs="Times New Roman"/>
          <w:u w:val="single"/>
          <w:lang w:eastAsia="zh-HK"/>
        </w:rPr>
        <w:t>Commissioner of Inland Revenue v Lo &amp; Lo</w:t>
      </w:r>
      <w:r>
        <w:rPr>
          <w:rFonts w:ascii="Times New Roman" w:eastAsia="新細明體" w:hAnsi="Times New Roman" w:cs="Times New Roman"/>
          <w:lang w:eastAsia="zh-HK"/>
        </w:rPr>
        <w:t xml:space="preserve"> [1982] HKLR 503 applied).  Commercial considerations were not wholly to be disregarded in identifying permitted deductions (</w:t>
      </w:r>
      <w:r w:rsidRPr="001A2E03">
        <w:rPr>
          <w:rFonts w:ascii="Times New Roman" w:eastAsia="新細明體" w:hAnsi="Times New Roman" w:cs="Times New Roman"/>
          <w:u w:val="single"/>
          <w:lang w:eastAsia="zh-HK"/>
        </w:rPr>
        <w:t>Commissioner of Inland Revenue v Lo &amp; Lo (a firm)</w:t>
      </w:r>
      <w:r>
        <w:rPr>
          <w:rFonts w:ascii="Times New Roman" w:eastAsia="新細明體" w:hAnsi="Times New Roman" w:cs="Times New Roman"/>
          <w:lang w:eastAsia="zh-HK"/>
        </w:rPr>
        <w:t xml:space="preserve"> [1984] 1 WLR 986 applied).</w:t>
      </w:r>
    </w:p>
    <w:p w:rsidR="009C3EB3" w:rsidRDefault="009C3EB3" w:rsidP="009C3EB3">
      <w:pPr>
        <w:pStyle w:val="a3"/>
        <w:overflowPunct w:val="0"/>
        <w:autoSpaceDE w:val="0"/>
        <w:autoSpaceDN w:val="0"/>
        <w:ind w:left="1560"/>
        <w:jc w:val="both"/>
        <w:rPr>
          <w:rFonts w:ascii="Times New Roman" w:eastAsia="新細明體" w:hAnsi="Times New Roman" w:cs="Times New Roman"/>
          <w:lang w:eastAsia="zh-HK"/>
        </w:rPr>
      </w:pPr>
    </w:p>
    <w:p w:rsidR="00FB1B70" w:rsidRPr="00E2313B" w:rsidRDefault="00FB1B70" w:rsidP="009C3EB3">
      <w:pPr>
        <w:pStyle w:val="a3"/>
        <w:numPr>
          <w:ilvl w:val="0"/>
          <w:numId w:val="25"/>
        </w:numPr>
        <w:overflowPunct w:val="0"/>
        <w:autoSpaceDE w:val="0"/>
        <w:autoSpaceDN w:val="0"/>
        <w:ind w:leftChars="450" w:left="1560" w:hangingChars="200" w:hanging="480"/>
        <w:jc w:val="both"/>
        <w:rPr>
          <w:rFonts w:ascii="Times New Roman" w:eastAsia="新細明體" w:hAnsi="Times New Roman" w:cs="Times New Roman"/>
          <w:lang w:eastAsia="zh-HK"/>
        </w:rPr>
      </w:pPr>
      <w:r>
        <w:rPr>
          <w:rFonts w:ascii="Times New Roman" w:eastAsia="新細明體" w:hAnsi="Times New Roman" w:cs="Times New Roman"/>
          <w:lang w:eastAsia="zh-HK"/>
        </w:rPr>
        <w:t>Since rental income of the Property received by the treasury company moved to REIT K’s account with the treasury company; and such money was identical in amount to the Manager’s fees that the Taxpayer said to have paid, the Taxpayer did pay the Manager’s fees.  The Manager’s fees enabled the Taxpayer to conduct profit producing activities with the Property.  Therefore, the Manager’s fees were deductible in the computing of assessable profits in the relevant years of assessment.</w:t>
      </w:r>
    </w:p>
    <w:p w:rsidR="00B538C1" w:rsidRPr="00FB1B70" w:rsidRDefault="00B538C1" w:rsidP="00156E21">
      <w:pPr>
        <w:tabs>
          <w:tab w:val="left" w:pos="840"/>
          <w:tab w:val="left" w:pos="1276"/>
        </w:tabs>
        <w:overflowPunct w:val="0"/>
        <w:autoSpaceDE w:val="0"/>
        <w:autoSpaceDN w:val="0"/>
        <w:jc w:val="both"/>
        <w:rPr>
          <w:rFonts w:ascii="Times New Roman" w:eastAsia="標楷體" w:hAnsi="Times New Roman" w:cs="Times New Roman"/>
          <w:lang w:eastAsia="zh-HK"/>
        </w:rPr>
      </w:pPr>
    </w:p>
    <w:p w:rsidR="00B538C1" w:rsidRPr="0069274C" w:rsidRDefault="00B538C1" w:rsidP="00156E21">
      <w:pPr>
        <w:tabs>
          <w:tab w:val="left" w:pos="840"/>
          <w:tab w:val="left" w:pos="1276"/>
        </w:tabs>
        <w:overflowPunct w:val="0"/>
        <w:autoSpaceDE w:val="0"/>
        <w:autoSpaceDN w:val="0"/>
        <w:jc w:val="both"/>
        <w:rPr>
          <w:rFonts w:ascii="Times New Roman" w:eastAsia="標楷體" w:hAnsi="Times New Roman" w:cs="Times New Roman"/>
          <w:lang w:eastAsia="zh-HK"/>
        </w:rPr>
      </w:pPr>
    </w:p>
    <w:p w:rsidR="00B538C1" w:rsidRPr="0069274C" w:rsidRDefault="00B538C1" w:rsidP="00156E21">
      <w:pPr>
        <w:tabs>
          <w:tab w:val="left" w:pos="1276"/>
        </w:tabs>
        <w:overflowPunct w:val="0"/>
        <w:autoSpaceDE w:val="0"/>
        <w:autoSpaceDN w:val="0"/>
        <w:jc w:val="both"/>
        <w:rPr>
          <w:rFonts w:ascii="Times New Roman" w:eastAsia="標楷體" w:hAnsi="Times New Roman" w:cs="Times New Roman"/>
          <w:b/>
          <w:lang w:eastAsia="zh-HK"/>
        </w:rPr>
      </w:pPr>
      <w:r w:rsidRPr="0069274C">
        <w:rPr>
          <w:rFonts w:ascii="Times New Roman" w:eastAsia="標楷體" w:hAnsi="Times New Roman" w:cs="Times New Roman"/>
          <w:b/>
          <w:lang w:eastAsia="zh-HK"/>
        </w:rPr>
        <w:t>Appeal allowed.</w:t>
      </w:r>
    </w:p>
    <w:p w:rsidR="00B538C1" w:rsidRPr="0069274C" w:rsidRDefault="00B538C1" w:rsidP="00156E21">
      <w:pPr>
        <w:tabs>
          <w:tab w:val="left" w:pos="1276"/>
        </w:tabs>
        <w:overflowPunct w:val="0"/>
        <w:autoSpaceDE w:val="0"/>
        <w:autoSpaceDN w:val="0"/>
        <w:jc w:val="both"/>
        <w:rPr>
          <w:rFonts w:ascii="Times New Roman" w:eastAsia="標楷體" w:hAnsi="Times New Roman" w:cs="Times New Roman"/>
          <w:lang w:eastAsia="zh-HK"/>
        </w:rPr>
      </w:pPr>
    </w:p>
    <w:p w:rsidR="00B538C1" w:rsidRPr="0069274C" w:rsidRDefault="00B538C1" w:rsidP="00156E21">
      <w:pPr>
        <w:tabs>
          <w:tab w:val="left" w:pos="1276"/>
        </w:tabs>
        <w:overflowPunct w:val="0"/>
        <w:autoSpaceDE w:val="0"/>
        <w:autoSpaceDN w:val="0"/>
        <w:jc w:val="both"/>
        <w:rPr>
          <w:rFonts w:ascii="Times New Roman" w:eastAsia="標楷體" w:hAnsi="Times New Roman" w:cs="Times New Roman"/>
          <w:lang w:eastAsia="zh-HK"/>
        </w:rPr>
      </w:pPr>
      <w:r w:rsidRPr="0069274C">
        <w:rPr>
          <w:rFonts w:ascii="Times New Roman" w:eastAsia="標楷體" w:hAnsi="Times New Roman" w:cs="Times New Roman"/>
          <w:lang w:eastAsia="zh-HK"/>
        </w:rPr>
        <w:t>Cases referred to:</w:t>
      </w:r>
    </w:p>
    <w:p w:rsidR="00B538C1" w:rsidRPr="0069274C" w:rsidRDefault="00B538C1" w:rsidP="00156E21">
      <w:pPr>
        <w:tabs>
          <w:tab w:val="left" w:pos="1276"/>
        </w:tabs>
        <w:overflowPunct w:val="0"/>
        <w:autoSpaceDE w:val="0"/>
        <w:autoSpaceDN w:val="0"/>
        <w:jc w:val="both"/>
        <w:rPr>
          <w:rFonts w:ascii="Times New Roman" w:eastAsia="標楷體" w:hAnsi="Times New Roman" w:cs="Times New Roman"/>
          <w:lang w:eastAsia="zh-HK"/>
        </w:rPr>
      </w:pPr>
    </w:p>
    <w:p w:rsidR="00B538C1" w:rsidRPr="0069274C" w:rsidRDefault="00B538C1" w:rsidP="00156E21">
      <w:pPr>
        <w:overflowPunct w:val="0"/>
        <w:autoSpaceDE w:val="0"/>
        <w:autoSpaceDN w:val="0"/>
        <w:ind w:leftChars="355" w:left="1212" w:hangingChars="150" w:hanging="360"/>
        <w:jc w:val="both"/>
        <w:rPr>
          <w:rFonts w:ascii="Times New Roman" w:eastAsia="標楷體" w:hAnsi="Times New Roman" w:cs="Times New Roman"/>
          <w:lang w:eastAsia="zh-HK"/>
        </w:rPr>
      </w:pPr>
      <w:r w:rsidRPr="0069274C">
        <w:rPr>
          <w:rFonts w:ascii="Times New Roman" w:eastAsia="標楷體" w:hAnsi="Times New Roman" w:cs="Times New Roman"/>
          <w:lang w:eastAsia="zh-HK"/>
        </w:rPr>
        <w:t>Kaifull Investments Limited v Commissioner of Inland Revenue [2012] 1 HKLRD 858</w:t>
      </w:r>
    </w:p>
    <w:p w:rsidR="00B538C1" w:rsidRPr="0069274C" w:rsidRDefault="00B538C1" w:rsidP="00156E21">
      <w:pPr>
        <w:overflowPunct w:val="0"/>
        <w:autoSpaceDE w:val="0"/>
        <w:autoSpaceDN w:val="0"/>
        <w:ind w:leftChars="355" w:left="1212" w:hangingChars="150" w:hanging="360"/>
        <w:jc w:val="both"/>
        <w:rPr>
          <w:rFonts w:ascii="Times New Roman" w:eastAsia="標楷體" w:hAnsi="Times New Roman" w:cs="Times New Roman"/>
          <w:lang w:eastAsia="zh-HK"/>
        </w:rPr>
      </w:pPr>
      <w:r w:rsidRPr="0069274C">
        <w:rPr>
          <w:rFonts w:ascii="Times New Roman" w:eastAsia="標楷體" w:hAnsi="Times New Roman" w:cs="Times New Roman"/>
          <w:lang w:eastAsia="zh-HK"/>
        </w:rPr>
        <w:t>Browne v Dunn (1894) 6 R 47</w:t>
      </w:r>
    </w:p>
    <w:p w:rsidR="00B538C1" w:rsidRPr="0069274C" w:rsidRDefault="00B538C1" w:rsidP="00156E21">
      <w:pPr>
        <w:overflowPunct w:val="0"/>
        <w:autoSpaceDE w:val="0"/>
        <w:autoSpaceDN w:val="0"/>
        <w:ind w:leftChars="355" w:left="1212" w:hangingChars="150" w:hanging="360"/>
        <w:jc w:val="both"/>
        <w:rPr>
          <w:rFonts w:ascii="Times New Roman" w:eastAsia="標楷體" w:hAnsi="Times New Roman" w:cs="Times New Roman"/>
          <w:lang w:eastAsia="zh-HK"/>
        </w:rPr>
      </w:pPr>
      <w:r w:rsidRPr="0069274C">
        <w:rPr>
          <w:rFonts w:ascii="Times New Roman" w:eastAsia="標楷體" w:hAnsi="Times New Roman" w:cs="Times New Roman"/>
          <w:lang w:eastAsia="zh-HK"/>
        </w:rPr>
        <w:t>Commissioner of Inland Revenue v Lo &amp; Lo (a firm) [1984] 1 WLR 986</w:t>
      </w:r>
    </w:p>
    <w:p w:rsidR="00B538C1" w:rsidRPr="0069274C" w:rsidRDefault="00B538C1" w:rsidP="00156E21">
      <w:pPr>
        <w:overflowPunct w:val="0"/>
        <w:autoSpaceDE w:val="0"/>
        <w:autoSpaceDN w:val="0"/>
        <w:ind w:leftChars="355" w:left="1212" w:hangingChars="150" w:hanging="360"/>
        <w:jc w:val="both"/>
        <w:rPr>
          <w:rFonts w:ascii="Times New Roman" w:eastAsia="標楷體" w:hAnsi="Times New Roman" w:cs="Times New Roman"/>
          <w:lang w:eastAsia="zh-HK"/>
        </w:rPr>
      </w:pPr>
      <w:r w:rsidRPr="0069274C">
        <w:rPr>
          <w:rFonts w:ascii="Times New Roman" w:eastAsia="標楷體" w:hAnsi="Times New Roman" w:cs="Times New Roman"/>
          <w:lang w:eastAsia="zh-HK"/>
        </w:rPr>
        <w:t>Commissioner of Inland Revenue v Lo &amp; Lo [1982] HKLR 503</w:t>
      </w:r>
    </w:p>
    <w:p w:rsidR="00B538C1" w:rsidRPr="0069274C" w:rsidRDefault="00B538C1" w:rsidP="00156E21">
      <w:pPr>
        <w:tabs>
          <w:tab w:val="left" w:pos="1276"/>
        </w:tabs>
        <w:overflowPunct w:val="0"/>
        <w:autoSpaceDE w:val="0"/>
        <w:autoSpaceDN w:val="0"/>
        <w:ind w:leftChars="425" w:left="1020"/>
        <w:jc w:val="both"/>
        <w:rPr>
          <w:rFonts w:ascii="Times New Roman" w:eastAsia="標楷體" w:hAnsi="Times New Roman" w:cs="Times New Roman"/>
          <w:lang w:eastAsia="zh-HK"/>
        </w:rPr>
      </w:pPr>
    </w:p>
    <w:p w:rsidR="00B538C1" w:rsidRPr="0069274C" w:rsidRDefault="00B538C1" w:rsidP="00B07CB8">
      <w:pPr>
        <w:tabs>
          <w:tab w:val="left" w:pos="1276"/>
        </w:tabs>
        <w:overflowPunct w:val="0"/>
        <w:autoSpaceDE w:val="0"/>
        <w:autoSpaceDN w:val="0"/>
        <w:ind w:left="360" w:hangingChars="150" w:hanging="360"/>
        <w:jc w:val="both"/>
        <w:rPr>
          <w:rFonts w:ascii="Times New Roman" w:eastAsia="標楷體" w:hAnsi="Times New Roman" w:cs="Times New Roman"/>
          <w:lang w:eastAsia="zh-HK"/>
        </w:rPr>
      </w:pPr>
      <w:r w:rsidRPr="0069274C">
        <w:rPr>
          <w:rFonts w:ascii="Times New Roman" w:eastAsia="標楷體" w:hAnsi="Times New Roman" w:cs="Times New Roman"/>
          <w:lang w:eastAsia="zh-HK"/>
        </w:rPr>
        <w:t xml:space="preserve">Stewart Wong SC and Julian Lam, Counsel, instructed by Woo Kwan Lee &amp; Lo, for the Appellant. </w:t>
      </w:r>
    </w:p>
    <w:p w:rsidR="00B538C1" w:rsidRPr="0069274C" w:rsidRDefault="00B538C1" w:rsidP="00B07CB8">
      <w:pPr>
        <w:tabs>
          <w:tab w:val="left" w:pos="1276"/>
        </w:tabs>
        <w:overflowPunct w:val="0"/>
        <w:autoSpaceDE w:val="0"/>
        <w:autoSpaceDN w:val="0"/>
        <w:ind w:left="360" w:hangingChars="150" w:hanging="360"/>
        <w:jc w:val="both"/>
        <w:rPr>
          <w:rFonts w:ascii="Times New Roman" w:eastAsia="標楷體" w:hAnsi="Times New Roman" w:cs="Times New Roman"/>
          <w:lang w:eastAsia="zh-HK"/>
        </w:rPr>
      </w:pPr>
      <w:r w:rsidRPr="0069274C">
        <w:rPr>
          <w:rFonts w:ascii="Times New Roman" w:eastAsia="標楷體" w:hAnsi="Times New Roman" w:cs="Times New Roman"/>
          <w:lang w:eastAsia="zh-HK"/>
        </w:rPr>
        <w:t>Kenneth Kwok SC and Paul HM Leung, Counsel, instructed by the Department of Justice, for the Commissioner of Inland Revenue.</w:t>
      </w:r>
    </w:p>
    <w:p w:rsidR="00B538C1" w:rsidRPr="0069274C" w:rsidRDefault="00B538C1" w:rsidP="00156E21">
      <w:pPr>
        <w:tabs>
          <w:tab w:val="left" w:pos="1276"/>
        </w:tabs>
        <w:overflowPunct w:val="0"/>
        <w:autoSpaceDE w:val="0"/>
        <w:autoSpaceDN w:val="0"/>
        <w:jc w:val="both"/>
        <w:rPr>
          <w:rFonts w:ascii="Times New Roman" w:eastAsia="標楷體" w:hAnsi="Times New Roman" w:cs="Times New Roman"/>
          <w:lang w:eastAsia="zh-HK"/>
        </w:rPr>
      </w:pPr>
    </w:p>
    <w:p w:rsidR="0069274C" w:rsidRPr="0069274C" w:rsidRDefault="0069274C" w:rsidP="00156E21">
      <w:pPr>
        <w:tabs>
          <w:tab w:val="left" w:pos="1276"/>
        </w:tabs>
        <w:overflowPunct w:val="0"/>
        <w:autoSpaceDE w:val="0"/>
        <w:autoSpaceDN w:val="0"/>
        <w:jc w:val="both"/>
        <w:rPr>
          <w:rFonts w:ascii="Times New Roman" w:eastAsia="標楷體" w:hAnsi="Times New Roman" w:cs="Times New Roman"/>
          <w:lang w:eastAsia="zh-HK"/>
        </w:rPr>
      </w:pPr>
    </w:p>
    <w:p w:rsidR="00196A6C" w:rsidRPr="0069274C" w:rsidRDefault="0069274C" w:rsidP="00156E21">
      <w:pPr>
        <w:overflowPunct w:val="0"/>
        <w:autoSpaceDE w:val="0"/>
        <w:autoSpaceDN w:val="0"/>
        <w:rPr>
          <w:rFonts w:ascii="Times New Roman" w:eastAsia="標楷體" w:hAnsi="Times New Roman" w:cs="Times New Roman"/>
          <w:b/>
        </w:rPr>
      </w:pPr>
      <w:r w:rsidRPr="0069274C">
        <w:rPr>
          <w:rFonts w:ascii="Times New Roman" w:eastAsia="標楷體" w:hAnsi="Times New Roman" w:cs="Times New Roman"/>
          <w:b/>
        </w:rPr>
        <w:t>Decision</w:t>
      </w:r>
      <w:r>
        <w:rPr>
          <w:rFonts w:ascii="Times New Roman" w:eastAsia="標楷體" w:hAnsi="Times New Roman" w:cs="Times New Roman"/>
          <w:b/>
        </w:rPr>
        <w:t>:</w:t>
      </w:r>
    </w:p>
    <w:p w:rsidR="004E5B39" w:rsidRDefault="004E5B39" w:rsidP="00156E21">
      <w:pPr>
        <w:overflowPunct w:val="0"/>
        <w:autoSpaceDE w:val="0"/>
        <w:autoSpaceDN w:val="0"/>
        <w:jc w:val="both"/>
        <w:rPr>
          <w:rFonts w:ascii="Times New Roman" w:eastAsia="標楷體" w:hAnsi="Times New Roman" w:cs="Times New Roman"/>
        </w:rPr>
      </w:pPr>
    </w:p>
    <w:p w:rsidR="00B53D6E" w:rsidRDefault="00B53D6E" w:rsidP="00156E21">
      <w:pPr>
        <w:overflowPunct w:val="0"/>
        <w:autoSpaceDE w:val="0"/>
        <w:autoSpaceDN w:val="0"/>
        <w:jc w:val="both"/>
        <w:rPr>
          <w:rFonts w:ascii="Times New Roman" w:eastAsia="標楷體" w:hAnsi="Times New Roman" w:cs="Times New Roman"/>
        </w:rPr>
      </w:pPr>
    </w:p>
    <w:p w:rsidR="00196A6C" w:rsidRPr="004012A2" w:rsidRDefault="00196A6C" w:rsidP="00156E21">
      <w:pPr>
        <w:overflowPunct w:val="0"/>
        <w:autoSpaceDE w:val="0"/>
        <w:autoSpaceDN w:val="0"/>
        <w:jc w:val="both"/>
        <w:rPr>
          <w:rFonts w:ascii="Times New Roman" w:eastAsia="標楷體" w:hAnsi="Times New Roman" w:cs="Times New Roman"/>
          <w:b/>
        </w:rPr>
      </w:pPr>
      <w:r w:rsidRPr="004012A2">
        <w:rPr>
          <w:rFonts w:ascii="Times New Roman" w:eastAsia="標楷體" w:hAnsi="Times New Roman" w:cs="Times New Roman"/>
          <w:b/>
        </w:rPr>
        <w:t>Introduction</w:t>
      </w:r>
    </w:p>
    <w:p w:rsidR="00196A6C" w:rsidRPr="0069274C" w:rsidRDefault="00196A6C" w:rsidP="00156E21">
      <w:pPr>
        <w:overflowPunct w:val="0"/>
        <w:autoSpaceDE w:val="0"/>
        <w:autoSpaceDN w:val="0"/>
        <w:jc w:val="both"/>
        <w:rPr>
          <w:rFonts w:ascii="Times New Roman" w:eastAsia="標楷體" w:hAnsi="Times New Roman" w:cs="Times New Roman"/>
        </w:rPr>
      </w:pPr>
    </w:p>
    <w:p w:rsidR="00AD1D2C" w:rsidRPr="0069274C" w:rsidRDefault="00AD1D2C"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This Appeal was </w:t>
      </w:r>
      <w:r w:rsidR="0066236C" w:rsidRPr="0069274C">
        <w:rPr>
          <w:rFonts w:ascii="Times New Roman" w:eastAsia="標楷體" w:hAnsi="Times New Roman" w:cs="Times New Roman"/>
        </w:rPr>
        <w:t>lodged by</w:t>
      </w:r>
      <w:r w:rsidRPr="0069274C">
        <w:rPr>
          <w:rFonts w:ascii="Times New Roman" w:eastAsia="標楷體" w:hAnsi="Times New Roman" w:cs="Times New Roman"/>
        </w:rPr>
        <w:t xml:space="preserve"> the Appellant/Taxpayer</w:t>
      </w:r>
      <w:r w:rsidR="0066236C" w:rsidRPr="0069274C">
        <w:rPr>
          <w:rFonts w:ascii="Times New Roman" w:eastAsia="標楷體" w:hAnsi="Times New Roman" w:cs="Times New Roman"/>
        </w:rPr>
        <w:t xml:space="preserve">, </w:t>
      </w:r>
      <w:r w:rsidR="004012A2">
        <w:rPr>
          <w:rFonts w:ascii="Times New Roman" w:eastAsia="標楷體" w:hAnsi="Times New Roman" w:cs="Times New Roman"/>
        </w:rPr>
        <w:t>Company A</w:t>
      </w:r>
      <w:r w:rsidR="0066236C" w:rsidRPr="0069274C">
        <w:rPr>
          <w:rFonts w:ascii="Times New Roman" w:eastAsia="標楷體" w:hAnsi="Times New Roman" w:cs="Times New Roman"/>
        </w:rPr>
        <w:t>,</w:t>
      </w:r>
      <w:r w:rsidRPr="0069274C">
        <w:rPr>
          <w:rFonts w:ascii="Times New Roman" w:eastAsia="標楷體" w:hAnsi="Times New Roman" w:cs="Times New Roman"/>
        </w:rPr>
        <w:t xml:space="preserve"> </w:t>
      </w:r>
      <w:r w:rsidR="0066236C" w:rsidRPr="0069274C">
        <w:rPr>
          <w:rFonts w:ascii="Times New Roman" w:eastAsia="標楷體" w:hAnsi="Times New Roman" w:cs="Times New Roman"/>
        </w:rPr>
        <w:t xml:space="preserve">against the Determination of the Deputy Commissioner of Inland Revenue dated </w:t>
      </w:r>
      <w:r w:rsidR="00F46AE9" w:rsidRPr="0069274C">
        <w:rPr>
          <w:rFonts w:ascii="Times New Roman" w:eastAsia="標楷體" w:hAnsi="Times New Roman" w:cs="Times New Roman"/>
        </w:rPr>
        <w:t>26 April</w:t>
      </w:r>
      <w:r w:rsidR="006100FA" w:rsidRPr="0069274C">
        <w:rPr>
          <w:rFonts w:ascii="Times New Roman" w:eastAsia="標楷體" w:hAnsi="Times New Roman" w:cs="Times New Roman"/>
        </w:rPr>
        <w:t xml:space="preserve"> 2018</w:t>
      </w:r>
      <w:r w:rsidR="0066236C" w:rsidRPr="0069274C">
        <w:rPr>
          <w:rFonts w:ascii="Times New Roman" w:eastAsia="標楷體" w:hAnsi="Times New Roman" w:cs="Times New Roman"/>
        </w:rPr>
        <w:t xml:space="preserve"> </w:t>
      </w:r>
      <w:r w:rsidR="0066236C" w:rsidRPr="0069274C">
        <w:rPr>
          <w:rFonts w:ascii="Times New Roman" w:eastAsia="標楷體" w:hAnsi="Times New Roman" w:cs="Times New Roman"/>
        </w:rPr>
        <w:lastRenderedPageBreak/>
        <w:t>re</w:t>
      </w:r>
      <w:r w:rsidR="00F46AE9" w:rsidRPr="0069274C">
        <w:rPr>
          <w:rFonts w:ascii="Times New Roman" w:eastAsia="標楷體" w:hAnsi="Times New Roman" w:cs="Times New Roman"/>
        </w:rPr>
        <w:t>vising</w:t>
      </w:r>
      <w:r w:rsidR="0066236C" w:rsidRPr="0069274C">
        <w:rPr>
          <w:rFonts w:ascii="Times New Roman" w:eastAsia="標楷體" w:hAnsi="Times New Roman" w:cs="Times New Roman"/>
        </w:rPr>
        <w:t xml:space="preserve"> the </w:t>
      </w:r>
      <w:r w:rsidR="00F46AE9" w:rsidRPr="0069274C">
        <w:rPr>
          <w:rFonts w:ascii="Times New Roman" w:eastAsia="標楷體" w:hAnsi="Times New Roman" w:cs="Times New Roman"/>
        </w:rPr>
        <w:t>Additional Profits</w:t>
      </w:r>
      <w:r w:rsidR="0066236C" w:rsidRPr="0069274C">
        <w:rPr>
          <w:rFonts w:ascii="Times New Roman" w:eastAsia="標楷體" w:hAnsi="Times New Roman" w:cs="Times New Roman"/>
        </w:rPr>
        <w:t xml:space="preserve"> Tax </w:t>
      </w:r>
      <w:r w:rsidR="004012A2">
        <w:rPr>
          <w:rFonts w:ascii="Times New Roman" w:eastAsia="標楷體" w:hAnsi="Times New Roman" w:cs="Times New Roman"/>
        </w:rPr>
        <w:t>A</w:t>
      </w:r>
      <w:r w:rsidR="0066236C" w:rsidRPr="0069274C">
        <w:rPr>
          <w:rFonts w:ascii="Times New Roman" w:eastAsia="標楷體" w:hAnsi="Times New Roman" w:cs="Times New Roman"/>
        </w:rPr>
        <w:t>ssessment for the year</w:t>
      </w:r>
      <w:r w:rsidR="00E65A91">
        <w:rPr>
          <w:rFonts w:ascii="Times New Roman" w:eastAsia="標楷體" w:hAnsi="Times New Roman" w:cs="Times New Roman"/>
        </w:rPr>
        <w:t>s</w:t>
      </w:r>
      <w:r w:rsidR="0066236C" w:rsidRPr="0069274C">
        <w:rPr>
          <w:rFonts w:ascii="Times New Roman" w:eastAsia="標楷體" w:hAnsi="Times New Roman" w:cs="Times New Roman"/>
        </w:rPr>
        <w:t xml:space="preserve"> of assessment </w:t>
      </w:r>
      <w:r w:rsidR="006100FA" w:rsidRPr="0069274C">
        <w:rPr>
          <w:rFonts w:ascii="Times New Roman" w:eastAsia="標楷體" w:hAnsi="Times New Roman" w:cs="Times New Roman"/>
        </w:rPr>
        <w:t>20</w:t>
      </w:r>
      <w:r w:rsidR="00F46AE9" w:rsidRPr="0069274C">
        <w:rPr>
          <w:rFonts w:ascii="Times New Roman" w:eastAsia="標楷體" w:hAnsi="Times New Roman" w:cs="Times New Roman"/>
        </w:rPr>
        <w:t>07</w:t>
      </w:r>
      <w:r w:rsidR="006100FA" w:rsidRPr="0069274C">
        <w:rPr>
          <w:rFonts w:ascii="Times New Roman" w:eastAsia="標楷體" w:hAnsi="Times New Roman" w:cs="Times New Roman"/>
        </w:rPr>
        <w:t>/</w:t>
      </w:r>
      <w:r w:rsidR="00F46AE9" w:rsidRPr="0069274C">
        <w:rPr>
          <w:rFonts w:ascii="Times New Roman" w:eastAsia="標楷體" w:hAnsi="Times New Roman" w:cs="Times New Roman"/>
        </w:rPr>
        <w:t xml:space="preserve">08 to 2012/13 and the Profits Tax </w:t>
      </w:r>
      <w:r w:rsidR="004012A2">
        <w:rPr>
          <w:rFonts w:ascii="Times New Roman" w:eastAsia="標楷體" w:hAnsi="Times New Roman" w:cs="Times New Roman"/>
        </w:rPr>
        <w:t>A</w:t>
      </w:r>
      <w:r w:rsidR="00F46AE9" w:rsidRPr="0069274C">
        <w:rPr>
          <w:rFonts w:ascii="Times New Roman" w:eastAsia="標楷體" w:hAnsi="Times New Roman" w:cs="Times New Roman"/>
        </w:rPr>
        <w:t>ssessment for the year</w:t>
      </w:r>
      <w:r w:rsidR="00CD7BC8">
        <w:rPr>
          <w:rFonts w:ascii="Times New Roman" w:eastAsia="標楷體" w:hAnsi="Times New Roman" w:cs="Times New Roman"/>
        </w:rPr>
        <w:t>s</w:t>
      </w:r>
      <w:r w:rsidR="00F46AE9" w:rsidRPr="0069274C">
        <w:rPr>
          <w:rFonts w:ascii="Times New Roman" w:eastAsia="標楷體" w:hAnsi="Times New Roman" w:cs="Times New Roman"/>
        </w:rPr>
        <w:t xml:space="preserve"> of assessment 2013/14 to 2015/16</w:t>
      </w:r>
      <w:r w:rsidR="0066236C" w:rsidRPr="0069274C">
        <w:rPr>
          <w:rFonts w:ascii="Times New Roman" w:eastAsia="標楷體" w:hAnsi="Times New Roman" w:cs="Times New Roman"/>
        </w:rPr>
        <w:t xml:space="preserve"> </w:t>
      </w:r>
      <w:r w:rsidR="00F46AE9" w:rsidRPr="0069274C">
        <w:rPr>
          <w:rFonts w:ascii="Times New Roman" w:eastAsia="標楷體" w:hAnsi="Times New Roman" w:cs="Times New Roman"/>
        </w:rPr>
        <w:t xml:space="preserve">but rejecting the Taxpayer’s claim for the deduction of sums referred to in this Appeal as </w:t>
      </w:r>
      <w:r w:rsidR="0093763E" w:rsidRPr="0069274C">
        <w:rPr>
          <w:rFonts w:ascii="Times New Roman" w:eastAsia="標楷體" w:hAnsi="Times New Roman" w:cs="Times New Roman"/>
        </w:rPr>
        <w:t>Manager’s</w:t>
      </w:r>
      <w:r w:rsidR="00F46AE9" w:rsidRPr="0069274C">
        <w:rPr>
          <w:rFonts w:ascii="Times New Roman" w:eastAsia="標楷體" w:hAnsi="Times New Roman" w:cs="Times New Roman"/>
        </w:rPr>
        <w:t xml:space="preserve"> Fees in the computing of the assessable profits</w:t>
      </w:r>
      <w:r w:rsidR="006100FA" w:rsidRPr="0069274C">
        <w:rPr>
          <w:rFonts w:ascii="Times New Roman" w:eastAsia="標楷體" w:hAnsi="Times New Roman" w:cs="Times New Roman"/>
        </w:rPr>
        <w:t xml:space="preserve"> </w:t>
      </w:r>
      <w:r w:rsidR="0066236C" w:rsidRPr="0069274C">
        <w:rPr>
          <w:rFonts w:ascii="Times New Roman" w:eastAsia="標楷體" w:hAnsi="Times New Roman" w:cs="Times New Roman"/>
        </w:rPr>
        <w:t>(</w:t>
      </w:r>
      <w:r w:rsidR="0069274C">
        <w:rPr>
          <w:rFonts w:ascii="Times New Roman" w:eastAsia="標楷體" w:hAnsi="Times New Roman" w:cs="Times New Roman"/>
        </w:rPr>
        <w:t>‘</w:t>
      </w:r>
      <w:r w:rsidR="0066236C" w:rsidRPr="0069274C">
        <w:rPr>
          <w:rFonts w:ascii="Times New Roman" w:eastAsia="標楷體" w:hAnsi="Times New Roman" w:cs="Times New Roman"/>
        </w:rPr>
        <w:t>the Determination</w:t>
      </w:r>
      <w:r w:rsidR="0069274C">
        <w:rPr>
          <w:rFonts w:ascii="Times New Roman" w:eastAsia="標楷體" w:hAnsi="Times New Roman" w:cs="Times New Roman"/>
        </w:rPr>
        <w:t>’</w:t>
      </w:r>
      <w:r w:rsidR="0066236C" w:rsidRPr="0069274C">
        <w:rPr>
          <w:rFonts w:ascii="Times New Roman" w:eastAsia="標楷體" w:hAnsi="Times New Roman" w:cs="Times New Roman"/>
        </w:rPr>
        <w:t>)</w:t>
      </w:r>
      <w:r w:rsidRPr="0069274C">
        <w:rPr>
          <w:rFonts w:ascii="Times New Roman" w:eastAsia="標楷體" w:hAnsi="Times New Roman" w:cs="Times New Roman"/>
        </w:rPr>
        <w:t xml:space="preserve">. </w:t>
      </w:r>
    </w:p>
    <w:p w:rsidR="00AD1D2C" w:rsidRPr="0069274C" w:rsidRDefault="00AD1D2C" w:rsidP="00156E21">
      <w:pPr>
        <w:overflowPunct w:val="0"/>
        <w:autoSpaceDE w:val="0"/>
        <w:autoSpaceDN w:val="0"/>
        <w:jc w:val="both"/>
        <w:rPr>
          <w:rFonts w:ascii="Times New Roman" w:eastAsia="標楷體" w:hAnsi="Times New Roman" w:cs="Times New Roman"/>
        </w:rPr>
      </w:pPr>
    </w:p>
    <w:p w:rsidR="00AD1D2C" w:rsidRPr="0069274C" w:rsidRDefault="00AD1D2C"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The </w:t>
      </w:r>
      <w:r w:rsidR="00DB1E82" w:rsidRPr="0069274C">
        <w:rPr>
          <w:rFonts w:ascii="Times New Roman" w:eastAsia="標楷體" w:hAnsi="Times New Roman" w:cs="Times New Roman"/>
        </w:rPr>
        <w:t>Taxpayer’s Notice of Appeal</w:t>
      </w:r>
      <w:r w:rsidR="00281935" w:rsidRPr="0069274C">
        <w:rPr>
          <w:rFonts w:ascii="Times New Roman" w:eastAsia="標楷體" w:hAnsi="Times New Roman" w:cs="Times New Roman"/>
        </w:rPr>
        <w:t xml:space="preserve">, which </w:t>
      </w:r>
      <w:r w:rsidR="00F46AE9" w:rsidRPr="0069274C">
        <w:rPr>
          <w:rFonts w:ascii="Times New Roman" w:eastAsia="標楷體" w:hAnsi="Times New Roman" w:cs="Times New Roman"/>
        </w:rPr>
        <w:t>the Taxpayer</w:t>
      </w:r>
      <w:r w:rsidR="00281935" w:rsidRPr="0069274C">
        <w:rPr>
          <w:rFonts w:ascii="Times New Roman" w:eastAsia="標楷體" w:hAnsi="Times New Roman" w:cs="Times New Roman"/>
        </w:rPr>
        <w:t xml:space="preserve"> lodged with the Clerk to the Board of Review</w:t>
      </w:r>
      <w:r w:rsidR="00F46AE9" w:rsidRPr="0069274C">
        <w:rPr>
          <w:rFonts w:ascii="Times New Roman" w:eastAsia="標楷體" w:hAnsi="Times New Roman" w:cs="Times New Roman"/>
        </w:rPr>
        <w:t xml:space="preserve"> through its legal representatives on 21 May 2018</w:t>
      </w:r>
      <w:r w:rsidR="00281935" w:rsidRPr="0069274C">
        <w:rPr>
          <w:rFonts w:ascii="Times New Roman" w:eastAsia="標楷體" w:hAnsi="Times New Roman" w:cs="Times New Roman"/>
        </w:rPr>
        <w:t>,</w:t>
      </w:r>
      <w:r w:rsidR="00F46AE9" w:rsidRPr="0069274C">
        <w:rPr>
          <w:rFonts w:ascii="Times New Roman" w:eastAsia="標楷體" w:hAnsi="Times New Roman" w:cs="Times New Roman"/>
        </w:rPr>
        <w:t xml:space="preserve"> was amended on 17 January 2019. These amended grounds of appeal </w:t>
      </w:r>
      <w:r w:rsidR="003E3EE9" w:rsidRPr="0069274C">
        <w:rPr>
          <w:rFonts w:ascii="Times New Roman" w:eastAsia="標楷體" w:hAnsi="Times New Roman" w:cs="Times New Roman"/>
        </w:rPr>
        <w:t>concern</w:t>
      </w:r>
      <w:r w:rsidR="008B3A99" w:rsidRPr="0069274C">
        <w:rPr>
          <w:rFonts w:ascii="Times New Roman" w:eastAsia="標楷體" w:hAnsi="Times New Roman" w:cs="Times New Roman"/>
        </w:rPr>
        <w:t xml:space="preserve"> the principal submission that the </w:t>
      </w:r>
      <w:r w:rsidR="00082507" w:rsidRPr="0069274C">
        <w:rPr>
          <w:rFonts w:ascii="Times New Roman" w:eastAsia="標楷體" w:hAnsi="Times New Roman" w:cs="Times New Roman"/>
        </w:rPr>
        <w:t>Manage</w:t>
      </w:r>
      <w:r w:rsidR="00082507">
        <w:rPr>
          <w:rFonts w:ascii="Times New Roman" w:eastAsia="標楷體" w:hAnsi="Times New Roman" w:cs="Times New Roman"/>
        </w:rPr>
        <w:t>r’s</w:t>
      </w:r>
      <w:r w:rsidR="00082507" w:rsidRPr="0069274C">
        <w:rPr>
          <w:rFonts w:ascii="Times New Roman" w:eastAsia="標楷體" w:hAnsi="Times New Roman" w:cs="Times New Roman"/>
        </w:rPr>
        <w:t xml:space="preserve"> </w:t>
      </w:r>
      <w:r w:rsidR="008B3A99" w:rsidRPr="0069274C">
        <w:rPr>
          <w:rFonts w:ascii="Times New Roman" w:eastAsia="標楷體" w:hAnsi="Times New Roman" w:cs="Times New Roman"/>
        </w:rPr>
        <w:t>Fees</w:t>
      </w:r>
      <w:r w:rsidR="00082507" w:rsidRPr="0069274C">
        <w:rPr>
          <w:rFonts w:ascii="Times New Roman" w:eastAsia="標楷體" w:hAnsi="Times New Roman" w:cs="Times New Roman"/>
        </w:rPr>
        <w:t xml:space="preserve"> </w:t>
      </w:r>
      <w:r w:rsidR="008B3A99" w:rsidRPr="0069274C">
        <w:rPr>
          <w:rFonts w:ascii="Times New Roman" w:eastAsia="標楷體" w:hAnsi="Times New Roman" w:cs="Times New Roman"/>
        </w:rPr>
        <w:t xml:space="preserve">were deductible under section 16(1) of the Inland Revenue Ordinance </w:t>
      </w:r>
      <w:r w:rsidR="00737FBC" w:rsidRPr="0069274C">
        <w:rPr>
          <w:rFonts w:ascii="Times New Roman" w:eastAsia="標楷體" w:hAnsi="Times New Roman" w:cs="Times New Roman"/>
        </w:rPr>
        <w:t>(C</w:t>
      </w:r>
      <w:r w:rsidR="0069274C">
        <w:rPr>
          <w:rFonts w:ascii="Times New Roman" w:eastAsia="標楷體" w:hAnsi="Times New Roman" w:cs="Times New Roman"/>
        </w:rPr>
        <w:t>h</w:t>
      </w:r>
      <w:r w:rsidR="00737FBC" w:rsidRPr="0069274C">
        <w:rPr>
          <w:rFonts w:ascii="Times New Roman" w:eastAsia="標楷體" w:hAnsi="Times New Roman" w:cs="Times New Roman"/>
        </w:rPr>
        <w:t>ap</w:t>
      </w:r>
      <w:r w:rsidR="0069274C">
        <w:rPr>
          <w:rFonts w:ascii="Times New Roman" w:eastAsia="標楷體" w:hAnsi="Times New Roman" w:cs="Times New Roman"/>
        </w:rPr>
        <w:t>ter</w:t>
      </w:r>
      <w:r w:rsidR="00737FBC" w:rsidRPr="0069274C">
        <w:rPr>
          <w:rFonts w:ascii="Times New Roman" w:eastAsia="標楷體" w:hAnsi="Times New Roman" w:cs="Times New Roman"/>
        </w:rPr>
        <w:t xml:space="preserve"> 112</w:t>
      </w:r>
      <w:r w:rsidR="008B3A99" w:rsidRPr="0069274C">
        <w:rPr>
          <w:rFonts w:ascii="Times New Roman" w:eastAsia="標楷體" w:hAnsi="Times New Roman" w:cs="Times New Roman"/>
        </w:rPr>
        <w:t>)</w:t>
      </w:r>
      <w:r w:rsidR="00E65A91">
        <w:rPr>
          <w:rFonts w:ascii="Times New Roman" w:eastAsia="標楷體" w:hAnsi="Times New Roman" w:cs="Times New Roman"/>
        </w:rPr>
        <w:t xml:space="preserve"> (</w:t>
      </w:r>
      <w:r w:rsidR="00082507">
        <w:rPr>
          <w:rFonts w:ascii="Times New Roman" w:eastAsia="標楷體" w:hAnsi="Times New Roman" w:cs="Times New Roman"/>
        </w:rPr>
        <w:t>‘</w:t>
      </w:r>
      <w:r w:rsidR="00E65A91">
        <w:rPr>
          <w:rFonts w:ascii="Times New Roman" w:eastAsia="標楷體" w:hAnsi="Times New Roman" w:cs="Times New Roman"/>
        </w:rPr>
        <w:t>IRO</w:t>
      </w:r>
      <w:r w:rsidR="00082507">
        <w:rPr>
          <w:rFonts w:ascii="Times New Roman" w:eastAsia="標楷體" w:hAnsi="Times New Roman" w:cs="Times New Roman"/>
        </w:rPr>
        <w:t>’</w:t>
      </w:r>
      <w:r w:rsidR="00E65A91">
        <w:rPr>
          <w:rFonts w:ascii="Times New Roman" w:eastAsia="標楷體" w:hAnsi="Times New Roman" w:cs="Times New Roman"/>
        </w:rPr>
        <w:t>)</w:t>
      </w:r>
      <w:r w:rsidR="00FD5BA4" w:rsidRPr="0069274C">
        <w:rPr>
          <w:rFonts w:ascii="Times New Roman" w:eastAsia="標楷體" w:hAnsi="Times New Roman" w:cs="Times New Roman"/>
        </w:rPr>
        <w:t xml:space="preserve">. </w:t>
      </w:r>
    </w:p>
    <w:p w:rsidR="00B22500" w:rsidRPr="0069274C" w:rsidRDefault="00B22500" w:rsidP="00156E21">
      <w:pPr>
        <w:overflowPunct w:val="0"/>
        <w:autoSpaceDE w:val="0"/>
        <w:autoSpaceDN w:val="0"/>
        <w:jc w:val="both"/>
        <w:rPr>
          <w:rFonts w:ascii="Times New Roman" w:eastAsia="標楷體" w:hAnsi="Times New Roman" w:cs="Times New Roman"/>
        </w:rPr>
      </w:pPr>
    </w:p>
    <w:p w:rsidR="00281935" w:rsidRPr="0069274C" w:rsidRDefault="004D15C2"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This Board </w:t>
      </w:r>
      <w:r w:rsidR="00447F6E" w:rsidRPr="0069274C">
        <w:rPr>
          <w:rFonts w:ascii="Times New Roman" w:eastAsia="標楷體" w:hAnsi="Times New Roman" w:cs="Times New Roman"/>
        </w:rPr>
        <w:t>held</w:t>
      </w:r>
      <w:r w:rsidRPr="0069274C">
        <w:rPr>
          <w:rFonts w:ascii="Times New Roman" w:eastAsia="標楷體" w:hAnsi="Times New Roman" w:cs="Times New Roman"/>
        </w:rPr>
        <w:t xml:space="preserve"> the</w:t>
      </w:r>
      <w:r w:rsidR="00447F6E" w:rsidRPr="0069274C">
        <w:rPr>
          <w:rFonts w:ascii="Times New Roman" w:eastAsia="標楷體" w:hAnsi="Times New Roman" w:cs="Times New Roman"/>
        </w:rPr>
        <w:t xml:space="preserve"> hearing of </w:t>
      </w:r>
      <w:r w:rsidR="00DB1E82" w:rsidRPr="0069274C">
        <w:rPr>
          <w:rFonts w:ascii="Times New Roman" w:eastAsia="標楷體" w:hAnsi="Times New Roman" w:cs="Times New Roman"/>
        </w:rPr>
        <w:t>this</w:t>
      </w:r>
      <w:r w:rsidR="00447F6E" w:rsidRPr="0069274C">
        <w:rPr>
          <w:rFonts w:ascii="Times New Roman" w:eastAsia="標楷體" w:hAnsi="Times New Roman" w:cs="Times New Roman"/>
        </w:rPr>
        <w:t xml:space="preserve"> Appeal</w:t>
      </w:r>
      <w:r w:rsidRPr="0069274C">
        <w:rPr>
          <w:rFonts w:ascii="Times New Roman" w:eastAsia="標楷體" w:hAnsi="Times New Roman" w:cs="Times New Roman"/>
        </w:rPr>
        <w:t xml:space="preserve"> </w:t>
      </w:r>
      <w:r w:rsidR="00DE1DA3" w:rsidRPr="0069274C">
        <w:rPr>
          <w:rFonts w:ascii="Times New Roman" w:eastAsia="標楷體" w:hAnsi="Times New Roman" w:cs="Times New Roman"/>
        </w:rPr>
        <w:t xml:space="preserve">on </w:t>
      </w:r>
      <w:r w:rsidR="00F46AE9" w:rsidRPr="0069274C">
        <w:rPr>
          <w:rFonts w:ascii="Times New Roman" w:eastAsia="標楷體" w:hAnsi="Times New Roman" w:cs="Times New Roman"/>
        </w:rPr>
        <w:t>17</w:t>
      </w:r>
      <w:r w:rsidR="00FD5BA4" w:rsidRPr="0069274C">
        <w:rPr>
          <w:rFonts w:ascii="Times New Roman" w:eastAsia="標楷體" w:hAnsi="Times New Roman" w:cs="Times New Roman"/>
        </w:rPr>
        <w:t xml:space="preserve"> </w:t>
      </w:r>
      <w:r w:rsidR="00F46AE9" w:rsidRPr="0069274C">
        <w:rPr>
          <w:rFonts w:ascii="Times New Roman" w:eastAsia="標楷體" w:hAnsi="Times New Roman" w:cs="Times New Roman"/>
        </w:rPr>
        <w:t>June</w:t>
      </w:r>
      <w:r w:rsidR="00FD5BA4" w:rsidRPr="0069274C">
        <w:rPr>
          <w:rFonts w:ascii="Times New Roman" w:eastAsia="標楷體" w:hAnsi="Times New Roman" w:cs="Times New Roman"/>
        </w:rPr>
        <w:t xml:space="preserve"> 2019</w:t>
      </w:r>
      <w:r w:rsidR="00DE1DA3" w:rsidRPr="0069274C">
        <w:rPr>
          <w:rFonts w:ascii="Times New Roman" w:eastAsia="標楷體" w:hAnsi="Times New Roman" w:cs="Times New Roman"/>
        </w:rPr>
        <w:t>, 18 June 2019</w:t>
      </w:r>
      <w:r w:rsidR="003F52E8" w:rsidRPr="0069274C">
        <w:rPr>
          <w:rFonts w:ascii="Times New Roman" w:eastAsia="標楷體" w:hAnsi="Times New Roman" w:cs="Times New Roman"/>
        </w:rPr>
        <w:t xml:space="preserve"> and 21 June 2019</w:t>
      </w:r>
      <w:r w:rsidRPr="0069274C">
        <w:rPr>
          <w:rFonts w:ascii="Times New Roman" w:eastAsia="標楷體" w:hAnsi="Times New Roman" w:cs="Times New Roman"/>
        </w:rPr>
        <w:t xml:space="preserve">. </w:t>
      </w:r>
      <w:r w:rsidR="00FD5BA4" w:rsidRPr="0069274C">
        <w:rPr>
          <w:rFonts w:ascii="Times New Roman" w:eastAsia="標楷體" w:hAnsi="Times New Roman" w:cs="Times New Roman"/>
        </w:rPr>
        <w:t xml:space="preserve">The Taxpayer </w:t>
      </w:r>
      <w:r w:rsidR="00F46AE9" w:rsidRPr="0069274C">
        <w:rPr>
          <w:rFonts w:ascii="Times New Roman" w:eastAsia="標楷體" w:hAnsi="Times New Roman" w:cs="Times New Roman"/>
        </w:rPr>
        <w:t>was represented by Stewart Wong SC leading Julian Lam</w:t>
      </w:r>
      <w:r w:rsidR="00FD5BA4" w:rsidRPr="0069274C">
        <w:rPr>
          <w:rFonts w:ascii="Times New Roman" w:eastAsia="標楷體" w:hAnsi="Times New Roman" w:cs="Times New Roman"/>
        </w:rPr>
        <w:t xml:space="preserve">. The Revenue was represented by </w:t>
      </w:r>
      <w:r w:rsidR="00F46AE9" w:rsidRPr="0069274C">
        <w:rPr>
          <w:rFonts w:ascii="Times New Roman" w:eastAsia="標楷體" w:hAnsi="Times New Roman" w:cs="Times New Roman"/>
        </w:rPr>
        <w:t>Kenneth Kwok SC leading Paul HM Leung</w:t>
      </w:r>
      <w:r w:rsidR="00FA270F" w:rsidRPr="0069274C">
        <w:rPr>
          <w:rFonts w:ascii="Times New Roman" w:eastAsia="標楷體" w:hAnsi="Times New Roman" w:cs="Times New Roman"/>
        </w:rPr>
        <w:t xml:space="preserve">. </w:t>
      </w:r>
    </w:p>
    <w:p w:rsidR="008B3A99" w:rsidRPr="0069274C" w:rsidRDefault="008B3A99" w:rsidP="00156E21">
      <w:pPr>
        <w:pStyle w:val="a3"/>
        <w:overflowPunct w:val="0"/>
        <w:autoSpaceDE w:val="0"/>
        <w:autoSpaceDN w:val="0"/>
        <w:ind w:left="0"/>
        <w:rPr>
          <w:rFonts w:ascii="Times New Roman" w:eastAsia="標楷體" w:hAnsi="Times New Roman" w:cs="Times New Roman"/>
        </w:rPr>
      </w:pPr>
    </w:p>
    <w:p w:rsidR="008B3A99" w:rsidRPr="0069274C" w:rsidRDefault="008B3A99"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The parties to this Appeal have agreed to a Statement of Agreed Facts. This Board find</w:t>
      </w:r>
      <w:r w:rsidR="003E3EE9" w:rsidRPr="0069274C">
        <w:rPr>
          <w:rFonts w:ascii="Times New Roman" w:eastAsia="標楷體" w:hAnsi="Times New Roman" w:cs="Times New Roman"/>
        </w:rPr>
        <w:t>s</w:t>
      </w:r>
      <w:r w:rsidRPr="0069274C">
        <w:rPr>
          <w:rFonts w:ascii="Times New Roman" w:eastAsia="標楷體" w:hAnsi="Times New Roman" w:cs="Times New Roman"/>
        </w:rPr>
        <w:t xml:space="preserve"> the facts stated in this Statement of Agreed Facts as facts. These facts are set out in the next section of this Decision. </w:t>
      </w:r>
    </w:p>
    <w:p w:rsidR="00065762" w:rsidRPr="0069274C" w:rsidRDefault="00065762" w:rsidP="00156E21">
      <w:pPr>
        <w:pStyle w:val="a3"/>
        <w:overflowPunct w:val="0"/>
        <w:autoSpaceDE w:val="0"/>
        <w:autoSpaceDN w:val="0"/>
        <w:ind w:left="0"/>
        <w:rPr>
          <w:rFonts w:ascii="Times New Roman" w:eastAsia="標楷體" w:hAnsi="Times New Roman" w:cs="Times New Roman"/>
        </w:rPr>
      </w:pPr>
    </w:p>
    <w:p w:rsidR="00447F6E" w:rsidRPr="0069274C" w:rsidRDefault="00DB1E82"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The Taxpayer </w:t>
      </w:r>
      <w:r w:rsidR="008B3A99" w:rsidRPr="0069274C">
        <w:rPr>
          <w:rFonts w:ascii="Times New Roman" w:eastAsia="標楷體" w:hAnsi="Times New Roman" w:cs="Times New Roman"/>
        </w:rPr>
        <w:t xml:space="preserve">called </w:t>
      </w:r>
      <w:r w:rsidR="00CD45CE" w:rsidRPr="0069274C">
        <w:rPr>
          <w:rFonts w:ascii="Times New Roman" w:eastAsia="標楷體" w:hAnsi="Times New Roman" w:cs="Times New Roman"/>
        </w:rPr>
        <w:t>three</w:t>
      </w:r>
      <w:r w:rsidR="008B3A99" w:rsidRPr="0069274C">
        <w:rPr>
          <w:rFonts w:ascii="Times New Roman" w:eastAsia="標楷體" w:hAnsi="Times New Roman" w:cs="Times New Roman"/>
        </w:rPr>
        <w:t xml:space="preserve"> witnesses to give oral evidence. The Taxpayer referred to the documents submitted before this Board.</w:t>
      </w:r>
      <w:r w:rsidR="00FA270F" w:rsidRPr="0069274C">
        <w:rPr>
          <w:rFonts w:ascii="Times New Roman" w:eastAsia="標楷體" w:hAnsi="Times New Roman" w:cs="Times New Roman"/>
        </w:rPr>
        <w:t xml:space="preserve"> </w:t>
      </w:r>
    </w:p>
    <w:p w:rsidR="00447F6E" w:rsidRPr="0069274C" w:rsidRDefault="00447F6E" w:rsidP="00156E21">
      <w:pPr>
        <w:overflowPunct w:val="0"/>
        <w:autoSpaceDE w:val="0"/>
        <w:autoSpaceDN w:val="0"/>
        <w:jc w:val="both"/>
        <w:rPr>
          <w:rFonts w:ascii="Times New Roman" w:eastAsia="標楷體" w:hAnsi="Times New Roman" w:cs="Times New Roman"/>
        </w:rPr>
      </w:pPr>
    </w:p>
    <w:p w:rsidR="00EE64C6" w:rsidRPr="0069274C" w:rsidRDefault="00FA270F"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The Revenue did not call any oral evidence</w:t>
      </w:r>
      <w:r w:rsidR="00C55A4E" w:rsidRPr="0069274C">
        <w:rPr>
          <w:rFonts w:ascii="Times New Roman" w:eastAsia="標楷體" w:hAnsi="Times New Roman" w:cs="Times New Roman"/>
        </w:rPr>
        <w:t>.</w:t>
      </w:r>
      <w:r w:rsidRPr="0069274C">
        <w:rPr>
          <w:rFonts w:ascii="Times New Roman" w:eastAsia="標楷體" w:hAnsi="Times New Roman" w:cs="Times New Roman"/>
        </w:rPr>
        <w:t xml:space="preserve"> The Revenue referred to documents submitted before this Board. </w:t>
      </w:r>
    </w:p>
    <w:p w:rsidR="00EE64C6" w:rsidRPr="0069274C" w:rsidRDefault="00EE64C6" w:rsidP="00156E21">
      <w:pPr>
        <w:overflowPunct w:val="0"/>
        <w:autoSpaceDE w:val="0"/>
        <w:autoSpaceDN w:val="0"/>
        <w:jc w:val="both"/>
        <w:rPr>
          <w:rFonts w:ascii="Times New Roman" w:eastAsia="標楷體" w:hAnsi="Times New Roman" w:cs="Times New Roman"/>
        </w:rPr>
      </w:pPr>
    </w:p>
    <w:p w:rsidR="00C62883" w:rsidRPr="0069274C" w:rsidRDefault="00EE2E6C"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In the sections of this </w:t>
      </w:r>
      <w:r w:rsidR="000E1758" w:rsidRPr="0069274C">
        <w:rPr>
          <w:rFonts w:ascii="Times New Roman" w:eastAsia="標楷體" w:hAnsi="Times New Roman" w:cs="Times New Roman"/>
        </w:rPr>
        <w:t>Decision</w:t>
      </w:r>
      <w:r w:rsidRPr="0069274C">
        <w:rPr>
          <w:rFonts w:ascii="Times New Roman" w:eastAsia="標楷體" w:hAnsi="Times New Roman" w:cs="Times New Roman"/>
        </w:rPr>
        <w:t xml:space="preserve"> that follow, this Board </w:t>
      </w:r>
      <w:r w:rsidR="002246BF" w:rsidRPr="0069274C">
        <w:rPr>
          <w:rFonts w:ascii="Times New Roman" w:eastAsia="標楷體" w:hAnsi="Times New Roman" w:cs="Times New Roman"/>
        </w:rPr>
        <w:t xml:space="preserve">shall </w:t>
      </w:r>
      <w:r w:rsidR="00E11EC7" w:rsidRPr="0069274C">
        <w:rPr>
          <w:rFonts w:ascii="Times New Roman" w:eastAsia="標楷體" w:hAnsi="Times New Roman" w:cs="Times New Roman"/>
        </w:rPr>
        <w:t>consider the Determination and the evidence placed before it by the parties to this Appeal and make findings of fact</w:t>
      </w:r>
      <w:r w:rsidR="00C62883" w:rsidRPr="0069274C">
        <w:rPr>
          <w:rFonts w:ascii="Times New Roman" w:eastAsia="標楷體" w:hAnsi="Times New Roman" w:cs="Times New Roman"/>
        </w:rPr>
        <w:t>. Then</w:t>
      </w:r>
      <w:r w:rsidR="00F03976" w:rsidRPr="0069274C">
        <w:rPr>
          <w:rFonts w:ascii="Times New Roman" w:eastAsia="標楷體" w:hAnsi="Times New Roman" w:cs="Times New Roman"/>
        </w:rPr>
        <w:t xml:space="preserve"> this Board shall </w:t>
      </w:r>
      <w:r w:rsidR="00E11EC7" w:rsidRPr="0069274C">
        <w:rPr>
          <w:rFonts w:ascii="Times New Roman" w:eastAsia="標楷體" w:hAnsi="Times New Roman" w:cs="Times New Roman"/>
        </w:rPr>
        <w:t xml:space="preserve">consider </w:t>
      </w:r>
      <w:r w:rsidR="00C62883" w:rsidRPr="0069274C">
        <w:rPr>
          <w:rFonts w:ascii="Times New Roman" w:eastAsia="標楷體" w:hAnsi="Times New Roman" w:cs="Times New Roman"/>
        </w:rPr>
        <w:t xml:space="preserve">the submissions of the Taxpayer and the Revenue in the light of the </w:t>
      </w:r>
      <w:r w:rsidR="00C55A4E" w:rsidRPr="0069274C">
        <w:rPr>
          <w:rFonts w:ascii="Times New Roman" w:eastAsia="標楷體" w:hAnsi="Times New Roman" w:cs="Times New Roman"/>
        </w:rPr>
        <w:t xml:space="preserve">facts </w:t>
      </w:r>
      <w:r w:rsidR="00E11EC7" w:rsidRPr="0069274C">
        <w:rPr>
          <w:rFonts w:ascii="Times New Roman" w:eastAsia="標楷體" w:hAnsi="Times New Roman" w:cs="Times New Roman"/>
        </w:rPr>
        <w:t>found and determine this Appeal</w:t>
      </w:r>
      <w:r w:rsidR="00C62883" w:rsidRPr="0069274C">
        <w:rPr>
          <w:rFonts w:ascii="Times New Roman" w:eastAsia="標楷體" w:hAnsi="Times New Roman" w:cs="Times New Roman"/>
        </w:rPr>
        <w:t xml:space="preserve">. </w:t>
      </w:r>
    </w:p>
    <w:p w:rsidR="00C62883" w:rsidRPr="0069274C" w:rsidRDefault="00C62883" w:rsidP="00156E21">
      <w:pPr>
        <w:overflowPunct w:val="0"/>
        <w:autoSpaceDE w:val="0"/>
        <w:autoSpaceDN w:val="0"/>
        <w:jc w:val="both"/>
        <w:rPr>
          <w:rFonts w:ascii="Times New Roman" w:eastAsia="標楷體" w:hAnsi="Times New Roman" w:cs="Times New Roman"/>
        </w:rPr>
      </w:pPr>
    </w:p>
    <w:p w:rsidR="00C62883" w:rsidRPr="004012A2" w:rsidRDefault="00C62883" w:rsidP="00156E21">
      <w:pPr>
        <w:overflowPunct w:val="0"/>
        <w:autoSpaceDE w:val="0"/>
        <w:autoSpaceDN w:val="0"/>
        <w:jc w:val="both"/>
        <w:rPr>
          <w:rFonts w:ascii="Times New Roman" w:eastAsia="標楷體" w:hAnsi="Times New Roman" w:cs="Times New Roman"/>
          <w:b/>
        </w:rPr>
      </w:pPr>
      <w:r w:rsidRPr="004012A2">
        <w:rPr>
          <w:rFonts w:ascii="Times New Roman" w:eastAsia="標楷體" w:hAnsi="Times New Roman" w:cs="Times New Roman"/>
          <w:b/>
        </w:rPr>
        <w:t xml:space="preserve">The </w:t>
      </w:r>
      <w:r w:rsidR="008B3A99" w:rsidRPr="004012A2">
        <w:rPr>
          <w:rFonts w:ascii="Times New Roman" w:eastAsia="標楷體" w:hAnsi="Times New Roman" w:cs="Times New Roman"/>
          <w:b/>
        </w:rPr>
        <w:t>Agreed Facts</w:t>
      </w:r>
    </w:p>
    <w:p w:rsidR="00C62883" w:rsidRPr="0069274C" w:rsidRDefault="00C62883" w:rsidP="00156E21">
      <w:pPr>
        <w:overflowPunct w:val="0"/>
        <w:autoSpaceDE w:val="0"/>
        <w:autoSpaceDN w:val="0"/>
        <w:jc w:val="both"/>
        <w:rPr>
          <w:rFonts w:ascii="Times New Roman" w:eastAsia="標楷體" w:hAnsi="Times New Roman" w:cs="Times New Roman"/>
        </w:rPr>
      </w:pPr>
    </w:p>
    <w:p w:rsidR="00C62883" w:rsidRPr="0069274C" w:rsidRDefault="005529D5"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The Taxpayer </w:t>
      </w:r>
      <w:r w:rsidR="008B3A99" w:rsidRPr="0069274C">
        <w:rPr>
          <w:rFonts w:ascii="Times New Roman" w:eastAsia="標楷體" w:hAnsi="Times New Roman" w:cs="Times New Roman"/>
        </w:rPr>
        <w:t>was incorporated as a private company in Hong Kong</w:t>
      </w:r>
      <w:r w:rsidR="00C62883" w:rsidRPr="0069274C">
        <w:rPr>
          <w:rFonts w:ascii="Times New Roman" w:eastAsia="標楷體" w:hAnsi="Times New Roman" w:cs="Times New Roman"/>
        </w:rPr>
        <w:t>.</w:t>
      </w:r>
      <w:r w:rsidR="008B3A99" w:rsidRPr="0069274C">
        <w:rPr>
          <w:rFonts w:ascii="Times New Roman" w:eastAsia="標楷體" w:hAnsi="Times New Roman" w:cs="Times New Roman"/>
        </w:rPr>
        <w:t xml:space="preserve"> It closed its accounts annually on 30 June. In the Profits Tax </w:t>
      </w:r>
      <w:r w:rsidR="004012A2">
        <w:rPr>
          <w:rFonts w:ascii="Times New Roman" w:eastAsia="標楷體" w:hAnsi="Times New Roman" w:cs="Times New Roman"/>
        </w:rPr>
        <w:t>R</w:t>
      </w:r>
      <w:r w:rsidR="008B3A99" w:rsidRPr="0069274C">
        <w:rPr>
          <w:rFonts w:ascii="Times New Roman" w:eastAsia="標楷體" w:hAnsi="Times New Roman" w:cs="Times New Roman"/>
        </w:rPr>
        <w:t xml:space="preserve">eturns for the years of assessment  2007/08 to 2015/16, the Taxpayer described its principal activity as </w:t>
      </w:r>
      <w:r w:rsidR="004012A2">
        <w:rPr>
          <w:rFonts w:ascii="Times New Roman" w:eastAsia="標楷體" w:hAnsi="Times New Roman" w:cs="Times New Roman"/>
        </w:rPr>
        <w:t xml:space="preserve">property investment. Prior to </w:t>
      </w:r>
      <w:r w:rsidR="008B3A99" w:rsidRPr="0069274C">
        <w:rPr>
          <w:rFonts w:ascii="Times New Roman" w:eastAsia="標楷體" w:hAnsi="Times New Roman" w:cs="Times New Roman"/>
        </w:rPr>
        <w:t xml:space="preserve">September 2004, </w:t>
      </w:r>
      <w:r w:rsidR="004012A2">
        <w:rPr>
          <w:rFonts w:ascii="Times New Roman" w:eastAsia="標楷體" w:hAnsi="Times New Roman" w:cs="Times New Roman"/>
        </w:rPr>
        <w:t>Company B</w:t>
      </w:r>
      <w:r w:rsidR="008B3A99" w:rsidRPr="0069274C">
        <w:rPr>
          <w:rFonts w:ascii="Times New Roman" w:eastAsia="標楷體" w:hAnsi="Times New Roman" w:cs="Times New Roman"/>
        </w:rPr>
        <w:t xml:space="preserve"> was the Taxpayer’s u</w:t>
      </w:r>
      <w:r w:rsidR="004012A2">
        <w:rPr>
          <w:rFonts w:ascii="Times New Roman" w:eastAsia="標楷體" w:hAnsi="Times New Roman" w:cs="Times New Roman"/>
        </w:rPr>
        <w:t xml:space="preserve">ltimate holding company. From September 2004 to </w:t>
      </w:r>
      <w:r w:rsidR="008B3A99" w:rsidRPr="0069274C">
        <w:rPr>
          <w:rFonts w:ascii="Times New Roman" w:eastAsia="標楷體" w:hAnsi="Times New Roman" w:cs="Times New Roman"/>
        </w:rPr>
        <w:t xml:space="preserve">December 2006, the Taxpayer’s ultimate holding company was </w:t>
      </w:r>
      <w:r w:rsidR="004012A2">
        <w:rPr>
          <w:rFonts w:ascii="Times New Roman" w:eastAsia="標楷體" w:hAnsi="Times New Roman" w:cs="Times New Roman"/>
        </w:rPr>
        <w:t>Company C</w:t>
      </w:r>
      <w:r w:rsidR="008B3A99" w:rsidRPr="0069274C">
        <w:rPr>
          <w:rFonts w:ascii="Times New Roman" w:eastAsia="標楷體" w:hAnsi="Times New Roman" w:cs="Times New Roman"/>
        </w:rPr>
        <w:t xml:space="preserve">. From September 2004 onwards, </w:t>
      </w:r>
      <w:r w:rsidR="004012A2">
        <w:rPr>
          <w:rFonts w:ascii="Times New Roman" w:eastAsia="標楷體" w:hAnsi="Times New Roman" w:cs="Times New Roman"/>
        </w:rPr>
        <w:t>Company D</w:t>
      </w:r>
      <w:r w:rsidR="008B3A99" w:rsidRPr="0069274C">
        <w:rPr>
          <w:rFonts w:ascii="Times New Roman" w:eastAsia="標楷體" w:hAnsi="Times New Roman" w:cs="Times New Roman"/>
        </w:rPr>
        <w:t xml:space="preserve"> has become the immediate holding company of the Taxpayer.  </w:t>
      </w:r>
      <w:r w:rsidR="00C62883" w:rsidRPr="0069274C">
        <w:rPr>
          <w:rFonts w:ascii="Times New Roman" w:eastAsia="標楷體" w:hAnsi="Times New Roman" w:cs="Times New Roman"/>
        </w:rPr>
        <w:t xml:space="preserve"> </w:t>
      </w:r>
    </w:p>
    <w:p w:rsidR="001526CF" w:rsidRPr="0069274C" w:rsidRDefault="001526CF" w:rsidP="00156E21">
      <w:pPr>
        <w:overflowPunct w:val="0"/>
        <w:autoSpaceDE w:val="0"/>
        <w:autoSpaceDN w:val="0"/>
        <w:jc w:val="both"/>
        <w:rPr>
          <w:rFonts w:ascii="Times New Roman" w:eastAsia="標楷體" w:hAnsi="Times New Roman" w:cs="Times New Roman"/>
        </w:rPr>
      </w:pPr>
    </w:p>
    <w:p w:rsidR="001526CF" w:rsidRPr="0069274C" w:rsidRDefault="001526CF" w:rsidP="00156E21">
      <w:pPr>
        <w:pStyle w:val="a3"/>
        <w:numPr>
          <w:ilvl w:val="0"/>
          <w:numId w:val="1"/>
        </w:numPr>
        <w:tabs>
          <w:tab w:val="left" w:pos="1531"/>
          <w:tab w:val="left" w:pos="2107"/>
        </w:tabs>
        <w:overflowPunct w:val="0"/>
        <w:autoSpaceDE w:val="0"/>
        <w:autoSpaceDN w:val="0"/>
        <w:ind w:left="2107" w:hangingChars="878" w:hanging="2107"/>
        <w:jc w:val="both"/>
        <w:rPr>
          <w:rFonts w:ascii="Times New Roman" w:eastAsia="標楷體" w:hAnsi="Times New Roman" w:cs="Times New Roman"/>
        </w:rPr>
      </w:pPr>
      <w:r w:rsidRPr="0069274C">
        <w:rPr>
          <w:rFonts w:ascii="Times New Roman" w:eastAsia="標楷體" w:hAnsi="Times New Roman" w:cs="Times New Roman"/>
        </w:rPr>
        <w:t>(a)</w:t>
      </w:r>
      <w:r w:rsidR="0069274C">
        <w:rPr>
          <w:rFonts w:ascii="Times New Roman" w:eastAsia="標楷體" w:hAnsi="Times New Roman" w:cs="Times New Roman"/>
        </w:rPr>
        <w:tab/>
      </w:r>
      <w:r w:rsidRPr="0069274C">
        <w:rPr>
          <w:rFonts w:ascii="Times New Roman" w:eastAsia="標楷體" w:hAnsi="Times New Roman" w:cs="Times New Roman"/>
        </w:rPr>
        <w:t xml:space="preserve">At all relevant times, the Taxpayer was the registered owner of </w:t>
      </w:r>
      <w:r w:rsidR="004012A2">
        <w:rPr>
          <w:rFonts w:ascii="Times New Roman" w:eastAsia="標楷體" w:hAnsi="Times New Roman" w:cs="Times New Roman"/>
        </w:rPr>
        <w:t xml:space="preserve">certain </w:t>
      </w:r>
      <w:r w:rsidRPr="0069274C">
        <w:rPr>
          <w:rFonts w:ascii="Times New Roman" w:eastAsia="標楷體" w:hAnsi="Times New Roman" w:cs="Times New Roman"/>
        </w:rPr>
        <w:t>shop</w:t>
      </w:r>
      <w:r w:rsidR="004012A2">
        <w:rPr>
          <w:rFonts w:ascii="Times New Roman" w:eastAsia="標楷體" w:hAnsi="Times New Roman" w:cs="Times New Roman"/>
        </w:rPr>
        <w:t>s</w:t>
      </w:r>
      <w:r w:rsidRPr="0069274C">
        <w:rPr>
          <w:rFonts w:ascii="Times New Roman" w:eastAsia="標楷體" w:hAnsi="Times New Roman" w:cs="Times New Roman"/>
        </w:rPr>
        <w:t xml:space="preserve"> and offices of </w:t>
      </w:r>
      <w:r w:rsidR="004012A2">
        <w:rPr>
          <w:rFonts w:ascii="Times New Roman" w:eastAsia="標楷體" w:hAnsi="Times New Roman" w:cs="Times New Roman"/>
        </w:rPr>
        <w:t>Building E</w:t>
      </w:r>
      <w:r w:rsidRPr="0069274C">
        <w:rPr>
          <w:rFonts w:ascii="Times New Roman" w:eastAsia="標楷體" w:hAnsi="Times New Roman" w:cs="Times New Roman"/>
        </w:rPr>
        <w:t xml:space="preserve">, which was located at </w:t>
      </w:r>
      <w:r w:rsidR="004012A2">
        <w:rPr>
          <w:rFonts w:ascii="Times New Roman" w:eastAsia="標楷體" w:hAnsi="Times New Roman" w:cs="Times New Roman"/>
        </w:rPr>
        <w:t>Address F</w:t>
      </w:r>
      <w:r w:rsidRPr="0069274C">
        <w:rPr>
          <w:rFonts w:ascii="Times New Roman" w:eastAsia="標楷體" w:hAnsi="Times New Roman" w:cs="Times New Roman"/>
        </w:rPr>
        <w:t xml:space="preserve">. The units of </w:t>
      </w:r>
      <w:r w:rsidR="004012A2">
        <w:rPr>
          <w:rFonts w:ascii="Times New Roman" w:eastAsia="標楷體" w:hAnsi="Times New Roman" w:cs="Times New Roman"/>
        </w:rPr>
        <w:t>Building E</w:t>
      </w:r>
      <w:r w:rsidRPr="0069274C">
        <w:rPr>
          <w:rFonts w:ascii="Times New Roman" w:eastAsia="標楷體" w:hAnsi="Times New Roman" w:cs="Times New Roman"/>
        </w:rPr>
        <w:t xml:space="preserve"> held by the Taxpayer are hereinafter referred to as the </w:t>
      </w:r>
      <w:r w:rsidR="004012A2">
        <w:rPr>
          <w:rFonts w:ascii="Times New Roman" w:eastAsia="標楷體" w:hAnsi="Times New Roman" w:cs="Times New Roman"/>
        </w:rPr>
        <w:t>‘</w:t>
      </w:r>
      <w:r w:rsidRPr="0069274C">
        <w:rPr>
          <w:rFonts w:ascii="Times New Roman" w:eastAsia="標楷體" w:hAnsi="Times New Roman" w:cs="Times New Roman"/>
        </w:rPr>
        <w:t>Property</w:t>
      </w:r>
      <w:r w:rsidR="004012A2">
        <w:rPr>
          <w:rFonts w:ascii="Times New Roman" w:eastAsia="標楷體" w:hAnsi="Times New Roman" w:cs="Times New Roman"/>
        </w:rPr>
        <w:t>’</w:t>
      </w:r>
      <w:r w:rsidRPr="0069274C">
        <w:rPr>
          <w:rFonts w:ascii="Times New Roman" w:eastAsia="標楷體" w:hAnsi="Times New Roman" w:cs="Times New Roman"/>
        </w:rPr>
        <w:t>.</w:t>
      </w:r>
    </w:p>
    <w:p w:rsidR="00C62883" w:rsidRPr="0069274C" w:rsidRDefault="00C62883" w:rsidP="00156E21">
      <w:pPr>
        <w:overflowPunct w:val="0"/>
        <w:autoSpaceDE w:val="0"/>
        <w:autoSpaceDN w:val="0"/>
        <w:jc w:val="both"/>
        <w:rPr>
          <w:rFonts w:ascii="Times New Roman" w:eastAsia="標楷體" w:hAnsi="Times New Roman" w:cs="Times New Roman"/>
        </w:rPr>
      </w:pPr>
    </w:p>
    <w:p w:rsidR="001526CF" w:rsidRPr="0069274C" w:rsidRDefault="001526CF"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(b)</w:t>
      </w:r>
      <w:r w:rsidR="0069274C">
        <w:rPr>
          <w:rFonts w:ascii="Times New Roman" w:eastAsia="標楷體" w:hAnsi="Times New Roman" w:cs="Times New Roman"/>
        </w:rPr>
        <w:tab/>
      </w:r>
      <w:r w:rsidRPr="0069274C">
        <w:rPr>
          <w:rFonts w:ascii="Times New Roman" w:eastAsia="標楷體" w:hAnsi="Times New Roman" w:cs="Times New Roman"/>
        </w:rPr>
        <w:t xml:space="preserve">Rental income and related income from the Property </w:t>
      </w:r>
      <w:r w:rsidR="00E65A91">
        <w:rPr>
          <w:rFonts w:ascii="Times New Roman" w:eastAsia="標楷體" w:hAnsi="Times New Roman" w:cs="Times New Roman"/>
        </w:rPr>
        <w:t>have</w:t>
      </w:r>
      <w:r w:rsidRPr="0069274C">
        <w:rPr>
          <w:rFonts w:ascii="Times New Roman" w:eastAsia="標楷體" w:hAnsi="Times New Roman" w:cs="Times New Roman"/>
        </w:rPr>
        <w:t xml:space="preserve"> been the Taxpayer’s only source of income since </w:t>
      </w:r>
      <w:r w:rsidR="004012A2">
        <w:rPr>
          <w:rFonts w:ascii="Times New Roman" w:eastAsia="標楷體" w:hAnsi="Times New Roman" w:cs="Times New Roman"/>
        </w:rPr>
        <w:t>Building E</w:t>
      </w:r>
      <w:r w:rsidRPr="0069274C">
        <w:rPr>
          <w:rFonts w:ascii="Times New Roman" w:eastAsia="標楷體" w:hAnsi="Times New Roman" w:cs="Times New Roman"/>
        </w:rPr>
        <w:t xml:space="preserve"> was built.</w:t>
      </w:r>
    </w:p>
    <w:p w:rsidR="001526CF" w:rsidRPr="0069274C" w:rsidRDefault="001526CF" w:rsidP="00156E21">
      <w:pPr>
        <w:overflowPunct w:val="0"/>
        <w:autoSpaceDE w:val="0"/>
        <w:autoSpaceDN w:val="0"/>
        <w:jc w:val="both"/>
        <w:rPr>
          <w:rFonts w:ascii="Times New Roman" w:eastAsia="標楷體" w:hAnsi="Times New Roman" w:cs="Times New Roman"/>
        </w:rPr>
      </w:pPr>
    </w:p>
    <w:p w:rsidR="00C62883" w:rsidRPr="0069274C" w:rsidRDefault="001526CF"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In the Profits Tax </w:t>
      </w:r>
      <w:r w:rsidR="004012A2">
        <w:rPr>
          <w:rFonts w:ascii="Times New Roman" w:eastAsia="標楷體" w:hAnsi="Times New Roman" w:cs="Times New Roman"/>
        </w:rPr>
        <w:t>R</w:t>
      </w:r>
      <w:r w:rsidRPr="0069274C">
        <w:rPr>
          <w:rFonts w:ascii="Times New Roman" w:eastAsia="標楷體" w:hAnsi="Times New Roman" w:cs="Times New Roman"/>
        </w:rPr>
        <w:t xml:space="preserve">eturn for the year of assessment 2006/07, the Taxpayer declared assessable profits of $6,238,579. The Taxpayer’s detailed profit and loss account for the year ended 30 June 2006 showed, among other things, the following particulars: </w:t>
      </w:r>
    </w:p>
    <w:p w:rsidR="0069274C" w:rsidRDefault="0069274C" w:rsidP="00A97CCF">
      <w:pPr>
        <w:overflowPunct w:val="0"/>
        <w:autoSpaceDE w:val="0"/>
        <w:autoSpaceDN w:val="0"/>
        <w:jc w:val="both"/>
        <w:rPr>
          <w:rFonts w:ascii="Times New Roman" w:eastAsia="標楷體" w:hAnsi="Times New Roman" w:cs="Times New Roman"/>
        </w:rPr>
      </w:pPr>
    </w:p>
    <w:tbl>
      <w:tblPr>
        <w:tblStyle w:val="af0"/>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1418"/>
        <w:gridCol w:w="1501"/>
      </w:tblGrid>
      <w:tr w:rsidR="008C54F7" w:rsidTr="000F17A3">
        <w:tc>
          <w:tcPr>
            <w:tcW w:w="5528" w:type="dxa"/>
          </w:tcPr>
          <w:p w:rsidR="008C54F7" w:rsidRDefault="008C54F7" w:rsidP="00156E21">
            <w:pPr>
              <w:overflowPunct w:val="0"/>
              <w:autoSpaceDE w:val="0"/>
              <w:autoSpaceDN w:val="0"/>
              <w:jc w:val="both"/>
              <w:rPr>
                <w:rFonts w:ascii="Times New Roman" w:eastAsia="標楷體" w:hAnsi="Times New Roman" w:cs="Times New Roman"/>
              </w:rPr>
            </w:pPr>
          </w:p>
        </w:tc>
        <w:tc>
          <w:tcPr>
            <w:tcW w:w="1418" w:type="dxa"/>
          </w:tcPr>
          <w:p w:rsidR="008C54F7" w:rsidRDefault="008C54F7" w:rsidP="00156E21">
            <w:pPr>
              <w:overflowPunct w:val="0"/>
              <w:autoSpaceDE w:val="0"/>
              <w:autoSpaceDN w:val="0"/>
              <w:jc w:val="center"/>
              <w:rPr>
                <w:rFonts w:ascii="Times New Roman" w:eastAsia="標楷體" w:hAnsi="Times New Roman" w:cs="Times New Roman"/>
                <w:lang w:eastAsia="zh-TW"/>
              </w:rPr>
            </w:pPr>
            <w:r>
              <w:rPr>
                <w:rFonts w:ascii="Times New Roman" w:eastAsia="標楷體" w:hAnsi="Times New Roman" w:cs="Times New Roman" w:hint="eastAsia"/>
                <w:lang w:eastAsia="zh-TW"/>
              </w:rPr>
              <w:t>$</w:t>
            </w:r>
          </w:p>
        </w:tc>
        <w:tc>
          <w:tcPr>
            <w:tcW w:w="1501" w:type="dxa"/>
          </w:tcPr>
          <w:p w:rsidR="008C54F7" w:rsidRDefault="008C54F7" w:rsidP="00156E21">
            <w:pPr>
              <w:overflowPunct w:val="0"/>
              <w:autoSpaceDE w:val="0"/>
              <w:autoSpaceDN w:val="0"/>
              <w:jc w:val="center"/>
              <w:rPr>
                <w:rFonts w:ascii="Times New Roman" w:eastAsia="標楷體" w:hAnsi="Times New Roman" w:cs="Times New Roman"/>
                <w:lang w:eastAsia="zh-TW"/>
              </w:rPr>
            </w:pPr>
            <w:r>
              <w:rPr>
                <w:rFonts w:ascii="Times New Roman" w:eastAsia="標楷體" w:hAnsi="Times New Roman" w:cs="Times New Roman" w:hint="eastAsia"/>
                <w:lang w:eastAsia="zh-TW"/>
              </w:rPr>
              <w:t>$</w:t>
            </w:r>
          </w:p>
        </w:tc>
      </w:tr>
      <w:tr w:rsidR="008C54F7" w:rsidTr="000F17A3">
        <w:tc>
          <w:tcPr>
            <w:tcW w:w="5528" w:type="dxa"/>
          </w:tcPr>
          <w:p w:rsidR="008C54F7" w:rsidRDefault="008C54F7" w:rsidP="00156E21">
            <w:pPr>
              <w:overflowPunct w:val="0"/>
              <w:autoSpaceDE w:val="0"/>
              <w:autoSpaceDN w:val="0"/>
              <w:jc w:val="both"/>
              <w:rPr>
                <w:rFonts w:ascii="Times New Roman" w:eastAsia="標楷體" w:hAnsi="Times New Roman" w:cs="Times New Roman"/>
              </w:rPr>
            </w:pPr>
            <w:r w:rsidRPr="0069274C">
              <w:rPr>
                <w:rFonts w:ascii="Times New Roman" w:eastAsia="標楷體" w:hAnsi="Times New Roman" w:cs="Times New Roman"/>
              </w:rPr>
              <w:t>Rental income</w:t>
            </w:r>
          </w:p>
        </w:tc>
        <w:tc>
          <w:tcPr>
            <w:tcW w:w="1418" w:type="dxa"/>
          </w:tcPr>
          <w:p w:rsidR="008C54F7" w:rsidRDefault="008C54F7" w:rsidP="00156E21">
            <w:pPr>
              <w:overflowPunct w:val="0"/>
              <w:autoSpaceDE w:val="0"/>
              <w:autoSpaceDN w:val="0"/>
              <w:jc w:val="right"/>
              <w:rPr>
                <w:rFonts w:ascii="Times New Roman" w:eastAsia="標楷體" w:hAnsi="Times New Roman" w:cs="Times New Roman"/>
              </w:rPr>
            </w:pPr>
          </w:p>
        </w:tc>
        <w:tc>
          <w:tcPr>
            <w:tcW w:w="1501" w:type="dxa"/>
          </w:tcPr>
          <w:p w:rsidR="008C54F7" w:rsidRDefault="008C54F7" w:rsidP="00156E21">
            <w:pPr>
              <w:overflowPunct w:val="0"/>
              <w:autoSpaceDE w:val="0"/>
              <w:autoSpaceDN w:val="0"/>
              <w:jc w:val="right"/>
              <w:rPr>
                <w:rFonts w:ascii="Times New Roman" w:eastAsia="標楷體" w:hAnsi="Times New Roman" w:cs="Times New Roman"/>
              </w:rPr>
            </w:pPr>
            <w:r w:rsidRPr="0069274C">
              <w:rPr>
                <w:rFonts w:ascii="Times New Roman" w:eastAsia="標楷體" w:hAnsi="Times New Roman" w:cs="Times New Roman"/>
              </w:rPr>
              <w:t>8,186,311</w:t>
            </w:r>
          </w:p>
        </w:tc>
      </w:tr>
      <w:tr w:rsidR="008C54F7" w:rsidTr="000F17A3">
        <w:tc>
          <w:tcPr>
            <w:tcW w:w="5528" w:type="dxa"/>
          </w:tcPr>
          <w:p w:rsidR="008C54F7" w:rsidRDefault="008C54F7" w:rsidP="00156E21">
            <w:pPr>
              <w:tabs>
                <w:tab w:val="left" w:pos="605"/>
              </w:tabs>
              <w:overflowPunct w:val="0"/>
              <w:autoSpaceDE w:val="0"/>
              <w:autoSpaceDN w:val="0"/>
              <w:jc w:val="both"/>
              <w:rPr>
                <w:rFonts w:ascii="Times New Roman" w:eastAsia="標楷體" w:hAnsi="Times New Roman" w:cs="Times New Roman"/>
              </w:rPr>
            </w:pPr>
            <w:r w:rsidRPr="0069274C">
              <w:rPr>
                <w:rFonts w:ascii="Times New Roman" w:eastAsia="標楷體" w:hAnsi="Times New Roman" w:cs="Times New Roman"/>
                <w:u w:val="single"/>
              </w:rPr>
              <w:t>Less</w:t>
            </w:r>
            <w:r w:rsidRPr="0069274C">
              <w:rPr>
                <w:rFonts w:ascii="Times New Roman" w:eastAsia="標楷體" w:hAnsi="Times New Roman" w:cs="Times New Roman"/>
              </w:rPr>
              <w:t>:</w:t>
            </w:r>
            <w:r w:rsidRPr="0069274C">
              <w:rPr>
                <w:rFonts w:ascii="Times New Roman" w:eastAsia="標楷體" w:hAnsi="Times New Roman" w:cs="Times New Roman"/>
              </w:rPr>
              <w:tab/>
              <w:t>Building administration fee</w:t>
            </w:r>
          </w:p>
        </w:tc>
        <w:tc>
          <w:tcPr>
            <w:tcW w:w="1418" w:type="dxa"/>
          </w:tcPr>
          <w:p w:rsidR="008C54F7" w:rsidRDefault="008C54F7" w:rsidP="00156E21">
            <w:pPr>
              <w:overflowPunct w:val="0"/>
              <w:autoSpaceDE w:val="0"/>
              <w:autoSpaceDN w:val="0"/>
              <w:jc w:val="right"/>
              <w:rPr>
                <w:rFonts w:ascii="Times New Roman" w:eastAsia="標楷體" w:hAnsi="Times New Roman" w:cs="Times New Roman"/>
              </w:rPr>
            </w:pPr>
            <w:r w:rsidRPr="0069274C">
              <w:rPr>
                <w:rFonts w:ascii="Times New Roman" w:eastAsia="標楷體" w:hAnsi="Times New Roman" w:cs="Times New Roman"/>
              </w:rPr>
              <w:t>1,345,944</w:t>
            </w:r>
          </w:p>
        </w:tc>
        <w:tc>
          <w:tcPr>
            <w:tcW w:w="1501" w:type="dxa"/>
          </w:tcPr>
          <w:p w:rsidR="008C54F7" w:rsidRDefault="008C54F7" w:rsidP="00156E21">
            <w:pPr>
              <w:overflowPunct w:val="0"/>
              <w:autoSpaceDE w:val="0"/>
              <w:autoSpaceDN w:val="0"/>
              <w:jc w:val="right"/>
              <w:rPr>
                <w:rFonts w:ascii="Times New Roman" w:eastAsia="標楷體" w:hAnsi="Times New Roman" w:cs="Times New Roman"/>
              </w:rPr>
            </w:pPr>
          </w:p>
        </w:tc>
      </w:tr>
      <w:tr w:rsidR="008C54F7" w:rsidTr="000F17A3">
        <w:tc>
          <w:tcPr>
            <w:tcW w:w="5528" w:type="dxa"/>
          </w:tcPr>
          <w:p w:rsidR="008C54F7" w:rsidRDefault="008C54F7" w:rsidP="00156E21">
            <w:pPr>
              <w:overflowPunct w:val="0"/>
              <w:autoSpaceDE w:val="0"/>
              <w:autoSpaceDN w:val="0"/>
              <w:ind w:leftChars="249" w:left="598"/>
              <w:jc w:val="both"/>
              <w:rPr>
                <w:rFonts w:ascii="Times New Roman" w:eastAsia="標楷體" w:hAnsi="Times New Roman" w:cs="Times New Roman"/>
              </w:rPr>
            </w:pPr>
            <w:r w:rsidRPr="0069274C">
              <w:rPr>
                <w:rFonts w:ascii="Times New Roman" w:eastAsia="標楷體" w:hAnsi="Times New Roman" w:cs="Times New Roman"/>
              </w:rPr>
              <w:t>Rental commission</w:t>
            </w:r>
          </w:p>
        </w:tc>
        <w:tc>
          <w:tcPr>
            <w:tcW w:w="1418" w:type="dxa"/>
          </w:tcPr>
          <w:p w:rsidR="008C54F7" w:rsidRDefault="008C54F7" w:rsidP="00156E21">
            <w:pPr>
              <w:overflowPunct w:val="0"/>
              <w:autoSpaceDE w:val="0"/>
              <w:autoSpaceDN w:val="0"/>
              <w:jc w:val="right"/>
              <w:rPr>
                <w:rFonts w:ascii="Times New Roman" w:eastAsia="標楷體" w:hAnsi="Times New Roman" w:cs="Times New Roman"/>
              </w:rPr>
            </w:pPr>
            <w:r w:rsidRPr="0069274C">
              <w:rPr>
                <w:rFonts w:ascii="Times New Roman" w:eastAsia="標楷體" w:hAnsi="Times New Roman" w:cs="Times New Roman"/>
              </w:rPr>
              <w:t>42,968</w:t>
            </w:r>
          </w:p>
        </w:tc>
        <w:tc>
          <w:tcPr>
            <w:tcW w:w="1501" w:type="dxa"/>
          </w:tcPr>
          <w:p w:rsidR="008C54F7" w:rsidRDefault="008C54F7" w:rsidP="00156E21">
            <w:pPr>
              <w:overflowPunct w:val="0"/>
              <w:autoSpaceDE w:val="0"/>
              <w:autoSpaceDN w:val="0"/>
              <w:jc w:val="right"/>
              <w:rPr>
                <w:rFonts w:ascii="Times New Roman" w:eastAsia="標楷體" w:hAnsi="Times New Roman" w:cs="Times New Roman"/>
              </w:rPr>
            </w:pPr>
          </w:p>
        </w:tc>
      </w:tr>
      <w:tr w:rsidR="008C54F7" w:rsidTr="000F17A3">
        <w:tc>
          <w:tcPr>
            <w:tcW w:w="5528" w:type="dxa"/>
          </w:tcPr>
          <w:p w:rsidR="008C54F7" w:rsidRDefault="008C54F7" w:rsidP="00156E21">
            <w:pPr>
              <w:overflowPunct w:val="0"/>
              <w:autoSpaceDE w:val="0"/>
              <w:autoSpaceDN w:val="0"/>
              <w:ind w:leftChars="249" w:left="598"/>
              <w:jc w:val="both"/>
              <w:rPr>
                <w:rFonts w:ascii="Times New Roman" w:eastAsia="標楷體" w:hAnsi="Times New Roman" w:cs="Times New Roman"/>
              </w:rPr>
            </w:pPr>
            <w:r w:rsidRPr="0069274C">
              <w:rPr>
                <w:rFonts w:ascii="Times New Roman" w:eastAsia="標楷體" w:hAnsi="Times New Roman" w:cs="Times New Roman"/>
              </w:rPr>
              <w:t>Other direct costs*</w:t>
            </w:r>
          </w:p>
        </w:tc>
        <w:tc>
          <w:tcPr>
            <w:tcW w:w="1418" w:type="dxa"/>
          </w:tcPr>
          <w:p w:rsidR="008C54F7" w:rsidRDefault="008C54F7" w:rsidP="000F17A3">
            <w:pPr>
              <w:wordWrap w:val="0"/>
              <w:overflowPunct w:val="0"/>
              <w:autoSpaceDE w:val="0"/>
              <w:autoSpaceDN w:val="0"/>
              <w:jc w:val="right"/>
              <w:rPr>
                <w:rFonts w:ascii="Times New Roman" w:eastAsia="標楷體" w:hAnsi="Times New Roman" w:cs="Times New Roman"/>
              </w:rPr>
            </w:pPr>
            <w:r w:rsidRPr="0069274C">
              <w:rPr>
                <w:rFonts w:ascii="Times New Roman" w:eastAsia="標楷體" w:hAnsi="Times New Roman" w:cs="Times New Roman"/>
                <w:u w:val="single"/>
              </w:rPr>
              <w:t xml:space="preserve"> </w:t>
            </w:r>
            <w:r w:rsidR="000F17A3">
              <w:rPr>
                <w:rFonts w:ascii="Times New Roman" w:eastAsia="標楷體" w:hAnsi="Times New Roman" w:cs="Times New Roman"/>
                <w:u w:val="single"/>
              </w:rPr>
              <w:t xml:space="preserve">  </w:t>
            </w:r>
            <w:r w:rsidRPr="0069274C">
              <w:rPr>
                <w:rFonts w:ascii="Times New Roman" w:eastAsia="標楷體" w:hAnsi="Times New Roman" w:cs="Times New Roman"/>
                <w:u w:val="single"/>
              </w:rPr>
              <w:t>539,205</w:t>
            </w:r>
          </w:p>
        </w:tc>
        <w:tc>
          <w:tcPr>
            <w:tcW w:w="1501" w:type="dxa"/>
          </w:tcPr>
          <w:p w:rsidR="008C54F7" w:rsidRDefault="008C54F7" w:rsidP="00156E21">
            <w:pPr>
              <w:overflowPunct w:val="0"/>
              <w:autoSpaceDE w:val="0"/>
              <w:autoSpaceDN w:val="0"/>
              <w:jc w:val="right"/>
              <w:rPr>
                <w:rFonts w:ascii="Times New Roman" w:eastAsia="標楷體" w:hAnsi="Times New Roman" w:cs="Times New Roman"/>
              </w:rPr>
            </w:pPr>
            <w:r w:rsidRPr="0069274C">
              <w:rPr>
                <w:rFonts w:ascii="Times New Roman" w:eastAsia="標楷體" w:hAnsi="Times New Roman" w:cs="Times New Roman"/>
                <w:u w:val="single"/>
              </w:rPr>
              <w:t>1,928,117</w:t>
            </w:r>
          </w:p>
        </w:tc>
      </w:tr>
      <w:tr w:rsidR="008C54F7" w:rsidTr="000F17A3">
        <w:tc>
          <w:tcPr>
            <w:tcW w:w="5528" w:type="dxa"/>
          </w:tcPr>
          <w:p w:rsidR="008C54F7" w:rsidRDefault="008C54F7" w:rsidP="00156E21">
            <w:pPr>
              <w:overflowPunct w:val="0"/>
              <w:autoSpaceDE w:val="0"/>
              <w:autoSpaceDN w:val="0"/>
              <w:ind w:leftChars="249" w:left="598"/>
              <w:jc w:val="both"/>
              <w:rPr>
                <w:rFonts w:ascii="Times New Roman" w:eastAsia="標楷體" w:hAnsi="Times New Roman" w:cs="Times New Roman"/>
              </w:rPr>
            </w:pPr>
            <w:r w:rsidRPr="0069274C">
              <w:rPr>
                <w:rFonts w:ascii="Times New Roman" w:eastAsia="標楷體" w:hAnsi="Times New Roman" w:cs="Times New Roman"/>
              </w:rPr>
              <w:t>Gross profit</w:t>
            </w:r>
          </w:p>
        </w:tc>
        <w:tc>
          <w:tcPr>
            <w:tcW w:w="1418" w:type="dxa"/>
          </w:tcPr>
          <w:p w:rsidR="008C54F7" w:rsidRDefault="008C54F7" w:rsidP="00156E21">
            <w:pPr>
              <w:overflowPunct w:val="0"/>
              <w:autoSpaceDE w:val="0"/>
              <w:autoSpaceDN w:val="0"/>
              <w:jc w:val="right"/>
              <w:rPr>
                <w:rFonts w:ascii="Times New Roman" w:eastAsia="標楷體" w:hAnsi="Times New Roman" w:cs="Times New Roman"/>
              </w:rPr>
            </w:pPr>
          </w:p>
        </w:tc>
        <w:tc>
          <w:tcPr>
            <w:tcW w:w="1501" w:type="dxa"/>
          </w:tcPr>
          <w:p w:rsidR="008C54F7" w:rsidRDefault="008C54F7" w:rsidP="00156E21">
            <w:pPr>
              <w:overflowPunct w:val="0"/>
              <w:autoSpaceDE w:val="0"/>
              <w:autoSpaceDN w:val="0"/>
              <w:jc w:val="right"/>
              <w:rPr>
                <w:rFonts w:ascii="Times New Roman" w:eastAsia="標楷體" w:hAnsi="Times New Roman" w:cs="Times New Roman"/>
              </w:rPr>
            </w:pPr>
            <w:r w:rsidRPr="0069274C">
              <w:rPr>
                <w:rFonts w:ascii="Times New Roman" w:eastAsia="標楷體" w:hAnsi="Times New Roman" w:cs="Times New Roman"/>
              </w:rPr>
              <w:t>6,258,194</w:t>
            </w:r>
          </w:p>
        </w:tc>
      </w:tr>
      <w:tr w:rsidR="008C54F7" w:rsidTr="000F17A3">
        <w:tc>
          <w:tcPr>
            <w:tcW w:w="5528" w:type="dxa"/>
          </w:tcPr>
          <w:p w:rsidR="008C54F7" w:rsidRDefault="008C54F7" w:rsidP="00156E21">
            <w:pPr>
              <w:tabs>
                <w:tab w:val="left" w:pos="605"/>
              </w:tabs>
              <w:overflowPunct w:val="0"/>
              <w:autoSpaceDE w:val="0"/>
              <w:autoSpaceDN w:val="0"/>
              <w:jc w:val="both"/>
              <w:rPr>
                <w:rFonts w:ascii="Times New Roman" w:eastAsia="標楷體" w:hAnsi="Times New Roman" w:cs="Times New Roman"/>
              </w:rPr>
            </w:pPr>
            <w:r w:rsidRPr="0069274C">
              <w:rPr>
                <w:rFonts w:ascii="Times New Roman" w:eastAsia="標楷體" w:hAnsi="Times New Roman" w:cs="Times New Roman"/>
                <w:u w:val="single"/>
              </w:rPr>
              <w:t>Add</w:t>
            </w:r>
            <w:r>
              <w:rPr>
                <w:rFonts w:ascii="Times New Roman" w:eastAsia="標楷體" w:hAnsi="Times New Roman" w:cs="Times New Roman"/>
              </w:rPr>
              <w:t>:</w:t>
            </w:r>
            <w:r w:rsidRPr="0069274C">
              <w:rPr>
                <w:rFonts w:ascii="Times New Roman" w:eastAsia="標楷體" w:hAnsi="Times New Roman" w:cs="Times New Roman"/>
              </w:rPr>
              <w:tab/>
              <w:t>Sundry income</w:t>
            </w:r>
          </w:p>
        </w:tc>
        <w:tc>
          <w:tcPr>
            <w:tcW w:w="1418" w:type="dxa"/>
          </w:tcPr>
          <w:p w:rsidR="008C54F7" w:rsidRDefault="008C54F7" w:rsidP="00156E21">
            <w:pPr>
              <w:overflowPunct w:val="0"/>
              <w:autoSpaceDE w:val="0"/>
              <w:autoSpaceDN w:val="0"/>
              <w:jc w:val="right"/>
              <w:rPr>
                <w:rFonts w:ascii="Times New Roman" w:eastAsia="標楷體" w:hAnsi="Times New Roman" w:cs="Times New Roman"/>
              </w:rPr>
            </w:pPr>
          </w:p>
        </w:tc>
        <w:tc>
          <w:tcPr>
            <w:tcW w:w="1501" w:type="dxa"/>
          </w:tcPr>
          <w:p w:rsidR="008C54F7" w:rsidRDefault="008C54F7" w:rsidP="00156E21">
            <w:pPr>
              <w:overflowPunct w:val="0"/>
              <w:autoSpaceDE w:val="0"/>
              <w:autoSpaceDN w:val="0"/>
              <w:jc w:val="right"/>
              <w:rPr>
                <w:rFonts w:ascii="Times New Roman" w:eastAsia="標楷體" w:hAnsi="Times New Roman" w:cs="Times New Roman"/>
              </w:rPr>
            </w:pPr>
            <w:r w:rsidRPr="0069274C">
              <w:rPr>
                <w:rFonts w:ascii="Times New Roman" w:eastAsia="標楷體" w:hAnsi="Times New Roman" w:cs="Times New Roman"/>
                <w:u w:val="single"/>
              </w:rPr>
              <w:t xml:space="preserve">            80</w:t>
            </w:r>
          </w:p>
        </w:tc>
      </w:tr>
      <w:tr w:rsidR="008C54F7" w:rsidTr="000F17A3">
        <w:tc>
          <w:tcPr>
            <w:tcW w:w="5528" w:type="dxa"/>
          </w:tcPr>
          <w:p w:rsidR="008C54F7" w:rsidRPr="0069274C" w:rsidRDefault="008C54F7" w:rsidP="00156E21">
            <w:pPr>
              <w:overflowPunct w:val="0"/>
              <w:autoSpaceDE w:val="0"/>
              <w:autoSpaceDN w:val="0"/>
              <w:jc w:val="both"/>
              <w:rPr>
                <w:rFonts w:ascii="Times New Roman" w:eastAsia="標楷體" w:hAnsi="Times New Roman" w:cs="Times New Roman"/>
                <w:u w:val="single"/>
              </w:rPr>
            </w:pPr>
          </w:p>
        </w:tc>
        <w:tc>
          <w:tcPr>
            <w:tcW w:w="1418" w:type="dxa"/>
          </w:tcPr>
          <w:p w:rsidR="008C54F7" w:rsidRDefault="008C54F7" w:rsidP="00156E21">
            <w:pPr>
              <w:overflowPunct w:val="0"/>
              <w:autoSpaceDE w:val="0"/>
              <w:autoSpaceDN w:val="0"/>
              <w:jc w:val="right"/>
              <w:rPr>
                <w:rFonts w:ascii="Times New Roman" w:eastAsia="標楷體" w:hAnsi="Times New Roman" w:cs="Times New Roman"/>
              </w:rPr>
            </w:pPr>
          </w:p>
        </w:tc>
        <w:tc>
          <w:tcPr>
            <w:tcW w:w="1501" w:type="dxa"/>
          </w:tcPr>
          <w:p w:rsidR="008C54F7" w:rsidRDefault="008C54F7" w:rsidP="00156E21">
            <w:pPr>
              <w:overflowPunct w:val="0"/>
              <w:autoSpaceDE w:val="0"/>
              <w:autoSpaceDN w:val="0"/>
              <w:jc w:val="right"/>
              <w:rPr>
                <w:rFonts w:ascii="Times New Roman" w:eastAsia="標楷體" w:hAnsi="Times New Roman" w:cs="Times New Roman"/>
              </w:rPr>
            </w:pPr>
            <w:r w:rsidRPr="0069274C">
              <w:rPr>
                <w:rFonts w:ascii="Times New Roman" w:eastAsia="標楷體" w:hAnsi="Times New Roman" w:cs="Times New Roman"/>
              </w:rPr>
              <w:t>6,258,274</w:t>
            </w:r>
          </w:p>
        </w:tc>
      </w:tr>
      <w:tr w:rsidR="008C54F7" w:rsidTr="000F17A3">
        <w:tc>
          <w:tcPr>
            <w:tcW w:w="5528" w:type="dxa"/>
          </w:tcPr>
          <w:p w:rsidR="008C54F7" w:rsidRPr="0069274C" w:rsidRDefault="008C54F7" w:rsidP="000F17A3">
            <w:pPr>
              <w:tabs>
                <w:tab w:val="left" w:pos="605"/>
              </w:tabs>
              <w:overflowPunct w:val="0"/>
              <w:autoSpaceDE w:val="0"/>
              <w:autoSpaceDN w:val="0"/>
              <w:jc w:val="both"/>
              <w:rPr>
                <w:rFonts w:ascii="Times New Roman" w:eastAsia="標楷體" w:hAnsi="Times New Roman" w:cs="Times New Roman"/>
                <w:u w:val="single"/>
              </w:rPr>
            </w:pPr>
            <w:r w:rsidRPr="0069274C">
              <w:rPr>
                <w:rFonts w:ascii="Times New Roman" w:eastAsia="標楷體" w:hAnsi="Times New Roman" w:cs="Times New Roman"/>
                <w:u w:val="single"/>
              </w:rPr>
              <w:t>Less</w:t>
            </w:r>
            <w:r w:rsidRPr="0069274C">
              <w:rPr>
                <w:rFonts w:ascii="Times New Roman" w:eastAsia="標楷體" w:hAnsi="Times New Roman" w:cs="Times New Roman"/>
              </w:rPr>
              <w:t>:</w:t>
            </w:r>
            <w:r w:rsidR="000F17A3" w:rsidRPr="0069274C">
              <w:rPr>
                <w:rFonts w:ascii="Times New Roman" w:eastAsia="標楷體" w:hAnsi="Times New Roman" w:cs="Times New Roman"/>
              </w:rPr>
              <w:tab/>
            </w:r>
            <w:r w:rsidRPr="0069274C">
              <w:rPr>
                <w:rFonts w:ascii="Times New Roman" w:eastAsia="標楷體" w:hAnsi="Times New Roman" w:cs="Times New Roman"/>
              </w:rPr>
              <w:t>Administrative expenses</w:t>
            </w:r>
          </w:p>
        </w:tc>
        <w:tc>
          <w:tcPr>
            <w:tcW w:w="1418" w:type="dxa"/>
          </w:tcPr>
          <w:p w:rsidR="008C54F7" w:rsidRDefault="008C54F7" w:rsidP="00156E21">
            <w:pPr>
              <w:overflowPunct w:val="0"/>
              <w:autoSpaceDE w:val="0"/>
              <w:autoSpaceDN w:val="0"/>
              <w:jc w:val="right"/>
              <w:rPr>
                <w:rFonts w:ascii="Times New Roman" w:eastAsia="標楷體" w:hAnsi="Times New Roman" w:cs="Times New Roman"/>
              </w:rPr>
            </w:pPr>
          </w:p>
        </w:tc>
        <w:tc>
          <w:tcPr>
            <w:tcW w:w="1501" w:type="dxa"/>
          </w:tcPr>
          <w:p w:rsidR="008C54F7" w:rsidRDefault="008C54F7" w:rsidP="00156E21">
            <w:pPr>
              <w:overflowPunct w:val="0"/>
              <w:autoSpaceDE w:val="0"/>
              <w:autoSpaceDN w:val="0"/>
              <w:jc w:val="right"/>
              <w:rPr>
                <w:rFonts w:ascii="Times New Roman" w:eastAsia="標楷體" w:hAnsi="Times New Roman" w:cs="Times New Roman"/>
              </w:rPr>
            </w:pPr>
            <w:r w:rsidRPr="0069274C">
              <w:rPr>
                <w:rFonts w:ascii="Times New Roman" w:eastAsia="標楷體" w:hAnsi="Times New Roman" w:cs="Times New Roman"/>
                <w:u w:val="single"/>
              </w:rPr>
              <w:t xml:space="preserve">     19,695</w:t>
            </w:r>
          </w:p>
        </w:tc>
      </w:tr>
      <w:tr w:rsidR="008C54F7" w:rsidTr="000F17A3">
        <w:tc>
          <w:tcPr>
            <w:tcW w:w="5528" w:type="dxa"/>
          </w:tcPr>
          <w:p w:rsidR="008C54F7" w:rsidRPr="0069274C" w:rsidRDefault="008C54F7" w:rsidP="00156E21">
            <w:pPr>
              <w:overflowPunct w:val="0"/>
              <w:autoSpaceDE w:val="0"/>
              <w:autoSpaceDN w:val="0"/>
              <w:jc w:val="both"/>
              <w:rPr>
                <w:rFonts w:ascii="Times New Roman" w:eastAsia="標楷體" w:hAnsi="Times New Roman" w:cs="Times New Roman"/>
                <w:u w:val="single"/>
              </w:rPr>
            </w:pPr>
            <w:r w:rsidRPr="0069274C">
              <w:rPr>
                <w:rFonts w:ascii="Times New Roman" w:eastAsia="標楷體" w:hAnsi="Times New Roman" w:cs="Times New Roman"/>
              </w:rPr>
              <w:t>Profit before taxation</w:t>
            </w:r>
          </w:p>
        </w:tc>
        <w:tc>
          <w:tcPr>
            <w:tcW w:w="1418" w:type="dxa"/>
          </w:tcPr>
          <w:p w:rsidR="008C54F7" w:rsidRDefault="008C54F7" w:rsidP="00156E21">
            <w:pPr>
              <w:overflowPunct w:val="0"/>
              <w:autoSpaceDE w:val="0"/>
              <w:autoSpaceDN w:val="0"/>
              <w:jc w:val="right"/>
              <w:rPr>
                <w:rFonts w:ascii="Times New Roman" w:eastAsia="標楷體" w:hAnsi="Times New Roman" w:cs="Times New Roman"/>
              </w:rPr>
            </w:pPr>
          </w:p>
        </w:tc>
        <w:tc>
          <w:tcPr>
            <w:tcW w:w="1501" w:type="dxa"/>
          </w:tcPr>
          <w:p w:rsidR="008C54F7" w:rsidRDefault="008C54F7" w:rsidP="00156E21">
            <w:pPr>
              <w:overflowPunct w:val="0"/>
              <w:autoSpaceDE w:val="0"/>
              <w:autoSpaceDN w:val="0"/>
              <w:jc w:val="right"/>
              <w:rPr>
                <w:rFonts w:ascii="Times New Roman" w:eastAsia="標楷體" w:hAnsi="Times New Roman" w:cs="Times New Roman"/>
              </w:rPr>
            </w:pPr>
            <w:r w:rsidRPr="0069274C">
              <w:rPr>
                <w:rFonts w:ascii="Times New Roman" w:eastAsia="標楷體" w:hAnsi="Times New Roman" w:cs="Times New Roman"/>
                <w:u w:val="double"/>
              </w:rPr>
              <w:t>6,238,579</w:t>
            </w:r>
          </w:p>
        </w:tc>
      </w:tr>
      <w:tr w:rsidR="00176C3C" w:rsidTr="000F17A3">
        <w:tc>
          <w:tcPr>
            <w:tcW w:w="8447" w:type="dxa"/>
            <w:gridSpan w:val="3"/>
          </w:tcPr>
          <w:p w:rsidR="00176C3C" w:rsidRPr="0069274C" w:rsidRDefault="00176C3C" w:rsidP="00156E21">
            <w:pPr>
              <w:overflowPunct w:val="0"/>
              <w:autoSpaceDE w:val="0"/>
              <w:autoSpaceDN w:val="0"/>
              <w:jc w:val="both"/>
              <w:rPr>
                <w:rFonts w:ascii="Times New Roman" w:eastAsia="標楷體" w:hAnsi="Times New Roman" w:cs="Times New Roman"/>
              </w:rPr>
            </w:pPr>
          </w:p>
        </w:tc>
      </w:tr>
      <w:tr w:rsidR="008C54F7" w:rsidTr="000F17A3">
        <w:tc>
          <w:tcPr>
            <w:tcW w:w="8447" w:type="dxa"/>
            <w:gridSpan w:val="3"/>
          </w:tcPr>
          <w:p w:rsidR="008C54F7" w:rsidRDefault="008C54F7" w:rsidP="00156E21">
            <w:pPr>
              <w:overflowPunct w:val="0"/>
              <w:autoSpaceDE w:val="0"/>
              <w:autoSpaceDN w:val="0"/>
              <w:jc w:val="both"/>
              <w:rPr>
                <w:rFonts w:ascii="Times New Roman" w:eastAsia="標楷體" w:hAnsi="Times New Roman" w:cs="Times New Roman"/>
              </w:rPr>
            </w:pPr>
            <w:r w:rsidRPr="0069274C">
              <w:rPr>
                <w:rFonts w:ascii="Times New Roman" w:eastAsia="標楷體" w:hAnsi="Times New Roman" w:cs="Times New Roman"/>
              </w:rPr>
              <w:t>*Other direct costs included rates, repairs and maintenance, advertising and promotion.</w:t>
            </w:r>
          </w:p>
        </w:tc>
      </w:tr>
    </w:tbl>
    <w:p w:rsidR="00E746D4" w:rsidRPr="0069274C" w:rsidRDefault="00E746D4" w:rsidP="00156E21">
      <w:pPr>
        <w:overflowPunct w:val="0"/>
        <w:autoSpaceDE w:val="0"/>
        <w:autoSpaceDN w:val="0"/>
        <w:jc w:val="both"/>
        <w:rPr>
          <w:rFonts w:ascii="Times New Roman" w:eastAsia="標楷體" w:hAnsi="Times New Roman" w:cs="Times New Roman"/>
        </w:rPr>
      </w:pPr>
    </w:p>
    <w:p w:rsidR="001526CF" w:rsidRPr="0069274C" w:rsidRDefault="001526CF" w:rsidP="00156E21">
      <w:pPr>
        <w:pStyle w:val="a3"/>
        <w:numPr>
          <w:ilvl w:val="0"/>
          <w:numId w:val="1"/>
        </w:numPr>
        <w:tabs>
          <w:tab w:val="left" w:pos="1531"/>
          <w:tab w:val="left" w:pos="2107"/>
        </w:tabs>
        <w:overflowPunct w:val="0"/>
        <w:autoSpaceDE w:val="0"/>
        <w:autoSpaceDN w:val="0"/>
        <w:ind w:left="2107" w:hangingChars="878" w:hanging="2107"/>
        <w:jc w:val="both"/>
        <w:rPr>
          <w:rFonts w:ascii="Times New Roman" w:eastAsia="標楷體" w:hAnsi="Times New Roman" w:cs="Times New Roman"/>
        </w:rPr>
      </w:pPr>
      <w:r w:rsidRPr="0069274C">
        <w:rPr>
          <w:rFonts w:ascii="Times New Roman" w:eastAsia="標楷體" w:hAnsi="Times New Roman" w:cs="Times New Roman"/>
        </w:rPr>
        <w:t>(a)</w:t>
      </w:r>
      <w:r w:rsidR="008C54F7">
        <w:rPr>
          <w:rFonts w:ascii="Times New Roman" w:eastAsia="標楷體" w:hAnsi="Times New Roman" w:cs="Times New Roman"/>
        </w:rPr>
        <w:tab/>
      </w:r>
      <w:r w:rsidR="00FC5D14">
        <w:rPr>
          <w:rFonts w:ascii="Times New Roman" w:eastAsia="標楷體" w:hAnsi="Times New Roman" w:cs="Times New Roman"/>
        </w:rPr>
        <w:t>REIT K</w:t>
      </w:r>
      <w:r w:rsidR="00FC5D14" w:rsidRPr="0069274C">
        <w:rPr>
          <w:rFonts w:ascii="Times New Roman" w:eastAsia="標楷體" w:hAnsi="Times New Roman" w:cs="Times New Roman"/>
        </w:rPr>
        <w:t xml:space="preserve"> </w:t>
      </w:r>
      <w:r w:rsidR="00FC5D14" w:rsidRPr="00424F32">
        <w:rPr>
          <w:rFonts w:ascii="Times New Roman" w:eastAsia="標楷體" w:hAnsi="Times New Roman" w:cs="Times New Roman"/>
        </w:rPr>
        <w:t xml:space="preserve">is a real estate investment trust constituted by </w:t>
      </w:r>
      <w:r w:rsidRPr="0069274C">
        <w:rPr>
          <w:rFonts w:ascii="Times New Roman" w:eastAsia="標楷體" w:hAnsi="Times New Roman" w:cs="Times New Roman"/>
        </w:rPr>
        <w:t xml:space="preserve">a trust deed </w:t>
      </w:r>
      <w:r w:rsidR="00870C5D">
        <w:rPr>
          <w:rFonts w:ascii="Times New Roman" w:eastAsia="標楷體" w:hAnsi="Times New Roman" w:cs="Times New Roman"/>
        </w:rPr>
        <w:t xml:space="preserve">(as amended from time to time) </w:t>
      </w:r>
      <w:r w:rsidRPr="0069274C">
        <w:rPr>
          <w:rFonts w:ascii="Times New Roman" w:eastAsia="標楷體" w:hAnsi="Times New Roman" w:cs="Times New Roman"/>
        </w:rPr>
        <w:t>(</w:t>
      </w:r>
      <w:r w:rsidR="004012A2">
        <w:rPr>
          <w:rFonts w:ascii="Times New Roman" w:eastAsia="標楷體" w:hAnsi="Times New Roman" w:cs="Times New Roman"/>
        </w:rPr>
        <w:t>‘</w:t>
      </w:r>
      <w:r w:rsidRPr="0069274C">
        <w:rPr>
          <w:rFonts w:ascii="Times New Roman" w:eastAsia="標楷體" w:hAnsi="Times New Roman" w:cs="Times New Roman"/>
        </w:rPr>
        <w:t>Trust Deed</w:t>
      </w:r>
      <w:r w:rsidR="004012A2">
        <w:rPr>
          <w:rFonts w:ascii="Times New Roman" w:eastAsia="標楷體" w:hAnsi="Times New Roman" w:cs="Times New Roman"/>
        </w:rPr>
        <w:t>’</w:t>
      </w:r>
      <w:r w:rsidRPr="0069274C">
        <w:rPr>
          <w:rFonts w:ascii="Times New Roman" w:eastAsia="標楷體" w:hAnsi="Times New Roman" w:cs="Times New Roman"/>
        </w:rPr>
        <w:t xml:space="preserve">) entered into between </w:t>
      </w:r>
      <w:r w:rsidR="004012A2">
        <w:rPr>
          <w:rFonts w:ascii="Times New Roman" w:eastAsia="標楷體" w:hAnsi="Times New Roman" w:cs="Times New Roman"/>
        </w:rPr>
        <w:t>Company G</w:t>
      </w:r>
      <w:r w:rsidRPr="0069274C">
        <w:rPr>
          <w:rFonts w:ascii="Times New Roman" w:eastAsia="標楷體" w:hAnsi="Times New Roman" w:cs="Times New Roman"/>
        </w:rPr>
        <w:t xml:space="preserve"> (as the settlor), </w:t>
      </w:r>
      <w:r w:rsidR="004012A2">
        <w:rPr>
          <w:rFonts w:ascii="Times New Roman" w:eastAsia="標楷體" w:hAnsi="Times New Roman" w:cs="Times New Roman"/>
        </w:rPr>
        <w:t>Company H</w:t>
      </w:r>
      <w:r w:rsidRPr="0069274C">
        <w:rPr>
          <w:rFonts w:ascii="Times New Roman" w:eastAsia="標楷體" w:hAnsi="Times New Roman" w:cs="Times New Roman"/>
        </w:rPr>
        <w:t xml:space="preserve"> (</w:t>
      </w:r>
      <w:r w:rsidR="004012A2">
        <w:rPr>
          <w:rFonts w:ascii="Times New Roman" w:eastAsia="標楷體" w:hAnsi="Times New Roman" w:cs="Times New Roman"/>
        </w:rPr>
        <w:t>‘</w:t>
      </w:r>
      <w:r w:rsidRPr="0069274C">
        <w:rPr>
          <w:rFonts w:ascii="Times New Roman" w:eastAsia="標楷體" w:hAnsi="Times New Roman" w:cs="Times New Roman"/>
        </w:rPr>
        <w:t>Manager</w:t>
      </w:r>
      <w:r w:rsidR="004012A2">
        <w:rPr>
          <w:rFonts w:ascii="Times New Roman" w:eastAsia="標楷體" w:hAnsi="Times New Roman" w:cs="Times New Roman"/>
        </w:rPr>
        <w:t>’</w:t>
      </w:r>
      <w:r w:rsidRPr="0069274C">
        <w:rPr>
          <w:rFonts w:ascii="Times New Roman" w:eastAsia="標楷體" w:hAnsi="Times New Roman" w:cs="Times New Roman"/>
        </w:rPr>
        <w:t xml:space="preserve">) and </w:t>
      </w:r>
      <w:r w:rsidR="004012A2">
        <w:rPr>
          <w:rFonts w:ascii="Times New Roman" w:eastAsia="標楷體" w:hAnsi="Times New Roman" w:cs="Times New Roman"/>
        </w:rPr>
        <w:t>Company J</w:t>
      </w:r>
      <w:r w:rsidRPr="0069274C">
        <w:rPr>
          <w:rFonts w:ascii="Times New Roman" w:eastAsia="標楷體" w:hAnsi="Times New Roman" w:cs="Times New Roman"/>
        </w:rPr>
        <w:t xml:space="preserve"> (</w:t>
      </w:r>
      <w:r w:rsidR="004012A2">
        <w:rPr>
          <w:rFonts w:ascii="Times New Roman" w:eastAsia="標楷體" w:hAnsi="Times New Roman" w:cs="Times New Roman"/>
        </w:rPr>
        <w:t>‘</w:t>
      </w:r>
      <w:r w:rsidRPr="0069274C">
        <w:rPr>
          <w:rFonts w:ascii="Times New Roman" w:eastAsia="標楷體" w:hAnsi="Times New Roman" w:cs="Times New Roman"/>
        </w:rPr>
        <w:t>Trustee</w:t>
      </w:r>
      <w:r w:rsidR="004012A2">
        <w:rPr>
          <w:rFonts w:ascii="Times New Roman" w:eastAsia="標楷體" w:hAnsi="Times New Roman" w:cs="Times New Roman"/>
        </w:rPr>
        <w:t>’</w:t>
      </w:r>
      <w:r w:rsidRPr="0069274C">
        <w:rPr>
          <w:rFonts w:ascii="Times New Roman" w:eastAsia="標楷體" w:hAnsi="Times New Roman" w:cs="Times New Roman"/>
        </w:rPr>
        <w:t>).</w:t>
      </w:r>
    </w:p>
    <w:p w:rsidR="001526CF" w:rsidRPr="0069274C" w:rsidRDefault="001526CF" w:rsidP="00156E21">
      <w:pPr>
        <w:overflowPunct w:val="0"/>
        <w:autoSpaceDE w:val="0"/>
        <w:autoSpaceDN w:val="0"/>
        <w:jc w:val="both"/>
        <w:rPr>
          <w:rFonts w:ascii="Times New Roman" w:eastAsia="標楷體" w:hAnsi="Times New Roman" w:cs="Times New Roman"/>
        </w:rPr>
      </w:pPr>
    </w:p>
    <w:p w:rsidR="001526CF" w:rsidRPr="0069274C" w:rsidRDefault="001526CF"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(b)</w:t>
      </w:r>
      <w:r w:rsidR="008C54F7">
        <w:rPr>
          <w:rFonts w:ascii="Times New Roman" w:eastAsia="標楷體" w:hAnsi="Times New Roman" w:cs="Times New Roman"/>
        </w:rPr>
        <w:tab/>
      </w:r>
      <w:r w:rsidR="00F12084">
        <w:rPr>
          <w:rFonts w:ascii="Times New Roman" w:eastAsia="標楷體" w:hAnsi="Times New Roman" w:cs="Times New Roman"/>
        </w:rPr>
        <w:t>REIT K</w:t>
      </w:r>
      <w:r w:rsidRPr="0069274C">
        <w:rPr>
          <w:rFonts w:ascii="Times New Roman" w:eastAsia="標楷體" w:hAnsi="Times New Roman" w:cs="Times New Roman"/>
        </w:rPr>
        <w:t xml:space="preserve"> </w:t>
      </w:r>
      <w:r w:rsidR="00F33749">
        <w:rPr>
          <w:rFonts w:ascii="Times New Roman" w:eastAsia="標楷體" w:hAnsi="Times New Roman" w:cs="Times New Roman"/>
        </w:rPr>
        <w:t xml:space="preserve">is and was at the material times </w:t>
      </w:r>
      <w:r w:rsidRPr="0069274C">
        <w:rPr>
          <w:rFonts w:ascii="Times New Roman" w:eastAsia="標楷體" w:hAnsi="Times New Roman" w:cs="Times New Roman"/>
        </w:rPr>
        <w:t>listed on the Main Board of the Stock Exchange of Hong Kong Limited (</w:t>
      </w:r>
      <w:r w:rsidR="00F12084">
        <w:rPr>
          <w:rFonts w:ascii="Times New Roman" w:eastAsia="標楷體" w:hAnsi="Times New Roman" w:cs="Times New Roman"/>
        </w:rPr>
        <w:t>‘</w:t>
      </w:r>
      <w:r w:rsidRPr="0069274C">
        <w:rPr>
          <w:rFonts w:ascii="Times New Roman" w:eastAsia="標楷體" w:hAnsi="Times New Roman" w:cs="Times New Roman"/>
        </w:rPr>
        <w:t>Stock Exchange</w:t>
      </w:r>
      <w:r w:rsidR="00F12084">
        <w:rPr>
          <w:rFonts w:ascii="Times New Roman" w:eastAsia="標楷體" w:hAnsi="Times New Roman" w:cs="Times New Roman"/>
        </w:rPr>
        <w:t>’</w:t>
      </w:r>
      <w:r w:rsidRPr="0069274C">
        <w:rPr>
          <w:rFonts w:ascii="Times New Roman" w:eastAsia="標楷體" w:hAnsi="Times New Roman" w:cs="Times New Roman"/>
        </w:rPr>
        <w:t>). It is a collective investment scheme constituted as a unit trust that invests primarily in income-producing real estate assets and uses the income to provide stable returns to its unit holders (</w:t>
      </w:r>
      <w:r w:rsidR="00F12084">
        <w:rPr>
          <w:rFonts w:ascii="Times New Roman" w:eastAsia="標楷體" w:hAnsi="Times New Roman" w:cs="Times New Roman"/>
        </w:rPr>
        <w:t>‘</w:t>
      </w:r>
      <w:r w:rsidRPr="0069274C">
        <w:rPr>
          <w:rFonts w:ascii="Times New Roman" w:eastAsia="標楷體" w:hAnsi="Times New Roman" w:cs="Times New Roman"/>
        </w:rPr>
        <w:t>Holders</w:t>
      </w:r>
      <w:r w:rsidR="00F12084">
        <w:rPr>
          <w:rFonts w:ascii="Times New Roman" w:eastAsia="標楷體" w:hAnsi="Times New Roman" w:cs="Times New Roman"/>
        </w:rPr>
        <w:t>’</w:t>
      </w:r>
      <w:r w:rsidRPr="0069274C">
        <w:rPr>
          <w:rFonts w:ascii="Times New Roman" w:eastAsia="標楷體" w:hAnsi="Times New Roman" w:cs="Times New Roman"/>
        </w:rPr>
        <w:t xml:space="preserve">). </w:t>
      </w:r>
      <w:r w:rsidR="00F12084">
        <w:rPr>
          <w:rFonts w:ascii="Times New Roman" w:eastAsia="標楷體" w:hAnsi="Times New Roman" w:cs="Times New Roman"/>
        </w:rPr>
        <w:t>REIT K</w:t>
      </w:r>
      <w:r w:rsidRPr="0069274C">
        <w:rPr>
          <w:rFonts w:ascii="Times New Roman" w:eastAsia="標楷體" w:hAnsi="Times New Roman" w:cs="Times New Roman"/>
        </w:rPr>
        <w:t xml:space="preserve"> is regulated by the Securities and Futures Ordinance (C</w:t>
      </w:r>
      <w:r w:rsidR="00F12084">
        <w:rPr>
          <w:rFonts w:ascii="Times New Roman" w:eastAsia="標楷體" w:hAnsi="Times New Roman" w:cs="Times New Roman"/>
        </w:rPr>
        <w:t>h</w:t>
      </w:r>
      <w:r w:rsidRPr="0069274C">
        <w:rPr>
          <w:rFonts w:ascii="Times New Roman" w:eastAsia="標楷體" w:hAnsi="Times New Roman" w:cs="Times New Roman"/>
        </w:rPr>
        <w:t>ap</w:t>
      </w:r>
      <w:r w:rsidR="00F12084">
        <w:rPr>
          <w:rFonts w:ascii="Times New Roman" w:eastAsia="標楷體" w:hAnsi="Times New Roman" w:cs="Times New Roman"/>
        </w:rPr>
        <w:t>ter</w:t>
      </w:r>
      <w:r w:rsidRPr="0069274C">
        <w:rPr>
          <w:rFonts w:ascii="Times New Roman" w:eastAsia="標楷體" w:hAnsi="Times New Roman" w:cs="Times New Roman"/>
        </w:rPr>
        <w:t xml:space="preserve"> 571), the Code of Real Estate Investment Trust (</w:t>
      </w:r>
      <w:r w:rsidR="00F12084">
        <w:rPr>
          <w:rFonts w:ascii="Times New Roman" w:eastAsia="標楷體" w:hAnsi="Times New Roman" w:cs="Times New Roman"/>
        </w:rPr>
        <w:t>‘</w:t>
      </w:r>
      <w:r w:rsidRPr="0069274C">
        <w:rPr>
          <w:rFonts w:ascii="Times New Roman" w:eastAsia="標楷體" w:hAnsi="Times New Roman" w:cs="Times New Roman"/>
        </w:rPr>
        <w:t>REIT Code</w:t>
      </w:r>
      <w:r w:rsidR="00F12084">
        <w:rPr>
          <w:rFonts w:ascii="Times New Roman" w:eastAsia="標楷體" w:hAnsi="Times New Roman" w:cs="Times New Roman"/>
        </w:rPr>
        <w:t>’</w:t>
      </w:r>
      <w:r w:rsidRPr="0069274C">
        <w:rPr>
          <w:rFonts w:ascii="Times New Roman" w:eastAsia="標楷體" w:hAnsi="Times New Roman" w:cs="Times New Roman"/>
        </w:rPr>
        <w:t xml:space="preserve">) and Chapter 20 of the Listing Rules. </w:t>
      </w:r>
    </w:p>
    <w:p w:rsidR="001526CF" w:rsidRPr="0069274C" w:rsidRDefault="001526CF" w:rsidP="00156E21">
      <w:pPr>
        <w:overflowPunct w:val="0"/>
        <w:autoSpaceDE w:val="0"/>
        <w:autoSpaceDN w:val="0"/>
        <w:ind w:left="1080"/>
        <w:jc w:val="both"/>
        <w:rPr>
          <w:rFonts w:ascii="Times New Roman" w:eastAsia="標楷體" w:hAnsi="Times New Roman" w:cs="Times New Roman"/>
        </w:rPr>
      </w:pPr>
    </w:p>
    <w:p w:rsidR="001526CF" w:rsidRPr="0069274C" w:rsidRDefault="001526CF"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(c)</w:t>
      </w:r>
      <w:r w:rsidR="008C54F7">
        <w:rPr>
          <w:rFonts w:ascii="Times New Roman" w:eastAsia="標楷體" w:hAnsi="Times New Roman" w:cs="Times New Roman"/>
        </w:rPr>
        <w:tab/>
      </w:r>
      <w:r w:rsidRPr="0069274C">
        <w:rPr>
          <w:rFonts w:ascii="Times New Roman" w:eastAsia="標楷體" w:hAnsi="Times New Roman" w:cs="Times New Roman"/>
        </w:rPr>
        <w:t>The Trustee indirectly holds shares in property holding special purpose vehicles (including the Taxpayer) which in turn own and hold real estate assets such as the Property to engage in rental business and derive rental income for distribution to the Holders. By virtue of the Trust Deed, the Trustee holds the assets of</w:t>
      </w:r>
      <w:r w:rsidR="00F12084" w:rsidRPr="00F12084">
        <w:rPr>
          <w:rFonts w:ascii="Times New Roman" w:eastAsia="標楷體" w:hAnsi="Times New Roman" w:cs="Times New Roman"/>
        </w:rPr>
        <w:t xml:space="preserve"> </w:t>
      </w:r>
      <w:r w:rsidR="00F12084">
        <w:rPr>
          <w:rFonts w:ascii="Times New Roman" w:eastAsia="標楷體" w:hAnsi="Times New Roman" w:cs="Times New Roman"/>
        </w:rPr>
        <w:t>REIT K</w:t>
      </w:r>
      <w:r w:rsidRPr="0069274C">
        <w:rPr>
          <w:rFonts w:ascii="Times New Roman" w:eastAsia="標楷體" w:hAnsi="Times New Roman" w:cs="Times New Roman"/>
        </w:rPr>
        <w:t xml:space="preserve"> for the benefit of the Holders pari passu according to the number of units in </w:t>
      </w:r>
      <w:r w:rsidR="00F12084">
        <w:rPr>
          <w:rFonts w:ascii="Times New Roman" w:eastAsia="標楷體" w:hAnsi="Times New Roman" w:cs="Times New Roman"/>
        </w:rPr>
        <w:t>REIT K</w:t>
      </w:r>
      <w:r w:rsidRPr="0069274C">
        <w:rPr>
          <w:rFonts w:ascii="Times New Roman" w:eastAsia="標楷體" w:hAnsi="Times New Roman" w:cs="Times New Roman"/>
        </w:rPr>
        <w:t xml:space="preserve"> (</w:t>
      </w:r>
      <w:r w:rsidR="00F12084">
        <w:rPr>
          <w:rFonts w:ascii="Times New Roman" w:eastAsia="標楷體" w:hAnsi="Times New Roman" w:cs="Times New Roman"/>
        </w:rPr>
        <w:t>‘</w:t>
      </w:r>
      <w:r w:rsidRPr="0069274C">
        <w:rPr>
          <w:rFonts w:ascii="Times New Roman" w:eastAsia="標楷體" w:hAnsi="Times New Roman" w:cs="Times New Roman"/>
        </w:rPr>
        <w:t>Units</w:t>
      </w:r>
      <w:r w:rsidR="00F12084">
        <w:rPr>
          <w:rFonts w:ascii="Times New Roman" w:eastAsia="標楷體" w:hAnsi="Times New Roman" w:cs="Times New Roman"/>
        </w:rPr>
        <w:t>’</w:t>
      </w:r>
      <w:r w:rsidRPr="0069274C">
        <w:rPr>
          <w:rFonts w:ascii="Times New Roman" w:eastAsia="標楷體" w:hAnsi="Times New Roman" w:cs="Times New Roman"/>
        </w:rPr>
        <w:t xml:space="preserve">) held by each Holder. </w:t>
      </w:r>
    </w:p>
    <w:p w:rsidR="001526CF" w:rsidRPr="0069274C" w:rsidRDefault="001526CF" w:rsidP="00156E21">
      <w:pPr>
        <w:overflowPunct w:val="0"/>
        <w:autoSpaceDE w:val="0"/>
        <w:autoSpaceDN w:val="0"/>
        <w:ind w:left="1080"/>
        <w:jc w:val="both"/>
        <w:rPr>
          <w:rFonts w:ascii="Times New Roman" w:eastAsia="標楷體" w:hAnsi="Times New Roman" w:cs="Times New Roman"/>
        </w:rPr>
      </w:pPr>
    </w:p>
    <w:p w:rsidR="001526CF" w:rsidRPr="0069274C" w:rsidRDefault="001526CF" w:rsidP="00156E21">
      <w:pPr>
        <w:pStyle w:val="a3"/>
        <w:numPr>
          <w:ilvl w:val="0"/>
          <w:numId w:val="1"/>
        </w:numPr>
        <w:tabs>
          <w:tab w:val="left" w:pos="1531"/>
          <w:tab w:val="left" w:pos="2107"/>
        </w:tabs>
        <w:overflowPunct w:val="0"/>
        <w:autoSpaceDE w:val="0"/>
        <w:autoSpaceDN w:val="0"/>
        <w:ind w:left="2107" w:hangingChars="878" w:hanging="2107"/>
        <w:jc w:val="both"/>
        <w:rPr>
          <w:rFonts w:ascii="Times New Roman" w:eastAsia="標楷體" w:hAnsi="Times New Roman" w:cs="Times New Roman"/>
        </w:rPr>
      </w:pPr>
      <w:r w:rsidRPr="0069274C">
        <w:rPr>
          <w:rFonts w:ascii="Times New Roman" w:eastAsia="標楷體" w:hAnsi="Times New Roman" w:cs="Times New Roman"/>
        </w:rPr>
        <w:t>(a)</w:t>
      </w:r>
      <w:r w:rsidR="008C54F7">
        <w:rPr>
          <w:rFonts w:ascii="Times New Roman" w:eastAsia="標楷體" w:hAnsi="Times New Roman" w:cs="Times New Roman"/>
        </w:rPr>
        <w:tab/>
      </w:r>
      <w:r w:rsidRPr="0069274C">
        <w:rPr>
          <w:rFonts w:ascii="Times New Roman" w:eastAsia="標楷體" w:hAnsi="Times New Roman" w:cs="Times New Roman"/>
        </w:rPr>
        <w:t>The REIT Code together with the Practice Note(s) issued by the Securities and Futures Commission (</w:t>
      </w:r>
      <w:r w:rsidR="00F12084">
        <w:rPr>
          <w:rFonts w:ascii="Times New Roman" w:eastAsia="標楷體" w:hAnsi="Times New Roman" w:cs="Times New Roman"/>
        </w:rPr>
        <w:t>‘</w:t>
      </w:r>
      <w:r w:rsidRPr="0069274C">
        <w:rPr>
          <w:rFonts w:ascii="Times New Roman" w:eastAsia="標楷體" w:hAnsi="Times New Roman" w:cs="Times New Roman"/>
        </w:rPr>
        <w:t>SFC</w:t>
      </w:r>
      <w:r w:rsidR="00F12084">
        <w:rPr>
          <w:rFonts w:ascii="Times New Roman" w:eastAsia="標楷體" w:hAnsi="Times New Roman" w:cs="Times New Roman"/>
        </w:rPr>
        <w:t>’</w:t>
      </w:r>
      <w:r w:rsidRPr="0069274C">
        <w:rPr>
          <w:rFonts w:ascii="Times New Roman" w:eastAsia="標楷體" w:hAnsi="Times New Roman" w:cs="Times New Roman"/>
        </w:rPr>
        <w:t xml:space="preserve">) from time to time establishes guidelines for the authorization of a collective investment scheme which is a real estate investment trust. </w:t>
      </w:r>
    </w:p>
    <w:p w:rsidR="001526CF" w:rsidRPr="0069274C" w:rsidRDefault="001526CF" w:rsidP="00156E21">
      <w:pPr>
        <w:overflowPunct w:val="0"/>
        <w:autoSpaceDE w:val="0"/>
        <w:autoSpaceDN w:val="0"/>
        <w:jc w:val="both"/>
        <w:rPr>
          <w:rFonts w:ascii="Times New Roman" w:eastAsia="標楷體" w:hAnsi="Times New Roman" w:cs="Times New Roman"/>
        </w:rPr>
      </w:pPr>
    </w:p>
    <w:p w:rsidR="001526CF" w:rsidRPr="0069274C" w:rsidRDefault="001526CF"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(b)</w:t>
      </w:r>
      <w:r w:rsidR="008C54F7">
        <w:rPr>
          <w:rFonts w:ascii="Times New Roman" w:eastAsia="標楷體" w:hAnsi="Times New Roman" w:cs="Times New Roman"/>
        </w:rPr>
        <w:tab/>
      </w:r>
      <w:r w:rsidRPr="0069274C">
        <w:rPr>
          <w:rFonts w:ascii="Times New Roman" w:eastAsia="標楷體" w:hAnsi="Times New Roman" w:cs="Times New Roman"/>
        </w:rPr>
        <w:t xml:space="preserve">GP9 of the REIT Code provides that </w:t>
      </w:r>
      <w:r w:rsidR="00F12084">
        <w:rPr>
          <w:rFonts w:ascii="Times New Roman" w:eastAsia="標楷體" w:hAnsi="Times New Roman" w:cs="Times New Roman"/>
        </w:rPr>
        <w:t>‘</w:t>
      </w:r>
      <w:r w:rsidRPr="0069274C">
        <w:rPr>
          <w:rFonts w:ascii="Times New Roman" w:eastAsia="標楷體" w:hAnsi="Times New Roman" w:cs="Times New Roman"/>
        </w:rPr>
        <w:t>Management fees shall be disclosed clearly in the offering document</w:t>
      </w:r>
      <w:r w:rsidR="00F12084">
        <w:rPr>
          <w:rFonts w:ascii="Times New Roman" w:eastAsia="標楷體" w:hAnsi="Times New Roman" w:cs="Times New Roman"/>
        </w:rPr>
        <w:t>’</w:t>
      </w:r>
      <w:r w:rsidRPr="0069274C">
        <w:rPr>
          <w:rFonts w:ascii="Times New Roman" w:eastAsia="標楷體" w:hAnsi="Times New Roman" w:cs="Times New Roman"/>
        </w:rPr>
        <w:t>.</w:t>
      </w:r>
    </w:p>
    <w:p w:rsidR="001526CF" w:rsidRPr="0069274C" w:rsidRDefault="001526CF" w:rsidP="00156E21">
      <w:pPr>
        <w:overflowPunct w:val="0"/>
        <w:autoSpaceDE w:val="0"/>
        <w:autoSpaceDN w:val="0"/>
        <w:ind w:left="1080"/>
        <w:jc w:val="both"/>
        <w:rPr>
          <w:rFonts w:ascii="Times New Roman" w:eastAsia="標楷體" w:hAnsi="Times New Roman" w:cs="Times New Roman"/>
        </w:rPr>
      </w:pPr>
    </w:p>
    <w:p w:rsidR="001526CF" w:rsidRPr="0069274C" w:rsidRDefault="001526CF"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(c)</w:t>
      </w:r>
      <w:r w:rsidR="008C54F7">
        <w:rPr>
          <w:rFonts w:ascii="Times New Roman" w:eastAsia="標楷體" w:hAnsi="Times New Roman" w:cs="Times New Roman"/>
        </w:rPr>
        <w:tab/>
      </w:r>
      <w:r w:rsidR="00F12084">
        <w:rPr>
          <w:rFonts w:ascii="Times New Roman" w:eastAsia="標楷體" w:hAnsi="Times New Roman" w:cs="Times New Roman"/>
        </w:rPr>
        <w:t>REIT K</w:t>
      </w:r>
      <w:r w:rsidR="00FD2DEB">
        <w:rPr>
          <w:rFonts w:ascii="Times New Roman" w:eastAsia="標楷體" w:hAnsi="Times New Roman" w:cs="Times New Roman"/>
        </w:rPr>
        <w:t xml:space="preserve"> has been authorized by the SFC</w:t>
      </w:r>
      <w:r w:rsidRPr="0069274C">
        <w:rPr>
          <w:rFonts w:ascii="Times New Roman" w:eastAsia="標楷體" w:hAnsi="Times New Roman" w:cs="Times New Roman"/>
        </w:rPr>
        <w:t xml:space="preserve"> subject to certain conditions</w:t>
      </w:r>
      <w:r w:rsidR="003126EA">
        <w:rPr>
          <w:rFonts w:ascii="Times New Roman" w:eastAsia="標楷體" w:hAnsi="Times New Roman" w:cs="Times New Roman"/>
        </w:rPr>
        <w:t xml:space="preserve"> set out in the approval letter</w:t>
      </w:r>
      <w:r w:rsidRPr="0069274C">
        <w:rPr>
          <w:rFonts w:ascii="Times New Roman" w:eastAsia="標楷體" w:hAnsi="Times New Roman" w:cs="Times New Roman"/>
        </w:rPr>
        <w:t xml:space="preserve">. </w:t>
      </w:r>
    </w:p>
    <w:p w:rsidR="001526CF" w:rsidRPr="0069274C" w:rsidRDefault="001526CF" w:rsidP="00156E21">
      <w:pPr>
        <w:overflowPunct w:val="0"/>
        <w:autoSpaceDE w:val="0"/>
        <w:autoSpaceDN w:val="0"/>
        <w:jc w:val="both"/>
        <w:rPr>
          <w:rFonts w:ascii="Times New Roman" w:eastAsia="標楷體" w:hAnsi="Times New Roman" w:cs="Times New Roman"/>
        </w:rPr>
      </w:pPr>
    </w:p>
    <w:p w:rsidR="001526CF" w:rsidRPr="0069274C" w:rsidRDefault="001526CF"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By a sale and </w:t>
      </w:r>
      <w:r w:rsidR="00A342BA" w:rsidRPr="0069274C">
        <w:rPr>
          <w:rFonts w:ascii="Times New Roman" w:eastAsia="標楷體" w:hAnsi="Times New Roman" w:cs="Times New Roman"/>
        </w:rPr>
        <w:t xml:space="preserve">purchase agreement, </w:t>
      </w:r>
      <w:r w:rsidR="00F12084">
        <w:rPr>
          <w:rFonts w:ascii="Times New Roman" w:eastAsia="標楷體" w:hAnsi="Times New Roman" w:cs="Times New Roman"/>
        </w:rPr>
        <w:t>REIT K</w:t>
      </w:r>
      <w:r w:rsidR="00A342BA" w:rsidRPr="0069274C">
        <w:rPr>
          <w:rFonts w:ascii="Times New Roman" w:eastAsia="標楷體" w:hAnsi="Times New Roman" w:cs="Times New Roman"/>
        </w:rPr>
        <w:t xml:space="preserve"> Holding Limited acquired the entire issued share capital of </w:t>
      </w:r>
      <w:r w:rsidR="00F12084">
        <w:rPr>
          <w:rFonts w:ascii="Times New Roman" w:eastAsia="標楷體" w:hAnsi="Times New Roman" w:cs="Times New Roman"/>
        </w:rPr>
        <w:t>Company D</w:t>
      </w:r>
      <w:r w:rsidR="00A342BA" w:rsidRPr="0069274C">
        <w:rPr>
          <w:rFonts w:ascii="Times New Roman" w:eastAsia="標楷體" w:hAnsi="Times New Roman" w:cs="Times New Roman"/>
        </w:rPr>
        <w:t xml:space="preserve">, subject to the successful listing of the Units. </w:t>
      </w:r>
    </w:p>
    <w:p w:rsidR="00A342BA" w:rsidRPr="0069274C" w:rsidRDefault="00A342BA" w:rsidP="00156E21">
      <w:pPr>
        <w:overflowPunct w:val="0"/>
        <w:autoSpaceDE w:val="0"/>
        <w:autoSpaceDN w:val="0"/>
        <w:jc w:val="both"/>
        <w:rPr>
          <w:rFonts w:ascii="Times New Roman" w:eastAsia="標楷體" w:hAnsi="Times New Roman" w:cs="Times New Roman"/>
        </w:rPr>
      </w:pPr>
    </w:p>
    <w:p w:rsidR="00A342BA" w:rsidRPr="0069274C" w:rsidRDefault="009134AD"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Pr>
          <w:rFonts w:ascii="Times New Roman" w:eastAsia="標楷體" w:hAnsi="Times New Roman" w:cs="Times New Roman"/>
        </w:rPr>
        <w:t xml:space="preserve">Before listing, a </w:t>
      </w:r>
      <w:r w:rsidR="00A342BA" w:rsidRPr="0069274C">
        <w:rPr>
          <w:rFonts w:ascii="Times New Roman" w:eastAsia="標楷體" w:hAnsi="Times New Roman" w:cs="Times New Roman"/>
        </w:rPr>
        <w:t xml:space="preserve">circular on the placing and offer of Units of </w:t>
      </w:r>
      <w:r w:rsidR="00F12084">
        <w:rPr>
          <w:rFonts w:ascii="Times New Roman" w:eastAsia="標楷體" w:hAnsi="Times New Roman" w:cs="Times New Roman"/>
        </w:rPr>
        <w:t>REIT K</w:t>
      </w:r>
      <w:r w:rsidR="001D0704">
        <w:rPr>
          <w:rFonts w:ascii="Times New Roman" w:eastAsia="標楷體" w:hAnsi="Times New Roman" w:cs="Times New Roman"/>
        </w:rPr>
        <w:t xml:space="preserve"> </w:t>
      </w:r>
      <w:r w:rsidR="001D0704" w:rsidRPr="0069274C">
        <w:rPr>
          <w:rFonts w:ascii="Times New Roman" w:eastAsia="標楷體" w:hAnsi="Times New Roman" w:cs="Times New Roman"/>
        </w:rPr>
        <w:t>(</w:t>
      </w:r>
      <w:r w:rsidR="001D0704">
        <w:rPr>
          <w:rFonts w:ascii="Times New Roman" w:eastAsia="標楷體" w:hAnsi="Times New Roman" w:cs="Times New Roman"/>
        </w:rPr>
        <w:t>‘</w:t>
      </w:r>
      <w:r w:rsidR="001D0704" w:rsidRPr="0069274C">
        <w:rPr>
          <w:rFonts w:ascii="Times New Roman" w:eastAsia="標楷體" w:hAnsi="Times New Roman" w:cs="Times New Roman"/>
        </w:rPr>
        <w:t>Offering Circular</w:t>
      </w:r>
      <w:r w:rsidR="001D0704">
        <w:rPr>
          <w:rFonts w:ascii="Times New Roman" w:eastAsia="標楷體" w:hAnsi="Times New Roman" w:cs="Times New Roman"/>
        </w:rPr>
        <w:t>’</w:t>
      </w:r>
      <w:r w:rsidR="001D0704" w:rsidRPr="0069274C">
        <w:rPr>
          <w:rFonts w:ascii="Times New Roman" w:eastAsia="標楷體" w:hAnsi="Times New Roman" w:cs="Times New Roman"/>
        </w:rPr>
        <w:t xml:space="preserve">) </w:t>
      </w:r>
      <w:r w:rsidR="001D0704">
        <w:rPr>
          <w:rFonts w:ascii="Times New Roman" w:eastAsia="標楷體" w:hAnsi="Times New Roman" w:cs="Times New Roman"/>
        </w:rPr>
        <w:t>was issued</w:t>
      </w:r>
      <w:r w:rsidR="00A342BA" w:rsidRPr="0069274C">
        <w:rPr>
          <w:rFonts w:ascii="Times New Roman" w:eastAsia="標楷體" w:hAnsi="Times New Roman" w:cs="Times New Roman"/>
        </w:rPr>
        <w:t>.</w:t>
      </w:r>
    </w:p>
    <w:p w:rsidR="00A342BA" w:rsidRPr="0069274C" w:rsidRDefault="00A342BA" w:rsidP="00156E21">
      <w:pPr>
        <w:pStyle w:val="a3"/>
        <w:overflowPunct w:val="0"/>
        <w:autoSpaceDE w:val="0"/>
        <w:autoSpaceDN w:val="0"/>
        <w:rPr>
          <w:rFonts w:ascii="Times New Roman" w:eastAsia="標楷體" w:hAnsi="Times New Roman" w:cs="Times New Roman"/>
        </w:rPr>
      </w:pPr>
    </w:p>
    <w:p w:rsidR="00A342BA" w:rsidRPr="0069274C" w:rsidRDefault="00A342BA" w:rsidP="00156E21">
      <w:pPr>
        <w:pStyle w:val="a3"/>
        <w:numPr>
          <w:ilvl w:val="0"/>
          <w:numId w:val="1"/>
        </w:numPr>
        <w:tabs>
          <w:tab w:val="left" w:pos="1531"/>
          <w:tab w:val="left" w:pos="2107"/>
        </w:tabs>
        <w:overflowPunct w:val="0"/>
        <w:autoSpaceDE w:val="0"/>
        <w:autoSpaceDN w:val="0"/>
        <w:ind w:left="2107" w:hangingChars="878" w:hanging="2107"/>
        <w:jc w:val="both"/>
        <w:rPr>
          <w:rFonts w:ascii="Times New Roman" w:eastAsia="標楷體" w:hAnsi="Times New Roman" w:cs="Times New Roman"/>
        </w:rPr>
      </w:pPr>
      <w:r w:rsidRPr="0069274C">
        <w:rPr>
          <w:rFonts w:ascii="Times New Roman" w:eastAsia="標楷體" w:hAnsi="Times New Roman" w:cs="Times New Roman"/>
        </w:rPr>
        <w:t>(a)</w:t>
      </w:r>
      <w:r w:rsidR="008C54F7">
        <w:rPr>
          <w:rFonts w:ascii="Times New Roman" w:eastAsia="標楷體" w:hAnsi="Times New Roman" w:cs="Times New Roman"/>
        </w:rPr>
        <w:tab/>
      </w:r>
      <w:r w:rsidRPr="0069274C">
        <w:rPr>
          <w:rFonts w:ascii="Times New Roman" w:eastAsia="標楷體" w:hAnsi="Times New Roman" w:cs="Times New Roman"/>
        </w:rPr>
        <w:t xml:space="preserve">Clause </w:t>
      </w:r>
      <w:r w:rsidR="00196CB1">
        <w:rPr>
          <w:rFonts w:ascii="Times New Roman" w:eastAsia="標楷體" w:hAnsi="Times New Roman" w:cs="Times New Roman"/>
        </w:rPr>
        <w:t>A</w:t>
      </w:r>
      <w:r w:rsidRPr="0069274C">
        <w:rPr>
          <w:rFonts w:ascii="Times New Roman" w:eastAsia="標楷體" w:hAnsi="Times New Roman" w:cs="Times New Roman"/>
        </w:rPr>
        <w:t xml:space="preserve">.4 of the Trust Deed provides that the Manager may delegate to any person the performance of any act or the exercise of any power to manage and administer the Authorised Investment (as defined in the Trust Deed) and the exercise of any of the rights, trusts and discretions granted to the Manager by the Trust Deed as it thinks fit. </w:t>
      </w:r>
    </w:p>
    <w:p w:rsidR="00A342BA" w:rsidRPr="0069274C" w:rsidRDefault="00A342BA" w:rsidP="00156E21">
      <w:pPr>
        <w:pStyle w:val="a3"/>
        <w:overflowPunct w:val="0"/>
        <w:autoSpaceDE w:val="0"/>
        <w:autoSpaceDN w:val="0"/>
        <w:ind w:left="1080"/>
        <w:rPr>
          <w:rFonts w:ascii="Times New Roman" w:eastAsia="標楷體" w:hAnsi="Times New Roman" w:cs="Times New Roman"/>
        </w:rPr>
      </w:pPr>
    </w:p>
    <w:p w:rsidR="00A342BA" w:rsidRPr="0069274C" w:rsidRDefault="00A342BA"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(b)</w:t>
      </w:r>
      <w:r w:rsidR="008C54F7">
        <w:rPr>
          <w:rFonts w:ascii="Times New Roman" w:eastAsia="標楷體" w:hAnsi="Times New Roman" w:cs="Times New Roman"/>
        </w:rPr>
        <w:tab/>
      </w:r>
      <w:r w:rsidRPr="0069274C">
        <w:rPr>
          <w:rFonts w:ascii="Times New Roman" w:eastAsia="標楷體" w:hAnsi="Times New Roman" w:cs="Times New Roman"/>
        </w:rPr>
        <w:t>By the Property Management Agreement (</w:t>
      </w:r>
      <w:r w:rsidR="00F12084">
        <w:rPr>
          <w:rFonts w:ascii="Times New Roman" w:eastAsia="標楷體" w:hAnsi="Times New Roman" w:cs="Times New Roman"/>
        </w:rPr>
        <w:t>‘</w:t>
      </w:r>
      <w:r w:rsidRPr="0069274C">
        <w:rPr>
          <w:rFonts w:ascii="Times New Roman" w:eastAsia="標楷體" w:hAnsi="Times New Roman" w:cs="Times New Roman"/>
        </w:rPr>
        <w:t>PMA</w:t>
      </w:r>
      <w:r w:rsidR="00F12084">
        <w:rPr>
          <w:rFonts w:ascii="Times New Roman" w:eastAsia="標楷體" w:hAnsi="Times New Roman" w:cs="Times New Roman"/>
        </w:rPr>
        <w:t>’</w:t>
      </w:r>
      <w:r w:rsidRPr="0069274C">
        <w:rPr>
          <w:rFonts w:ascii="Times New Roman" w:eastAsia="標楷體" w:hAnsi="Times New Roman" w:cs="Times New Roman"/>
        </w:rPr>
        <w:t xml:space="preserve">) entered into between the Manager and </w:t>
      </w:r>
      <w:r w:rsidR="00F12084">
        <w:rPr>
          <w:rFonts w:ascii="Times New Roman" w:eastAsia="標楷體" w:hAnsi="Times New Roman" w:cs="Times New Roman"/>
        </w:rPr>
        <w:t>Company L</w:t>
      </w:r>
      <w:r w:rsidRPr="0069274C">
        <w:rPr>
          <w:rFonts w:ascii="Times New Roman" w:eastAsia="標楷體" w:hAnsi="Times New Roman" w:cs="Times New Roman"/>
        </w:rPr>
        <w:t xml:space="preserve"> (</w:t>
      </w:r>
      <w:r w:rsidR="00F12084">
        <w:rPr>
          <w:rFonts w:ascii="Times New Roman" w:eastAsia="標楷體" w:hAnsi="Times New Roman" w:cs="Times New Roman"/>
        </w:rPr>
        <w:t>‘</w:t>
      </w:r>
      <w:r w:rsidRPr="0069274C">
        <w:rPr>
          <w:rFonts w:ascii="Times New Roman" w:eastAsia="標楷體" w:hAnsi="Times New Roman" w:cs="Times New Roman"/>
        </w:rPr>
        <w:t>Property Manager</w:t>
      </w:r>
      <w:r w:rsidR="00F12084">
        <w:rPr>
          <w:rFonts w:ascii="Times New Roman" w:eastAsia="標楷體" w:hAnsi="Times New Roman" w:cs="Times New Roman"/>
        </w:rPr>
        <w:t>’</w:t>
      </w:r>
      <w:r w:rsidRPr="0069274C">
        <w:rPr>
          <w:rFonts w:ascii="Times New Roman" w:eastAsia="標楷體" w:hAnsi="Times New Roman" w:cs="Times New Roman"/>
        </w:rPr>
        <w:t>), the latter was appointed to provide services solely and exclusively for the real estate assets (</w:t>
      </w:r>
      <w:r w:rsidR="00F12084">
        <w:rPr>
          <w:rFonts w:ascii="Times New Roman" w:eastAsia="標楷體" w:hAnsi="Times New Roman" w:cs="Times New Roman"/>
        </w:rPr>
        <w:t>‘</w:t>
      </w:r>
      <w:r w:rsidRPr="0069274C">
        <w:rPr>
          <w:rFonts w:ascii="Times New Roman" w:eastAsia="標楷體" w:hAnsi="Times New Roman" w:cs="Times New Roman"/>
        </w:rPr>
        <w:t>Properties</w:t>
      </w:r>
      <w:r w:rsidR="00F12084">
        <w:rPr>
          <w:rFonts w:ascii="Times New Roman" w:eastAsia="標楷體" w:hAnsi="Times New Roman" w:cs="Times New Roman"/>
        </w:rPr>
        <w:t>’</w:t>
      </w:r>
      <w:r w:rsidRPr="0069274C">
        <w:rPr>
          <w:rFonts w:ascii="Times New Roman" w:eastAsia="標楷體" w:hAnsi="Times New Roman" w:cs="Times New Roman"/>
        </w:rPr>
        <w:t xml:space="preserve">, which included the Property) of </w:t>
      </w:r>
      <w:r w:rsidR="00F12084">
        <w:rPr>
          <w:rFonts w:ascii="Times New Roman" w:eastAsia="標楷體" w:hAnsi="Times New Roman" w:cs="Times New Roman"/>
        </w:rPr>
        <w:t>REIT K</w:t>
      </w:r>
      <w:r w:rsidRPr="0069274C">
        <w:rPr>
          <w:rFonts w:ascii="Times New Roman" w:eastAsia="標楷體" w:hAnsi="Times New Roman" w:cs="Times New Roman"/>
        </w:rPr>
        <w:t xml:space="preserve"> located in Hong Kong, subject to the overall management and supervision of the Manager.</w:t>
      </w:r>
    </w:p>
    <w:p w:rsidR="00A342BA" w:rsidRPr="0069274C" w:rsidRDefault="00A342BA" w:rsidP="00156E21">
      <w:pPr>
        <w:pStyle w:val="a3"/>
        <w:overflowPunct w:val="0"/>
        <w:autoSpaceDE w:val="0"/>
        <w:autoSpaceDN w:val="0"/>
        <w:ind w:left="1080"/>
        <w:jc w:val="both"/>
        <w:rPr>
          <w:rFonts w:ascii="Times New Roman" w:eastAsia="標楷體" w:hAnsi="Times New Roman" w:cs="Times New Roman"/>
        </w:rPr>
      </w:pPr>
    </w:p>
    <w:p w:rsidR="00A342BA" w:rsidRPr="0069274C" w:rsidRDefault="002825CF"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The PMA was amended by </w:t>
      </w:r>
      <w:r>
        <w:rPr>
          <w:rFonts w:ascii="Times New Roman" w:eastAsia="標楷體" w:hAnsi="Times New Roman" w:cs="Times New Roman"/>
        </w:rPr>
        <w:t>several</w:t>
      </w:r>
      <w:r w:rsidRPr="0069274C">
        <w:rPr>
          <w:rFonts w:ascii="Times New Roman" w:eastAsia="標楷體" w:hAnsi="Times New Roman" w:cs="Times New Roman"/>
        </w:rPr>
        <w:t xml:space="preserve"> supplemental agreements.</w:t>
      </w:r>
    </w:p>
    <w:p w:rsidR="0093763E" w:rsidRPr="0069274C" w:rsidRDefault="0093763E" w:rsidP="00156E21">
      <w:pPr>
        <w:overflowPunct w:val="0"/>
        <w:autoSpaceDE w:val="0"/>
        <w:autoSpaceDN w:val="0"/>
        <w:jc w:val="both"/>
        <w:rPr>
          <w:rFonts w:ascii="Times New Roman" w:eastAsia="標楷體" w:hAnsi="Times New Roman" w:cs="Times New Roman"/>
        </w:rPr>
      </w:pPr>
    </w:p>
    <w:p w:rsidR="0093763E" w:rsidRPr="0069274C" w:rsidRDefault="00F12084"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Pr>
          <w:rFonts w:ascii="Times New Roman" w:eastAsia="標楷體" w:hAnsi="Times New Roman" w:cs="Times New Roman"/>
        </w:rPr>
        <w:t>REIT K</w:t>
      </w:r>
      <w:r w:rsidR="0093763E" w:rsidRPr="0069274C">
        <w:rPr>
          <w:rFonts w:ascii="Times New Roman" w:eastAsia="標楷體" w:hAnsi="Times New Roman" w:cs="Times New Roman"/>
        </w:rPr>
        <w:t xml:space="preserve"> commenced operation when the Properties</w:t>
      </w:r>
      <w:r w:rsidR="006A458E">
        <w:rPr>
          <w:rFonts w:ascii="Times New Roman" w:eastAsia="標楷體" w:hAnsi="Times New Roman" w:cs="Times New Roman"/>
        </w:rPr>
        <w:t xml:space="preserve"> </w:t>
      </w:r>
      <w:r w:rsidR="0093763E" w:rsidRPr="0069274C">
        <w:rPr>
          <w:rFonts w:ascii="Times New Roman" w:eastAsia="標楷體" w:hAnsi="Times New Roman" w:cs="Times New Roman"/>
        </w:rPr>
        <w:t>were</w:t>
      </w:r>
      <w:r w:rsidR="006A458E">
        <w:rPr>
          <w:rFonts w:ascii="Times New Roman" w:eastAsia="標楷體" w:hAnsi="Times New Roman" w:cs="Times New Roman"/>
        </w:rPr>
        <w:t xml:space="preserve"> </w:t>
      </w:r>
      <w:r w:rsidR="0093763E" w:rsidRPr="0069274C">
        <w:rPr>
          <w:rFonts w:ascii="Times New Roman" w:eastAsia="標楷體" w:hAnsi="Times New Roman" w:cs="Times New Roman"/>
        </w:rPr>
        <w:t xml:space="preserve">acquired and the Units were listed on the Stock Exchange. The Property became part of the property portfolio of </w:t>
      </w:r>
      <w:r>
        <w:rPr>
          <w:rFonts w:ascii="Times New Roman" w:eastAsia="標楷體" w:hAnsi="Times New Roman" w:cs="Times New Roman"/>
        </w:rPr>
        <w:t>REIT K</w:t>
      </w:r>
      <w:r w:rsidR="0093763E" w:rsidRPr="0069274C">
        <w:rPr>
          <w:rFonts w:ascii="Times New Roman" w:eastAsia="標楷體" w:hAnsi="Times New Roman" w:cs="Times New Roman"/>
        </w:rPr>
        <w:t xml:space="preserve">. </w:t>
      </w:r>
    </w:p>
    <w:p w:rsidR="0093763E" w:rsidRPr="0069274C" w:rsidRDefault="0093763E" w:rsidP="00156E21">
      <w:pPr>
        <w:pStyle w:val="a3"/>
        <w:overflowPunct w:val="0"/>
        <w:autoSpaceDE w:val="0"/>
        <w:autoSpaceDN w:val="0"/>
        <w:ind w:left="0"/>
        <w:rPr>
          <w:rFonts w:ascii="Times New Roman" w:eastAsia="標楷體" w:hAnsi="Times New Roman" w:cs="Times New Roman"/>
        </w:rPr>
      </w:pPr>
    </w:p>
    <w:p w:rsidR="0093763E" w:rsidRPr="0069274C" w:rsidRDefault="0093763E"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The Manager and the Property Manager entered into a deed of ratification and accession. The Manager was incorporated in Hong Kong. The Manager and the Property Manager are both indirectly wholly-owned subsidiaries of </w:t>
      </w:r>
      <w:r w:rsidR="00F12084">
        <w:rPr>
          <w:rFonts w:ascii="Times New Roman" w:eastAsia="標楷體" w:hAnsi="Times New Roman" w:cs="Times New Roman"/>
        </w:rPr>
        <w:t>Company M</w:t>
      </w:r>
      <w:r w:rsidRPr="0069274C">
        <w:rPr>
          <w:rFonts w:ascii="Times New Roman" w:eastAsia="標楷體" w:hAnsi="Times New Roman" w:cs="Times New Roman"/>
        </w:rPr>
        <w:t xml:space="preserve">. </w:t>
      </w:r>
    </w:p>
    <w:p w:rsidR="0093763E" w:rsidRPr="0069274C" w:rsidRDefault="0093763E" w:rsidP="00156E21">
      <w:pPr>
        <w:pStyle w:val="a3"/>
        <w:overflowPunct w:val="0"/>
        <w:autoSpaceDE w:val="0"/>
        <w:autoSpaceDN w:val="0"/>
        <w:ind w:left="0"/>
        <w:rPr>
          <w:rFonts w:ascii="Times New Roman" w:eastAsia="標楷體" w:hAnsi="Times New Roman" w:cs="Times New Roman"/>
        </w:rPr>
      </w:pPr>
    </w:p>
    <w:p w:rsidR="0093763E" w:rsidRPr="0069274C" w:rsidRDefault="0093763E"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The Manager elected for the Base Fee and the Variable Fee (both terms as defined in the Trust Deed) be paid for the financial years ended 30 June 2010 to 2015 as follows:</w:t>
      </w:r>
      <w:r w:rsidR="009D63E9">
        <w:rPr>
          <w:rFonts w:ascii="Times New Roman" w:eastAsia="標楷體" w:hAnsi="Times New Roman" w:cs="Times New Roman"/>
        </w:rPr>
        <w:t xml:space="preserve"> </w:t>
      </w:r>
    </w:p>
    <w:p w:rsidR="0093763E" w:rsidRDefault="0093763E" w:rsidP="00156E21">
      <w:pPr>
        <w:pStyle w:val="a3"/>
        <w:overflowPunct w:val="0"/>
        <w:autoSpaceDE w:val="0"/>
        <w:autoSpaceDN w:val="0"/>
        <w:rPr>
          <w:rFonts w:ascii="Times New Roman" w:eastAsia="標楷體" w:hAnsi="Times New Roman" w:cs="Times New Roman"/>
        </w:rPr>
      </w:pPr>
    </w:p>
    <w:tbl>
      <w:tblPr>
        <w:tblStyle w:val="af0"/>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40"/>
        <w:gridCol w:w="841"/>
        <w:gridCol w:w="841"/>
        <w:gridCol w:w="841"/>
        <w:gridCol w:w="841"/>
        <w:gridCol w:w="841"/>
      </w:tblGrid>
      <w:tr w:rsidR="00AB3B5E" w:rsidTr="00AB3B5E">
        <w:tc>
          <w:tcPr>
            <w:tcW w:w="2268" w:type="dxa"/>
          </w:tcPr>
          <w:p w:rsidR="008C54F7" w:rsidRDefault="008C54F7" w:rsidP="00156E21">
            <w:pPr>
              <w:pStyle w:val="a3"/>
              <w:overflowPunct w:val="0"/>
              <w:autoSpaceDE w:val="0"/>
              <w:autoSpaceDN w:val="0"/>
              <w:ind w:left="0"/>
              <w:rPr>
                <w:rFonts w:ascii="Times New Roman" w:eastAsia="標楷體" w:hAnsi="Times New Roman" w:cs="Times New Roman"/>
              </w:rPr>
            </w:pPr>
            <w:r w:rsidRPr="0069274C">
              <w:rPr>
                <w:rFonts w:ascii="Times New Roman" w:eastAsia="標楷體" w:hAnsi="Times New Roman" w:cs="Times New Roman"/>
              </w:rPr>
              <w:t>Year ended 30 June</w:t>
            </w:r>
          </w:p>
        </w:tc>
        <w:tc>
          <w:tcPr>
            <w:tcW w:w="840" w:type="dxa"/>
          </w:tcPr>
          <w:p w:rsidR="008C54F7" w:rsidRDefault="008C54F7" w:rsidP="00156E21">
            <w:pPr>
              <w:pStyle w:val="a3"/>
              <w:overflowPunct w:val="0"/>
              <w:autoSpaceDE w:val="0"/>
              <w:autoSpaceDN w:val="0"/>
              <w:ind w:left="0"/>
              <w:jc w:val="center"/>
              <w:rPr>
                <w:rFonts w:ascii="Times New Roman" w:eastAsia="標楷體" w:hAnsi="Times New Roman" w:cs="Times New Roman"/>
              </w:rPr>
            </w:pPr>
            <w:r w:rsidRPr="0069274C">
              <w:rPr>
                <w:rFonts w:ascii="Times New Roman" w:eastAsia="標楷體" w:hAnsi="Times New Roman" w:cs="Times New Roman"/>
                <w:u w:val="single"/>
              </w:rPr>
              <w:t>2010</w:t>
            </w:r>
          </w:p>
        </w:tc>
        <w:tc>
          <w:tcPr>
            <w:tcW w:w="841" w:type="dxa"/>
          </w:tcPr>
          <w:p w:rsidR="008C54F7" w:rsidRDefault="008C54F7" w:rsidP="00156E21">
            <w:pPr>
              <w:pStyle w:val="a3"/>
              <w:overflowPunct w:val="0"/>
              <w:autoSpaceDE w:val="0"/>
              <w:autoSpaceDN w:val="0"/>
              <w:ind w:left="0"/>
              <w:jc w:val="center"/>
              <w:rPr>
                <w:rFonts w:ascii="Times New Roman" w:eastAsia="標楷體" w:hAnsi="Times New Roman" w:cs="Times New Roman"/>
              </w:rPr>
            </w:pPr>
            <w:r w:rsidRPr="0069274C">
              <w:rPr>
                <w:rFonts w:ascii="Times New Roman" w:eastAsia="標楷體" w:hAnsi="Times New Roman" w:cs="Times New Roman"/>
                <w:u w:val="single"/>
              </w:rPr>
              <w:t>2011</w:t>
            </w:r>
          </w:p>
        </w:tc>
        <w:tc>
          <w:tcPr>
            <w:tcW w:w="841" w:type="dxa"/>
          </w:tcPr>
          <w:p w:rsidR="008C54F7" w:rsidRDefault="008C54F7" w:rsidP="00156E21">
            <w:pPr>
              <w:pStyle w:val="a3"/>
              <w:overflowPunct w:val="0"/>
              <w:autoSpaceDE w:val="0"/>
              <w:autoSpaceDN w:val="0"/>
              <w:ind w:left="0"/>
              <w:jc w:val="center"/>
              <w:rPr>
                <w:rFonts w:ascii="Times New Roman" w:eastAsia="標楷體" w:hAnsi="Times New Roman" w:cs="Times New Roman"/>
              </w:rPr>
            </w:pPr>
            <w:r w:rsidRPr="0069274C">
              <w:rPr>
                <w:rFonts w:ascii="Times New Roman" w:eastAsia="標楷體" w:hAnsi="Times New Roman" w:cs="Times New Roman"/>
                <w:u w:val="single"/>
              </w:rPr>
              <w:t>2012</w:t>
            </w:r>
          </w:p>
        </w:tc>
        <w:tc>
          <w:tcPr>
            <w:tcW w:w="841" w:type="dxa"/>
          </w:tcPr>
          <w:p w:rsidR="008C54F7" w:rsidRDefault="008C54F7" w:rsidP="00156E21">
            <w:pPr>
              <w:pStyle w:val="a3"/>
              <w:overflowPunct w:val="0"/>
              <w:autoSpaceDE w:val="0"/>
              <w:autoSpaceDN w:val="0"/>
              <w:ind w:left="0"/>
              <w:jc w:val="center"/>
              <w:rPr>
                <w:rFonts w:ascii="Times New Roman" w:eastAsia="標楷體" w:hAnsi="Times New Roman" w:cs="Times New Roman"/>
              </w:rPr>
            </w:pPr>
            <w:r w:rsidRPr="0069274C">
              <w:rPr>
                <w:rFonts w:ascii="Times New Roman" w:eastAsia="標楷體" w:hAnsi="Times New Roman" w:cs="Times New Roman"/>
                <w:u w:val="single"/>
              </w:rPr>
              <w:t>2013</w:t>
            </w:r>
          </w:p>
        </w:tc>
        <w:tc>
          <w:tcPr>
            <w:tcW w:w="841" w:type="dxa"/>
          </w:tcPr>
          <w:p w:rsidR="008C54F7" w:rsidRDefault="008C54F7" w:rsidP="00156E21">
            <w:pPr>
              <w:pStyle w:val="a3"/>
              <w:overflowPunct w:val="0"/>
              <w:autoSpaceDE w:val="0"/>
              <w:autoSpaceDN w:val="0"/>
              <w:ind w:left="0"/>
              <w:jc w:val="center"/>
              <w:rPr>
                <w:rFonts w:ascii="Times New Roman" w:eastAsia="標楷體" w:hAnsi="Times New Roman" w:cs="Times New Roman"/>
              </w:rPr>
            </w:pPr>
            <w:r w:rsidRPr="0069274C">
              <w:rPr>
                <w:rFonts w:ascii="Times New Roman" w:eastAsia="標楷體" w:hAnsi="Times New Roman" w:cs="Times New Roman"/>
                <w:u w:val="single"/>
              </w:rPr>
              <w:t>2014</w:t>
            </w:r>
          </w:p>
        </w:tc>
        <w:tc>
          <w:tcPr>
            <w:tcW w:w="841" w:type="dxa"/>
          </w:tcPr>
          <w:p w:rsidR="008C54F7" w:rsidRDefault="008C54F7" w:rsidP="00156E21">
            <w:pPr>
              <w:pStyle w:val="a3"/>
              <w:overflowPunct w:val="0"/>
              <w:autoSpaceDE w:val="0"/>
              <w:autoSpaceDN w:val="0"/>
              <w:ind w:left="0"/>
              <w:jc w:val="center"/>
              <w:rPr>
                <w:rFonts w:ascii="Times New Roman" w:eastAsia="標楷體" w:hAnsi="Times New Roman" w:cs="Times New Roman"/>
              </w:rPr>
            </w:pPr>
            <w:r w:rsidRPr="0069274C">
              <w:rPr>
                <w:rFonts w:ascii="Times New Roman" w:eastAsia="標楷體" w:hAnsi="Times New Roman" w:cs="Times New Roman"/>
                <w:u w:val="single"/>
              </w:rPr>
              <w:t>2015</w:t>
            </w:r>
          </w:p>
        </w:tc>
      </w:tr>
      <w:tr w:rsidR="00AB3B5E" w:rsidTr="00AB3B5E">
        <w:tc>
          <w:tcPr>
            <w:tcW w:w="2268" w:type="dxa"/>
          </w:tcPr>
          <w:p w:rsidR="008C54F7" w:rsidRDefault="008C54F7" w:rsidP="00156E21">
            <w:pPr>
              <w:pStyle w:val="a3"/>
              <w:overflowPunct w:val="0"/>
              <w:autoSpaceDE w:val="0"/>
              <w:autoSpaceDN w:val="0"/>
              <w:ind w:left="0"/>
              <w:rPr>
                <w:rFonts w:ascii="Times New Roman" w:eastAsia="標楷體" w:hAnsi="Times New Roman" w:cs="Times New Roman"/>
              </w:rPr>
            </w:pPr>
            <w:r w:rsidRPr="0069274C">
              <w:rPr>
                <w:rFonts w:ascii="Times New Roman" w:eastAsia="標楷體" w:hAnsi="Times New Roman" w:cs="Times New Roman"/>
              </w:rPr>
              <w:t>In form of:</w:t>
            </w:r>
          </w:p>
        </w:tc>
        <w:tc>
          <w:tcPr>
            <w:tcW w:w="840" w:type="dxa"/>
          </w:tcPr>
          <w:p w:rsidR="008C54F7" w:rsidRDefault="008C54F7" w:rsidP="00156E21">
            <w:pPr>
              <w:pStyle w:val="a3"/>
              <w:overflowPunct w:val="0"/>
              <w:autoSpaceDE w:val="0"/>
              <w:autoSpaceDN w:val="0"/>
              <w:ind w:left="0"/>
              <w:jc w:val="center"/>
              <w:rPr>
                <w:rFonts w:ascii="Times New Roman" w:eastAsia="標楷體" w:hAnsi="Times New Roman" w:cs="Times New Roman"/>
              </w:rPr>
            </w:pPr>
          </w:p>
        </w:tc>
        <w:tc>
          <w:tcPr>
            <w:tcW w:w="841" w:type="dxa"/>
          </w:tcPr>
          <w:p w:rsidR="008C54F7" w:rsidRDefault="008C54F7" w:rsidP="00156E21">
            <w:pPr>
              <w:pStyle w:val="a3"/>
              <w:overflowPunct w:val="0"/>
              <w:autoSpaceDE w:val="0"/>
              <w:autoSpaceDN w:val="0"/>
              <w:ind w:left="0"/>
              <w:jc w:val="center"/>
              <w:rPr>
                <w:rFonts w:ascii="Times New Roman" w:eastAsia="標楷體" w:hAnsi="Times New Roman" w:cs="Times New Roman"/>
              </w:rPr>
            </w:pPr>
          </w:p>
        </w:tc>
        <w:tc>
          <w:tcPr>
            <w:tcW w:w="841" w:type="dxa"/>
          </w:tcPr>
          <w:p w:rsidR="008C54F7" w:rsidRDefault="008C54F7" w:rsidP="00156E21">
            <w:pPr>
              <w:pStyle w:val="a3"/>
              <w:overflowPunct w:val="0"/>
              <w:autoSpaceDE w:val="0"/>
              <w:autoSpaceDN w:val="0"/>
              <w:ind w:left="0"/>
              <w:jc w:val="center"/>
              <w:rPr>
                <w:rFonts w:ascii="Times New Roman" w:eastAsia="標楷體" w:hAnsi="Times New Roman" w:cs="Times New Roman"/>
              </w:rPr>
            </w:pPr>
          </w:p>
        </w:tc>
        <w:tc>
          <w:tcPr>
            <w:tcW w:w="841" w:type="dxa"/>
          </w:tcPr>
          <w:p w:rsidR="008C54F7" w:rsidRDefault="008C54F7" w:rsidP="00156E21">
            <w:pPr>
              <w:pStyle w:val="a3"/>
              <w:overflowPunct w:val="0"/>
              <w:autoSpaceDE w:val="0"/>
              <w:autoSpaceDN w:val="0"/>
              <w:ind w:left="0"/>
              <w:jc w:val="center"/>
              <w:rPr>
                <w:rFonts w:ascii="Times New Roman" w:eastAsia="標楷體" w:hAnsi="Times New Roman" w:cs="Times New Roman"/>
              </w:rPr>
            </w:pPr>
          </w:p>
        </w:tc>
        <w:tc>
          <w:tcPr>
            <w:tcW w:w="841" w:type="dxa"/>
          </w:tcPr>
          <w:p w:rsidR="008C54F7" w:rsidRDefault="008C54F7" w:rsidP="00156E21">
            <w:pPr>
              <w:pStyle w:val="a3"/>
              <w:overflowPunct w:val="0"/>
              <w:autoSpaceDE w:val="0"/>
              <w:autoSpaceDN w:val="0"/>
              <w:ind w:left="0"/>
              <w:jc w:val="center"/>
              <w:rPr>
                <w:rFonts w:ascii="Times New Roman" w:eastAsia="標楷體" w:hAnsi="Times New Roman" w:cs="Times New Roman"/>
              </w:rPr>
            </w:pPr>
          </w:p>
        </w:tc>
        <w:tc>
          <w:tcPr>
            <w:tcW w:w="841" w:type="dxa"/>
          </w:tcPr>
          <w:p w:rsidR="008C54F7" w:rsidRDefault="008C54F7" w:rsidP="00156E21">
            <w:pPr>
              <w:pStyle w:val="a3"/>
              <w:overflowPunct w:val="0"/>
              <w:autoSpaceDE w:val="0"/>
              <w:autoSpaceDN w:val="0"/>
              <w:ind w:left="0"/>
              <w:jc w:val="center"/>
              <w:rPr>
                <w:rFonts w:ascii="Times New Roman" w:eastAsia="標楷體" w:hAnsi="Times New Roman" w:cs="Times New Roman"/>
              </w:rPr>
            </w:pPr>
          </w:p>
        </w:tc>
      </w:tr>
      <w:tr w:rsidR="00AB3B5E" w:rsidTr="00AB3B5E">
        <w:tc>
          <w:tcPr>
            <w:tcW w:w="2268" w:type="dxa"/>
          </w:tcPr>
          <w:p w:rsidR="008C54F7" w:rsidRDefault="008C54F7" w:rsidP="00156E21">
            <w:pPr>
              <w:pStyle w:val="a3"/>
              <w:numPr>
                <w:ilvl w:val="0"/>
                <w:numId w:val="23"/>
              </w:numPr>
              <w:overflowPunct w:val="0"/>
              <w:autoSpaceDE w:val="0"/>
              <w:autoSpaceDN w:val="0"/>
              <w:rPr>
                <w:rFonts w:ascii="Times New Roman" w:eastAsia="標楷體" w:hAnsi="Times New Roman" w:cs="Times New Roman"/>
              </w:rPr>
            </w:pPr>
            <w:r w:rsidRPr="0069274C">
              <w:rPr>
                <w:rFonts w:ascii="Times New Roman" w:eastAsia="標楷體" w:hAnsi="Times New Roman" w:cs="Times New Roman"/>
              </w:rPr>
              <w:t>Cash</w:t>
            </w:r>
          </w:p>
        </w:tc>
        <w:tc>
          <w:tcPr>
            <w:tcW w:w="840" w:type="dxa"/>
          </w:tcPr>
          <w:p w:rsidR="008C54F7" w:rsidRDefault="008C54F7" w:rsidP="00156E21">
            <w:pPr>
              <w:pStyle w:val="a3"/>
              <w:overflowPunct w:val="0"/>
              <w:autoSpaceDE w:val="0"/>
              <w:autoSpaceDN w:val="0"/>
              <w:ind w:left="0"/>
              <w:jc w:val="center"/>
              <w:rPr>
                <w:rFonts w:ascii="Times New Roman" w:eastAsia="標楷體" w:hAnsi="Times New Roman" w:cs="Times New Roman"/>
              </w:rPr>
            </w:pPr>
            <w:r w:rsidRPr="0069274C">
              <w:rPr>
                <w:rFonts w:ascii="Times New Roman" w:eastAsia="標楷體" w:hAnsi="Times New Roman" w:cs="Times New Roman"/>
              </w:rPr>
              <w:t>50%</w:t>
            </w:r>
          </w:p>
        </w:tc>
        <w:tc>
          <w:tcPr>
            <w:tcW w:w="841" w:type="dxa"/>
          </w:tcPr>
          <w:p w:rsidR="008C54F7" w:rsidRDefault="008C54F7" w:rsidP="00156E21">
            <w:pPr>
              <w:pStyle w:val="a3"/>
              <w:overflowPunct w:val="0"/>
              <w:autoSpaceDE w:val="0"/>
              <w:autoSpaceDN w:val="0"/>
              <w:ind w:left="0"/>
              <w:jc w:val="center"/>
              <w:rPr>
                <w:rFonts w:ascii="Times New Roman" w:eastAsia="標楷體" w:hAnsi="Times New Roman" w:cs="Times New Roman"/>
              </w:rPr>
            </w:pPr>
            <w:r w:rsidRPr="0069274C">
              <w:rPr>
                <w:rFonts w:ascii="Times New Roman" w:eastAsia="標楷體" w:hAnsi="Times New Roman" w:cs="Times New Roman"/>
              </w:rPr>
              <w:t>0%</w:t>
            </w:r>
          </w:p>
        </w:tc>
        <w:tc>
          <w:tcPr>
            <w:tcW w:w="841" w:type="dxa"/>
          </w:tcPr>
          <w:p w:rsidR="008C54F7" w:rsidRDefault="008C54F7" w:rsidP="00156E21">
            <w:pPr>
              <w:pStyle w:val="a3"/>
              <w:overflowPunct w:val="0"/>
              <w:autoSpaceDE w:val="0"/>
              <w:autoSpaceDN w:val="0"/>
              <w:ind w:left="0"/>
              <w:jc w:val="center"/>
              <w:rPr>
                <w:rFonts w:ascii="Times New Roman" w:eastAsia="標楷體" w:hAnsi="Times New Roman" w:cs="Times New Roman"/>
              </w:rPr>
            </w:pPr>
            <w:r w:rsidRPr="0069274C">
              <w:rPr>
                <w:rFonts w:ascii="Times New Roman" w:eastAsia="標楷體" w:hAnsi="Times New Roman" w:cs="Times New Roman"/>
              </w:rPr>
              <w:t>30%</w:t>
            </w:r>
          </w:p>
        </w:tc>
        <w:tc>
          <w:tcPr>
            <w:tcW w:w="841" w:type="dxa"/>
          </w:tcPr>
          <w:p w:rsidR="008C54F7" w:rsidRDefault="008C54F7" w:rsidP="00156E21">
            <w:pPr>
              <w:pStyle w:val="a3"/>
              <w:overflowPunct w:val="0"/>
              <w:autoSpaceDE w:val="0"/>
              <w:autoSpaceDN w:val="0"/>
              <w:ind w:left="0"/>
              <w:jc w:val="center"/>
              <w:rPr>
                <w:rFonts w:ascii="Times New Roman" w:eastAsia="標楷體" w:hAnsi="Times New Roman" w:cs="Times New Roman"/>
              </w:rPr>
            </w:pPr>
            <w:r w:rsidRPr="0069274C">
              <w:rPr>
                <w:rFonts w:ascii="Times New Roman" w:eastAsia="標楷體" w:hAnsi="Times New Roman" w:cs="Times New Roman"/>
              </w:rPr>
              <w:t>50%</w:t>
            </w:r>
          </w:p>
        </w:tc>
        <w:tc>
          <w:tcPr>
            <w:tcW w:w="841" w:type="dxa"/>
          </w:tcPr>
          <w:p w:rsidR="008C54F7" w:rsidRDefault="008C54F7" w:rsidP="00156E21">
            <w:pPr>
              <w:pStyle w:val="a3"/>
              <w:overflowPunct w:val="0"/>
              <w:autoSpaceDE w:val="0"/>
              <w:autoSpaceDN w:val="0"/>
              <w:ind w:left="0"/>
              <w:jc w:val="center"/>
              <w:rPr>
                <w:rFonts w:ascii="Times New Roman" w:eastAsia="標楷體" w:hAnsi="Times New Roman" w:cs="Times New Roman"/>
              </w:rPr>
            </w:pPr>
            <w:r w:rsidRPr="0069274C">
              <w:rPr>
                <w:rFonts w:ascii="Times New Roman" w:eastAsia="標楷體" w:hAnsi="Times New Roman" w:cs="Times New Roman"/>
              </w:rPr>
              <w:t>50%</w:t>
            </w:r>
          </w:p>
        </w:tc>
        <w:tc>
          <w:tcPr>
            <w:tcW w:w="841" w:type="dxa"/>
          </w:tcPr>
          <w:p w:rsidR="008C54F7" w:rsidRDefault="008C54F7" w:rsidP="00156E21">
            <w:pPr>
              <w:pStyle w:val="a3"/>
              <w:overflowPunct w:val="0"/>
              <w:autoSpaceDE w:val="0"/>
              <w:autoSpaceDN w:val="0"/>
              <w:ind w:left="0"/>
              <w:jc w:val="center"/>
              <w:rPr>
                <w:rFonts w:ascii="Times New Roman" w:eastAsia="標楷體" w:hAnsi="Times New Roman" w:cs="Times New Roman"/>
              </w:rPr>
            </w:pPr>
            <w:r w:rsidRPr="0069274C">
              <w:rPr>
                <w:rFonts w:ascii="Times New Roman" w:eastAsia="標楷體" w:hAnsi="Times New Roman" w:cs="Times New Roman"/>
              </w:rPr>
              <w:t>50%</w:t>
            </w:r>
          </w:p>
        </w:tc>
      </w:tr>
      <w:tr w:rsidR="00AB3B5E" w:rsidTr="00AB3B5E">
        <w:tc>
          <w:tcPr>
            <w:tcW w:w="2268" w:type="dxa"/>
          </w:tcPr>
          <w:p w:rsidR="008C54F7" w:rsidRDefault="008C54F7" w:rsidP="00156E21">
            <w:pPr>
              <w:pStyle w:val="a3"/>
              <w:numPr>
                <w:ilvl w:val="0"/>
                <w:numId w:val="23"/>
              </w:numPr>
              <w:overflowPunct w:val="0"/>
              <w:autoSpaceDE w:val="0"/>
              <w:autoSpaceDN w:val="0"/>
              <w:rPr>
                <w:rFonts w:ascii="Times New Roman" w:eastAsia="標楷體" w:hAnsi="Times New Roman" w:cs="Times New Roman"/>
              </w:rPr>
            </w:pPr>
            <w:r w:rsidRPr="0069274C">
              <w:rPr>
                <w:rFonts w:ascii="Times New Roman" w:eastAsia="標楷體" w:hAnsi="Times New Roman" w:cs="Times New Roman"/>
              </w:rPr>
              <w:t>Units</w:t>
            </w:r>
          </w:p>
        </w:tc>
        <w:tc>
          <w:tcPr>
            <w:tcW w:w="840" w:type="dxa"/>
          </w:tcPr>
          <w:p w:rsidR="008C54F7" w:rsidRDefault="008C54F7" w:rsidP="00156E21">
            <w:pPr>
              <w:pStyle w:val="a3"/>
              <w:overflowPunct w:val="0"/>
              <w:autoSpaceDE w:val="0"/>
              <w:autoSpaceDN w:val="0"/>
              <w:ind w:left="0"/>
              <w:jc w:val="center"/>
              <w:rPr>
                <w:rFonts w:ascii="Times New Roman" w:eastAsia="標楷體" w:hAnsi="Times New Roman" w:cs="Times New Roman"/>
              </w:rPr>
            </w:pPr>
            <w:r w:rsidRPr="0069274C">
              <w:rPr>
                <w:rFonts w:ascii="Times New Roman" w:eastAsia="標楷體" w:hAnsi="Times New Roman" w:cs="Times New Roman"/>
              </w:rPr>
              <w:t>50%</w:t>
            </w:r>
          </w:p>
        </w:tc>
        <w:tc>
          <w:tcPr>
            <w:tcW w:w="841" w:type="dxa"/>
          </w:tcPr>
          <w:p w:rsidR="008C54F7" w:rsidRDefault="008C54F7" w:rsidP="00156E21">
            <w:pPr>
              <w:pStyle w:val="a3"/>
              <w:overflowPunct w:val="0"/>
              <w:autoSpaceDE w:val="0"/>
              <w:autoSpaceDN w:val="0"/>
              <w:ind w:left="0"/>
              <w:jc w:val="center"/>
              <w:rPr>
                <w:rFonts w:ascii="Times New Roman" w:eastAsia="標楷體" w:hAnsi="Times New Roman" w:cs="Times New Roman"/>
              </w:rPr>
            </w:pPr>
            <w:r w:rsidRPr="0069274C">
              <w:rPr>
                <w:rFonts w:ascii="Times New Roman" w:eastAsia="標楷體" w:hAnsi="Times New Roman" w:cs="Times New Roman"/>
              </w:rPr>
              <w:t>100%</w:t>
            </w:r>
          </w:p>
        </w:tc>
        <w:tc>
          <w:tcPr>
            <w:tcW w:w="841" w:type="dxa"/>
          </w:tcPr>
          <w:p w:rsidR="008C54F7" w:rsidRDefault="008C54F7" w:rsidP="00156E21">
            <w:pPr>
              <w:pStyle w:val="a3"/>
              <w:overflowPunct w:val="0"/>
              <w:autoSpaceDE w:val="0"/>
              <w:autoSpaceDN w:val="0"/>
              <w:ind w:left="0"/>
              <w:jc w:val="center"/>
              <w:rPr>
                <w:rFonts w:ascii="Times New Roman" w:eastAsia="標楷體" w:hAnsi="Times New Roman" w:cs="Times New Roman"/>
              </w:rPr>
            </w:pPr>
            <w:r w:rsidRPr="0069274C">
              <w:rPr>
                <w:rFonts w:ascii="Times New Roman" w:eastAsia="標楷體" w:hAnsi="Times New Roman" w:cs="Times New Roman"/>
              </w:rPr>
              <w:t>70%</w:t>
            </w:r>
          </w:p>
        </w:tc>
        <w:tc>
          <w:tcPr>
            <w:tcW w:w="841" w:type="dxa"/>
          </w:tcPr>
          <w:p w:rsidR="008C54F7" w:rsidRDefault="008C54F7" w:rsidP="00156E21">
            <w:pPr>
              <w:pStyle w:val="a3"/>
              <w:overflowPunct w:val="0"/>
              <w:autoSpaceDE w:val="0"/>
              <w:autoSpaceDN w:val="0"/>
              <w:ind w:left="0"/>
              <w:jc w:val="center"/>
              <w:rPr>
                <w:rFonts w:ascii="Times New Roman" w:eastAsia="標楷體" w:hAnsi="Times New Roman" w:cs="Times New Roman"/>
              </w:rPr>
            </w:pPr>
            <w:r w:rsidRPr="0069274C">
              <w:rPr>
                <w:rFonts w:ascii="Times New Roman" w:eastAsia="標楷體" w:hAnsi="Times New Roman" w:cs="Times New Roman"/>
              </w:rPr>
              <w:t>50%</w:t>
            </w:r>
          </w:p>
        </w:tc>
        <w:tc>
          <w:tcPr>
            <w:tcW w:w="841" w:type="dxa"/>
          </w:tcPr>
          <w:p w:rsidR="008C54F7" w:rsidRDefault="008C54F7" w:rsidP="00156E21">
            <w:pPr>
              <w:pStyle w:val="a3"/>
              <w:overflowPunct w:val="0"/>
              <w:autoSpaceDE w:val="0"/>
              <w:autoSpaceDN w:val="0"/>
              <w:ind w:left="0"/>
              <w:jc w:val="center"/>
              <w:rPr>
                <w:rFonts w:ascii="Times New Roman" w:eastAsia="標楷體" w:hAnsi="Times New Roman" w:cs="Times New Roman"/>
              </w:rPr>
            </w:pPr>
            <w:r w:rsidRPr="0069274C">
              <w:rPr>
                <w:rFonts w:ascii="Times New Roman" w:eastAsia="標楷體" w:hAnsi="Times New Roman" w:cs="Times New Roman"/>
              </w:rPr>
              <w:t>50%</w:t>
            </w:r>
          </w:p>
        </w:tc>
        <w:tc>
          <w:tcPr>
            <w:tcW w:w="841" w:type="dxa"/>
          </w:tcPr>
          <w:p w:rsidR="008C54F7" w:rsidRDefault="008C54F7" w:rsidP="00156E21">
            <w:pPr>
              <w:pStyle w:val="a3"/>
              <w:overflowPunct w:val="0"/>
              <w:autoSpaceDE w:val="0"/>
              <w:autoSpaceDN w:val="0"/>
              <w:ind w:left="0"/>
              <w:jc w:val="center"/>
              <w:rPr>
                <w:rFonts w:ascii="Times New Roman" w:eastAsia="標楷體" w:hAnsi="Times New Roman" w:cs="Times New Roman"/>
              </w:rPr>
            </w:pPr>
            <w:r w:rsidRPr="0069274C">
              <w:rPr>
                <w:rFonts w:ascii="Times New Roman" w:eastAsia="標楷體" w:hAnsi="Times New Roman" w:cs="Times New Roman"/>
              </w:rPr>
              <w:t>50%</w:t>
            </w:r>
          </w:p>
        </w:tc>
      </w:tr>
    </w:tbl>
    <w:p w:rsidR="0093763E" w:rsidRPr="0069274C" w:rsidRDefault="0093763E" w:rsidP="00156E21">
      <w:pPr>
        <w:pStyle w:val="a3"/>
        <w:overflowPunct w:val="0"/>
        <w:autoSpaceDE w:val="0"/>
        <w:autoSpaceDN w:val="0"/>
        <w:ind w:left="1080"/>
        <w:rPr>
          <w:rFonts w:ascii="Times New Roman" w:eastAsia="標楷體" w:hAnsi="Times New Roman" w:cs="Times New Roman"/>
        </w:rPr>
      </w:pPr>
    </w:p>
    <w:p w:rsidR="0093763E" w:rsidRPr="0069274C" w:rsidRDefault="0093763E"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The Taxpayer furnished Profits Tax </w:t>
      </w:r>
      <w:r w:rsidR="004012A2">
        <w:rPr>
          <w:rFonts w:ascii="Times New Roman" w:eastAsia="標楷體" w:hAnsi="Times New Roman" w:cs="Times New Roman"/>
        </w:rPr>
        <w:t>R</w:t>
      </w:r>
      <w:r w:rsidRPr="0069274C">
        <w:rPr>
          <w:rFonts w:ascii="Times New Roman" w:eastAsia="標楷體" w:hAnsi="Times New Roman" w:cs="Times New Roman"/>
        </w:rPr>
        <w:t>eturns for the years of assessment 2007/08 to 2015/16 together with its audited financial statements and tax computations for the years ended 30 June 2007 to 2015.</w:t>
      </w:r>
    </w:p>
    <w:p w:rsidR="0093763E" w:rsidRPr="0069274C" w:rsidRDefault="0093763E" w:rsidP="00156E21">
      <w:pPr>
        <w:overflowPunct w:val="0"/>
        <w:autoSpaceDE w:val="0"/>
        <w:autoSpaceDN w:val="0"/>
        <w:jc w:val="both"/>
        <w:rPr>
          <w:rFonts w:ascii="Times New Roman" w:eastAsia="標楷體" w:hAnsi="Times New Roman" w:cs="Times New Roman"/>
        </w:rPr>
      </w:pPr>
    </w:p>
    <w:p w:rsidR="0093763E" w:rsidRPr="0069274C" w:rsidRDefault="0093763E"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lastRenderedPageBreak/>
        <w:t>(a)</w:t>
      </w:r>
      <w:r w:rsidR="00AB3B5E">
        <w:rPr>
          <w:rFonts w:ascii="Times New Roman" w:eastAsia="標楷體" w:hAnsi="Times New Roman" w:cs="Times New Roman"/>
        </w:rPr>
        <w:tab/>
      </w:r>
      <w:r w:rsidRPr="0069274C">
        <w:rPr>
          <w:rFonts w:ascii="Times New Roman" w:eastAsia="標楷體" w:hAnsi="Times New Roman" w:cs="Times New Roman"/>
        </w:rPr>
        <w:t xml:space="preserve">In the Profits Tax </w:t>
      </w:r>
      <w:r w:rsidR="004012A2">
        <w:rPr>
          <w:rFonts w:ascii="Times New Roman" w:eastAsia="標楷體" w:hAnsi="Times New Roman" w:cs="Times New Roman"/>
        </w:rPr>
        <w:t>R</w:t>
      </w:r>
      <w:r w:rsidRPr="0069274C">
        <w:rPr>
          <w:rFonts w:ascii="Times New Roman" w:eastAsia="標楷體" w:hAnsi="Times New Roman" w:cs="Times New Roman"/>
        </w:rPr>
        <w:t xml:space="preserve">eturns, the Taxpayer declared the following assessable profits: </w:t>
      </w:r>
    </w:p>
    <w:p w:rsidR="0093763E" w:rsidRDefault="0093763E" w:rsidP="00156E21">
      <w:pPr>
        <w:overflowPunct w:val="0"/>
        <w:autoSpaceDE w:val="0"/>
        <w:autoSpaceDN w:val="0"/>
        <w:ind w:left="1080"/>
        <w:jc w:val="center"/>
        <w:rPr>
          <w:rFonts w:ascii="Times New Roman" w:eastAsia="標楷體" w:hAnsi="Times New Roman" w:cs="Times New Roman"/>
        </w:rPr>
      </w:pPr>
    </w:p>
    <w:tbl>
      <w:tblPr>
        <w:tblStyle w:val="af0"/>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tblGrid>
      <w:tr w:rsidR="00AB3B5E" w:rsidTr="00F12084">
        <w:tc>
          <w:tcPr>
            <w:tcW w:w="2268"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u w:val="single"/>
              </w:rPr>
              <w:t>Years of assessment</w:t>
            </w:r>
          </w:p>
        </w:tc>
        <w:tc>
          <w:tcPr>
            <w:tcW w:w="2410"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u w:val="single"/>
              </w:rPr>
              <w:t>Assessable profits ($)</w:t>
            </w:r>
          </w:p>
        </w:tc>
      </w:tr>
      <w:tr w:rsidR="00AB3B5E" w:rsidTr="00F12084">
        <w:tc>
          <w:tcPr>
            <w:tcW w:w="2268" w:type="dxa"/>
          </w:tcPr>
          <w:p w:rsidR="00AB3B5E" w:rsidRDefault="00AB3B5E" w:rsidP="00156E21">
            <w:pPr>
              <w:overflowPunct w:val="0"/>
              <w:autoSpaceDE w:val="0"/>
              <w:autoSpaceDN w:val="0"/>
              <w:jc w:val="center"/>
              <w:rPr>
                <w:rFonts w:ascii="Times New Roman" w:eastAsia="標楷體" w:hAnsi="Times New Roman" w:cs="Times New Roman"/>
              </w:rPr>
            </w:pPr>
          </w:p>
        </w:tc>
        <w:tc>
          <w:tcPr>
            <w:tcW w:w="2410" w:type="dxa"/>
          </w:tcPr>
          <w:p w:rsidR="00AB3B5E" w:rsidRDefault="00AB3B5E" w:rsidP="00156E21">
            <w:pPr>
              <w:overflowPunct w:val="0"/>
              <w:autoSpaceDE w:val="0"/>
              <w:autoSpaceDN w:val="0"/>
              <w:jc w:val="center"/>
              <w:rPr>
                <w:rFonts w:ascii="Times New Roman" w:eastAsia="標楷體" w:hAnsi="Times New Roman" w:cs="Times New Roman"/>
              </w:rPr>
            </w:pPr>
          </w:p>
        </w:tc>
      </w:tr>
      <w:tr w:rsidR="00AB3B5E" w:rsidTr="00F12084">
        <w:tc>
          <w:tcPr>
            <w:tcW w:w="2268"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2007/08</w:t>
            </w:r>
          </w:p>
        </w:tc>
        <w:tc>
          <w:tcPr>
            <w:tcW w:w="2410" w:type="dxa"/>
          </w:tcPr>
          <w:p w:rsidR="00AB3B5E" w:rsidRDefault="00AB3B5E" w:rsidP="00156E21">
            <w:pPr>
              <w:overflowPunct w:val="0"/>
              <w:autoSpaceDE w:val="0"/>
              <w:autoSpaceDN w:val="0"/>
              <w:ind w:rightChars="276" w:right="662"/>
              <w:jc w:val="right"/>
              <w:rPr>
                <w:rFonts w:ascii="Times New Roman" w:eastAsia="標楷體" w:hAnsi="Times New Roman" w:cs="Times New Roman"/>
              </w:rPr>
            </w:pPr>
            <w:r w:rsidRPr="0069274C">
              <w:rPr>
                <w:rFonts w:ascii="Times New Roman" w:eastAsia="標楷體" w:hAnsi="Times New Roman" w:cs="Times New Roman"/>
              </w:rPr>
              <w:t>1,252,197</w:t>
            </w:r>
          </w:p>
        </w:tc>
      </w:tr>
      <w:tr w:rsidR="00AB3B5E" w:rsidTr="00F12084">
        <w:tc>
          <w:tcPr>
            <w:tcW w:w="2268"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2008/09</w:t>
            </w:r>
          </w:p>
        </w:tc>
        <w:tc>
          <w:tcPr>
            <w:tcW w:w="2410" w:type="dxa"/>
          </w:tcPr>
          <w:p w:rsidR="00AB3B5E" w:rsidRDefault="00AB3B5E" w:rsidP="00156E21">
            <w:pPr>
              <w:overflowPunct w:val="0"/>
              <w:autoSpaceDE w:val="0"/>
              <w:autoSpaceDN w:val="0"/>
              <w:ind w:rightChars="276" w:right="662"/>
              <w:jc w:val="right"/>
              <w:rPr>
                <w:rFonts w:ascii="Times New Roman" w:eastAsia="標楷體" w:hAnsi="Times New Roman" w:cs="Times New Roman"/>
              </w:rPr>
            </w:pPr>
            <w:r w:rsidRPr="0069274C">
              <w:rPr>
                <w:rFonts w:ascii="Times New Roman" w:eastAsia="標楷體" w:hAnsi="Times New Roman" w:cs="Times New Roman"/>
              </w:rPr>
              <w:t>982,908</w:t>
            </w:r>
          </w:p>
        </w:tc>
      </w:tr>
      <w:tr w:rsidR="00AB3B5E" w:rsidTr="00F12084">
        <w:tc>
          <w:tcPr>
            <w:tcW w:w="2268"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2009/10</w:t>
            </w:r>
          </w:p>
        </w:tc>
        <w:tc>
          <w:tcPr>
            <w:tcW w:w="2410" w:type="dxa"/>
          </w:tcPr>
          <w:p w:rsidR="00AB3B5E" w:rsidRDefault="00AB3B5E" w:rsidP="00156E21">
            <w:pPr>
              <w:overflowPunct w:val="0"/>
              <w:autoSpaceDE w:val="0"/>
              <w:autoSpaceDN w:val="0"/>
              <w:ind w:rightChars="276" w:right="662"/>
              <w:jc w:val="right"/>
              <w:rPr>
                <w:rFonts w:ascii="Times New Roman" w:eastAsia="標楷體" w:hAnsi="Times New Roman" w:cs="Times New Roman"/>
              </w:rPr>
            </w:pPr>
            <w:r w:rsidRPr="0069274C">
              <w:rPr>
                <w:rFonts w:ascii="Times New Roman" w:eastAsia="標楷體" w:hAnsi="Times New Roman" w:cs="Times New Roman"/>
              </w:rPr>
              <w:t>1,930,535</w:t>
            </w:r>
          </w:p>
        </w:tc>
      </w:tr>
      <w:tr w:rsidR="00AB3B5E" w:rsidTr="00F12084">
        <w:tc>
          <w:tcPr>
            <w:tcW w:w="2268"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2010/11</w:t>
            </w:r>
          </w:p>
        </w:tc>
        <w:tc>
          <w:tcPr>
            <w:tcW w:w="2410" w:type="dxa"/>
          </w:tcPr>
          <w:p w:rsidR="00AB3B5E" w:rsidRDefault="00AB3B5E" w:rsidP="00156E21">
            <w:pPr>
              <w:overflowPunct w:val="0"/>
              <w:autoSpaceDE w:val="0"/>
              <w:autoSpaceDN w:val="0"/>
              <w:ind w:rightChars="276" w:right="662"/>
              <w:jc w:val="right"/>
              <w:rPr>
                <w:rFonts w:ascii="Times New Roman" w:eastAsia="標楷體" w:hAnsi="Times New Roman" w:cs="Times New Roman"/>
              </w:rPr>
            </w:pPr>
            <w:r w:rsidRPr="0069274C">
              <w:rPr>
                <w:rFonts w:ascii="Times New Roman" w:eastAsia="標楷體" w:hAnsi="Times New Roman" w:cs="Times New Roman"/>
              </w:rPr>
              <w:t>1,328,562</w:t>
            </w:r>
          </w:p>
        </w:tc>
      </w:tr>
      <w:tr w:rsidR="00AB3B5E" w:rsidTr="00F12084">
        <w:tc>
          <w:tcPr>
            <w:tcW w:w="2268"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2011/12</w:t>
            </w:r>
          </w:p>
        </w:tc>
        <w:tc>
          <w:tcPr>
            <w:tcW w:w="2410" w:type="dxa"/>
          </w:tcPr>
          <w:p w:rsidR="00AB3B5E" w:rsidRDefault="00AB3B5E" w:rsidP="00156E21">
            <w:pPr>
              <w:overflowPunct w:val="0"/>
              <w:autoSpaceDE w:val="0"/>
              <w:autoSpaceDN w:val="0"/>
              <w:ind w:rightChars="276" w:right="662"/>
              <w:jc w:val="right"/>
              <w:rPr>
                <w:rFonts w:ascii="Times New Roman" w:eastAsia="標楷體" w:hAnsi="Times New Roman" w:cs="Times New Roman"/>
              </w:rPr>
            </w:pPr>
            <w:r w:rsidRPr="0069274C">
              <w:rPr>
                <w:rFonts w:ascii="Times New Roman" w:eastAsia="標楷體" w:hAnsi="Times New Roman" w:cs="Times New Roman"/>
              </w:rPr>
              <w:t>1,990,374</w:t>
            </w:r>
          </w:p>
        </w:tc>
      </w:tr>
      <w:tr w:rsidR="00AB3B5E" w:rsidTr="00F12084">
        <w:tc>
          <w:tcPr>
            <w:tcW w:w="2268"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2012/13</w:t>
            </w:r>
          </w:p>
        </w:tc>
        <w:tc>
          <w:tcPr>
            <w:tcW w:w="2410" w:type="dxa"/>
          </w:tcPr>
          <w:p w:rsidR="00AB3B5E" w:rsidRDefault="00AB3B5E" w:rsidP="00156E21">
            <w:pPr>
              <w:overflowPunct w:val="0"/>
              <w:autoSpaceDE w:val="0"/>
              <w:autoSpaceDN w:val="0"/>
              <w:ind w:rightChars="276" w:right="662"/>
              <w:jc w:val="right"/>
              <w:rPr>
                <w:rFonts w:ascii="Times New Roman" w:eastAsia="標楷體" w:hAnsi="Times New Roman" w:cs="Times New Roman"/>
              </w:rPr>
            </w:pPr>
            <w:r w:rsidRPr="0069274C">
              <w:rPr>
                <w:rFonts w:ascii="Times New Roman" w:eastAsia="標楷體" w:hAnsi="Times New Roman" w:cs="Times New Roman"/>
              </w:rPr>
              <w:t>4,433,406</w:t>
            </w:r>
          </w:p>
        </w:tc>
      </w:tr>
      <w:tr w:rsidR="00AB3B5E" w:rsidTr="00F12084">
        <w:tc>
          <w:tcPr>
            <w:tcW w:w="2268"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2013/14</w:t>
            </w:r>
          </w:p>
        </w:tc>
        <w:tc>
          <w:tcPr>
            <w:tcW w:w="2410" w:type="dxa"/>
          </w:tcPr>
          <w:p w:rsidR="00AB3B5E" w:rsidRDefault="00AB3B5E" w:rsidP="00156E21">
            <w:pPr>
              <w:overflowPunct w:val="0"/>
              <w:autoSpaceDE w:val="0"/>
              <w:autoSpaceDN w:val="0"/>
              <w:ind w:rightChars="276" w:right="662"/>
              <w:jc w:val="right"/>
              <w:rPr>
                <w:rFonts w:ascii="Times New Roman" w:eastAsia="標楷體" w:hAnsi="Times New Roman" w:cs="Times New Roman"/>
              </w:rPr>
            </w:pPr>
            <w:r w:rsidRPr="0069274C">
              <w:rPr>
                <w:rFonts w:ascii="Times New Roman" w:eastAsia="標楷體" w:hAnsi="Times New Roman" w:cs="Times New Roman"/>
              </w:rPr>
              <w:t>4,610,988</w:t>
            </w:r>
          </w:p>
        </w:tc>
      </w:tr>
      <w:tr w:rsidR="00AB3B5E" w:rsidTr="00F12084">
        <w:tc>
          <w:tcPr>
            <w:tcW w:w="2268"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2014/15</w:t>
            </w:r>
          </w:p>
        </w:tc>
        <w:tc>
          <w:tcPr>
            <w:tcW w:w="2410" w:type="dxa"/>
          </w:tcPr>
          <w:p w:rsidR="00AB3B5E" w:rsidRDefault="00AB3B5E" w:rsidP="00156E21">
            <w:pPr>
              <w:overflowPunct w:val="0"/>
              <w:autoSpaceDE w:val="0"/>
              <w:autoSpaceDN w:val="0"/>
              <w:ind w:rightChars="276" w:right="662"/>
              <w:jc w:val="right"/>
              <w:rPr>
                <w:rFonts w:ascii="Times New Roman" w:eastAsia="標楷體" w:hAnsi="Times New Roman" w:cs="Times New Roman"/>
              </w:rPr>
            </w:pPr>
            <w:r w:rsidRPr="0069274C">
              <w:rPr>
                <w:rFonts w:ascii="Times New Roman" w:eastAsia="標楷體" w:hAnsi="Times New Roman" w:cs="Times New Roman"/>
              </w:rPr>
              <w:t>6,538,934</w:t>
            </w:r>
          </w:p>
        </w:tc>
      </w:tr>
      <w:tr w:rsidR="00AB3B5E" w:rsidTr="00F12084">
        <w:tc>
          <w:tcPr>
            <w:tcW w:w="2268"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2015/16</w:t>
            </w:r>
          </w:p>
        </w:tc>
        <w:tc>
          <w:tcPr>
            <w:tcW w:w="2410" w:type="dxa"/>
          </w:tcPr>
          <w:p w:rsidR="00AB3B5E" w:rsidRDefault="00AB3B5E" w:rsidP="00156E21">
            <w:pPr>
              <w:overflowPunct w:val="0"/>
              <w:autoSpaceDE w:val="0"/>
              <w:autoSpaceDN w:val="0"/>
              <w:ind w:rightChars="276" w:right="662"/>
              <w:jc w:val="right"/>
              <w:rPr>
                <w:rFonts w:ascii="Times New Roman" w:eastAsia="標楷體" w:hAnsi="Times New Roman" w:cs="Times New Roman"/>
              </w:rPr>
            </w:pPr>
            <w:r w:rsidRPr="0069274C">
              <w:rPr>
                <w:rFonts w:ascii="Times New Roman" w:eastAsia="標楷體" w:hAnsi="Times New Roman" w:cs="Times New Roman"/>
              </w:rPr>
              <w:t>7,212,246</w:t>
            </w:r>
          </w:p>
        </w:tc>
      </w:tr>
    </w:tbl>
    <w:p w:rsidR="0093763E" w:rsidRPr="0069274C" w:rsidRDefault="0093763E" w:rsidP="00156E21">
      <w:pPr>
        <w:overflowPunct w:val="0"/>
        <w:autoSpaceDE w:val="0"/>
        <w:autoSpaceDN w:val="0"/>
        <w:ind w:left="1080"/>
        <w:jc w:val="both"/>
        <w:rPr>
          <w:rFonts w:ascii="Times New Roman" w:eastAsia="標楷體" w:hAnsi="Times New Roman" w:cs="Times New Roman"/>
        </w:rPr>
      </w:pPr>
    </w:p>
    <w:p w:rsidR="0093763E" w:rsidRPr="0069274C" w:rsidRDefault="0093763E"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(b)</w:t>
      </w:r>
      <w:r w:rsidR="00AB3B5E">
        <w:rPr>
          <w:rFonts w:ascii="Times New Roman" w:eastAsia="標楷體" w:hAnsi="Times New Roman" w:cs="Times New Roman"/>
        </w:rPr>
        <w:tab/>
      </w:r>
      <w:r w:rsidRPr="0069274C">
        <w:rPr>
          <w:rFonts w:ascii="Times New Roman" w:eastAsia="標楷體" w:hAnsi="Times New Roman" w:cs="Times New Roman"/>
        </w:rPr>
        <w:t>The reported assessable profits were arrived at after deducting, among other things, service fees to the Manager (</w:t>
      </w:r>
      <w:r w:rsidR="00F12084">
        <w:rPr>
          <w:rFonts w:ascii="Times New Roman" w:eastAsia="標楷體" w:hAnsi="Times New Roman" w:cs="Times New Roman"/>
        </w:rPr>
        <w:t>‘</w:t>
      </w:r>
      <w:r w:rsidRPr="0069274C">
        <w:rPr>
          <w:rFonts w:ascii="Times New Roman" w:eastAsia="標楷體" w:hAnsi="Times New Roman" w:cs="Times New Roman"/>
        </w:rPr>
        <w:t>Manager’s Fees</w:t>
      </w:r>
      <w:r w:rsidR="00F12084">
        <w:rPr>
          <w:rFonts w:ascii="Times New Roman" w:eastAsia="標楷體" w:hAnsi="Times New Roman" w:cs="Times New Roman"/>
        </w:rPr>
        <w:t>’</w:t>
      </w:r>
      <w:r w:rsidRPr="0069274C">
        <w:rPr>
          <w:rFonts w:ascii="Times New Roman" w:eastAsia="標楷體" w:hAnsi="Times New Roman" w:cs="Times New Roman"/>
        </w:rPr>
        <w:t>) and to the Property Manager (comprised of fees and rental commission) (</w:t>
      </w:r>
      <w:r w:rsidR="00F12084">
        <w:rPr>
          <w:rFonts w:ascii="Times New Roman" w:eastAsia="標楷體" w:hAnsi="Times New Roman" w:cs="Times New Roman"/>
        </w:rPr>
        <w:t>‘</w:t>
      </w:r>
      <w:r w:rsidRPr="0069274C">
        <w:rPr>
          <w:rFonts w:ascii="Times New Roman" w:eastAsia="標楷體" w:hAnsi="Times New Roman" w:cs="Times New Roman"/>
        </w:rPr>
        <w:t>Property Manager’s Fees</w:t>
      </w:r>
      <w:r w:rsidR="00F12084">
        <w:rPr>
          <w:rFonts w:ascii="Times New Roman" w:eastAsia="標楷體" w:hAnsi="Times New Roman" w:cs="Times New Roman"/>
        </w:rPr>
        <w:t>’</w:t>
      </w:r>
      <w:r w:rsidRPr="0069274C">
        <w:rPr>
          <w:rFonts w:ascii="Times New Roman" w:eastAsia="標楷體" w:hAnsi="Times New Roman" w:cs="Times New Roman"/>
        </w:rPr>
        <w:t xml:space="preserve">) as follows: </w:t>
      </w:r>
    </w:p>
    <w:p w:rsidR="0093763E" w:rsidRDefault="0093763E" w:rsidP="00156E21">
      <w:pPr>
        <w:overflowPunct w:val="0"/>
        <w:autoSpaceDE w:val="0"/>
        <w:autoSpaceDN w:val="0"/>
        <w:jc w:val="both"/>
        <w:rPr>
          <w:rFonts w:ascii="Times New Roman" w:eastAsia="標楷體" w:hAnsi="Times New Roman" w:cs="Times New Roman"/>
        </w:rPr>
      </w:pPr>
    </w:p>
    <w:tbl>
      <w:tblPr>
        <w:tblStyle w:val="af0"/>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843"/>
        <w:gridCol w:w="1134"/>
        <w:gridCol w:w="1276"/>
        <w:gridCol w:w="1076"/>
      </w:tblGrid>
      <w:tr w:rsidR="00AB3B5E" w:rsidTr="00F12084">
        <w:trPr>
          <w:tblHeader/>
        </w:trPr>
        <w:tc>
          <w:tcPr>
            <w:tcW w:w="1417"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u w:val="single"/>
              </w:rPr>
              <w:t>Year of</w:t>
            </w:r>
          </w:p>
        </w:tc>
        <w:tc>
          <w:tcPr>
            <w:tcW w:w="1843" w:type="dxa"/>
          </w:tcPr>
          <w:p w:rsidR="00AB3B5E" w:rsidRDefault="00AB3B5E" w:rsidP="00156E21">
            <w:pPr>
              <w:overflowPunct w:val="0"/>
              <w:autoSpaceDE w:val="0"/>
              <w:autoSpaceDN w:val="0"/>
              <w:jc w:val="center"/>
              <w:rPr>
                <w:rFonts w:ascii="Times New Roman" w:eastAsia="標楷體" w:hAnsi="Times New Roman" w:cs="Times New Roman"/>
              </w:rPr>
            </w:pPr>
          </w:p>
        </w:tc>
        <w:tc>
          <w:tcPr>
            <w:tcW w:w="1134" w:type="dxa"/>
          </w:tcPr>
          <w:p w:rsidR="00AB3B5E" w:rsidRDefault="00AB3B5E" w:rsidP="00156E21">
            <w:pPr>
              <w:overflowPunct w:val="0"/>
              <w:autoSpaceDE w:val="0"/>
              <w:autoSpaceDN w:val="0"/>
              <w:jc w:val="center"/>
              <w:rPr>
                <w:rFonts w:ascii="Times New Roman" w:eastAsia="標楷體" w:hAnsi="Times New Roman" w:cs="Times New Roman"/>
              </w:rPr>
            </w:pPr>
          </w:p>
        </w:tc>
        <w:tc>
          <w:tcPr>
            <w:tcW w:w="1276" w:type="dxa"/>
          </w:tcPr>
          <w:p w:rsidR="00AB3B5E" w:rsidRDefault="00AB3B5E" w:rsidP="00156E21">
            <w:pPr>
              <w:overflowPunct w:val="0"/>
              <w:autoSpaceDE w:val="0"/>
              <w:autoSpaceDN w:val="0"/>
              <w:jc w:val="center"/>
              <w:rPr>
                <w:rFonts w:ascii="Times New Roman" w:eastAsia="標楷體" w:hAnsi="Times New Roman" w:cs="Times New Roman"/>
              </w:rPr>
            </w:pPr>
          </w:p>
        </w:tc>
        <w:tc>
          <w:tcPr>
            <w:tcW w:w="1076" w:type="dxa"/>
          </w:tcPr>
          <w:p w:rsidR="00AB3B5E" w:rsidRDefault="00AB3B5E" w:rsidP="00156E21">
            <w:pPr>
              <w:overflowPunct w:val="0"/>
              <w:autoSpaceDE w:val="0"/>
              <w:autoSpaceDN w:val="0"/>
              <w:jc w:val="center"/>
              <w:rPr>
                <w:rFonts w:ascii="Times New Roman" w:eastAsia="標楷體" w:hAnsi="Times New Roman" w:cs="Times New Roman"/>
              </w:rPr>
            </w:pPr>
          </w:p>
        </w:tc>
      </w:tr>
      <w:tr w:rsidR="00AB3B5E" w:rsidTr="00F12084">
        <w:trPr>
          <w:tblHeader/>
        </w:trPr>
        <w:tc>
          <w:tcPr>
            <w:tcW w:w="1417"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u w:val="single"/>
              </w:rPr>
              <w:t>Assessment</w:t>
            </w:r>
          </w:p>
        </w:tc>
        <w:tc>
          <w:tcPr>
            <w:tcW w:w="1843"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u w:val="single"/>
              </w:rPr>
              <w:t>Manager’s Fees</w:t>
            </w:r>
          </w:p>
        </w:tc>
        <w:tc>
          <w:tcPr>
            <w:tcW w:w="3486" w:type="dxa"/>
            <w:gridSpan w:val="3"/>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u w:val="single"/>
              </w:rPr>
              <w:t>Property Manager’s Fees</w:t>
            </w:r>
          </w:p>
        </w:tc>
      </w:tr>
      <w:tr w:rsidR="00AB3B5E" w:rsidTr="00F12084">
        <w:trPr>
          <w:tblHeader/>
        </w:trPr>
        <w:tc>
          <w:tcPr>
            <w:tcW w:w="1417" w:type="dxa"/>
          </w:tcPr>
          <w:p w:rsidR="00AB3B5E" w:rsidRDefault="00AB3B5E" w:rsidP="00156E21">
            <w:pPr>
              <w:overflowPunct w:val="0"/>
              <w:autoSpaceDE w:val="0"/>
              <w:autoSpaceDN w:val="0"/>
              <w:jc w:val="center"/>
              <w:rPr>
                <w:rFonts w:ascii="Times New Roman" w:eastAsia="標楷體" w:hAnsi="Times New Roman" w:cs="Times New Roman"/>
              </w:rPr>
            </w:pPr>
          </w:p>
        </w:tc>
        <w:tc>
          <w:tcPr>
            <w:tcW w:w="1843" w:type="dxa"/>
          </w:tcPr>
          <w:p w:rsidR="00AB3B5E" w:rsidRDefault="00AB3B5E" w:rsidP="00156E21">
            <w:pPr>
              <w:overflowPunct w:val="0"/>
              <w:autoSpaceDE w:val="0"/>
              <w:autoSpaceDN w:val="0"/>
              <w:jc w:val="center"/>
              <w:rPr>
                <w:rFonts w:ascii="Times New Roman" w:eastAsia="標楷體" w:hAnsi="Times New Roman" w:cs="Times New Roman"/>
              </w:rPr>
            </w:pPr>
          </w:p>
        </w:tc>
        <w:tc>
          <w:tcPr>
            <w:tcW w:w="1134" w:type="dxa"/>
          </w:tcPr>
          <w:p w:rsidR="00AB3B5E" w:rsidRDefault="00AB3B5E" w:rsidP="00156E21">
            <w:pPr>
              <w:overflowPunct w:val="0"/>
              <w:autoSpaceDE w:val="0"/>
              <w:autoSpaceDN w:val="0"/>
              <w:jc w:val="center"/>
              <w:rPr>
                <w:rFonts w:ascii="Times New Roman" w:eastAsia="標楷體" w:hAnsi="Times New Roman" w:cs="Times New Roman"/>
              </w:rPr>
            </w:pPr>
          </w:p>
        </w:tc>
        <w:tc>
          <w:tcPr>
            <w:tcW w:w="1276" w:type="dxa"/>
          </w:tcPr>
          <w:p w:rsidR="00AB3B5E" w:rsidRDefault="00AB3B5E" w:rsidP="00156E21">
            <w:pPr>
              <w:overflowPunct w:val="0"/>
              <w:autoSpaceDE w:val="0"/>
              <w:autoSpaceDN w:val="0"/>
              <w:jc w:val="center"/>
              <w:rPr>
                <w:rFonts w:ascii="Times New Roman" w:eastAsia="標楷體" w:hAnsi="Times New Roman" w:cs="Times New Roman"/>
              </w:rPr>
            </w:pPr>
          </w:p>
        </w:tc>
        <w:tc>
          <w:tcPr>
            <w:tcW w:w="1076" w:type="dxa"/>
          </w:tcPr>
          <w:p w:rsidR="00AB3B5E" w:rsidRDefault="00AB3B5E" w:rsidP="00156E21">
            <w:pPr>
              <w:overflowPunct w:val="0"/>
              <w:autoSpaceDE w:val="0"/>
              <w:autoSpaceDN w:val="0"/>
              <w:jc w:val="center"/>
              <w:rPr>
                <w:rFonts w:ascii="Times New Roman" w:eastAsia="標楷體" w:hAnsi="Times New Roman" w:cs="Times New Roman"/>
              </w:rPr>
            </w:pPr>
          </w:p>
        </w:tc>
      </w:tr>
      <w:tr w:rsidR="00AB3B5E" w:rsidTr="00F12084">
        <w:trPr>
          <w:tblHeader/>
        </w:trPr>
        <w:tc>
          <w:tcPr>
            <w:tcW w:w="1417" w:type="dxa"/>
          </w:tcPr>
          <w:p w:rsidR="00AB3B5E" w:rsidRDefault="00AB3B5E" w:rsidP="00156E21">
            <w:pPr>
              <w:overflowPunct w:val="0"/>
              <w:autoSpaceDE w:val="0"/>
              <w:autoSpaceDN w:val="0"/>
              <w:jc w:val="center"/>
              <w:rPr>
                <w:rFonts w:ascii="Times New Roman" w:eastAsia="標楷體" w:hAnsi="Times New Roman" w:cs="Times New Roman"/>
              </w:rPr>
            </w:pPr>
          </w:p>
        </w:tc>
        <w:tc>
          <w:tcPr>
            <w:tcW w:w="1843" w:type="dxa"/>
          </w:tcPr>
          <w:p w:rsidR="00AB3B5E" w:rsidRDefault="00AB3B5E" w:rsidP="00156E21">
            <w:pPr>
              <w:overflowPunct w:val="0"/>
              <w:autoSpaceDE w:val="0"/>
              <w:autoSpaceDN w:val="0"/>
              <w:jc w:val="center"/>
              <w:rPr>
                <w:rFonts w:ascii="Times New Roman" w:eastAsia="標楷體" w:hAnsi="Times New Roman" w:cs="Times New Roman"/>
              </w:rPr>
            </w:pPr>
          </w:p>
        </w:tc>
        <w:tc>
          <w:tcPr>
            <w:tcW w:w="1134"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u w:val="single"/>
              </w:rPr>
              <w:t>Fees (A)</w:t>
            </w:r>
          </w:p>
        </w:tc>
        <w:tc>
          <w:tcPr>
            <w:tcW w:w="1276"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u w:val="single"/>
              </w:rPr>
              <w:t>Rental</w:t>
            </w:r>
          </w:p>
        </w:tc>
        <w:tc>
          <w:tcPr>
            <w:tcW w:w="1076"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u w:val="single"/>
              </w:rPr>
              <w:t>(A)+(B)</w:t>
            </w:r>
          </w:p>
        </w:tc>
      </w:tr>
      <w:tr w:rsidR="00AB3B5E" w:rsidTr="00F12084">
        <w:trPr>
          <w:tblHeader/>
        </w:trPr>
        <w:tc>
          <w:tcPr>
            <w:tcW w:w="1417" w:type="dxa"/>
          </w:tcPr>
          <w:p w:rsidR="00AB3B5E" w:rsidRDefault="00AB3B5E" w:rsidP="00156E21">
            <w:pPr>
              <w:overflowPunct w:val="0"/>
              <w:autoSpaceDE w:val="0"/>
              <w:autoSpaceDN w:val="0"/>
              <w:jc w:val="center"/>
              <w:rPr>
                <w:rFonts w:ascii="Times New Roman" w:eastAsia="標楷體" w:hAnsi="Times New Roman" w:cs="Times New Roman"/>
              </w:rPr>
            </w:pPr>
          </w:p>
        </w:tc>
        <w:tc>
          <w:tcPr>
            <w:tcW w:w="1843" w:type="dxa"/>
          </w:tcPr>
          <w:p w:rsidR="00AB3B5E" w:rsidRDefault="00AB3B5E" w:rsidP="00156E21">
            <w:pPr>
              <w:overflowPunct w:val="0"/>
              <w:autoSpaceDE w:val="0"/>
              <w:autoSpaceDN w:val="0"/>
              <w:jc w:val="center"/>
              <w:rPr>
                <w:rFonts w:ascii="Times New Roman" w:eastAsia="標楷體" w:hAnsi="Times New Roman" w:cs="Times New Roman"/>
              </w:rPr>
            </w:pPr>
          </w:p>
        </w:tc>
        <w:tc>
          <w:tcPr>
            <w:tcW w:w="3486" w:type="dxa"/>
            <w:gridSpan w:val="3"/>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u w:val="single"/>
              </w:rPr>
              <w:t>commission (B)</w:t>
            </w:r>
          </w:p>
        </w:tc>
      </w:tr>
      <w:tr w:rsidR="00AB3B5E" w:rsidTr="00F12084">
        <w:trPr>
          <w:tblHeader/>
        </w:trPr>
        <w:tc>
          <w:tcPr>
            <w:tcW w:w="1417" w:type="dxa"/>
          </w:tcPr>
          <w:p w:rsidR="00AB3B5E" w:rsidRDefault="00AB3B5E" w:rsidP="00156E21">
            <w:pPr>
              <w:overflowPunct w:val="0"/>
              <w:autoSpaceDE w:val="0"/>
              <w:autoSpaceDN w:val="0"/>
              <w:jc w:val="center"/>
              <w:rPr>
                <w:rFonts w:ascii="Times New Roman" w:eastAsia="標楷體" w:hAnsi="Times New Roman" w:cs="Times New Roman"/>
              </w:rPr>
            </w:pPr>
          </w:p>
        </w:tc>
        <w:tc>
          <w:tcPr>
            <w:tcW w:w="1843"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w:t>
            </w:r>
          </w:p>
        </w:tc>
        <w:tc>
          <w:tcPr>
            <w:tcW w:w="1134"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w:t>
            </w:r>
          </w:p>
        </w:tc>
        <w:tc>
          <w:tcPr>
            <w:tcW w:w="1276" w:type="dxa"/>
          </w:tcPr>
          <w:p w:rsidR="00AB3B5E" w:rsidRDefault="00AB3B5E" w:rsidP="00156E21">
            <w:pPr>
              <w:overflowPunct w:val="0"/>
              <w:autoSpaceDE w:val="0"/>
              <w:autoSpaceDN w:val="0"/>
              <w:jc w:val="center"/>
            </w:pPr>
            <w:r w:rsidRPr="00E06E55">
              <w:rPr>
                <w:rFonts w:ascii="Times New Roman" w:eastAsia="標楷體" w:hAnsi="Times New Roman" w:cs="Times New Roman"/>
              </w:rPr>
              <w:t>$</w:t>
            </w:r>
          </w:p>
        </w:tc>
        <w:tc>
          <w:tcPr>
            <w:tcW w:w="1076" w:type="dxa"/>
          </w:tcPr>
          <w:p w:rsidR="00AB3B5E" w:rsidRDefault="00AB3B5E" w:rsidP="00156E21">
            <w:pPr>
              <w:overflowPunct w:val="0"/>
              <w:autoSpaceDE w:val="0"/>
              <w:autoSpaceDN w:val="0"/>
              <w:jc w:val="center"/>
            </w:pPr>
            <w:r w:rsidRPr="00E06E55">
              <w:rPr>
                <w:rFonts w:ascii="Times New Roman" w:eastAsia="標楷體" w:hAnsi="Times New Roman" w:cs="Times New Roman"/>
              </w:rPr>
              <w:t>$</w:t>
            </w:r>
          </w:p>
        </w:tc>
      </w:tr>
      <w:tr w:rsidR="00AB3B5E" w:rsidTr="00AB3B5E">
        <w:tc>
          <w:tcPr>
            <w:tcW w:w="1417"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2007/08</w:t>
            </w:r>
          </w:p>
        </w:tc>
        <w:tc>
          <w:tcPr>
            <w:tcW w:w="1843" w:type="dxa"/>
          </w:tcPr>
          <w:p w:rsidR="00AB3B5E" w:rsidRDefault="00AB3B5E" w:rsidP="00156E21">
            <w:pPr>
              <w:overflowPunct w:val="0"/>
              <w:autoSpaceDE w:val="0"/>
              <w:autoSpaceDN w:val="0"/>
              <w:ind w:rightChars="130" w:right="312"/>
              <w:jc w:val="right"/>
              <w:rPr>
                <w:rFonts w:ascii="Times New Roman" w:eastAsia="標楷體" w:hAnsi="Times New Roman" w:cs="Times New Roman"/>
              </w:rPr>
            </w:pPr>
            <w:r w:rsidRPr="0069274C">
              <w:rPr>
                <w:rFonts w:ascii="Times New Roman" w:eastAsia="標楷體" w:hAnsi="Times New Roman" w:cs="Times New Roman"/>
              </w:rPr>
              <w:t>115,760</w:t>
            </w:r>
          </w:p>
        </w:tc>
        <w:tc>
          <w:tcPr>
            <w:tcW w:w="1134"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134,028</w:t>
            </w:r>
          </w:p>
        </w:tc>
        <w:tc>
          <w:tcPr>
            <w:tcW w:w="1276"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236,559</w:t>
            </w:r>
          </w:p>
        </w:tc>
        <w:tc>
          <w:tcPr>
            <w:tcW w:w="1076"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370,587</w:t>
            </w:r>
          </w:p>
        </w:tc>
      </w:tr>
      <w:tr w:rsidR="00AB3B5E" w:rsidTr="00AB3B5E">
        <w:tc>
          <w:tcPr>
            <w:tcW w:w="1417"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2008/09</w:t>
            </w:r>
          </w:p>
        </w:tc>
        <w:tc>
          <w:tcPr>
            <w:tcW w:w="1843" w:type="dxa"/>
          </w:tcPr>
          <w:p w:rsidR="00AB3B5E" w:rsidRDefault="00AB3B5E" w:rsidP="00156E21">
            <w:pPr>
              <w:overflowPunct w:val="0"/>
              <w:autoSpaceDE w:val="0"/>
              <w:autoSpaceDN w:val="0"/>
              <w:ind w:rightChars="130" w:right="312"/>
              <w:jc w:val="right"/>
              <w:rPr>
                <w:rFonts w:ascii="Times New Roman" w:eastAsia="標楷體" w:hAnsi="Times New Roman" w:cs="Times New Roman"/>
              </w:rPr>
            </w:pPr>
            <w:r w:rsidRPr="0069274C">
              <w:rPr>
                <w:rFonts w:ascii="Times New Roman" w:eastAsia="標楷體" w:hAnsi="Times New Roman" w:cs="Times New Roman"/>
              </w:rPr>
              <w:t>1,366,735</w:t>
            </w:r>
          </w:p>
        </w:tc>
        <w:tc>
          <w:tcPr>
            <w:tcW w:w="1134"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310,807</w:t>
            </w:r>
          </w:p>
        </w:tc>
        <w:tc>
          <w:tcPr>
            <w:tcW w:w="1276"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266,727</w:t>
            </w:r>
          </w:p>
        </w:tc>
        <w:tc>
          <w:tcPr>
            <w:tcW w:w="1076"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577,534</w:t>
            </w:r>
          </w:p>
        </w:tc>
      </w:tr>
      <w:tr w:rsidR="00AB3B5E" w:rsidTr="00AB3B5E">
        <w:tc>
          <w:tcPr>
            <w:tcW w:w="1417"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2009/10</w:t>
            </w:r>
          </w:p>
        </w:tc>
        <w:tc>
          <w:tcPr>
            <w:tcW w:w="1843" w:type="dxa"/>
          </w:tcPr>
          <w:p w:rsidR="00AB3B5E" w:rsidRDefault="00AB3B5E" w:rsidP="00156E21">
            <w:pPr>
              <w:overflowPunct w:val="0"/>
              <w:autoSpaceDE w:val="0"/>
              <w:autoSpaceDN w:val="0"/>
              <w:ind w:rightChars="130" w:right="312"/>
              <w:jc w:val="right"/>
              <w:rPr>
                <w:rFonts w:ascii="Times New Roman" w:eastAsia="標楷體" w:hAnsi="Times New Roman" w:cs="Times New Roman"/>
              </w:rPr>
            </w:pPr>
            <w:r w:rsidRPr="0069274C">
              <w:rPr>
                <w:rFonts w:ascii="Times New Roman" w:eastAsia="標楷體" w:hAnsi="Times New Roman" w:cs="Times New Roman"/>
              </w:rPr>
              <w:t>990,886</w:t>
            </w:r>
          </w:p>
        </w:tc>
        <w:tc>
          <w:tcPr>
            <w:tcW w:w="1134"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347,404</w:t>
            </w:r>
          </w:p>
        </w:tc>
        <w:tc>
          <w:tcPr>
            <w:tcW w:w="1276"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327,965</w:t>
            </w:r>
          </w:p>
        </w:tc>
        <w:tc>
          <w:tcPr>
            <w:tcW w:w="1076"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675,369</w:t>
            </w:r>
          </w:p>
        </w:tc>
      </w:tr>
      <w:tr w:rsidR="00AB3B5E" w:rsidTr="00AB3B5E">
        <w:tc>
          <w:tcPr>
            <w:tcW w:w="1417"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2010/11</w:t>
            </w:r>
          </w:p>
        </w:tc>
        <w:tc>
          <w:tcPr>
            <w:tcW w:w="1843" w:type="dxa"/>
          </w:tcPr>
          <w:p w:rsidR="00AB3B5E" w:rsidRDefault="00AB3B5E" w:rsidP="00156E21">
            <w:pPr>
              <w:overflowPunct w:val="0"/>
              <w:autoSpaceDE w:val="0"/>
              <w:autoSpaceDN w:val="0"/>
              <w:ind w:rightChars="130" w:right="312"/>
              <w:jc w:val="right"/>
              <w:rPr>
                <w:rFonts w:ascii="Times New Roman" w:eastAsia="標楷體" w:hAnsi="Times New Roman" w:cs="Times New Roman"/>
              </w:rPr>
            </w:pPr>
            <w:r w:rsidRPr="0069274C">
              <w:rPr>
                <w:rFonts w:ascii="Times New Roman" w:eastAsia="標楷體" w:hAnsi="Times New Roman" w:cs="Times New Roman"/>
              </w:rPr>
              <w:t>1,092,122</w:t>
            </w:r>
          </w:p>
        </w:tc>
        <w:tc>
          <w:tcPr>
            <w:tcW w:w="1134"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336,654</w:t>
            </w:r>
          </w:p>
        </w:tc>
        <w:tc>
          <w:tcPr>
            <w:tcW w:w="1276"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260,049</w:t>
            </w:r>
          </w:p>
        </w:tc>
        <w:tc>
          <w:tcPr>
            <w:tcW w:w="1076"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596,703</w:t>
            </w:r>
          </w:p>
        </w:tc>
      </w:tr>
      <w:tr w:rsidR="00AB3B5E" w:rsidTr="00AB3B5E">
        <w:tc>
          <w:tcPr>
            <w:tcW w:w="1417"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2011/12</w:t>
            </w:r>
          </w:p>
        </w:tc>
        <w:tc>
          <w:tcPr>
            <w:tcW w:w="1843" w:type="dxa"/>
          </w:tcPr>
          <w:p w:rsidR="00AB3B5E" w:rsidRDefault="00AB3B5E" w:rsidP="00156E21">
            <w:pPr>
              <w:overflowPunct w:val="0"/>
              <w:autoSpaceDE w:val="0"/>
              <w:autoSpaceDN w:val="0"/>
              <w:ind w:rightChars="130" w:right="312"/>
              <w:jc w:val="right"/>
              <w:rPr>
                <w:rFonts w:ascii="Times New Roman" w:eastAsia="標楷體" w:hAnsi="Times New Roman" w:cs="Times New Roman"/>
              </w:rPr>
            </w:pPr>
            <w:r w:rsidRPr="0069274C">
              <w:rPr>
                <w:rFonts w:ascii="Times New Roman" w:eastAsia="標楷體" w:hAnsi="Times New Roman" w:cs="Times New Roman"/>
              </w:rPr>
              <w:t>1,281,609</w:t>
            </w:r>
          </w:p>
        </w:tc>
        <w:tc>
          <w:tcPr>
            <w:tcW w:w="1134"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363,172</w:t>
            </w:r>
          </w:p>
        </w:tc>
        <w:tc>
          <w:tcPr>
            <w:tcW w:w="1276"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315,482</w:t>
            </w:r>
          </w:p>
        </w:tc>
        <w:tc>
          <w:tcPr>
            <w:tcW w:w="1076"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678,654</w:t>
            </w:r>
          </w:p>
        </w:tc>
      </w:tr>
      <w:tr w:rsidR="00AB3B5E" w:rsidTr="00AB3B5E">
        <w:tc>
          <w:tcPr>
            <w:tcW w:w="1417"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2012/13</w:t>
            </w:r>
          </w:p>
        </w:tc>
        <w:tc>
          <w:tcPr>
            <w:tcW w:w="1843" w:type="dxa"/>
          </w:tcPr>
          <w:p w:rsidR="00AB3B5E" w:rsidRDefault="00AB3B5E" w:rsidP="00156E21">
            <w:pPr>
              <w:overflowPunct w:val="0"/>
              <w:autoSpaceDE w:val="0"/>
              <w:autoSpaceDN w:val="0"/>
              <w:ind w:rightChars="130" w:right="312"/>
              <w:jc w:val="right"/>
              <w:rPr>
                <w:rFonts w:ascii="Times New Roman" w:eastAsia="標楷體" w:hAnsi="Times New Roman" w:cs="Times New Roman"/>
              </w:rPr>
            </w:pPr>
            <w:r w:rsidRPr="0069274C">
              <w:rPr>
                <w:rFonts w:ascii="Times New Roman" w:eastAsia="標楷體" w:hAnsi="Times New Roman" w:cs="Times New Roman"/>
              </w:rPr>
              <w:t>1,365,071</w:t>
            </w:r>
          </w:p>
        </w:tc>
        <w:tc>
          <w:tcPr>
            <w:tcW w:w="1134"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407,080</w:t>
            </w:r>
          </w:p>
        </w:tc>
        <w:tc>
          <w:tcPr>
            <w:tcW w:w="1276"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254,098</w:t>
            </w:r>
          </w:p>
        </w:tc>
        <w:tc>
          <w:tcPr>
            <w:tcW w:w="1076"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661,178</w:t>
            </w:r>
          </w:p>
        </w:tc>
      </w:tr>
      <w:tr w:rsidR="00AB3B5E" w:rsidTr="00AB3B5E">
        <w:tc>
          <w:tcPr>
            <w:tcW w:w="1417"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2013/14</w:t>
            </w:r>
          </w:p>
        </w:tc>
        <w:tc>
          <w:tcPr>
            <w:tcW w:w="1843" w:type="dxa"/>
          </w:tcPr>
          <w:p w:rsidR="00AB3B5E" w:rsidRDefault="00AB3B5E" w:rsidP="00156E21">
            <w:pPr>
              <w:overflowPunct w:val="0"/>
              <w:autoSpaceDE w:val="0"/>
              <w:autoSpaceDN w:val="0"/>
              <w:ind w:rightChars="130" w:right="312"/>
              <w:jc w:val="right"/>
              <w:rPr>
                <w:rFonts w:ascii="Times New Roman" w:eastAsia="標楷體" w:hAnsi="Times New Roman" w:cs="Times New Roman"/>
              </w:rPr>
            </w:pPr>
            <w:r w:rsidRPr="0069274C">
              <w:rPr>
                <w:rFonts w:ascii="Times New Roman" w:eastAsia="標楷體" w:hAnsi="Times New Roman" w:cs="Times New Roman"/>
              </w:rPr>
              <w:t>1,466,689</w:t>
            </w:r>
          </w:p>
        </w:tc>
        <w:tc>
          <w:tcPr>
            <w:tcW w:w="1134"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435,955</w:t>
            </w:r>
          </w:p>
        </w:tc>
        <w:tc>
          <w:tcPr>
            <w:tcW w:w="1276"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388,677</w:t>
            </w:r>
          </w:p>
        </w:tc>
        <w:tc>
          <w:tcPr>
            <w:tcW w:w="1076"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824,632</w:t>
            </w:r>
          </w:p>
        </w:tc>
      </w:tr>
      <w:tr w:rsidR="00AB3B5E" w:rsidTr="00AB3B5E">
        <w:tc>
          <w:tcPr>
            <w:tcW w:w="1417"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2014/15</w:t>
            </w:r>
          </w:p>
        </w:tc>
        <w:tc>
          <w:tcPr>
            <w:tcW w:w="1843" w:type="dxa"/>
          </w:tcPr>
          <w:p w:rsidR="00AB3B5E" w:rsidRDefault="00AB3B5E" w:rsidP="00156E21">
            <w:pPr>
              <w:overflowPunct w:val="0"/>
              <w:autoSpaceDE w:val="0"/>
              <w:autoSpaceDN w:val="0"/>
              <w:ind w:rightChars="130" w:right="312"/>
              <w:jc w:val="right"/>
              <w:rPr>
                <w:rFonts w:ascii="Times New Roman" w:eastAsia="標楷體" w:hAnsi="Times New Roman" w:cs="Times New Roman"/>
              </w:rPr>
            </w:pPr>
            <w:r w:rsidRPr="0069274C">
              <w:rPr>
                <w:rFonts w:ascii="Times New Roman" w:eastAsia="標楷體" w:hAnsi="Times New Roman" w:cs="Times New Roman"/>
              </w:rPr>
              <w:t>1,609,766</w:t>
            </w:r>
          </w:p>
        </w:tc>
        <w:tc>
          <w:tcPr>
            <w:tcW w:w="1134"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490,438</w:t>
            </w:r>
          </w:p>
        </w:tc>
        <w:tc>
          <w:tcPr>
            <w:tcW w:w="1276"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337,359</w:t>
            </w:r>
          </w:p>
        </w:tc>
        <w:tc>
          <w:tcPr>
            <w:tcW w:w="1076"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827,797</w:t>
            </w:r>
          </w:p>
        </w:tc>
      </w:tr>
      <w:tr w:rsidR="00AB3B5E" w:rsidTr="00AB3B5E">
        <w:tc>
          <w:tcPr>
            <w:tcW w:w="1417"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2015/16</w:t>
            </w:r>
          </w:p>
        </w:tc>
        <w:tc>
          <w:tcPr>
            <w:tcW w:w="1843" w:type="dxa"/>
          </w:tcPr>
          <w:p w:rsidR="00AB3B5E" w:rsidRDefault="00AB3B5E" w:rsidP="00156E21">
            <w:pPr>
              <w:overflowPunct w:val="0"/>
              <w:autoSpaceDE w:val="0"/>
              <w:autoSpaceDN w:val="0"/>
              <w:ind w:rightChars="130" w:right="312"/>
              <w:jc w:val="right"/>
              <w:rPr>
                <w:rFonts w:ascii="Times New Roman" w:eastAsia="標楷體" w:hAnsi="Times New Roman" w:cs="Times New Roman"/>
              </w:rPr>
            </w:pPr>
            <w:r w:rsidRPr="0069274C">
              <w:rPr>
                <w:rFonts w:ascii="Times New Roman" w:eastAsia="標楷體" w:hAnsi="Times New Roman" w:cs="Times New Roman"/>
              </w:rPr>
              <w:t>1,804,127</w:t>
            </w:r>
          </w:p>
        </w:tc>
        <w:tc>
          <w:tcPr>
            <w:tcW w:w="1134"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516,711</w:t>
            </w:r>
          </w:p>
        </w:tc>
        <w:tc>
          <w:tcPr>
            <w:tcW w:w="1276"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401,599</w:t>
            </w:r>
          </w:p>
        </w:tc>
        <w:tc>
          <w:tcPr>
            <w:tcW w:w="1076" w:type="dxa"/>
          </w:tcPr>
          <w:p w:rsidR="00AB3B5E" w:rsidRDefault="00AB3B5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rPr>
              <w:t>918,310</w:t>
            </w:r>
          </w:p>
        </w:tc>
      </w:tr>
    </w:tbl>
    <w:p w:rsidR="00737FBC" w:rsidRPr="0069274C" w:rsidRDefault="00737FBC" w:rsidP="00156E21">
      <w:pPr>
        <w:overflowPunct w:val="0"/>
        <w:autoSpaceDE w:val="0"/>
        <w:autoSpaceDN w:val="0"/>
        <w:jc w:val="both"/>
        <w:rPr>
          <w:rFonts w:ascii="Times New Roman" w:eastAsia="標楷體" w:hAnsi="Times New Roman" w:cs="Times New Roman"/>
        </w:rPr>
      </w:pPr>
    </w:p>
    <w:p w:rsidR="00737FBC" w:rsidRPr="0069274C" w:rsidRDefault="00737FBC"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(c)</w:t>
      </w:r>
      <w:r w:rsidR="00AB3B5E">
        <w:rPr>
          <w:rFonts w:ascii="Times New Roman" w:eastAsia="標楷體" w:hAnsi="Times New Roman" w:cs="Times New Roman"/>
        </w:rPr>
        <w:tab/>
      </w:r>
      <w:r w:rsidRPr="0069274C">
        <w:rPr>
          <w:rFonts w:ascii="Times New Roman" w:eastAsia="標楷體" w:hAnsi="Times New Roman" w:cs="Times New Roman"/>
        </w:rPr>
        <w:t>The Taxpayer’s detailed income statements for the years ended 30 June 2007 to 2015 showed, among other things, the following particulars:</w:t>
      </w:r>
    </w:p>
    <w:p w:rsidR="00737FBC" w:rsidRDefault="00737FBC" w:rsidP="00156E21">
      <w:pPr>
        <w:overflowPunct w:val="0"/>
        <w:autoSpaceDE w:val="0"/>
        <w:autoSpaceDN w:val="0"/>
        <w:ind w:left="1080"/>
        <w:jc w:val="both"/>
        <w:rPr>
          <w:rFonts w:ascii="Times New Roman" w:eastAsia="標楷體" w:hAnsi="Times New Roman" w:cs="Times New Roman"/>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7"/>
        <w:gridCol w:w="720"/>
        <w:gridCol w:w="789"/>
        <w:gridCol w:w="789"/>
        <w:gridCol w:w="800"/>
        <w:gridCol w:w="789"/>
        <w:gridCol w:w="800"/>
        <w:gridCol w:w="789"/>
        <w:gridCol w:w="789"/>
        <w:gridCol w:w="789"/>
      </w:tblGrid>
      <w:tr w:rsidR="00BD12A1" w:rsidRPr="00F12084" w:rsidTr="009C3EB3">
        <w:trPr>
          <w:tblHeader/>
        </w:trPr>
        <w:tc>
          <w:tcPr>
            <w:tcW w:w="1677" w:type="dxa"/>
          </w:tcPr>
          <w:p w:rsidR="00936924" w:rsidRPr="00F12084" w:rsidRDefault="00936924" w:rsidP="00156E21">
            <w:pPr>
              <w:overflowPunct w:val="0"/>
              <w:autoSpaceDE w:val="0"/>
              <w:autoSpaceDN w:val="0"/>
              <w:ind w:leftChars="-43" w:left="-103" w:rightChars="-40" w:right="-96"/>
              <w:jc w:val="both"/>
              <w:rPr>
                <w:rFonts w:ascii="Times New Roman" w:eastAsia="標楷體" w:hAnsi="Times New Roman" w:cs="Times New Roman"/>
                <w:sz w:val="14"/>
                <w:szCs w:val="14"/>
              </w:rPr>
            </w:pPr>
            <w:r w:rsidRPr="00F12084">
              <w:rPr>
                <w:rFonts w:ascii="Times New Roman" w:eastAsia="標楷體" w:hAnsi="Times New Roman" w:cs="Times New Roman"/>
                <w:sz w:val="14"/>
                <w:szCs w:val="14"/>
              </w:rPr>
              <w:t>For the year ended on 30 June</w:t>
            </w:r>
          </w:p>
        </w:tc>
        <w:tc>
          <w:tcPr>
            <w:tcW w:w="720" w:type="dxa"/>
          </w:tcPr>
          <w:p w:rsidR="00936924" w:rsidRPr="00F12084" w:rsidRDefault="00936924" w:rsidP="00156E21">
            <w:pPr>
              <w:overflowPunct w:val="0"/>
              <w:autoSpaceDE w:val="0"/>
              <w:autoSpaceDN w:val="0"/>
              <w:ind w:leftChars="-43" w:left="-103" w:rightChars="-32" w:right="-77"/>
              <w:jc w:val="center"/>
              <w:rPr>
                <w:rFonts w:ascii="Times New Roman" w:eastAsia="標楷體" w:hAnsi="Times New Roman" w:cs="Times New Roman"/>
                <w:sz w:val="14"/>
                <w:szCs w:val="14"/>
              </w:rPr>
            </w:pPr>
            <w:r w:rsidRPr="00F12084">
              <w:rPr>
                <w:rFonts w:ascii="Times New Roman" w:eastAsia="標楷體" w:hAnsi="Times New Roman" w:cs="Times New Roman"/>
                <w:sz w:val="14"/>
                <w:szCs w:val="14"/>
                <w:u w:val="single"/>
              </w:rPr>
              <w:t>2007</w:t>
            </w:r>
          </w:p>
        </w:tc>
        <w:tc>
          <w:tcPr>
            <w:tcW w:w="789" w:type="dxa"/>
          </w:tcPr>
          <w:p w:rsidR="00936924" w:rsidRPr="00F12084" w:rsidRDefault="00936924" w:rsidP="00156E21">
            <w:pPr>
              <w:overflowPunct w:val="0"/>
              <w:autoSpaceDE w:val="0"/>
              <w:autoSpaceDN w:val="0"/>
              <w:ind w:leftChars="-43" w:left="-103" w:rightChars="-32" w:right="-77"/>
              <w:jc w:val="center"/>
              <w:rPr>
                <w:rFonts w:ascii="Times New Roman" w:eastAsia="標楷體" w:hAnsi="Times New Roman" w:cs="Times New Roman"/>
                <w:sz w:val="14"/>
                <w:szCs w:val="14"/>
              </w:rPr>
            </w:pPr>
            <w:r w:rsidRPr="00F12084">
              <w:rPr>
                <w:rFonts w:ascii="Times New Roman" w:eastAsia="標楷體" w:hAnsi="Times New Roman" w:cs="Times New Roman"/>
                <w:sz w:val="14"/>
                <w:szCs w:val="14"/>
                <w:u w:val="single"/>
              </w:rPr>
              <w:t>2008</w:t>
            </w:r>
          </w:p>
        </w:tc>
        <w:tc>
          <w:tcPr>
            <w:tcW w:w="789" w:type="dxa"/>
          </w:tcPr>
          <w:p w:rsidR="00936924" w:rsidRPr="00F12084" w:rsidRDefault="00936924" w:rsidP="00156E21">
            <w:pPr>
              <w:overflowPunct w:val="0"/>
              <w:autoSpaceDE w:val="0"/>
              <w:autoSpaceDN w:val="0"/>
              <w:ind w:leftChars="-43" w:left="-103" w:rightChars="-32" w:right="-77"/>
              <w:jc w:val="center"/>
              <w:rPr>
                <w:rFonts w:ascii="Times New Roman" w:eastAsia="標楷體" w:hAnsi="Times New Roman" w:cs="Times New Roman"/>
                <w:sz w:val="14"/>
                <w:szCs w:val="14"/>
              </w:rPr>
            </w:pPr>
            <w:r w:rsidRPr="00F12084">
              <w:rPr>
                <w:rFonts w:ascii="Times New Roman" w:eastAsia="標楷體" w:hAnsi="Times New Roman" w:cs="Times New Roman"/>
                <w:sz w:val="14"/>
                <w:szCs w:val="14"/>
                <w:u w:val="single"/>
              </w:rPr>
              <w:t>2009</w:t>
            </w:r>
          </w:p>
        </w:tc>
        <w:tc>
          <w:tcPr>
            <w:tcW w:w="800" w:type="dxa"/>
          </w:tcPr>
          <w:p w:rsidR="00936924" w:rsidRPr="00F12084" w:rsidRDefault="00936924" w:rsidP="00156E21">
            <w:pPr>
              <w:overflowPunct w:val="0"/>
              <w:autoSpaceDE w:val="0"/>
              <w:autoSpaceDN w:val="0"/>
              <w:ind w:leftChars="-43" w:left="-103" w:rightChars="-32" w:right="-77"/>
              <w:jc w:val="center"/>
              <w:rPr>
                <w:rFonts w:ascii="Times New Roman" w:eastAsia="標楷體" w:hAnsi="Times New Roman" w:cs="Times New Roman"/>
                <w:sz w:val="14"/>
                <w:szCs w:val="14"/>
              </w:rPr>
            </w:pPr>
            <w:r w:rsidRPr="00F12084">
              <w:rPr>
                <w:rFonts w:ascii="Times New Roman" w:eastAsia="標楷體" w:hAnsi="Times New Roman" w:cs="Times New Roman"/>
                <w:sz w:val="14"/>
                <w:szCs w:val="14"/>
                <w:u w:val="single"/>
              </w:rPr>
              <w:t>2010</w:t>
            </w:r>
          </w:p>
        </w:tc>
        <w:tc>
          <w:tcPr>
            <w:tcW w:w="789" w:type="dxa"/>
          </w:tcPr>
          <w:p w:rsidR="00936924" w:rsidRPr="00F12084" w:rsidRDefault="00936924" w:rsidP="00156E21">
            <w:pPr>
              <w:overflowPunct w:val="0"/>
              <w:autoSpaceDE w:val="0"/>
              <w:autoSpaceDN w:val="0"/>
              <w:ind w:leftChars="-43" w:left="-103" w:rightChars="-32" w:right="-77"/>
              <w:jc w:val="center"/>
              <w:rPr>
                <w:rFonts w:ascii="Times New Roman" w:eastAsia="標楷體" w:hAnsi="Times New Roman" w:cs="Times New Roman"/>
                <w:sz w:val="14"/>
                <w:szCs w:val="14"/>
              </w:rPr>
            </w:pPr>
            <w:r w:rsidRPr="00F12084">
              <w:rPr>
                <w:rFonts w:ascii="Times New Roman" w:eastAsia="標楷體" w:hAnsi="Times New Roman" w:cs="Times New Roman"/>
                <w:sz w:val="14"/>
                <w:szCs w:val="14"/>
                <w:u w:val="single"/>
              </w:rPr>
              <w:t>2011</w:t>
            </w:r>
          </w:p>
        </w:tc>
        <w:tc>
          <w:tcPr>
            <w:tcW w:w="800" w:type="dxa"/>
          </w:tcPr>
          <w:p w:rsidR="00936924" w:rsidRPr="00F12084" w:rsidRDefault="00936924" w:rsidP="00156E21">
            <w:pPr>
              <w:overflowPunct w:val="0"/>
              <w:autoSpaceDE w:val="0"/>
              <w:autoSpaceDN w:val="0"/>
              <w:ind w:leftChars="-43" w:left="-103" w:rightChars="-32" w:right="-77"/>
              <w:jc w:val="center"/>
              <w:rPr>
                <w:rFonts w:ascii="Times New Roman" w:eastAsia="標楷體" w:hAnsi="Times New Roman" w:cs="Times New Roman"/>
                <w:sz w:val="14"/>
                <w:szCs w:val="14"/>
              </w:rPr>
            </w:pPr>
            <w:r w:rsidRPr="00F12084">
              <w:rPr>
                <w:rFonts w:ascii="Times New Roman" w:eastAsia="標楷體" w:hAnsi="Times New Roman" w:cs="Times New Roman"/>
                <w:sz w:val="14"/>
                <w:szCs w:val="14"/>
                <w:u w:val="single"/>
              </w:rPr>
              <w:t>2012</w:t>
            </w:r>
          </w:p>
        </w:tc>
        <w:tc>
          <w:tcPr>
            <w:tcW w:w="789" w:type="dxa"/>
          </w:tcPr>
          <w:p w:rsidR="00936924" w:rsidRPr="00F12084" w:rsidRDefault="00936924" w:rsidP="00156E21">
            <w:pPr>
              <w:overflowPunct w:val="0"/>
              <w:autoSpaceDE w:val="0"/>
              <w:autoSpaceDN w:val="0"/>
              <w:ind w:leftChars="-43" w:left="-103" w:rightChars="-32" w:right="-77"/>
              <w:jc w:val="center"/>
              <w:rPr>
                <w:rFonts w:ascii="Times New Roman" w:eastAsia="標楷體" w:hAnsi="Times New Roman" w:cs="Times New Roman"/>
                <w:sz w:val="14"/>
                <w:szCs w:val="14"/>
              </w:rPr>
            </w:pPr>
            <w:r w:rsidRPr="00F12084">
              <w:rPr>
                <w:rFonts w:ascii="Times New Roman" w:eastAsia="標楷體" w:hAnsi="Times New Roman" w:cs="Times New Roman"/>
                <w:sz w:val="14"/>
                <w:szCs w:val="14"/>
                <w:u w:val="single"/>
              </w:rPr>
              <w:t>2013</w:t>
            </w:r>
          </w:p>
        </w:tc>
        <w:tc>
          <w:tcPr>
            <w:tcW w:w="789" w:type="dxa"/>
          </w:tcPr>
          <w:p w:rsidR="00936924" w:rsidRPr="00F12084" w:rsidRDefault="00936924" w:rsidP="00156E21">
            <w:pPr>
              <w:overflowPunct w:val="0"/>
              <w:autoSpaceDE w:val="0"/>
              <w:autoSpaceDN w:val="0"/>
              <w:ind w:leftChars="-43" w:left="-103" w:rightChars="-32" w:right="-77"/>
              <w:jc w:val="center"/>
              <w:rPr>
                <w:rFonts w:ascii="Times New Roman" w:eastAsia="標楷體" w:hAnsi="Times New Roman" w:cs="Times New Roman"/>
                <w:sz w:val="14"/>
                <w:szCs w:val="14"/>
              </w:rPr>
            </w:pPr>
            <w:r w:rsidRPr="00F12084">
              <w:rPr>
                <w:rFonts w:ascii="Times New Roman" w:eastAsia="標楷體" w:hAnsi="Times New Roman" w:cs="Times New Roman"/>
                <w:sz w:val="14"/>
                <w:szCs w:val="14"/>
                <w:u w:val="single"/>
              </w:rPr>
              <w:t>2014</w:t>
            </w:r>
          </w:p>
        </w:tc>
        <w:tc>
          <w:tcPr>
            <w:tcW w:w="789" w:type="dxa"/>
          </w:tcPr>
          <w:p w:rsidR="00936924" w:rsidRPr="00F12084" w:rsidRDefault="00936924" w:rsidP="00156E21">
            <w:pPr>
              <w:overflowPunct w:val="0"/>
              <w:autoSpaceDE w:val="0"/>
              <w:autoSpaceDN w:val="0"/>
              <w:ind w:leftChars="-43" w:left="-103" w:rightChars="-32" w:right="-77"/>
              <w:jc w:val="center"/>
              <w:rPr>
                <w:rFonts w:ascii="Times New Roman" w:eastAsia="標楷體" w:hAnsi="Times New Roman" w:cs="Times New Roman"/>
                <w:sz w:val="14"/>
                <w:szCs w:val="14"/>
              </w:rPr>
            </w:pPr>
            <w:r w:rsidRPr="00F12084">
              <w:rPr>
                <w:rFonts w:ascii="Times New Roman" w:eastAsia="標楷體" w:hAnsi="Times New Roman" w:cs="Times New Roman"/>
                <w:sz w:val="14"/>
                <w:szCs w:val="14"/>
                <w:u w:val="single"/>
              </w:rPr>
              <w:t>2015</w:t>
            </w:r>
          </w:p>
        </w:tc>
      </w:tr>
      <w:tr w:rsidR="00BD12A1" w:rsidRPr="00F12084" w:rsidTr="009C3EB3">
        <w:trPr>
          <w:tblHeader/>
        </w:trPr>
        <w:tc>
          <w:tcPr>
            <w:tcW w:w="1677" w:type="dxa"/>
          </w:tcPr>
          <w:p w:rsidR="00936924" w:rsidRPr="00F12084" w:rsidRDefault="00936924" w:rsidP="00156E21">
            <w:pPr>
              <w:overflowPunct w:val="0"/>
              <w:autoSpaceDE w:val="0"/>
              <w:autoSpaceDN w:val="0"/>
              <w:ind w:leftChars="-43" w:left="-103" w:rightChars="-49" w:right="-118"/>
              <w:jc w:val="both"/>
              <w:rPr>
                <w:rFonts w:ascii="Times New Roman" w:eastAsia="標楷體" w:hAnsi="Times New Roman" w:cs="Times New Roman"/>
                <w:sz w:val="14"/>
                <w:szCs w:val="14"/>
              </w:rPr>
            </w:pPr>
          </w:p>
        </w:tc>
        <w:tc>
          <w:tcPr>
            <w:tcW w:w="720" w:type="dxa"/>
          </w:tcPr>
          <w:p w:rsidR="00936924" w:rsidRPr="00F12084" w:rsidRDefault="00936924" w:rsidP="00156E21">
            <w:pPr>
              <w:overflowPunct w:val="0"/>
              <w:autoSpaceDE w:val="0"/>
              <w:autoSpaceDN w:val="0"/>
              <w:ind w:leftChars="-55" w:left="-132" w:rightChars="-32" w:right="-77"/>
              <w:jc w:val="center"/>
              <w:rPr>
                <w:sz w:val="14"/>
                <w:szCs w:val="14"/>
              </w:rPr>
            </w:pPr>
            <w:r w:rsidRPr="00F12084">
              <w:rPr>
                <w:rFonts w:ascii="Times New Roman" w:eastAsia="標楷體" w:hAnsi="Times New Roman" w:cs="Times New Roman"/>
                <w:sz w:val="14"/>
                <w:szCs w:val="14"/>
              </w:rPr>
              <w:t>$</w:t>
            </w:r>
          </w:p>
        </w:tc>
        <w:tc>
          <w:tcPr>
            <w:tcW w:w="789" w:type="dxa"/>
          </w:tcPr>
          <w:p w:rsidR="00936924" w:rsidRPr="00F12084" w:rsidRDefault="00936924" w:rsidP="00156E21">
            <w:pPr>
              <w:overflowPunct w:val="0"/>
              <w:autoSpaceDE w:val="0"/>
              <w:autoSpaceDN w:val="0"/>
              <w:ind w:leftChars="-43" w:left="-103" w:rightChars="-32" w:right="-77"/>
              <w:jc w:val="center"/>
              <w:rPr>
                <w:sz w:val="14"/>
                <w:szCs w:val="14"/>
              </w:rPr>
            </w:pPr>
            <w:r w:rsidRPr="00F12084">
              <w:rPr>
                <w:rFonts w:ascii="Times New Roman" w:eastAsia="標楷體" w:hAnsi="Times New Roman" w:cs="Times New Roman"/>
                <w:sz w:val="14"/>
                <w:szCs w:val="14"/>
              </w:rPr>
              <w:t>$</w:t>
            </w:r>
          </w:p>
        </w:tc>
        <w:tc>
          <w:tcPr>
            <w:tcW w:w="789" w:type="dxa"/>
          </w:tcPr>
          <w:p w:rsidR="00936924" w:rsidRPr="00F12084" w:rsidRDefault="00936924" w:rsidP="00156E21">
            <w:pPr>
              <w:overflowPunct w:val="0"/>
              <w:autoSpaceDE w:val="0"/>
              <w:autoSpaceDN w:val="0"/>
              <w:ind w:leftChars="-43" w:left="-103" w:rightChars="-32" w:right="-77"/>
              <w:jc w:val="center"/>
              <w:rPr>
                <w:sz w:val="14"/>
                <w:szCs w:val="14"/>
              </w:rPr>
            </w:pPr>
            <w:r w:rsidRPr="00F12084">
              <w:rPr>
                <w:rFonts w:ascii="Times New Roman" w:eastAsia="標楷體" w:hAnsi="Times New Roman" w:cs="Times New Roman"/>
                <w:sz w:val="14"/>
                <w:szCs w:val="14"/>
              </w:rPr>
              <w:t>$</w:t>
            </w:r>
          </w:p>
        </w:tc>
        <w:tc>
          <w:tcPr>
            <w:tcW w:w="800" w:type="dxa"/>
          </w:tcPr>
          <w:p w:rsidR="00936924" w:rsidRPr="00F12084" w:rsidRDefault="00936924" w:rsidP="00156E21">
            <w:pPr>
              <w:overflowPunct w:val="0"/>
              <w:autoSpaceDE w:val="0"/>
              <w:autoSpaceDN w:val="0"/>
              <w:ind w:leftChars="-43" w:left="-103" w:rightChars="-32" w:right="-77"/>
              <w:jc w:val="center"/>
              <w:rPr>
                <w:sz w:val="14"/>
                <w:szCs w:val="14"/>
              </w:rPr>
            </w:pPr>
            <w:r w:rsidRPr="00F12084">
              <w:rPr>
                <w:rFonts w:ascii="Times New Roman" w:eastAsia="標楷體" w:hAnsi="Times New Roman" w:cs="Times New Roman"/>
                <w:sz w:val="14"/>
                <w:szCs w:val="14"/>
              </w:rPr>
              <w:t>$</w:t>
            </w:r>
          </w:p>
        </w:tc>
        <w:tc>
          <w:tcPr>
            <w:tcW w:w="789" w:type="dxa"/>
          </w:tcPr>
          <w:p w:rsidR="00936924" w:rsidRPr="00F12084" w:rsidRDefault="00936924" w:rsidP="00156E21">
            <w:pPr>
              <w:overflowPunct w:val="0"/>
              <w:autoSpaceDE w:val="0"/>
              <w:autoSpaceDN w:val="0"/>
              <w:ind w:leftChars="-43" w:left="-103" w:rightChars="-32" w:right="-77"/>
              <w:jc w:val="center"/>
              <w:rPr>
                <w:sz w:val="14"/>
                <w:szCs w:val="14"/>
              </w:rPr>
            </w:pPr>
            <w:r w:rsidRPr="00F12084">
              <w:rPr>
                <w:rFonts w:ascii="Times New Roman" w:eastAsia="標楷體" w:hAnsi="Times New Roman" w:cs="Times New Roman"/>
                <w:sz w:val="14"/>
                <w:szCs w:val="14"/>
              </w:rPr>
              <w:t>$</w:t>
            </w:r>
          </w:p>
        </w:tc>
        <w:tc>
          <w:tcPr>
            <w:tcW w:w="800" w:type="dxa"/>
          </w:tcPr>
          <w:p w:rsidR="00936924" w:rsidRPr="00F12084" w:rsidRDefault="00936924" w:rsidP="00156E21">
            <w:pPr>
              <w:overflowPunct w:val="0"/>
              <w:autoSpaceDE w:val="0"/>
              <w:autoSpaceDN w:val="0"/>
              <w:ind w:leftChars="-43" w:left="-103" w:rightChars="-32" w:right="-77"/>
              <w:jc w:val="center"/>
              <w:rPr>
                <w:sz w:val="14"/>
                <w:szCs w:val="14"/>
              </w:rPr>
            </w:pPr>
            <w:r w:rsidRPr="00F12084">
              <w:rPr>
                <w:rFonts w:ascii="Times New Roman" w:eastAsia="標楷體" w:hAnsi="Times New Roman" w:cs="Times New Roman"/>
                <w:sz w:val="14"/>
                <w:szCs w:val="14"/>
              </w:rPr>
              <w:t>$</w:t>
            </w:r>
          </w:p>
        </w:tc>
        <w:tc>
          <w:tcPr>
            <w:tcW w:w="789" w:type="dxa"/>
          </w:tcPr>
          <w:p w:rsidR="00936924" w:rsidRPr="00F12084" w:rsidRDefault="00936924" w:rsidP="00156E21">
            <w:pPr>
              <w:overflowPunct w:val="0"/>
              <w:autoSpaceDE w:val="0"/>
              <w:autoSpaceDN w:val="0"/>
              <w:ind w:leftChars="-43" w:left="-103" w:rightChars="-32" w:right="-77"/>
              <w:jc w:val="center"/>
              <w:rPr>
                <w:sz w:val="14"/>
                <w:szCs w:val="14"/>
              </w:rPr>
            </w:pPr>
            <w:r w:rsidRPr="00F12084">
              <w:rPr>
                <w:rFonts w:ascii="Times New Roman" w:eastAsia="標楷體" w:hAnsi="Times New Roman" w:cs="Times New Roman"/>
                <w:sz w:val="14"/>
                <w:szCs w:val="14"/>
              </w:rPr>
              <w:t>$</w:t>
            </w:r>
          </w:p>
        </w:tc>
        <w:tc>
          <w:tcPr>
            <w:tcW w:w="789" w:type="dxa"/>
          </w:tcPr>
          <w:p w:rsidR="00936924" w:rsidRPr="00F12084" w:rsidRDefault="00936924" w:rsidP="00156E21">
            <w:pPr>
              <w:overflowPunct w:val="0"/>
              <w:autoSpaceDE w:val="0"/>
              <w:autoSpaceDN w:val="0"/>
              <w:ind w:leftChars="-43" w:left="-103" w:rightChars="-32" w:right="-77"/>
              <w:jc w:val="center"/>
              <w:rPr>
                <w:sz w:val="14"/>
                <w:szCs w:val="14"/>
              </w:rPr>
            </w:pPr>
            <w:r w:rsidRPr="00F12084">
              <w:rPr>
                <w:rFonts w:ascii="Times New Roman" w:eastAsia="標楷體" w:hAnsi="Times New Roman" w:cs="Times New Roman"/>
                <w:sz w:val="14"/>
                <w:szCs w:val="14"/>
              </w:rPr>
              <w:t>$</w:t>
            </w:r>
          </w:p>
        </w:tc>
        <w:tc>
          <w:tcPr>
            <w:tcW w:w="789" w:type="dxa"/>
          </w:tcPr>
          <w:p w:rsidR="00936924" w:rsidRPr="00F12084" w:rsidRDefault="00936924" w:rsidP="00156E21">
            <w:pPr>
              <w:overflowPunct w:val="0"/>
              <w:autoSpaceDE w:val="0"/>
              <w:autoSpaceDN w:val="0"/>
              <w:ind w:leftChars="-43" w:left="-103" w:rightChars="-32" w:right="-77"/>
              <w:jc w:val="center"/>
              <w:rPr>
                <w:sz w:val="14"/>
                <w:szCs w:val="14"/>
              </w:rPr>
            </w:pPr>
            <w:r w:rsidRPr="00F12084">
              <w:rPr>
                <w:rFonts w:ascii="Times New Roman" w:eastAsia="標楷體" w:hAnsi="Times New Roman" w:cs="Times New Roman"/>
                <w:sz w:val="14"/>
                <w:szCs w:val="14"/>
              </w:rPr>
              <w:t>$</w:t>
            </w:r>
          </w:p>
        </w:tc>
      </w:tr>
      <w:tr w:rsidR="00BD12A1" w:rsidRPr="00F12084" w:rsidTr="00C710B7">
        <w:tc>
          <w:tcPr>
            <w:tcW w:w="1677" w:type="dxa"/>
          </w:tcPr>
          <w:p w:rsidR="00936924" w:rsidRPr="00F12084" w:rsidRDefault="00936924" w:rsidP="00156E21">
            <w:pPr>
              <w:overflowPunct w:val="0"/>
              <w:autoSpaceDE w:val="0"/>
              <w:autoSpaceDN w:val="0"/>
              <w:ind w:leftChars="-43" w:left="-103" w:rightChars="-49" w:right="-118"/>
              <w:jc w:val="both"/>
              <w:rPr>
                <w:rFonts w:ascii="Times New Roman" w:eastAsia="標楷體" w:hAnsi="Times New Roman" w:cs="Times New Roman"/>
                <w:sz w:val="14"/>
                <w:szCs w:val="14"/>
              </w:rPr>
            </w:pPr>
            <w:r w:rsidRPr="00F12084">
              <w:rPr>
                <w:rFonts w:ascii="Times New Roman" w:eastAsia="標楷體" w:hAnsi="Times New Roman" w:cs="Times New Roman"/>
                <w:sz w:val="14"/>
                <w:szCs w:val="14"/>
              </w:rPr>
              <w:t>Rental &amp; related income.</w:t>
            </w:r>
          </w:p>
        </w:tc>
        <w:tc>
          <w:tcPr>
            <w:tcW w:w="72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9,229,478</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11,817,569</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12,980,274</w:t>
            </w:r>
          </w:p>
        </w:tc>
        <w:tc>
          <w:tcPr>
            <w:tcW w:w="80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12,627,213</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13,599,969</w:t>
            </w:r>
          </w:p>
        </w:tc>
        <w:tc>
          <w:tcPr>
            <w:tcW w:w="80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15,249,137</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16,301,811</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18,491,053</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19,632,844</w:t>
            </w:r>
          </w:p>
        </w:tc>
      </w:tr>
      <w:tr w:rsidR="00BD12A1" w:rsidRPr="00F12084" w:rsidTr="00C710B7">
        <w:tc>
          <w:tcPr>
            <w:tcW w:w="1677" w:type="dxa"/>
          </w:tcPr>
          <w:p w:rsidR="00936924" w:rsidRPr="00F12084" w:rsidRDefault="00936924" w:rsidP="00156E21">
            <w:pPr>
              <w:overflowPunct w:val="0"/>
              <w:autoSpaceDE w:val="0"/>
              <w:autoSpaceDN w:val="0"/>
              <w:ind w:leftChars="-43" w:left="-103" w:rightChars="-49" w:right="-118"/>
              <w:jc w:val="both"/>
              <w:rPr>
                <w:rFonts w:ascii="Times New Roman" w:eastAsia="標楷體" w:hAnsi="Times New Roman" w:cs="Times New Roman"/>
                <w:sz w:val="14"/>
                <w:szCs w:val="14"/>
              </w:rPr>
            </w:pPr>
            <w:r w:rsidRPr="00F12084">
              <w:rPr>
                <w:rFonts w:ascii="Times New Roman" w:eastAsia="標楷體" w:hAnsi="Times New Roman" w:cs="Times New Roman"/>
                <w:sz w:val="14"/>
                <w:szCs w:val="14"/>
                <w:u w:val="single"/>
              </w:rPr>
              <w:t>Less</w:t>
            </w:r>
            <w:r w:rsidRPr="00F12084">
              <w:rPr>
                <w:rFonts w:ascii="Times New Roman" w:eastAsia="標楷體" w:hAnsi="Times New Roman" w:cs="Times New Roman"/>
                <w:sz w:val="14"/>
                <w:szCs w:val="14"/>
              </w:rPr>
              <w:t>: Direct costs</w:t>
            </w:r>
          </w:p>
        </w:tc>
        <w:tc>
          <w:tcPr>
            <w:tcW w:w="72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c>
          <w:tcPr>
            <w:tcW w:w="80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c>
          <w:tcPr>
            <w:tcW w:w="80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r>
      <w:tr w:rsidR="00BD12A1" w:rsidRPr="00F12084" w:rsidTr="00C710B7">
        <w:tc>
          <w:tcPr>
            <w:tcW w:w="1677" w:type="dxa"/>
          </w:tcPr>
          <w:p w:rsidR="00936924" w:rsidRPr="00F12084" w:rsidRDefault="00936924" w:rsidP="00156E21">
            <w:pPr>
              <w:overflowPunct w:val="0"/>
              <w:autoSpaceDE w:val="0"/>
              <w:autoSpaceDN w:val="0"/>
              <w:ind w:leftChars="-43" w:left="-103" w:rightChars="-49" w:right="-118"/>
              <w:jc w:val="both"/>
              <w:rPr>
                <w:rFonts w:ascii="Times New Roman" w:eastAsia="標楷體" w:hAnsi="Times New Roman" w:cs="Times New Roman"/>
                <w:sz w:val="14"/>
                <w:szCs w:val="14"/>
              </w:rPr>
            </w:pPr>
            <w:r w:rsidRPr="00F12084">
              <w:rPr>
                <w:rFonts w:ascii="Times New Roman" w:eastAsia="標楷體" w:hAnsi="Times New Roman" w:cs="Times New Roman"/>
                <w:sz w:val="14"/>
                <w:szCs w:val="14"/>
              </w:rPr>
              <w:t>- Building administration fee</w:t>
            </w:r>
          </w:p>
        </w:tc>
        <w:tc>
          <w:tcPr>
            <w:tcW w:w="72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1,348,167</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1,346,984</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1,544,718</w:t>
            </w:r>
          </w:p>
        </w:tc>
        <w:tc>
          <w:tcPr>
            <w:tcW w:w="80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1,514,493</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1,520,975</w:t>
            </w:r>
          </w:p>
        </w:tc>
        <w:tc>
          <w:tcPr>
            <w:tcW w:w="80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1,633,439</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1,772,780</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1,935,018</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2,011,887</w:t>
            </w:r>
          </w:p>
        </w:tc>
      </w:tr>
      <w:tr w:rsidR="00BD12A1" w:rsidRPr="00F12084" w:rsidTr="00C710B7">
        <w:tc>
          <w:tcPr>
            <w:tcW w:w="1677" w:type="dxa"/>
          </w:tcPr>
          <w:p w:rsidR="00936924" w:rsidRPr="00F12084" w:rsidRDefault="00936924" w:rsidP="00156E21">
            <w:pPr>
              <w:overflowPunct w:val="0"/>
              <w:autoSpaceDE w:val="0"/>
              <w:autoSpaceDN w:val="0"/>
              <w:ind w:leftChars="-43" w:left="-103" w:rightChars="-49" w:right="-118"/>
              <w:jc w:val="both"/>
              <w:rPr>
                <w:rFonts w:ascii="Times New Roman" w:eastAsia="標楷體" w:hAnsi="Times New Roman" w:cs="Times New Roman"/>
                <w:sz w:val="14"/>
                <w:szCs w:val="14"/>
              </w:rPr>
            </w:pPr>
            <w:r w:rsidRPr="00F12084">
              <w:rPr>
                <w:rFonts w:ascii="Times New Roman" w:eastAsia="標楷體" w:hAnsi="Times New Roman" w:cs="Times New Roman"/>
                <w:sz w:val="14"/>
                <w:szCs w:val="14"/>
              </w:rPr>
              <w:t>- Property Manager’s Fees</w:t>
            </w:r>
          </w:p>
        </w:tc>
        <w:tc>
          <w:tcPr>
            <w:tcW w:w="72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370,587</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577,534</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675,369</w:t>
            </w:r>
          </w:p>
        </w:tc>
        <w:tc>
          <w:tcPr>
            <w:tcW w:w="80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596,703</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678,654</w:t>
            </w:r>
          </w:p>
        </w:tc>
        <w:tc>
          <w:tcPr>
            <w:tcW w:w="80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661,178</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824,632</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827,797</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918,310</w:t>
            </w:r>
          </w:p>
        </w:tc>
      </w:tr>
      <w:tr w:rsidR="00BD12A1" w:rsidRPr="00F12084" w:rsidTr="00C710B7">
        <w:tc>
          <w:tcPr>
            <w:tcW w:w="1677" w:type="dxa"/>
          </w:tcPr>
          <w:p w:rsidR="00936924" w:rsidRPr="00F12084" w:rsidRDefault="00936924" w:rsidP="00156E21">
            <w:pPr>
              <w:overflowPunct w:val="0"/>
              <w:autoSpaceDE w:val="0"/>
              <w:autoSpaceDN w:val="0"/>
              <w:ind w:leftChars="-43" w:left="-103" w:rightChars="-49" w:right="-118"/>
              <w:jc w:val="both"/>
              <w:rPr>
                <w:rFonts w:ascii="Times New Roman" w:eastAsia="標楷體" w:hAnsi="Times New Roman" w:cs="Times New Roman"/>
                <w:sz w:val="14"/>
                <w:szCs w:val="14"/>
              </w:rPr>
            </w:pPr>
            <w:r w:rsidRPr="00F12084">
              <w:rPr>
                <w:rFonts w:ascii="Times New Roman" w:eastAsia="標楷體" w:hAnsi="Times New Roman" w:cs="Times New Roman"/>
                <w:sz w:val="14"/>
                <w:szCs w:val="14"/>
              </w:rPr>
              <w:t>- Rental commission to other</w:t>
            </w:r>
          </w:p>
        </w:tc>
        <w:tc>
          <w:tcPr>
            <w:tcW w:w="72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121,261</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0</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0</w:t>
            </w:r>
          </w:p>
        </w:tc>
        <w:tc>
          <w:tcPr>
            <w:tcW w:w="80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147,643</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74,188</w:t>
            </w:r>
          </w:p>
        </w:tc>
        <w:tc>
          <w:tcPr>
            <w:tcW w:w="80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49,517</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153,310</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71,011</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248,267</w:t>
            </w:r>
          </w:p>
        </w:tc>
      </w:tr>
      <w:tr w:rsidR="00BD12A1" w:rsidRPr="00F12084" w:rsidTr="00C710B7">
        <w:tc>
          <w:tcPr>
            <w:tcW w:w="1677" w:type="dxa"/>
          </w:tcPr>
          <w:p w:rsidR="00936924" w:rsidRPr="00F12084" w:rsidRDefault="00936924" w:rsidP="00156E21">
            <w:pPr>
              <w:overflowPunct w:val="0"/>
              <w:autoSpaceDE w:val="0"/>
              <w:autoSpaceDN w:val="0"/>
              <w:ind w:leftChars="-43" w:left="-103" w:rightChars="-49" w:right="-118"/>
              <w:jc w:val="both"/>
              <w:rPr>
                <w:rFonts w:ascii="Times New Roman" w:eastAsia="標楷體" w:hAnsi="Times New Roman" w:cs="Times New Roman"/>
                <w:sz w:val="14"/>
                <w:szCs w:val="14"/>
              </w:rPr>
            </w:pPr>
            <w:r w:rsidRPr="00F12084">
              <w:rPr>
                <w:rFonts w:ascii="Times New Roman" w:eastAsia="標楷體" w:hAnsi="Times New Roman" w:cs="Times New Roman"/>
                <w:sz w:val="14"/>
                <w:szCs w:val="14"/>
              </w:rPr>
              <w:t>- Other direct costs.</w:t>
            </w:r>
          </w:p>
        </w:tc>
        <w:tc>
          <w:tcPr>
            <w:tcW w:w="720" w:type="dxa"/>
          </w:tcPr>
          <w:p w:rsidR="00936924" w:rsidRPr="00F12084" w:rsidRDefault="001C21B8" w:rsidP="001C21B8">
            <w:pPr>
              <w:wordWrap w:val="0"/>
              <w:overflowPunct w:val="0"/>
              <w:autoSpaceDE w:val="0"/>
              <w:autoSpaceDN w:val="0"/>
              <w:ind w:leftChars="-43" w:left="-103" w:rightChars="-32" w:right="-77"/>
              <w:jc w:val="right"/>
              <w:rPr>
                <w:rFonts w:ascii="Times New Roman" w:eastAsia="標楷體" w:hAnsi="Times New Roman" w:cs="Times New Roman"/>
                <w:sz w:val="14"/>
                <w:szCs w:val="14"/>
              </w:rPr>
            </w:pPr>
            <w:r>
              <w:rPr>
                <w:rFonts w:ascii="Times New Roman" w:eastAsia="標楷體" w:hAnsi="Times New Roman" w:cs="Times New Roman"/>
                <w:sz w:val="14"/>
                <w:szCs w:val="14"/>
                <w:u w:val="single"/>
              </w:rPr>
              <w:t xml:space="preserve">   </w:t>
            </w:r>
            <w:r w:rsidR="00936924" w:rsidRPr="00F12084">
              <w:rPr>
                <w:rFonts w:ascii="Times New Roman" w:eastAsia="標楷體" w:hAnsi="Times New Roman" w:cs="Times New Roman"/>
                <w:sz w:val="14"/>
                <w:szCs w:val="14"/>
                <w:u w:val="single"/>
              </w:rPr>
              <w:t>811,644</w:t>
            </w:r>
          </w:p>
        </w:tc>
        <w:tc>
          <w:tcPr>
            <w:tcW w:w="789" w:type="dxa"/>
          </w:tcPr>
          <w:p w:rsidR="00936924" w:rsidRPr="00F12084" w:rsidRDefault="00EF3BB4" w:rsidP="00EF3BB4">
            <w:pPr>
              <w:wordWrap w:val="0"/>
              <w:overflowPunct w:val="0"/>
              <w:autoSpaceDE w:val="0"/>
              <w:autoSpaceDN w:val="0"/>
              <w:ind w:leftChars="-43" w:left="-103" w:rightChars="-32" w:right="-77"/>
              <w:jc w:val="right"/>
              <w:rPr>
                <w:rFonts w:ascii="Times New Roman" w:eastAsia="標楷體" w:hAnsi="Times New Roman" w:cs="Times New Roman"/>
                <w:sz w:val="14"/>
                <w:szCs w:val="14"/>
              </w:rPr>
            </w:pPr>
            <w:r>
              <w:rPr>
                <w:rFonts w:ascii="Times New Roman" w:eastAsia="標楷體" w:hAnsi="Times New Roman" w:cs="Times New Roman"/>
                <w:sz w:val="14"/>
                <w:szCs w:val="14"/>
                <w:u w:val="single"/>
              </w:rPr>
              <w:t xml:space="preserve">   </w:t>
            </w:r>
            <w:r w:rsidR="00936924" w:rsidRPr="00F12084">
              <w:rPr>
                <w:rFonts w:ascii="Times New Roman" w:eastAsia="標楷體" w:hAnsi="Times New Roman" w:cs="Times New Roman"/>
                <w:sz w:val="14"/>
                <w:szCs w:val="14"/>
                <w:u w:val="single"/>
              </w:rPr>
              <w:t>413,146</w:t>
            </w:r>
          </w:p>
        </w:tc>
        <w:tc>
          <w:tcPr>
            <w:tcW w:w="789" w:type="dxa"/>
          </w:tcPr>
          <w:p w:rsidR="00936924" w:rsidRPr="00F12084" w:rsidRDefault="00936924" w:rsidP="00EF3BB4">
            <w:pPr>
              <w:wordWrap w:val="0"/>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u w:val="single"/>
              </w:rPr>
              <w:t xml:space="preserve">  </w:t>
            </w:r>
            <w:r w:rsidR="00EF3BB4">
              <w:rPr>
                <w:rFonts w:ascii="Times New Roman" w:eastAsia="標楷體" w:hAnsi="Times New Roman" w:cs="Times New Roman"/>
                <w:sz w:val="14"/>
                <w:szCs w:val="14"/>
                <w:u w:val="single"/>
              </w:rPr>
              <w:t xml:space="preserve">  </w:t>
            </w:r>
            <w:r w:rsidRPr="00F12084">
              <w:rPr>
                <w:rFonts w:ascii="Times New Roman" w:eastAsia="標楷體" w:hAnsi="Times New Roman" w:cs="Times New Roman"/>
                <w:sz w:val="14"/>
                <w:szCs w:val="14"/>
                <w:u w:val="single"/>
              </w:rPr>
              <w:t>664,002</w:t>
            </w:r>
          </w:p>
        </w:tc>
        <w:tc>
          <w:tcPr>
            <w:tcW w:w="80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u w:val="single"/>
              </w:rPr>
              <w:t xml:space="preserve">  </w:t>
            </w:r>
            <w:r w:rsidR="00EF3BB4">
              <w:rPr>
                <w:rFonts w:ascii="Times New Roman" w:eastAsia="標楷體" w:hAnsi="Times New Roman" w:cs="Times New Roman"/>
                <w:sz w:val="14"/>
                <w:szCs w:val="14"/>
                <w:u w:val="single"/>
              </w:rPr>
              <w:t xml:space="preserve"> </w:t>
            </w:r>
            <w:r w:rsidRPr="00F12084">
              <w:rPr>
                <w:rFonts w:ascii="Times New Roman" w:eastAsia="標楷體" w:hAnsi="Times New Roman" w:cs="Times New Roman"/>
                <w:sz w:val="14"/>
                <w:szCs w:val="14"/>
                <w:u w:val="single"/>
              </w:rPr>
              <w:t>808,733</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u w:val="single"/>
              </w:rPr>
              <w:t xml:space="preserve">   872,517</w:t>
            </w:r>
          </w:p>
        </w:tc>
        <w:tc>
          <w:tcPr>
            <w:tcW w:w="800" w:type="dxa"/>
          </w:tcPr>
          <w:p w:rsidR="00936924" w:rsidRPr="00F12084" w:rsidRDefault="00936924" w:rsidP="00EF3BB4">
            <w:pPr>
              <w:wordWrap w:val="0"/>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u w:val="single"/>
              </w:rPr>
              <w:t xml:space="preserve"> </w:t>
            </w:r>
            <w:r w:rsidR="00EF3BB4">
              <w:rPr>
                <w:rFonts w:ascii="Times New Roman" w:eastAsia="標楷體" w:hAnsi="Times New Roman" w:cs="Times New Roman"/>
                <w:sz w:val="14"/>
                <w:szCs w:val="14"/>
                <w:u w:val="single"/>
              </w:rPr>
              <w:t xml:space="preserve">   </w:t>
            </w:r>
            <w:r w:rsidRPr="00F12084">
              <w:rPr>
                <w:rFonts w:ascii="Times New Roman" w:eastAsia="標楷體" w:hAnsi="Times New Roman" w:cs="Times New Roman"/>
                <w:sz w:val="14"/>
                <w:szCs w:val="14"/>
                <w:u w:val="single"/>
              </w:rPr>
              <w:t xml:space="preserve"> 824,876</w:t>
            </w:r>
          </w:p>
        </w:tc>
        <w:tc>
          <w:tcPr>
            <w:tcW w:w="789" w:type="dxa"/>
          </w:tcPr>
          <w:p w:rsidR="00936924" w:rsidRPr="00F12084" w:rsidRDefault="00EF3BB4" w:rsidP="00EF3BB4">
            <w:pPr>
              <w:wordWrap w:val="0"/>
              <w:overflowPunct w:val="0"/>
              <w:autoSpaceDE w:val="0"/>
              <w:autoSpaceDN w:val="0"/>
              <w:ind w:leftChars="-43" w:left="-103" w:rightChars="-32" w:right="-77"/>
              <w:jc w:val="right"/>
              <w:rPr>
                <w:rFonts w:ascii="Times New Roman" w:eastAsia="標楷體" w:hAnsi="Times New Roman" w:cs="Times New Roman"/>
                <w:sz w:val="14"/>
                <w:szCs w:val="14"/>
              </w:rPr>
            </w:pPr>
            <w:r>
              <w:rPr>
                <w:rFonts w:ascii="Times New Roman" w:eastAsia="標楷體" w:hAnsi="Times New Roman" w:cs="Times New Roman"/>
                <w:sz w:val="14"/>
                <w:szCs w:val="14"/>
                <w:u w:val="single"/>
              </w:rPr>
              <w:t xml:space="preserve">  </w:t>
            </w:r>
            <w:r w:rsidR="00936924" w:rsidRPr="00F12084">
              <w:rPr>
                <w:rFonts w:ascii="Times New Roman" w:eastAsia="標楷體" w:hAnsi="Times New Roman" w:cs="Times New Roman"/>
                <w:sz w:val="14"/>
                <w:szCs w:val="14"/>
                <w:u w:val="single"/>
              </w:rPr>
              <w:t>1,105,882</w:t>
            </w:r>
          </w:p>
        </w:tc>
        <w:tc>
          <w:tcPr>
            <w:tcW w:w="789" w:type="dxa"/>
          </w:tcPr>
          <w:p w:rsidR="00936924" w:rsidRPr="00F12084" w:rsidRDefault="00EF3BB4" w:rsidP="00EF3BB4">
            <w:pPr>
              <w:wordWrap w:val="0"/>
              <w:overflowPunct w:val="0"/>
              <w:autoSpaceDE w:val="0"/>
              <w:autoSpaceDN w:val="0"/>
              <w:ind w:leftChars="-43" w:left="-103" w:rightChars="-32" w:right="-77"/>
              <w:jc w:val="right"/>
              <w:rPr>
                <w:rFonts w:ascii="Times New Roman" w:eastAsia="標楷體" w:hAnsi="Times New Roman" w:cs="Times New Roman"/>
                <w:sz w:val="14"/>
                <w:szCs w:val="14"/>
              </w:rPr>
            </w:pPr>
            <w:r>
              <w:rPr>
                <w:rFonts w:ascii="Times New Roman" w:eastAsia="標楷體" w:hAnsi="Times New Roman" w:cs="Times New Roman"/>
                <w:sz w:val="14"/>
                <w:szCs w:val="14"/>
                <w:u w:val="single"/>
              </w:rPr>
              <w:t xml:space="preserve">  </w:t>
            </w:r>
            <w:r w:rsidR="00936924" w:rsidRPr="00F12084">
              <w:rPr>
                <w:rFonts w:ascii="Times New Roman" w:eastAsia="標楷體" w:hAnsi="Times New Roman" w:cs="Times New Roman"/>
                <w:sz w:val="14"/>
                <w:szCs w:val="14"/>
                <w:u w:val="single"/>
              </w:rPr>
              <w:t>1,047,221</w:t>
            </w:r>
          </w:p>
        </w:tc>
        <w:tc>
          <w:tcPr>
            <w:tcW w:w="789" w:type="dxa"/>
          </w:tcPr>
          <w:p w:rsidR="00936924" w:rsidRPr="00F12084" w:rsidRDefault="00EF3BB4" w:rsidP="00EF3BB4">
            <w:pPr>
              <w:wordWrap w:val="0"/>
              <w:overflowPunct w:val="0"/>
              <w:autoSpaceDE w:val="0"/>
              <w:autoSpaceDN w:val="0"/>
              <w:ind w:leftChars="-43" w:left="-103" w:rightChars="-32" w:right="-77"/>
              <w:jc w:val="right"/>
              <w:rPr>
                <w:rFonts w:ascii="Times New Roman" w:eastAsia="標楷體" w:hAnsi="Times New Roman" w:cs="Times New Roman"/>
                <w:sz w:val="14"/>
                <w:szCs w:val="14"/>
              </w:rPr>
            </w:pPr>
            <w:r>
              <w:rPr>
                <w:rFonts w:ascii="Times New Roman" w:eastAsia="標楷體" w:hAnsi="Times New Roman" w:cs="Times New Roman"/>
                <w:sz w:val="14"/>
                <w:szCs w:val="14"/>
                <w:u w:val="single"/>
              </w:rPr>
              <w:t xml:space="preserve">  </w:t>
            </w:r>
            <w:r w:rsidR="00936924" w:rsidRPr="00F12084">
              <w:rPr>
                <w:rFonts w:ascii="Times New Roman" w:eastAsia="標楷體" w:hAnsi="Times New Roman" w:cs="Times New Roman"/>
                <w:sz w:val="14"/>
                <w:szCs w:val="14"/>
                <w:u w:val="single"/>
              </w:rPr>
              <w:t>1,214,570</w:t>
            </w:r>
          </w:p>
        </w:tc>
      </w:tr>
      <w:tr w:rsidR="00BD12A1" w:rsidRPr="00F12084" w:rsidTr="00C710B7">
        <w:tc>
          <w:tcPr>
            <w:tcW w:w="1677" w:type="dxa"/>
          </w:tcPr>
          <w:p w:rsidR="00936924" w:rsidRPr="00F12084" w:rsidRDefault="00936924" w:rsidP="00156E21">
            <w:pPr>
              <w:overflowPunct w:val="0"/>
              <w:autoSpaceDE w:val="0"/>
              <w:autoSpaceDN w:val="0"/>
              <w:ind w:leftChars="-43" w:left="-103" w:rightChars="-49" w:right="-118"/>
              <w:jc w:val="both"/>
              <w:rPr>
                <w:rFonts w:ascii="Times New Roman" w:eastAsia="標楷體" w:hAnsi="Times New Roman" w:cs="Times New Roman"/>
                <w:sz w:val="14"/>
                <w:szCs w:val="14"/>
              </w:rPr>
            </w:pPr>
          </w:p>
        </w:tc>
        <w:tc>
          <w:tcPr>
            <w:tcW w:w="72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2,651,659</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2,337,664</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2,884,089</w:t>
            </w:r>
          </w:p>
        </w:tc>
        <w:tc>
          <w:tcPr>
            <w:tcW w:w="80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3,067,572</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3,146,334</w:t>
            </w:r>
          </w:p>
        </w:tc>
        <w:tc>
          <w:tcPr>
            <w:tcW w:w="80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3,169,010</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3,856,604</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3,881,047</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4,393,034</w:t>
            </w:r>
          </w:p>
        </w:tc>
      </w:tr>
      <w:tr w:rsidR="00BD12A1" w:rsidRPr="00F12084" w:rsidTr="00C710B7">
        <w:tc>
          <w:tcPr>
            <w:tcW w:w="1677" w:type="dxa"/>
          </w:tcPr>
          <w:p w:rsidR="00936924" w:rsidRPr="00F12084" w:rsidRDefault="00936924" w:rsidP="00156E21">
            <w:pPr>
              <w:overflowPunct w:val="0"/>
              <w:autoSpaceDE w:val="0"/>
              <w:autoSpaceDN w:val="0"/>
              <w:ind w:leftChars="-43" w:left="-103" w:rightChars="-49" w:right="-118"/>
              <w:jc w:val="both"/>
              <w:rPr>
                <w:rFonts w:ascii="Times New Roman" w:eastAsia="標楷體" w:hAnsi="Times New Roman" w:cs="Times New Roman"/>
                <w:sz w:val="14"/>
                <w:szCs w:val="14"/>
              </w:rPr>
            </w:pPr>
          </w:p>
        </w:tc>
        <w:tc>
          <w:tcPr>
            <w:tcW w:w="72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c>
          <w:tcPr>
            <w:tcW w:w="80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c>
          <w:tcPr>
            <w:tcW w:w="80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r>
      <w:tr w:rsidR="00BD12A1" w:rsidRPr="00F12084" w:rsidTr="00C710B7">
        <w:tc>
          <w:tcPr>
            <w:tcW w:w="1677" w:type="dxa"/>
          </w:tcPr>
          <w:p w:rsidR="00936924" w:rsidRPr="00F12084" w:rsidRDefault="00936924" w:rsidP="00156E21">
            <w:pPr>
              <w:overflowPunct w:val="0"/>
              <w:autoSpaceDE w:val="0"/>
              <w:autoSpaceDN w:val="0"/>
              <w:ind w:leftChars="-43" w:left="-103" w:rightChars="-49" w:right="-118"/>
              <w:jc w:val="both"/>
              <w:rPr>
                <w:rFonts w:ascii="Times New Roman" w:eastAsia="標楷體" w:hAnsi="Times New Roman" w:cs="Times New Roman"/>
                <w:sz w:val="14"/>
                <w:szCs w:val="14"/>
              </w:rPr>
            </w:pPr>
            <w:r w:rsidRPr="00F12084">
              <w:rPr>
                <w:rFonts w:ascii="Times New Roman" w:eastAsia="標楷體" w:hAnsi="Times New Roman" w:cs="Times New Roman"/>
                <w:sz w:val="14"/>
                <w:szCs w:val="14"/>
              </w:rPr>
              <w:t>Gross profit</w:t>
            </w:r>
          </w:p>
        </w:tc>
        <w:tc>
          <w:tcPr>
            <w:tcW w:w="72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u w:val="double"/>
              </w:rPr>
              <w:t>6,577,819</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u w:val="double"/>
              </w:rPr>
              <w:t>9,479,905</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u w:val="double"/>
              </w:rPr>
              <w:t>10,096,185</w:t>
            </w:r>
          </w:p>
        </w:tc>
        <w:tc>
          <w:tcPr>
            <w:tcW w:w="80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u w:val="double"/>
              </w:rPr>
              <w:t>9,559,641</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u w:val="double"/>
              </w:rPr>
              <w:t>10,453,635</w:t>
            </w:r>
          </w:p>
        </w:tc>
        <w:tc>
          <w:tcPr>
            <w:tcW w:w="80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u w:val="double"/>
              </w:rPr>
              <w:t>12,080,127</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u w:val="double"/>
              </w:rPr>
              <w:t>12,445,207</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u w:val="double"/>
              </w:rPr>
              <w:t>14,610,006</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u w:val="double"/>
              </w:rPr>
              <w:t>15,239,810</w:t>
            </w:r>
          </w:p>
        </w:tc>
      </w:tr>
      <w:tr w:rsidR="00BD12A1" w:rsidRPr="00F12084" w:rsidTr="00C710B7">
        <w:tc>
          <w:tcPr>
            <w:tcW w:w="1677" w:type="dxa"/>
          </w:tcPr>
          <w:p w:rsidR="00936924" w:rsidRPr="00F12084" w:rsidRDefault="00936924" w:rsidP="00156E21">
            <w:pPr>
              <w:overflowPunct w:val="0"/>
              <w:autoSpaceDE w:val="0"/>
              <w:autoSpaceDN w:val="0"/>
              <w:ind w:leftChars="-43" w:left="-103" w:rightChars="-49" w:right="-118"/>
              <w:jc w:val="both"/>
              <w:rPr>
                <w:rFonts w:ascii="Times New Roman" w:eastAsia="標楷體" w:hAnsi="Times New Roman" w:cs="Times New Roman"/>
                <w:sz w:val="14"/>
                <w:szCs w:val="14"/>
              </w:rPr>
            </w:pPr>
          </w:p>
        </w:tc>
        <w:tc>
          <w:tcPr>
            <w:tcW w:w="72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c>
          <w:tcPr>
            <w:tcW w:w="80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c>
          <w:tcPr>
            <w:tcW w:w="80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r>
      <w:tr w:rsidR="00BD12A1" w:rsidRPr="00F12084" w:rsidTr="00C710B7">
        <w:tc>
          <w:tcPr>
            <w:tcW w:w="1677" w:type="dxa"/>
          </w:tcPr>
          <w:p w:rsidR="00936924" w:rsidRPr="00F12084" w:rsidRDefault="00936924" w:rsidP="00156E21">
            <w:pPr>
              <w:overflowPunct w:val="0"/>
              <w:autoSpaceDE w:val="0"/>
              <w:autoSpaceDN w:val="0"/>
              <w:ind w:leftChars="-43" w:left="-103" w:rightChars="-49" w:right="-118"/>
              <w:jc w:val="both"/>
              <w:rPr>
                <w:rFonts w:ascii="Times New Roman" w:eastAsia="標楷體" w:hAnsi="Times New Roman" w:cs="Times New Roman"/>
                <w:sz w:val="14"/>
                <w:szCs w:val="14"/>
              </w:rPr>
            </w:pPr>
            <w:r w:rsidRPr="00F12084">
              <w:rPr>
                <w:rFonts w:ascii="Times New Roman" w:eastAsia="標楷體" w:hAnsi="Times New Roman" w:cs="Times New Roman"/>
                <w:sz w:val="14"/>
                <w:szCs w:val="14"/>
              </w:rPr>
              <w:lastRenderedPageBreak/>
              <w:t>Administrative expenses</w:t>
            </w:r>
          </w:p>
        </w:tc>
        <w:tc>
          <w:tcPr>
            <w:tcW w:w="72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c>
          <w:tcPr>
            <w:tcW w:w="80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c>
          <w:tcPr>
            <w:tcW w:w="80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p>
        </w:tc>
      </w:tr>
      <w:tr w:rsidR="00BD12A1" w:rsidRPr="00F12084" w:rsidTr="00C710B7">
        <w:tc>
          <w:tcPr>
            <w:tcW w:w="1677" w:type="dxa"/>
          </w:tcPr>
          <w:p w:rsidR="00936924" w:rsidRPr="00F12084" w:rsidRDefault="00936924" w:rsidP="00156E21">
            <w:pPr>
              <w:overflowPunct w:val="0"/>
              <w:autoSpaceDE w:val="0"/>
              <w:autoSpaceDN w:val="0"/>
              <w:ind w:leftChars="-43" w:left="-103" w:rightChars="-49" w:right="-118"/>
              <w:jc w:val="both"/>
              <w:rPr>
                <w:rFonts w:ascii="Times New Roman" w:eastAsia="標楷體" w:hAnsi="Times New Roman" w:cs="Times New Roman"/>
                <w:sz w:val="14"/>
                <w:szCs w:val="14"/>
              </w:rPr>
            </w:pPr>
            <w:r w:rsidRPr="00F12084">
              <w:rPr>
                <w:rFonts w:ascii="Times New Roman" w:eastAsia="標楷體" w:hAnsi="Times New Roman" w:cs="Times New Roman"/>
                <w:sz w:val="14"/>
                <w:szCs w:val="14"/>
              </w:rPr>
              <w:t>- Others</w:t>
            </w:r>
          </w:p>
        </w:tc>
        <w:tc>
          <w:tcPr>
            <w:tcW w:w="72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119,101</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144,366</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159,355</w:t>
            </w:r>
          </w:p>
        </w:tc>
        <w:tc>
          <w:tcPr>
            <w:tcW w:w="800"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147,495</w:t>
            </w:r>
          </w:p>
        </w:tc>
        <w:tc>
          <w:tcPr>
            <w:tcW w:w="789" w:type="dxa"/>
          </w:tcPr>
          <w:p w:rsidR="00936924" w:rsidRPr="00F12084" w:rsidRDefault="00936924"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145,715</w:t>
            </w:r>
          </w:p>
        </w:tc>
        <w:tc>
          <w:tcPr>
            <w:tcW w:w="800" w:type="dxa"/>
          </w:tcPr>
          <w:p w:rsidR="00936924" w:rsidRPr="00F12084" w:rsidRDefault="00BD12A1"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176,199</w:t>
            </w:r>
          </w:p>
        </w:tc>
        <w:tc>
          <w:tcPr>
            <w:tcW w:w="789" w:type="dxa"/>
          </w:tcPr>
          <w:p w:rsidR="00936924" w:rsidRPr="00F12084" w:rsidRDefault="00BD12A1"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177,846</w:t>
            </w:r>
          </w:p>
        </w:tc>
        <w:tc>
          <w:tcPr>
            <w:tcW w:w="789" w:type="dxa"/>
          </w:tcPr>
          <w:p w:rsidR="00936924" w:rsidRPr="00F12084" w:rsidRDefault="00BD12A1"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413,125</w:t>
            </w:r>
          </w:p>
        </w:tc>
        <w:tc>
          <w:tcPr>
            <w:tcW w:w="789" w:type="dxa"/>
          </w:tcPr>
          <w:p w:rsidR="00936924" w:rsidRPr="00F12084" w:rsidRDefault="00BD12A1"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rPr>
              <w:t>192,496</w:t>
            </w:r>
          </w:p>
        </w:tc>
      </w:tr>
      <w:tr w:rsidR="00BD12A1" w:rsidRPr="00F12084" w:rsidTr="00C710B7">
        <w:tc>
          <w:tcPr>
            <w:tcW w:w="1677" w:type="dxa"/>
          </w:tcPr>
          <w:p w:rsidR="00936924" w:rsidRPr="00F12084" w:rsidRDefault="00BD12A1" w:rsidP="00156E21">
            <w:pPr>
              <w:overflowPunct w:val="0"/>
              <w:autoSpaceDE w:val="0"/>
              <w:autoSpaceDN w:val="0"/>
              <w:ind w:leftChars="-43" w:left="-103" w:rightChars="-49" w:right="-118"/>
              <w:jc w:val="both"/>
              <w:rPr>
                <w:rFonts w:ascii="Times New Roman" w:eastAsia="標楷體" w:hAnsi="Times New Roman" w:cs="Times New Roman"/>
                <w:sz w:val="14"/>
                <w:szCs w:val="14"/>
              </w:rPr>
            </w:pPr>
            <w:r w:rsidRPr="00F12084">
              <w:rPr>
                <w:rFonts w:ascii="Times New Roman" w:eastAsia="標楷體" w:hAnsi="Times New Roman" w:cs="Times New Roman"/>
                <w:sz w:val="14"/>
                <w:szCs w:val="14"/>
              </w:rPr>
              <w:t>- Manager’s Fees</w:t>
            </w:r>
          </w:p>
        </w:tc>
        <w:tc>
          <w:tcPr>
            <w:tcW w:w="720" w:type="dxa"/>
          </w:tcPr>
          <w:p w:rsidR="00936924" w:rsidRPr="00F12084" w:rsidRDefault="00EF3BB4" w:rsidP="00EF3BB4">
            <w:pPr>
              <w:wordWrap w:val="0"/>
              <w:overflowPunct w:val="0"/>
              <w:autoSpaceDE w:val="0"/>
              <w:autoSpaceDN w:val="0"/>
              <w:ind w:leftChars="-43" w:left="-103" w:rightChars="-32" w:right="-77"/>
              <w:jc w:val="right"/>
              <w:rPr>
                <w:rFonts w:ascii="Times New Roman" w:eastAsia="標楷體" w:hAnsi="Times New Roman" w:cs="Times New Roman"/>
                <w:sz w:val="14"/>
                <w:szCs w:val="14"/>
              </w:rPr>
            </w:pPr>
            <w:r>
              <w:rPr>
                <w:rFonts w:ascii="Times New Roman" w:eastAsia="標楷體" w:hAnsi="Times New Roman" w:cs="Times New Roman"/>
                <w:sz w:val="14"/>
                <w:szCs w:val="14"/>
                <w:u w:val="single"/>
              </w:rPr>
              <w:t xml:space="preserve">   </w:t>
            </w:r>
            <w:r w:rsidR="00BD12A1" w:rsidRPr="00F12084">
              <w:rPr>
                <w:rFonts w:ascii="Times New Roman" w:eastAsia="標楷體" w:hAnsi="Times New Roman" w:cs="Times New Roman"/>
                <w:sz w:val="14"/>
                <w:szCs w:val="14"/>
                <w:u w:val="single"/>
              </w:rPr>
              <w:t>115,760</w:t>
            </w:r>
          </w:p>
        </w:tc>
        <w:tc>
          <w:tcPr>
            <w:tcW w:w="789" w:type="dxa"/>
          </w:tcPr>
          <w:p w:rsidR="00936924" w:rsidRPr="00F12084" w:rsidRDefault="00BD12A1"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u w:val="single"/>
              </w:rPr>
              <w:t>1,366,735</w:t>
            </w:r>
          </w:p>
        </w:tc>
        <w:tc>
          <w:tcPr>
            <w:tcW w:w="789" w:type="dxa"/>
          </w:tcPr>
          <w:p w:rsidR="00936924" w:rsidRPr="00F12084" w:rsidRDefault="001C21B8" w:rsidP="001C21B8">
            <w:pPr>
              <w:wordWrap w:val="0"/>
              <w:overflowPunct w:val="0"/>
              <w:autoSpaceDE w:val="0"/>
              <w:autoSpaceDN w:val="0"/>
              <w:ind w:leftChars="-43" w:left="-103" w:rightChars="-32" w:right="-77"/>
              <w:jc w:val="right"/>
              <w:rPr>
                <w:rFonts w:ascii="Times New Roman" w:eastAsia="標楷體" w:hAnsi="Times New Roman" w:cs="Times New Roman"/>
                <w:sz w:val="14"/>
                <w:szCs w:val="14"/>
              </w:rPr>
            </w:pPr>
            <w:r>
              <w:rPr>
                <w:rFonts w:ascii="Times New Roman" w:eastAsia="標楷體" w:hAnsi="Times New Roman" w:cs="Times New Roman"/>
                <w:sz w:val="14"/>
                <w:szCs w:val="14"/>
                <w:u w:val="single"/>
              </w:rPr>
              <w:t xml:space="preserve">     </w:t>
            </w:r>
            <w:r w:rsidR="00BD12A1" w:rsidRPr="00F12084">
              <w:rPr>
                <w:rFonts w:ascii="Times New Roman" w:eastAsia="標楷體" w:hAnsi="Times New Roman" w:cs="Times New Roman"/>
                <w:sz w:val="14"/>
                <w:szCs w:val="14"/>
                <w:u w:val="single"/>
              </w:rPr>
              <w:t>990,886</w:t>
            </w:r>
          </w:p>
        </w:tc>
        <w:tc>
          <w:tcPr>
            <w:tcW w:w="800" w:type="dxa"/>
          </w:tcPr>
          <w:p w:rsidR="00936924" w:rsidRPr="00F12084" w:rsidRDefault="00BD12A1"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u w:val="single"/>
              </w:rPr>
              <w:t>1,092,122</w:t>
            </w:r>
          </w:p>
        </w:tc>
        <w:tc>
          <w:tcPr>
            <w:tcW w:w="789" w:type="dxa"/>
          </w:tcPr>
          <w:p w:rsidR="00936924" w:rsidRPr="00F12084" w:rsidRDefault="00EF3BB4" w:rsidP="00EF3BB4">
            <w:pPr>
              <w:wordWrap w:val="0"/>
              <w:overflowPunct w:val="0"/>
              <w:autoSpaceDE w:val="0"/>
              <w:autoSpaceDN w:val="0"/>
              <w:ind w:leftChars="-43" w:left="-103" w:rightChars="-32" w:right="-77"/>
              <w:jc w:val="right"/>
              <w:rPr>
                <w:rFonts w:ascii="Times New Roman" w:eastAsia="標楷體" w:hAnsi="Times New Roman" w:cs="Times New Roman"/>
                <w:sz w:val="14"/>
                <w:szCs w:val="14"/>
              </w:rPr>
            </w:pPr>
            <w:r>
              <w:rPr>
                <w:rFonts w:ascii="Times New Roman" w:eastAsia="標楷體" w:hAnsi="Times New Roman" w:cs="Times New Roman"/>
                <w:sz w:val="14"/>
                <w:szCs w:val="14"/>
                <w:u w:val="single"/>
              </w:rPr>
              <w:t xml:space="preserve">  </w:t>
            </w:r>
            <w:r w:rsidR="00BD12A1" w:rsidRPr="00F12084">
              <w:rPr>
                <w:rFonts w:ascii="Times New Roman" w:eastAsia="標楷體" w:hAnsi="Times New Roman" w:cs="Times New Roman"/>
                <w:sz w:val="14"/>
                <w:szCs w:val="14"/>
                <w:u w:val="single"/>
              </w:rPr>
              <w:t>1,281,609</w:t>
            </w:r>
          </w:p>
        </w:tc>
        <w:tc>
          <w:tcPr>
            <w:tcW w:w="800" w:type="dxa"/>
          </w:tcPr>
          <w:p w:rsidR="00936924" w:rsidRPr="00F12084" w:rsidRDefault="00EF3BB4" w:rsidP="00EF3BB4">
            <w:pPr>
              <w:wordWrap w:val="0"/>
              <w:overflowPunct w:val="0"/>
              <w:autoSpaceDE w:val="0"/>
              <w:autoSpaceDN w:val="0"/>
              <w:ind w:leftChars="-43" w:left="-103" w:rightChars="-32" w:right="-77"/>
              <w:jc w:val="right"/>
              <w:rPr>
                <w:rFonts w:ascii="Times New Roman" w:eastAsia="標楷體" w:hAnsi="Times New Roman" w:cs="Times New Roman"/>
                <w:sz w:val="14"/>
                <w:szCs w:val="14"/>
              </w:rPr>
            </w:pPr>
            <w:r>
              <w:rPr>
                <w:rFonts w:ascii="Times New Roman" w:eastAsia="標楷體" w:hAnsi="Times New Roman" w:cs="Times New Roman"/>
                <w:sz w:val="14"/>
                <w:szCs w:val="14"/>
                <w:u w:val="single"/>
              </w:rPr>
              <w:t xml:space="preserve">  </w:t>
            </w:r>
            <w:r w:rsidR="00BD12A1" w:rsidRPr="00F12084">
              <w:rPr>
                <w:rFonts w:ascii="Times New Roman" w:eastAsia="標楷體" w:hAnsi="Times New Roman" w:cs="Times New Roman"/>
                <w:sz w:val="14"/>
                <w:szCs w:val="14"/>
                <w:u w:val="single"/>
              </w:rPr>
              <w:t>1,365,071</w:t>
            </w:r>
          </w:p>
        </w:tc>
        <w:tc>
          <w:tcPr>
            <w:tcW w:w="789" w:type="dxa"/>
          </w:tcPr>
          <w:p w:rsidR="00936924" w:rsidRPr="00F12084" w:rsidRDefault="00EF3BB4" w:rsidP="00EF3BB4">
            <w:pPr>
              <w:wordWrap w:val="0"/>
              <w:overflowPunct w:val="0"/>
              <w:autoSpaceDE w:val="0"/>
              <w:autoSpaceDN w:val="0"/>
              <w:ind w:leftChars="-43" w:left="-103" w:rightChars="-32" w:right="-77"/>
              <w:jc w:val="right"/>
              <w:rPr>
                <w:rFonts w:ascii="Times New Roman" w:eastAsia="標楷體" w:hAnsi="Times New Roman" w:cs="Times New Roman"/>
                <w:sz w:val="14"/>
                <w:szCs w:val="14"/>
              </w:rPr>
            </w:pPr>
            <w:r>
              <w:rPr>
                <w:rFonts w:ascii="Times New Roman" w:eastAsia="標楷體" w:hAnsi="Times New Roman" w:cs="Times New Roman"/>
                <w:sz w:val="14"/>
                <w:szCs w:val="14"/>
                <w:u w:val="single"/>
              </w:rPr>
              <w:t xml:space="preserve">  </w:t>
            </w:r>
            <w:r w:rsidR="00BD12A1" w:rsidRPr="00F12084">
              <w:rPr>
                <w:rFonts w:ascii="Times New Roman" w:eastAsia="標楷體" w:hAnsi="Times New Roman" w:cs="Times New Roman"/>
                <w:sz w:val="14"/>
                <w:szCs w:val="14"/>
                <w:u w:val="single"/>
              </w:rPr>
              <w:t>1,466,689</w:t>
            </w:r>
          </w:p>
        </w:tc>
        <w:tc>
          <w:tcPr>
            <w:tcW w:w="789" w:type="dxa"/>
          </w:tcPr>
          <w:p w:rsidR="00936924" w:rsidRPr="00F12084" w:rsidRDefault="00EF3BB4" w:rsidP="00EF3BB4">
            <w:pPr>
              <w:wordWrap w:val="0"/>
              <w:overflowPunct w:val="0"/>
              <w:autoSpaceDE w:val="0"/>
              <w:autoSpaceDN w:val="0"/>
              <w:ind w:leftChars="-43" w:left="-103" w:rightChars="-32" w:right="-77"/>
              <w:jc w:val="right"/>
              <w:rPr>
                <w:rFonts w:ascii="Times New Roman" w:eastAsia="標楷體" w:hAnsi="Times New Roman" w:cs="Times New Roman"/>
                <w:sz w:val="14"/>
                <w:szCs w:val="14"/>
              </w:rPr>
            </w:pPr>
            <w:r>
              <w:rPr>
                <w:rFonts w:ascii="Times New Roman" w:eastAsia="標楷體" w:hAnsi="Times New Roman" w:cs="Times New Roman"/>
                <w:sz w:val="14"/>
                <w:szCs w:val="14"/>
                <w:u w:val="single"/>
              </w:rPr>
              <w:t xml:space="preserve">  </w:t>
            </w:r>
            <w:r w:rsidR="00BD12A1" w:rsidRPr="00F12084">
              <w:rPr>
                <w:rFonts w:ascii="Times New Roman" w:eastAsia="標楷體" w:hAnsi="Times New Roman" w:cs="Times New Roman"/>
                <w:sz w:val="14"/>
                <w:szCs w:val="14"/>
                <w:u w:val="single"/>
              </w:rPr>
              <w:t>1,609,766</w:t>
            </w:r>
          </w:p>
        </w:tc>
        <w:tc>
          <w:tcPr>
            <w:tcW w:w="789" w:type="dxa"/>
          </w:tcPr>
          <w:p w:rsidR="00936924" w:rsidRPr="00F12084" w:rsidRDefault="00EF3BB4" w:rsidP="00EF3BB4">
            <w:pPr>
              <w:wordWrap w:val="0"/>
              <w:overflowPunct w:val="0"/>
              <w:autoSpaceDE w:val="0"/>
              <w:autoSpaceDN w:val="0"/>
              <w:ind w:leftChars="-43" w:left="-103" w:rightChars="-32" w:right="-77"/>
              <w:jc w:val="right"/>
              <w:rPr>
                <w:rFonts w:ascii="Times New Roman" w:eastAsia="標楷體" w:hAnsi="Times New Roman" w:cs="Times New Roman"/>
                <w:sz w:val="14"/>
                <w:szCs w:val="14"/>
              </w:rPr>
            </w:pPr>
            <w:r>
              <w:rPr>
                <w:rFonts w:ascii="Times New Roman" w:eastAsia="標楷體" w:hAnsi="Times New Roman" w:cs="Times New Roman"/>
                <w:sz w:val="14"/>
                <w:szCs w:val="14"/>
                <w:u w:val="single"/>
              </w:rPr>
              <w:t xml:space="preserve">  </w:t>
            </w:r>
            <w:r w:rsidR="00BD12A1" w:rsidRPr="00F12084">
              <w:rPr>
                <w:rFonts w:ascii="Times New Roman" w:eastAsia="標楷體" w:hAnsi="Times New Roman" w:cs="Times New Roman"/>
                <w:sz w:val="14"/>
                <w:szCs w:val="14"/>
                <w:u w:val="single"/>
              </w:rPr>
              <w:t>1,804,127</w:t>
            </w:r>
          </w:p>
        </w:tc>
      </w:tr>
      <w:tr w:rsidR="00BD12A1" w:rsidRPr="00F12084" w:rsidTr="00C710B7">
        <w:tc>
          <w:tcPr>
            <w:tcW w:w="1677" w:type="dxa"/>
          </w:tcPr>
          <w:p w:rsidR="00936924" w:rsidRPr="00F12084" w:rsidRDefault="00936924" w:rsidP="00156E21">
            <w:pPr>
              <w:overflowPunct w:val="0"/>
              <w:autoSpaceDE w:val="0"/>
              <w:autoSpaceDN w:val="0"/>
              <w:ind w:leftChars="-43" w:left="-103" w:rightChars="-49" w:right="-118"/>
              <w:jc w:val="both"/>
              <w:rPr>
                <w:rFonts w:ascii="Times New Roman" w:eastAsia="標楷體" w:hAnsi="Times New Roman" w:cs="Times New Roman"/>
                <w:sz w:val="14"/>
                <w:szCs w:val="14"/>
              </w:rPr>
            </w:pPr>
          </w:p>
        </w:tc>
        <w:tc>
          <w:tcPr>
            <w:tcW w:w="720" w:type="dxa"/>
          </w:tcPr>
          <w:p w:rsidR="00936924" w:rsidRPr="00F12084" w:rsidRDefault="00EF3BB4" w:rsidP="00EF3BB4">
            <w:pPr>
              <w:wordWrap w:val="0"/>
              <w:overflowPunct w:val="0"/>
              <w:autoSpaceDE w:val="0"/>
              <w:autoSpaceDN w:val="0"/>
              <w:ind w:leftChars="-43" w:left="-103" w:rightChars="-32" w:right="-77"/>
              <w:jc w:val="right"/>
              <w:rPr>
                <w:rFonts w:ascii="Times New Roman" w:eastAsia="標楷體" w:hAnsi="Times New Roman" w:cs="Times New Roman"/>
                <w:sz w:val="14"/>
                <w:szCs w:val="14"/>
              </w:rPr>
            </w:pPr>
            <w:r>
              <w:rPr>
                <w:rFonts w:ascii="Times New Roman" w:eastAsia="標楷體" w:hAnsi="Times New Roman" w:cs="Times New Roman"/>
                <w:sz w:val="14"/>
                <w:szCs w:val="14"/>
                <w:u w:val="double"/>
              </w:rPr>
              <w:t xml:space="preserve">   </w:t>
            </w:r>
            <w:r w:rsidR="00BD12A1" w:rsidRPr="00F12084">
              <w:rPr>
                <w:rFonts w:ascii="Times New Roman" w:eastAsia="標楷體" w:hAnsi="Times New Roman" w:cs="Times New Roman"/>
                <w:sz w:val="14"/>
                <w:szCs w:val="14"/>
                <w:u w:val="double"/>
              </w:rPr>
              <w:t>234,861</w:t>
            </w:r>
          </w:p>
        </w:tc>
        <w:tc>
          <w:tcPr>
            <w:tcW w:w="789" w:type="dxa"/>
          </w:tcPr>
          <w:p w:rsidR="00936924" w:rsidRPr="00F12084" w:rsidRDefault="00BD12A1"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u w:val="double"/>
              </w:rPr>
              <w:t>1,511,101</w:t>
            </w:r>
          </w:p>
        </w:tc>
        <w:tc>
          <w:tcPr>
            <w:tcW w:w="789" w:type="dxa"/>
          </w:tcPr>
          <w:p w:rsidR="00936924" w:rsidRPr="00F12084" w:rsidRDefault="00EF3BB4" w:rsidP="00EF3BB4">
            <w:pPr>
              <w:wordWrap w:val="0"/>
              <w:overflowPunct w:val="0"/>
              <w:autoSpaceDE w:val="0"/>
              <w:autoSpaceDN w:val="0"/>
              <w:ind w:leftChars="-43" w:left="-103" w:rightChars="-32" w:right="-77"/>
              <w:jc w:val="right"/>
              <w:rPr>
                <w:rFonts w:ascii="Times New Roman" w:eastAsia="標楷體" w:hAnsi="Times New Roman" w:cs="Times New Roman"/>
                <w:sz w:val="14"/>
                <w:szCs w:val="14"/>
              </w:rPr>
            </w:pPr>
            <w:r>
              <w:rPr>
                <w:rFonts w:ascii="Times New Roman" w:eastAsia="標楷體" w:hAnsi="Times New Roman" w:cs="Times New Roman"/>
                <w:sz w:val="14"/>
                <w:szCs w:val="14"/>
                <w:u w:val="double"/>
              </w:rPr>
              <w:t xml:space="preserve">  </w:t>
            </w:r>
            <w:r w:rsidR="00BD12A1" w:rsidRPr="00F12084">
              <w:rPr>
                <w:rFonts w:ascii="Times New Roman" w:eastAsia="標楷體" w:hAnsi="Times New Roman" w:cs="Times New Roman"/>
                <w:sz w:val="14"/>
                <w:szCs w:val="14"/>
                <w:u w:val="double"/>
              </w:rPr>
              <w:t>1,150,241</w:t>
            </w:r>
          </w:p>
        </w:tc>
        <w:tc>
          <w:tcPr>
            <w:tcW w:w="800" w:type="dxa"/>
          </w:tcPr>
          <w:p w:rsidR="00936924" w:rsidRPr="00F12084" w:rsidRDefault="00BD12A1" w:rsidP="00156E21">
            <w:pPr>
              <w:overflowPunct w:val="0"/>
              <w:autoSpaceDE w:val="0"/>
              <w:autoSpaceDN w:val="0"/>
              <w:ind w:leftChars="-43" w:left="-103" w:rightChars="-32" w:right="-77"/>
              <w:jc w:val="right"/>
              <w:rPr>
                <w:rFonts w:ascii="Times New Roman" w:eastAsia="標楷體" w:hAnsi="Times New Roman" w:cs="Times New Roman"/>
                <w:sz w:val="14"/>
                <w:szCs w:val="14"/>
              </w:rPr>
            </w:pPr>
            <w:r w:rsidRPr="00F12084">
              <w:rPr>
                <w:rFonts w:ascii="Times New Roman" w:eastAsia="標楷體" w:hAnsi="Times New Roman" w:cs="Times New Roman"/>
                <w:sz w:val="14"/>
                <w:szCs w:val="14"/>
                <w:u w:val="double"/>
              </w:rPr>
              <w:t>1,239,617</w:t>
            </w:r>
          </w:p>
        </w:tc>
        <w:tc>
          <w:tcPr>
            <w:tcW w:w="789" w:type="dxa"/>
          </w:tcPr>
          <w:p w:rsidR="00936924" w:rsidRPr="00F12084" w:rsidRDefault="00EF3BB4" w:rsidP="00EF3BB4">
            <w:pPr>
              <w:wordWrap w:val="0"/>
              <w:overflowPunct w:val="0"/>
              <w:autoSpaceDE w:val="0"/>
              <w:autoSpaceDN w:val="0"/>
              <w:ind w:leftChars="-43" w:left="-103" w:rightChars="-32" w:right="-77"/>
              <w:jc w:val="right"/>
              <w:rPr>
                <w:rFonts w:ascii="Times New Roman" w:eastAsia="標楷體" w:hAnsi="Times New Roman" w:cs="Times New Roman"/>
                <w:sz w:val="14"/>
                <w:szCs w:val="14"/>
              </w:rPr>
            </w:pPr>
            <w:r>
              <w:rPr>
                <w:rFonts w:ascii="Times New Roman" w:eastAsia="標楷體" w:hAnsi="Times New Roman" w:cs="Times New Roman"/>
                <w:sz w:val="14"/>
                <w:szCs w:val="14"/>
                <w:u w:val="double"/>
              </w:rPr>
              <w:t xml:space="preserve">  </w:t>
            </w:r>
            <w:r w:rsidR="00BD12A1" w:rsidRPr="00F12084">
              <w:rPr>
                <w:rFonts w:ascii="Times New Roman" w:eastAsia="標楷體" w:hAnsi="Times New Roman" w:cs="Times New Roman"/>
                <w:sz w:val="14"/>
                <w:szCs w:val="14"/>
                <w:u w:val="double"/>
              </w:rPr>
              <w:t>1,427,324</w:t>
            </w:r>
          </w:p>
        </w:tc>
        <w:tc>
          <w:tcPr>
            <w:tcW w:w="800" w:type="dxa"/>
          </w:tcPr>
          <w:p w:rsidR="00936924" w:rsidRPr="00F12084" w:rsidRDefault="00EF3BB4" w:rsidP="00EF3BB4">
            <w:pPr>
              <w:wordWrap w:val="0"/>
              <w:overflowPunct w:val="0"/>
              <w:autoSpaceDE w:val="0"/>
              <w:autoSpaceDN w:val="0"/>
              <w:ind w:leftChars="-43" w:left="-103" w:rightChars="-32" w:right="-77"/>
              <w:jc w:val="right"/>
              <w:rPr>
                <w:rFonts w:ascii="Times New Roman" w:eastAsia="標楷體" w:hAnsi="Times New Roman" w:cs="Times New Roman"/>
                <w:sz w:val="14"/>
                <w:szCs w:val="14"/>
              </w:rPr>
            </w:pPr>
            <w:r>
              <w:rPr>
                <w:rFonts w:ascii="Times New Roman" w:eastAsia="標楷體" w:hAnsi="Times New Roman" w:cs="Times New Roman"/>
                <w:sz w:val="14"/>
                <w:szCs w:val="14"/>
                <w:u w:val="double"/>
              </w:rPr>
              <w:t xml:space="preserve">  </w:t>
            </w:r>
            <w:r w:rsidR="00BD12A1" w:rsidRPr="00F12084">
              <w:rPr>
                <w:rFonts w:ascii="Times New Roman" w:eastAsia="標楷體" w:hAnsi="Times New Roman" w:cs="Times New Roman"/>
                <w:sz w:val="14"/>
                <w:szCs w:val="14"/>
                <w:u w:val="double"/>
              </w:rPr>
              <w:t>1,541,270</w:t>
            </w:r>
          </w:p>
        </w:tc>
        <w:tc>
          <w:tcPr>
            <w:tcW w:w="789" w:type="dxa"/>
          </w:tcPr>
          <w:p w:rsidR="00936924" w:rsidRPr="00F12084" w:rsidRDefault="00EF3BB4" w:rsidP="00EF3BB4">
            <w:pPr>
              <w:wordWrap w:val="0"/>
              <w:overflowPunct w:val="0"/>
              <w:autoSpaceDE w:val="0"/>
              <w:autoSpaceDN w:val="0"/>
              <w:ind w:leftChars="-43" w:left="-103" w:rightChars="-32" w:right="-77"/>
              <w:jc w:val="right"/>
              <w:rPr>
                <w:rFonts w:ascii="Times New Roman" w:eastAsia="標楷體" w:hAnsi="Times New Roman" w:cs="Times New Roman"/>
                <w:sz w:val="14"/>
                <w:szCs w:val="14"/>
              </w:rPr>
            </w:pPr>
            <w:r>
              <w:rPr>
                <w:rFonts w:ascii="Times New Roman" w:eastAsia="標楷體" w:hAnsi="Times New Roman" w:cs="Times New Roman"/>
                <w:sz w:val="14"/>
                <w:szCs w:val="14"/>
                <w:u w:val="double"/>
              </w:rPr>
              <w:t xml:space="preserve">  </w:t>
            </w:r>
            <w:r w:rsidR="00BD12A1" w:rsidRPr="00F12084">
              <w:rPr>
                <w:rFonts w:ascii="Times New Roman" w:eastAsia="標楷體" w:hAnsi="Times New Roman" w:cs="Times New Roman"/>
                <w:sz w:val="14"/>
                <w:szCs w:val="14"/>
                <w:u w:val="double"/>
              </w:rPr>
              <w:t>1,644,535</w:t>
            </w:r>
          </w:p>
        </w:tc>
        <w:tc>
          <w:tcPr>
            <w:tcW w:w="789" w:type="dxa"/>
          </w:tcPr>
          <w:p w:rsidR="00936924" w:rsidRPr="00F12084" w:rsidRDefault="00EF3BB4" w:rsidP="00EF3BB4">
            <w:pPr>
              <w:wordWrap w:val="0"/>
              <w:overflowPunct w:val="0"/>
              <w:autoSpaceDE w:val="0"/>
              <w:autoSpaceDN w:val="0"/>
              <w:ind w:leftChars="-43" w:left="-103" w:rightChars="-32" w:right="-77"/>
              <w:jc w:val="right"/>
              <w:rPr>
                <w:rFonts w:ascii="Times New Roman" w:eastAsia="標楷體" w:hAnsi="Times New Roman" w:cs="Times New Roman"/>
                <w:sz w:val="14"/>
                <w:szCs w:val="14"/>
              </w:rPr>
            </w:pPr>
            <w:r>
              <w:rPr>
                <w:rFonts w:ascii="Times New Roman" w:eastAsia="標楷體" w:hAnsi="Times New Roman" w:cs="Times New Roman"/>
                <w:sz w:val="14"/>
                <w:szCs w:val="14"/>
                <w:u w:val="double"/>
              </w:rPr>
              <w:t xml:space="preserve">  </w:t>
            </w:r>
            <w:r w:rsidR="00BD12A1" w:rsidRPr="00F12084">
              <w:rPr>
                <w:rFonts w:ascii="Times New Roman" w:eastAsia="標楷體" w:hAnsi="Times New Roman" w:cs="Times New Roman"/>
                <w:sz w:val="14"/>
                <w:szCs w:val="14"/>
                <w:u w:val="double"/>
              </w:rPr>
              <w:t>2,022,891</w:t>
            </w:r>
          </w:p>
        </w:tc>
        <w:tc>
          <w:tcPr>
            <w:tcW w:w="789" w:type="dxa"/>
          </w:tcPr>
          <w:p w:rsidR="00936924" w:rsidRPr="00F12084" w:rsidRDefault="00EF3BB4" w:rsidP="00EF3BB4">
            <w:pPr>
              <w:wordWrap w:val="0"/>
              <w:overflowPunct w:val="0"/>
              <w:autoSpaceDE w:val="0"/>
              <w:autoSpaceDN w:val="0"/>
              <w:ind w:leftChars="-43" w:left="-103" w:rightChars="-32" w:right="-77"/>
              <w:jc w:val="right"/>
              <w:rPr>
                <w:rFonts w:ascii="Times New Roman" w:eastAsia="標楷體" w:hAnsi="Times New Roman" w:cs="Times New Roman"/>
                <w:sz w:val="14"/>
                <w:szCs w:val="14"/>
              </w:rPr>
            </w:pPr>
            <w:r>
              <w:rPr>
                <w:rFonts w:ascii="Times New Roman" w:eastAsia="標楷體" w:hAnsi="Times New Roman" w:cs="Times New Roman"/>
                <w:sz w:val="14"/>
                <w:szCs w:val="14"/>
                <w:u w:val="double"/>
              </w:rPr>
              <w:t xml:space="preserve">  </w:t>
            </w:r>
            <w:r w:rsidR="00BD12A1" w:rsidRPr="00F12084">
              <w:rPr>
                <w:rFonts w:ascii="Times New Roman" w:eastAsia="標楷體" w:hAnsi="Times New Roman" w:cs="Times New Roman"/>
                <w:sz w:val="14"/>
                <w:szCs w:val="14"/>
                <w:u w:val="double"/>
              </w:rPr>
              <w:t>1,996,623</w:t>
            </w:r>
          </w:p>
        </w:tc>
      </w:tr>
    </w:tbl>
    <w:p w:rsidR="00936924" w:rsidRDefault="00936924" w:rsidP="00156E21">
      <w:pPr>
        <w:pStyle w:val="a3"/>
        <w:overflowPunct w:val="0"/>
        <w:autoSpaceDE w:val="0"/>
        <w:autoSpaceDN w:val="0"/>
        <w:ind w:left="1080"/>
        <w:jc w:val="both"/>
        <w:rPr>
          <w:rFonts w:ascii="Times New Roman" w:eastAsia="標楷體" w:hAnsi="Times New Roman" w:cs="Times New Roman"/>
        </w:rPr>
      </w:pPr>
    </w:p>
    <w:p w:rsidR="0093763E" w:rsidRPr="0069274C" w:rsidRDefault="00737FBC" w:rsidP="00156E21">
      <w:pPr>
        <w:pStyle w:val="a3"/>
        <w:numPr>
          <w:ilvl w:val="0"/>
          <w:numId w:val="1"/>
        </w:numPr>
        <w:tabs>
          <w:tab w:val="left" w:pos="1531"/>
          <w:tab w:val="left" w:pos="2107"/>
        </w:tabs>
        <w:overflowPunct w:val="0"/>
        <w:autoSpaceDE w:val="0"/>
        <w:autoSpaceDN w:val="0"/>
        <w:ind w:left="2107" w:hangingChars="878" w:hanging="2107"/>
        <w:jc w:val="both"/>
        <w:rPr>
          <w:rFonts w:ascii="Times New Roman" w:eastAsia="標楷體" w:hAnsi="Times New Roman" w:cs="Times New Roman"/>
        </w:rPr>
      </w:pPr>
      <w:r w:rsidRPr="0069274C">
        <w:rPr>
          <w:rFonts w:ascii="Times New Roman" w:eastAsia="標楷體" w:hAnsi="Times New Roman" w:cs="Times New Roman"/>
        </w:rPr>
        <w:t>(a)</w:t>
      </w:r>
      <w:r w:rsidR="00936924">
        <w:rPr>
          <w:rFonts w:ascii="Times New Roman" w:eastAsia="標楷體" w:hAnsi="Times New Roman" w:cs="Times New Roman"/>
        </w:rPr>
        <w:tab/>
      </w:r>
      <w:r w:rsidRPr="0069274C">
        <w:rPr>
          <w:rFonts w:ascii="Times New Roman" w:eastAsia="標楷體" w:hAnsi="Times New Roman" w:cs="Times New Roman"/>
        </w:rPr>
        <w:t xml:space="preserve">In accordance with the Profits Tax </w:t>
      </w:r>
      <w:r w:rsidR="004012A2">
        <w:rPr>
          <w:rFonts w:ascii="Times New Roman" w:eastAsia="標楷體" w:hAnsi="Times New Roman" w:cs="Times New Roman"/>
        </w:rPr>
        <w:t>R</w:t>
      </w:r>
      <w:r w:rsidRPr="0069274C">
        <w:rPr>
          <w:rFonts w:ascii="Times New Roman" w:eastAsia="標楷體" w:hAnsi="Times New Roman" w:cs="Times New Roman"/>
        </w:rPr>
        <w:t xml:space="preserve">eturns, the assessor of the Revenue raised on the Taxpayer the following Profits Tax </w:t>
      </w:r>
      <w:r w:rsidR="004012A2">
        <w:rPr>
          <w:rFonts w:ascii="Times New Roman" w:eastAsia="標楷體" w:hAnsi="Times New Roman" w:cs="Times New Roman"/>
        </w:rPr>
        <w:t>A</w:t>
      </w:r>
      <w:r w:rsidRPr="0069274C">
        <w:rPr>
          <w:rFonts w:ascii="Times New Roman" w:eastAsia="標楷體" w:hAnsi="Times New Roman" w:cs="Times New Roman"/>
        </w:rPr>
        <w:t>ssessments for the years of assessment 2007/08 to 2012/13:</w:t>
      </w:r>
    </w:p>
    <w:p w:rsidR="00737FBC" w:rsidRDefault="00737FBC" w:rsidP="00156E21">
      <w:pPr>
        <w:overflowPunct w:val="0"/>
        <w:autoSpaceDE w:val="0"/>
        <w:autoSpaceDN w:val="0"/>
        <w:jc w:val="both"/>
        <w:rPr>
          <w:rFonts w:ascii="Times New Roman" w:eastAsia="標楷體" w:hAnsi="Times New Roman" w:cs="Times New Roman"/>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1"/>
        <w:gridCol w:w="1136"/>
        <w:gridCol w:w="970"/>
        <w:gridCol w:w="1136"/>
        <w:gridCol w:w="1136"/>
        <w:gridCol w:w="1136"/>
        <w:gridCol w:w="1136"/>
      </w:tblGrid>
      <w:tr w:rsidR="00BD12A1" w:rsidRPr="00BD12A1" w:rsidTr="00BD12A1">
        <w:tc>
          <w:tcPr>
            <w:tcW w:w="2410" w:type="dxa"/>
          </w:tcPr>
          <w:p w:rsidR="00BD12A1" w:rsidRPr="00BD12A1" w:rsidRDefault="00BD12A1" w:rsidP="00156E21">
            <w:pPr>
              <w:overflowPunct w:val="0"/>
              <w:autoSpaceDE w:val="0"/>
              <w:autoSpaceDN w:val="0"/>
              <w:jc w:val="both"/>
              <w:rPr>
                <w:rFonts w:ascii="Times New Roman" w:eastAsia="標楷體" w:hAnsi="Times New Roman" w:cs="Times New Roman"/>
                <w:sz w:val="23"/>
                <w:szCs w:val="23"/>
              </w:rPr>
            </w:pPr>
            <w:r w:rsidRPr="00BD12A1">
              <w:rPr>
                <w:rFonts w:ascii="Times New Roman" w:eastAsia="標楷體" w:hAnsi="Times New Roman" w:cs="Times New Roman"/>
                <w:sz w:val="23"/>
                <w:szCs w:val="23"/>
              </w:rPr>
              <w:t>Year of assessment</w:t>
            </w:r>
          </w:p>
        </w:tc>
        <w:tc>
          <w:tcPr>
            <w:tcW w:w="992" w:type="dxa"/>
          </w:tcPr>
          <w:p w:rsidR="00BD12A1" w:rsidRPr="00BD12A1" w:rsidRDefault="00BD12A1" w:rsidP="00156E21">
            <w:pPr>
              <w:overflowPunct w:val="0"/>
              <w:autoSpaceDE w:val="0"/>
              <w:autoSpaceDN w:val="0"/>
              <w:jc w:val="center"/>
              <w:rPr>
                <w:rFonts w:ascii="Times New Roman" w:eastAsia="標楷體" w:hAnsi="Times New Roman" w:cs="Times New Roman"/>
                <w:sz w:val="23"/>
                <w:szCs w:val="23"/>
              </w:rPr>
            </w:pPr>
            <w:r w:rsidRPr="00BD12A1">
              <w:rPr>
                <w:rFonts w:ascii="Times New Roman" w:eastAsia="標楷體" w:hAnsi="Times New Roman" w:cs="Times New Roman"/>
                <w:sz w:val="23"/>
                <w:szCs w:val="23"/>
                <w:u w:val="single"/>
              </w:rPr>
              <w:t>2007/08</w:t>
            </w:r>
          </w:p>
        </w:tc>
        <w:tc>
          <w:tcPr>
            <w:tcW w:w="945" w:type="dxa"/>
          </w:tcPr>
          <w:p w:rsidR="00BD12A1" w:rsidRPr="00BD12A1" w:rsidRDefault="00BD12A1" w:rsidP="00156E21">
            <w:pPr>
              <w:overflowPunct w:val="0"/>
              <w:autoSpaceDE w:val="0"/>
              <w:autoSpaceDN w:val="0"/>
              <w:jc w:val="center"/>
              <w:rPr>
                <w:rFonts w:ascii="Times New Roman" w:eastAsia="標楷體" w:hAnsi="Times New Roman" w:cs="Times New Roman"/>
                <w:sz w:val="23"/>
                <w:szCs w:val="23"/>
              </w:rPr>
            </w:pPr>
            <w:r w:rsidRPr="00BD12A1">
              <w:rPr>
                <w:rFonts w:ascii="Times New Roman" w:eastAsia="標楷體" w:hAnsi="Times New Roman" w:cs="Times New Roman"/>
                <w:sz w:val="23"/>
                <w:szCs w:val="23"/>
                <w:u w:val="single"/>
              </w:rPr>
              <w:t>2008/09</w:t>
            </w:r>
          </w:p>
        </w:tc>
        <w:tc>
          <w:tcPr>
            <w:tcW w:w="1096" w:type="dxa"/>
          </w:tcPr>
          <w:p w:rsidR="00BD12A1" w:rsidRPr="00BD12A1" w:rsidRDefault="00BD12A1" w:rsidP="00156E21">
            <w:pPr>
              <w:overflowPunct w:val="0"/>
              <w:autoSpaceDE w:val="0"/>
              <w:autoSpaceDN w:val="0"/>
              <w:jc w:val="center"/>
              <w:rPr>
                <w:rFonts w:ascii="Times New Roman" w:eastAsia="標楷體" w:hAnsi="Times New Roman" w:cs="Times New Roman"/>
                <w:sz w:val="23"/>
                <w:szCs w:val="23"/>
              </w:rPr>
            </w:pPr>
            <w:r w:rsidRPr="00BD12A1">
              <w:rPr>
                <w:rFonts w:ascii="Times New Roman" w:eastAsia="標楷體" w:hAnsi="Times New Roman" w:cs="Times New Roman"/>
                <w:sz w:val="23"/>
                <w:szCs w:val="23"/>
                <w:u w:val="single"/>
              </w:rPr>
              <w:t>2009/10</w:t>
            </w:r>
          </w:p>
        </w:tc>
        <w:tc>
          <w:tcPr>
            <w:tcW w:w="1096" w:type="dxa"/>
          </w:tcPr>
          <w:p w:rsidR="00BD12A1" w:rsidRPr="00BD12A1" w:rsidRDefault="00BD12A1" w:rsidP="00156E21">
            <w:pPr>
              <w:overflowPunct w:val="0"/>
              <w:autoSpaceDE w:val="0"/>
              <w:autoSpaceDN w:val="0"/>
              <w:jc w:val="center"/>
              <w:rPr>
                <w:rFonts w:ascii="Times New Roman" w:eastAsia="標楷體" w:hAnsi="Times New Roman" w:cs="Times New Roman"/>
                <w:sz w:val="23"/>
                <w:szCs w:val="23"/>
              </w:rPr>
            </w:pPr>
            <w:r w:rsidRPr="00BD12A1">
              <w:rPr>
                <w:rFonts w:ascii="Times New Roman" w:eastAsia="標楷體" w:hAnsi="Times New Roman" w:cs="Times New Roman"/>
                <w:sz w:val="23"/>
                <w:szCs w:val="23"/>
                <w:u w:val="single"/>
              </w:rPr>
              <w:t>2010/11</w:t>
            </w:r>
          </w:p>
        </w:tc>
        <w:tc>
          <w:tcPr>
            <w:tcW w:w="1096" w:type="dxa"/>
          </w:tcPr>
          <w:p w:rsidR="00BD12A1" w:rsidRPr="00BD12A1" w:rsidRDefault="00BD12A1" w:rsidP="00156E21">
            <w:pPr>
              <w:overflowPunct w:val="0"/>
              <w:autoSpaceDE w:val="0"/>
              <w:autoSpaceDN w:val="0"/>
              <w:jc w:val="center"/>
              <w:rPr>
                <w:rFonts w:ascii="Times New Roman" w:eastAsia="標楷體" w:hAnsi="Times New Roman" w:cs="Times New Roman"/>
                <w:sz w:val="23"/>
                <w:szCs w:val="23"/>
              </w:rPr>
            </w:pPr>
            <w:r w:rsidRPr="00BD12A1">
              <w:rPr>
                <w:rFonts w:ascii="Times New Roman" w:eastAsia="標楷體" w:hAnsi="Times New Roman" w:cs="Times New Roman"/>
                <w:sz w:val="23"/>
                <w:szCs w:val="23"/>
                <w:u w:val="single"/>
              </w:rPr>
              <w:t>2011/12</w:t>
            </w:r>
          </w:p>
        </w:tc>
        <w:tc>
          <w:tcPr>
            <w:tcW w:w="1096" w:type="dxa"/>
          </w:tcPr>
          <w:p w:rsidR="00BD12A1" w:rsidRPr="00BD12A1" w:rsidRDefault="00BD12A1" w:rsidP="00156E21">
            <w:pPr>
              <w:overflowPunct w:val="0"/>
              <w:autoSpaceDE w:val="0"/>
              <w:autoSpaceDN w:val="0"/>
              <w:jc w:val="center"/>
              <w:rPr>
                <w:rFonts w:ascii="Times New Roman" w:eastAsia="標楷體" w:hAnsi="Times New Roman" w:cs="Times New Roman"/>
                <w:sz w:val="23"/>
                <w:szCs w:val="23"/>
              </w:rPr>
            </w:pPr>
            <w:r w:rsidRPr="00BD12A1">
              <w:rPr>
                <w:rFonts w:ascii="Times New Roman" w:eastAsia="標楷體" w:hAnsi="Times New Roman" w:cs="Times New Roman"/>
                <w:sz w:val="23"/>
                <w:szCs w:val="23"/>
                <w:u w:val="single"/>
              </w:rPr>
              <w:t>2012/13</w:t>
            </w:r>
          </w:p>
        </w:tc>
      </w:tr>
      <w:tr w:rsidR="00BD12A1" w:rsidRPr="00BD12A1" w:rsidTr="00BD12A1">
        <w:tc>
          <w:tcPr>
            <w:tcW w:w="2410" w:type="dxa"/>
          </w:tcPr>
          <w:p w:rsidR="00BD12A1" w:rsidRPr="00BD12A1" w:rsidRDefault="00BD12A1" w:rsidP="00156E21">
            <w:pPr>
              <w:overflowPunct w:val="0"/>
              <w:autoSpaceDE w:val="0"/>
              <w:autoSpaceDN w:val="0"/>
              <w:jc w:val="both"/>
              <w:rPr>
                <w:rFonts w:ascii="Times New Roman" w:eastAsia="標楷體" w:hAnsi="Times New Roman" w:cs="Times New Roman"/>
                <w:sz w:val="23"/>
                <w:szCs w:val="23"/>
              </w:rPr>
            </w:pPr>
          </w:p>
        </w:tc>
        <w:tc>
          <w:tcPr>
            <w:tcW w:w="992" w:type="dxa"/>
          </w:tcPr>
          <w:p w:rsidR="00BD12A1" w:rsidRPr="00BD12A1" w:rsidRDefault="00BD12A1" w:rsidP="00156E21">
            <w:pPr>
              <w:overflowPunct w:val="0"/>
              <w:autoSpaceDE w:val="0"/>
              <w:autoSpaceDN w:val="0"/>
              <w:jc w:val="center"/>
              <w:rPr>
                <w:sz w:val="23"/>
                <w:szCs w:val="23"/>
              </w:rPr>
            </w:pPr>
            <w:r w:rsidRPr="00BD12A1">
              <w:rPr>
                <w:rFonts w:ascii="Times New Roman" w:eastAsia="標楷體" w:hAnsi="Times New Roman" w:cs="Times New Roman"/>
                <w:sz w:val="23"/>
                <w:szCs w:val="23"/>
              </w:rPr>
              <w:t>$</w:t>
            </w:r>
          </w:p>
        </w:tc>
        <w:tc>
          <w:tcPr>
            <w:tcW w:w="945" w:type="dxa"/>
          </w:tcPr>
          <w:p w:rsidR="00BD12A1" w:rsidRPr="00BD12A1" w:rsidRDefault="00BD12A1" w:rsidP="00156E21">
            <w:pPr>
              <w:overflowPunct w:val="0"/>
              <w:autoSpaceDE w:val="0"/>
              <w:autoSpaceDN w:val="0"/>
              <w:jc w:val="center"/>
              <w:rPr>
                <w:sz w:val="23"/>
                <w:szCs w:val="23"/>
              </w:rPr>
            </w:pPr>
            <w:r w:rsidRPr="00BD12A1">
              <w:rPr>
                <w:rFonts w:ascii="Times New Roman" w:eastAsia="標楷體" w:hAnsi="Times New Roman" w:cs="Times New Roman"/>
                <w:sz w:val="23"/>
                <w:szCs w:val="23"/>
              </w:rPr>
              <w:t>$</w:t>
            </w:r>
          </w:p>
        </w:tc>
        <w:tc>
          <w:tcPr>
            <w:tcW w:w="1096" w:type="dxa"/>
          </w:tcPr>
          <w:p w:rsidR="00BD12A1" w:rsidRPr="00BD12A1" w:rsidRDefault="00BD12A1" w:rsidP="00156E21">
            <w:pPr>
              <w:overflowPunct w:val="0"/>
              <w:autoSpaceDE w:val="0"/>
              <w:autoSpaceDN w:val="0"/>
              <w:jc w:val="center"/>
              <w:rPr>
                <w:sz w:val="23"/>
                <w:szCs w:val="23"/>
              </w:rPr>
            </w:pPr>
            <w:r w:rsidRPr="00BD12A1">
              <w:rPr>
                <w:rFonts w:ascii="Times New Roman" w:eastAsia="標楷體" w:hAnsi="Times New Roman" w:cs="Times New Roman"/>
                <w:sz w:val="23"/>
                <w:szCs w:val="23"/>
              </w:rPr>
              <w:t>$</w:t>
            </w:r>
          </w:p>
        </w:tc>
        <w:tc>
          <w:tcPr>
            <w:tcW w:w="1096" w:type="dxa"/>
          </w:tcPr>
          <w:p w:rsidR="00BD12A1" w:rsidRPr="00BD12A1" w:rsidRDefault="00BD12A1" w:rsidP="00156E21">
            <w:pPr>
              <w:overflowPunct w:val="0"/>
              <w:autoSpaceDE w:val="0"/>
              <w:autoSpaceDN w:val="0"/>
              <w:jc w:val="center"/>
              <w:rPr>
                <w:sz w:val="23"/>
                <w:szCs w:val="23"/>
              </w:rPr>
            </w:pPr>
            <w:r w:rsidRPr="00BD12A1">
              <w:rPr>
                <w:rFonts w:ascii="Times New Roman" w:eastAsia="標楷體" w:hAnsi="Times New Roman" w:cs="Times New Roman"/>
                <w:sz w:val="23"/>
                <w:szCs w:val="23"/>
              </w:rPr>
              <w:t>$</w:t>
            </w:r>
          </w:p>
        </w:tc>
        <w:tc>
          <w:tcPr>
            <w:tcW w:w="1096" w:type="dxa"/>
          </w:tcPr>
          <w:p w:rsidR="00BD12A1" w:rsidRPr="00BD12A1" w:rsidRDefault="00BD12A1" w:rsidP="00156E21">
            <w:pPr>
              <w:overflowPunct w:val="0"/>
              <w:autoSpaceDE w:val="0"/>
              <w:autoSpaceDN w:val="0"/>
              <w:jc w:val="center"/>
              <w:rPr>
                <w:sz w:val="23"/>
                <w:szCs w:val="23"/>
              </w:rPr>
            </w:pPr>
            <w:r w:rsidRPr="00BD12A1">
              <w:rPr>
                <w:rFonts w:ascii="Times New Roman" w:eastAsia="標楷體" w:hAnsi="Times New Roman" w:cs="Times New Roman"/>
                <w:sz w:val="23"/>
                <w:szCs w:val="23"/>
              </w:rPr>
              <w:t>$</w:t>
            </w:r>
          </w:p>
        </w:tc>
        <w:tc>
          <w:tcPr>
            <w:tcW w:w="1096" w:type="dxa"/>
          </w:tcPr>
          <w:p w:rsidR="00BD12A1" w:rsidRPr="00BD12A1" w:rsidRDefault="00BD12A1" w:rsidP="00156E21">
            <w:pPr>
              <w:overflowPunct w:val="0"/>
              <w:autoSpaceDE w:val="0"/>
              <w:autoSpaceDN w:val="0"/>
              <w:jc w:val="center"/>
              <w:rPr>
                <w:sz w:val="23"/>
                <w:szCs w:val="23"/>
              </w:rPr>
            </w:pPr>
            <w:r w:rsidRPr="00BD12A1">
              <w:rPr>
                <w:rFonts w:ascii="Times New Roman" w:eastAsia="標楷體" w:hAnsi="Times New Roman" w:cs="Times New Roman"/>
                <w:sz w:val="23"/>
                <w:szCs w:val="23"/>
              </w:rPr>
              <w:t>$</w:t>
            </w:r>
          </w:p>
        </w:tc>
      </w:tr>
      <w:tr w:rsidR="00BD12A1" w:rsidRPr="00BD12A1" w:rsidTr="00BD12A1">
        <w:tc>
          <w:tcPr>
            <w:tcW w:w="2410" w:type="dxa"/>
          </w:tcPr>
          <w:p w:rsidR="00BD12A1" w:rsidRPr="00BD12A1" w:rsidRDefault="00BD12A1" w:rsidP="00156E21">
            <w:pPr>
              <w:overflowPunct w:val="0"/>
              <w:autoSpaceDE w:val="0"/>
              <w:autoSpaceDN w:val="0"/>
              <w:jc w:val="both"/>
              <w:rPr>
                <w:rFonts w:ascii="Times New Roman" w:eastAsia="標楷體" w:hAnsi="Times New Roman" w:cs="Times New Roman"/>
                <w:sz w:val="23"/>
                <w:szCs w:val="23"/>
              </w:rPr>
            </w:pPr>
            <w:r w:rsidRPr="00BD12A1">
              <w:rPr>
                <w:rFonts w:ascii="Times New Roman" w:eastAsia="標楷體" w:hAnsi="Times New Roman" w:cs="Times New Roman"/>
                <w:sz w:val="23"/>
                <w:szCs w:val="23"/>
              </w:rPr>
              <w:t>Assessable profits</w:t>
            </w:r>
          </w:p>
        </w:tc>
        <w:tc>
          <w:tcPr>
            <w:tcW w:w="992" w:type="dxa"/>
          </w:tcPr>
          <w:p w:rsidR="00BD12A1" w:rsidRPr="00BD12A1" w:rsidRDefault="00BD12A1" w:rsidP="00156E21">
            <w:pPr>
              <w:overflowPunct w:val="0"/>
              <w:autoSpaceDE w:val="0"/>
              <w:autoSpaceDN w:val="0"/>
              <w:jc w:val="right"/>
              <w:rPr>
                <w:rFonts w:ascii="Times New Roman" w:eastAsia="標楷體" w:hAnsi="Times New Roman" w:cs="Times New Roman"/>
                <w:sz w:val="23"/>
                <w:szCs w:val="23"/>
              </w:rPr>
            </w:pPr>
            <w:r w:rsidRPr="00BD12A1">
              <w:rPr>
                <w:rFonts w:ascii="Times New Roman" w:eastAsia="標楷體" w:hAnsi="Times New Roman" w:cs="Times New Roman"/>
                <w:sz w:val="23"/>
                <w:szCs w:val="23"/>
              </w:rPr>
              <w:t>1,252,197</w:t>
            </w:r>
          </w:p>
        </w:tc>
        <w:tc>
          <w:tcPr>
            <w:tcW w:w="945" w:type="dxa"/>
          </w:tcPr>
          <w:p w:rsidR="00BD12A1" w:rsidRPr="00BD12A1" w:rsidRDefault="00BD12A1" w:rsidP="00156E21">
            <w:pPr>
              <w:overflowPunct w:val="0"/>
              <w:autoSpaceDE w:val="0"/>
              <w:autoSpaceDN w:val="0"/>
              <w:jc w:val="right"/>
              <w:rPr>
                <w:rFonts w:ascii="Times New Roman" w:eastAsia="標楷體" w:hAnsi="Times New Roman" w:cs="Times New Roman"/>
                <w:sz w:val="23"/>
                <w:szCs w:val="23"/>
              </w:rPr>
            </w:pPr>
            <w:r w:rsidRPr="00BD12A1">
              <w:rPr>
                <w:rFonts w:ascii="Times New Roman" w:eastAsia="標楷體" w:hAnsi="Times New Roman" w:cs="Times New Roman"/>
                <w:sz w:val="23"/>
                <w:szCs w:val="23"/>
              </w:rPr>
              <w:t>982,908</w:t>
            </w:r>
          </w:p>
        </w:tc>
        <w:tc>
          <w:tcPr>
            <w:tcW w:w="1096" w:type="dxa"/>
          </w:tcPr>
          <w:p w:rsidR="00BD12A1" w:rsidRPr="00BD12A1" w:rsidRDefault="00BD12A1" w:rsidP="00156E21">
            <w:pPr>
              <w:overflowPunct w:val="0"/>
              <w:autoSpaceDE w:val="0"/>
              <w:autoSpaceDN w:val="0"/>
              <w:jc w:val="right"/>
              <w:rPr>
                <w:rFonts w:ascii="Times New Roman" w:eastAsia="標楷體" w:hAnsi="Times New Roman" w:cs="Times New Roman"/>
                <w:sz w:val="23"/>
                <w:szCs w:val="23"/>
              </w:rPr>
            </w:pPr>
            <w:r w:rsidRPr="00BD12A1">
              <w:rPr>
                <w:rFonts w:ascii="Times New Roman" w:eastAsia="標楷體" w:hAnsi="Times New Roman" w:cs="Times New Roman"/>
                <w:sz w:val="23"/>
                <w:szCs w:val="23"/>
              </w:rPr>
              <w:t>1,930,535</w:t>
            </w:r>
          </w:p>
        </w:tc>
        <w:tc>
          <w:tcPr>
            <w:tcW w:w="1096" w:type="dxa"/>
          </w:tcPr>
          <w:p w:rsidR="00BD12A1" w:rsidRPr="00BD12A1" w:rsidRDefault="00BD12A1" w:rsidP="00156E21">
            <w:pPr>
              <w:overflowPunct w:val="0"/>
              <w:autoSpaceDE w:val="0"/>
              <w:autoSpaceDN w:val="0"/>
              <w:jc w:val="right"/>
              <w:rPr>
                <w:rFonts w:ascii="Times New Roman" w:eastAsia="標楷體" w:hAnsi="Times New Roman" w:cs="Times New Roman"/>
                <w:sz w:val="23"/>
                <w:szCs w:val="23"/>
              </w:rPr>
            </w:pPr>
            <w:r w:rsidRPr="00BD12A1">
              <w:rPr>
                <w:rFonts w:ascii="Times New Roman" w:eastAsia="標楷體" w:hAnsi="Times New Roman" w:cs="Times New Roman"/>
                <w:sz w:val="23"/>
                <w:szCs w:val="23"/>
              </w:rPr>
              <w:t>1,328,562</w:t>
            </w:r>
          </w:p>
        </w:tc>
        <w:tc>
          <w:tcPr>
            <w:tcW w:w="1096" w:type="dxa"/>
          </w:tcPr>
          <w:p w:rsidR="00BD12A1" w:rsidRPr="00BD12A1" w:rsidRDefault="00BD12A1" w:rsidP="00156E21">
            <w:pPr>
              <w:overflowPunct w:val="0"/>
              <w:autoSpaceDE w:val="0"/>
              <w:autoSpaceDN w:val="0"/>
              <w:jc w:val="right"/>
              <w:rPr>
                <w:rFonts w:ascii="Times New Roman" w:eastAsia="標楷體" w:hAnsi="Times New Roman" w:cs="Times New Roman"/>
                <w:sz w:val="23"/>
                <w:szCs w:val="23"/>
              </w:rPr>
            </w:pPr>
            <w:r w:rsidRPr="00BD12A1">
              <w:rPr>
                <w:rFonts w:ascii="Times New Roman" w:eastAsia="標楷體" w:hAnsi="Times New Roman" w:cs="Times New Roman"/>
                <w:sz w:val="23"/>
                <w:szCs w:val="23"/>
              </w:rPr>
              <w:t>1,990,374</w:t>
            </w:r>
          </w:p>
        </w:tc>
        <w:tc>
          <w:tcPr>
            <w:tcW w:w="1096" w:type="dxa"/>
          </w:tcPr>
          <w:p w:rsidR="00BD12A1" w:rsidRPr="00BD12A1" w:rsidRDefault="00BD12A1" w:rsidP="00156E21">
            <w:pPr>
              <w:overflowPunct w:val="0"/>
              <w:autoSpaceDE w:val="0"/>
              <w:autoSpaceDN w:val="0"/>
              <w:jc w:val="right"/>
              <w:rPr>
                <w:rFonts w:ascii="Times New Roman" w:eastAsia="標楷體" w:hAnsi="Times New Roman" w:cs="Times New Roman"/>
                <w:sz w:val="23"/>
                <w:szCs w:val="23"/>
              </w:rPr>
            </w:pPr>
            <w:r w:rsidRPr="00BD12A1">
              <w:rPr>
                <w:rFonts w:ascii="Times New Roman" w:eastAsia="標楷體" w:hAnsi="Times New Roman" w:cs="Times New Roman"/>
                <w:sz w:val="23"/>
                <w:szCs w:val="23"/>
              </w:rPr>
              <w:t>4,433,406</w:t>
            </w:r>
          </w:p>
        </w:tc>
      </w:tr>
      <w:tr w:rsidR="00BD12A1" w:rsidRPr="00BD12A1" w:rsidTr="00BD12A1">
        <w:tc>
          <w:tcPr>
            <w:tcW w:w="2410" w:type="dxa"/>
          </w:tcPr>
          <w:p w:rsidR="00BD12A1" w:rsidRPr="00BD12A1" w:rsidRDefault="00BD12A1" w:rsidP="00156E21">
            <w:pPr>
              <w:overflowPunct w:val="0"/>
              <w:autoSpaceDE w:val="0"/>
              <w:autoSpaceDN w:val="0"/>
              <w:jc w:val="both"/>
              <w:rPr>
                <w:rFonts w:ascii="Times New Roman" w:eastAsia="標楷體" w:hAnsi="Times New Roman" w:cs="Times New Roman"/>
                <w:sz w:val="23"/>
                <w:szCs w:val="23"/>
              </w:rPr>
            </w:pPr>
            <w:r w:rsidRPr="00BD12A1">
              <w:rPr>
                <w:rFonts w:ascii="Times New Roman" w:eastAsia="標楷體" w:hAnsi="Times New Roman" w:cs="Times New Roman"/>
                <w:sz w:val="23"/>
                <w:szCs w:val="23"/>
              </w:rPr>
              <w:t>Tax payable thereon</w:t>
            </w:r>
          </w:p>
        </w:tc>
        <w:tc>
          <w:tcPr>
            <w:tcW w:w="992" w:type="dxa"/>
          </w:tcPr>
          <w:p w:rsidR="00BD12A1" w:rsidRPr="00BD12A1" w:rsidRDefault="00BD12A1" w:rsidP="00156E21">
            <w:pPr>
              <w:overflowPunct w:val="0"/>
              <w:autoSpaceDE w:val="0"/>
              <w:autoSpaceDN w:val="0"/>
              <w:jc w:val="right"/>
              <w:rPr>
                <w:rFonts w:ascii="Times New Roman" w:eastAsia="標楷體" w:hAnsi="Times New Roman" w:cs="Times New Roman"/>
                <w:sz w:val="23"/>
                <w:szCs w:val="23"/>
              </w:rPr>
            </w:pPr>
            <w:r w:rsidRPr="00BD12A1">
              <w:rPr>
                <w:rFonts w:ascii="Times New Roman" w:eastAsia="標楷體" w:hAnsi="Times New Roman" w:cs="Times New Roman"/>
                <w:sz w:val="23"/>
                <w:szCs w:val="23"/>
              </w:rPr>
              <w:t>194,134</w:t>
            </w:r>
          </w:p>
        </w:tc>
        <w:tc>
          <w:tcPr>
            <w:tcW w:w="945" w:type="dxa"/>
          </w:tcPr>
          <w:p w:rsidR="00BD12A1" w:rsidRPr="00BD12A1" w:rsidRDefault="00BD12A1" w:rsidP="00156E21">
            <w:pPr>
              <w:overflowPunct w:val="0"/>
              <w:autoSpaceDE w:val="0"/>
              <w:autoSpaceDN w:val="0"/>
              <w:jc w:val="right"/>
              <w:rPr>
                <w:rFonts w:ascii="Times New Roman" w:eastAsia="標楷體" w:hAnsi="Times New Roman" w:cs="Times New Roman"/>
                <w:sz w:val="23"/>
                <w:szCs w:val="23"/>
              </w:rPr>
            </w:pPr>
            <w:r w:rsidRPr="00BD12A1">
              <w:rPr>
                <w:rFonts w:ascii="Times New Roman" w:eastAsia="標楷體" w:hAnsi="Times New Roman" w:cs="Times New Roman"/>
                <w:sz w:val="23"/>
                <w:szCs w:val="23"/>
              </w:rPr>
              <w:t>162,179</w:t>
            </w:r>
          </w:p>
        </w:tc>
        <w:tc>
          <w:tcPr>
            <w:tcW w:w="1096" w:type="dxa"/>
          </w:tcPr>
          <w:p w:rsidR="00BD12A1" w:rsidRPr="00BD12A1" w:rsidRDefault="00BD12A1" w:rsidP="00156E21">
            <w:pPr>
              <w:overflowPunct w:val="0"/>
              <w:autoSpaceDE w:val="0"/>
              <w:autoSpaceDN w:val="0"/>
              <w:jc w:val="right"/>
              <w:rPr>
                <w:rFonts w:ascii="Times New Roman" w:eastAsia="標楷體" w:hAnsi="Times New Roman" w:cs="Times New Roman"/>
                <w:sz w:val="23"/>
                <w:szCs w:val="23"/>
              </w:rPr>
            </w:pPr>
            <w:r w:rsidRPr="00BD12A1">
              <w:rPr>
                <w:rFonts w:ascii="Times New Roman" w:eastAsia="標楷體" w:hAnsi="Times New Roman" w:cs="Times New Roman"/>
                <w:sz w:val="23"/>
                <w:szCs w:val="23"/>
              </w:rPr>
              <w:t>318,538</w:t>
            </w:r>
          </w:p>
        </w:tc>
        <w:tc>
          <w:tcPr>
            <w:tcW w:w="1096" w:type="dxa"/>
          </w:tcPr>
          <w:p w:rsidR="00BD12A1" w:rsidRPr="00BD12A1" w:rsidRDefault="00BD12A1" w:rsidP="00156E21">
            <w:pPr>
              <w:overflowPunct w:val="0"/>
              <w:autoSpaceDE w:val="0"/>
              <w:autoSpaceDN w:val="0"/>
              <w:jc w:val="right"/>
              <w:rPr>
                <w:rFonts w:ascii="Times New Roman" w:eastAsia="標楷體" w:hAnsi="Times New Roman" w:cs="Times New Roman"/>
                <w:sz w:val="23"/>
                <w:szCs w:val="23"/>
              </w:rPr>
            </w:pPr>
            <w:r w:rsidRPr="00BD12A1">
              <w:rPr>
                <w:rFonts w:ascii="Times New Roman" w:eastAsia="標楷體" w:hAnsi="Times New Roman" w:cs="Times New Roman"/>
                <w:sz w:val="23"/>
                <w:szCs w:val="23"/>
              </w:rPr>
              <w:t>219,212</w:t>
            </w:r>
          </w:p>
        </w:tc>
        <w:tc>
          <w:tcPr>
            <w:tcW w:w="1096" w:type="dxa"/>
          </w:tcPr>
          <w:p w:rsidR="00BD12A1" w:rsidRPr="00BD12A1" w:rsidRDefault="00BD12A1" w:rsidP="00156E21">
            <w:pPr>
              <w:overflowPunct w:val="0"/>
              <w:autoSpaceDE w:val="0"/>
              <w:autoSpaceDN w:val="0"/>
              <w:jc w:val="right"/>
              <w:rPr>
                <w:rFonts w:ascii="Times New Roman" w:eastAsia="標楷體" w:hAnsi="Times New Roman" w:cs="Times New Roman"/>
                <w:sz w:val="23"/>
                <w:szCs w:val="23"/>
              </w:rPr>
            </w:pPr>
            <w:r w:rsidRPr="00BD12A1">
              <w:rPr>
                <w:rFonts w:ascii="Times New Roman" w:eastAsia="標楷體" w:hAnsi="Times New Roman" w:cs="Times New Roman"/>
                <w:sz w:val="23"/>
                <w:szCs w:val="23"/>
              </w:rPr>
              <w:t>316,411</w:t>
            </w:r>
          </w:p>
        </w:tc>
        <w:tc>
          <w:tcPr>
            <w:tcW w:w="1096" w:type="dxa"/>
          </w:tcPr>
          <w:p w:rsidR="00BD12A1" w:rsidRPr="00BD12A1" w:rsidRDefault="00BD12A1" w:rsidP="00156E21">
            <w:pPr>
              <w:overflowPunct w:val="0"/>
              <w:autoSpaceDE w:val="0"/>
              <w:autoSpaceDN w:val="0"/>
              <w:jc w:val="right"/>
              <w:rPr>
                <w:rFonts w:ascii="Times New Roman" w:eastAsia="標楷體" w:hAnsi="Times New Roman" w:cs="Times New Roman"/>
                <w:sz w:val="23"/>
                <w:szCs w:val="23"/>
              </w:rPr>
            </w:pPr>
            <w:r w:rsidRPr="00BD12A1">
              <w:rPr>
                <w:rFonts w:ascii="Times New Roman" w:eastAsia="標楷體" w:hAnsi="Times New Roman" w:cs="Times New Roman"/>
                <w:sz w:val="23"/>
                <w:szCs w:val="23"/>
              </w:rPr>
              <w:t>721,511</w:t>
            </w:r>
          </w:p>
        </w:tc>
      </w:tr>
    </w:tbl>
    <w:p w:rsidR="00BD12A1" w:rsidRDefault="00BD12A1"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737FBC" w:rsidRPr="0069274C" w:rsidRDefault="00737FBC"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(b)</w:t>
      </w:r>
      <w:r w:rsidR="00936924">
        <w:rPr>
          <w:rFonts w:ascii="Times New Roman" w:eastAsia="標楷體" w:hAnsi="Times New Roman" w:cs="Times New Roman"/>
        </w:rPr>
        <w:tab/>
      </w:r>
      <w:r w:rsidRPr="0069274C">
        <w:rPr>
          <w:rFonts w:ascii="Times New Roman" w:eastAsia="標楷體" w:hAnsi="Times New Roman" w:cs="Times New Roman"/>
        </w:rPr>
        <w:t xml:space="preserve">The Taxpayer did not object to the above assessments, which had become final and conclusive in terms of section 70 of the IRO. </w:t>
      </w:r>
    </w:p>
    <w:p w:rsidR="00737FBC" w:rsidRPr="0069274C" w:rsidRDefault="00737FBC" w:rsidP="00156E21">
      <w:pPr>
        <w:overflowPunct w:val="0"/>
        <w:autoSpaceDE w:val="0"/>
        <w:autoSpaceDN w:val="0"/>
        <w:jc w:val="both"/>
        <w:rPr>
          <w:rFonts w:ascii="Times New Roman" w:eastAsia="標楷體" w:hAnsi="Times New Roman" w:cs="Times New Roman"/>
        </w:rPr>
      </w:pPr>
    </w:p>
    <w:p w:rsidR="00737FBC" w:rsidRPr="0069274C" w:rsidRDefault="00737FBC" w:rsidP="00156E21">
      <w:pPr>
        <w:pStyle w:val="a3"/>
        <w:numPr>
          <w:ilvl w:val="0"/>
          <w:numId w:val="1"/>
        </w:numPr>
        <w:tabs>
          <w:tab w:val="left" w:pos="1531"/>
          <w:tab w:val="left" w:pos="2107"/>
        </w:tabs>
        <w:overflowPunct w:val="0"/>
        <w:autoSpaceDE w:val="0"/>
        <w:autoSpaceDN w:val="0"/>
        <w:ind w:left="2107" w:hangingChars="878" w:hanging="2107"/>
        <w:jc w:val="both"/>
        <w:rPr>
          <w:rFonts w:ascii="Times New Roman" w:eastAsia="標楷體" w:hAnsi="Times New Roman" w:cs="Times New Roman"/>
        </w:rPr>
      </w:pPr>
      <w:r w:rsidRPr="0069274C">
        <w:rPr>
          <w:rFonts w:ascii="Times New Roman" w:eastAsia="標楷體" w:hAnsi="Times New Roman" w:cs="Times New Roman"/>
        </w:rPr>
        <w:t>(a)</w:t>
      </w:r>
      <w:r w:rsidR="00936924">
        <w:rPr>
          <w:rFonts w:ascii="Times New Roman" w:eastAsia="標楷體" w:hAnsi="Times New Roman" w:cs="Times New Roman"/>
        </w:rPr>
        <w:tab/>
      </w:r>
      <w:r w:rsidRPr="0069274C">
        <w:rPr>
          <w:rFonts w:ascii="Times New Roman" w:eastAsia="標楷體" w:hAnsi="Times New Roman" w:cs="Times New Roman"/>
        </w:rPr>
        <w:t>For the period from 21 December 2006 to 30 June 2015, the asset management fees (that is, the Manager’s Fees comprising the Base Fee and the Variable Fee) payable to the Manager in relation to the Property were analysed as follows:</w:t>
      </w:r>
    </w:p>
    <w:p w:rsidR="00737FBC" w:rsidRDefault="00737FBC" w:rsidP="00156E21">
      <w:pPr>
        <w:overflowPunct w:val="0"/>
        <w:autoSpaceDE w:val="0"/>
        <w:autoSpaceDN w:val="0"/>
        <w:jc w:val="both"/>
        <w:rPr>
          <w:rFonts w:ascii="Times New Roman" w:eastAsia="標楷體" w:hAnsi="Times New Roman" w:cs="Times New Roman"/>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985"/>
        <w:gridCol w:w="1417"/>
        <w:gridCol w:w="1276"/>
        <w:gridCol w:w="1417"/>
        <w:gridCol w:w="1350"/>
      </w:tblGrid>
      <w:tr w:rsidR="00451270" w:rsidRPr="00451270" w:rsidTr="00F12084">
        <w:trPr>
          <w:tblHeader/>
        </w:trPr>
        <w:tc>
          <w:tcPr>
            <w:tcW w:w="1276" w:type="dxa"/>
          </w:tcPr>
          <w:p w:rsidR="00BD12A1" w:rsidRPr="00451270" w:rsidRDefault="00BD12A1" w:rsidP="00156E21">
            <w:pPr>
              <w:overflowPunct w:val="0"/>
              <w:autoSpaceDE w:val="0"/>
              <w:autoSpaceDN w:val="0"/>
              <w:ind w:leftChars="-45" w:left="-108" w:rightChars="-47" w:right="-113"/>
              <w:jc w:val="center"/>
              <w:rPr>
                <w:rFonts w:ascii="Times New Roman" w:eastAsia="標楷體" w:hAnsi="Times New Roman" w:cs="Times New Roman"/>
              </w:rPr>
            </w:pPr>
          </w:p>
        </w:tc>
        <w:tc>
          <w:tcPr>
            <w:tcW w:w="1985" w:type="dxa"/>
          </w:tcPr>
          <w:p w:rsidR="00BD12A1" w:rsidRPr="00451270" w:rsidRDefault="00BD12A1" w:rsidP="00156E21">
            <w:pPr>
              <w:overflowPunct w:val="0"/>
              <w:autoSpaceDE w:val="0"/>
              <w:autoSpaceDN w:val="0"/>
              <w:ind w:leftChars="-45" w:left="-108" w:rightChars="-47" w:right="-113"/>
              <w:jc w:val="center"/>
              <w:rPr>
                <w:rFonts w:ascii="Times New Roman" w:eastAsia="標楷體" w:hAnsi="Times New Roman" w:cs="Times New Roman"/>
              </w:rPr>
            </w:pPr>
            <w:r w:rsidRPr="00451270">
              <w:rPr>
                <w:rFonts w:ascii="Times New Roman" w:eastAsia="標楷體" w:hAnsi="Times New Roman" w:cs="Times New Roman"/>
              </w:rPr>
              <w:t>The Property’s</w:t>
            </w:r>
          </w:p>
        </w:tc>
        <w:tc>
          <w:tcPr>
            <w:tcW w:w="1417" w:type="dxa"/>
          </w:tcPr>
          <w:p w:rsidR="00BD12A1" w:rsidRPr="00451270" w:rsidRDefault="00BD12A1" w:rsidP="00156E21">
            <w:pPr>
              <w:overflowPunct w:val="0"/>
              <w:autoSpaceDE w:val="0"/>
              <w:autoSpaceDN w:val="0"/>
              <w:ind w:leftChars="-45" w:left="-108" w:rightChars="-47" w:right="-113"/>
              <w:jc w:val="center"/>
              <w:rPr>
                <w:rFonts w:ascii="Times New Roman" w:eastAsia="標楷體" w:hAnsi="Times New Roman" w:cs="Times New Roman"/>
              </w:rPr>
            </w:pPr>
          </w:p>
        </w:tc>
        <w:tc>
          <w:tcPr>
            <w:tcW w:w="1276" w:type="dxa"/>
          </w:tcPr>
          <w:p w:rsidR="00BD12A1" w:rsidRPr="00451270" w:rsidRDefault="00BD12A1" w:rsidP="00156E21">
            <w:pPr>
              <w:overflowPunct w:val="0"/>
              <w:autoSpaceDE w:val="0"/>
              <w:autoSpaceDN w:val="0"/>
              <w:ind w:leftChars="-45" w:left="-108" w:rightChars="-47" w:right="-113"/>
              <w:jc w:val="center"/>
              <w:rPr>
                <w:rFonts w:ascii="Times New Roman" w:eastAsia="標楷體" w:hAnsi="Times New Roman" w:cs="Times New Roman"/>
              </w:rPr>
            </w:pPr>
          </w:p>
        </w:tc>
        <w:tc>
          <w:tcPr>
            <w:tcW w:w="1417" w:type="dxa"/>
          </w:tcPr>
          <w:p w:rsidR="00BD12A1" w:rsidRPr="00451270" w:rsidRDefault="00BD12A1" w:rsidP="00156E21">
            <w:pPr>
              <w:overflowPunct w:val="0"/>
              <w:autoSpaceDE w:val="0"/>
              <w:autoSpaceDN w:val="0"/>
              <w:ind w:leftChars="-45" w:left="-108" w:rightChars="-47" w:right="-113"/>
              <w:jc w:val="center"/>
              <w:rPr>
                <w:rFonts w:ascii="Times New Roman" w:eastAsia="標楷體" w:hAnsi="Times New Roman" w:cs="Times New Roman"/>
              </w:rPr>
            </w:pPr>
          </w:p>
        </w:tc>
        <w:tc>
          <w:tcPr>
            <w:tcW w:w="1350" w:type="dxa"/>
          </w:tcPr>
          <w:p w:rsidR="00BD12A1" w:rsidRPr="00451270" w:rsidRDefault="00BD12A1" w:rsidP="00156E21">
            <w:pPr>
              <w:overflowPunct w:val="0"/>
              <w:autoSpaceDE w:val="0"/>
              <w:autoSpaceDN w:val="0"/>
              <w:ind w:leftChars="-45" w:left="-108" w:rightChars="-47" w:right="-113"/>
              <w:jc w:val="center"/>
              <w:rPr>
                <w:rFonts w:ascii="Times New Roman" w:eastAsia="標楷體" w:hAnsi="Times New Roman" w:cs="Times New Roman"/>
              </w:rPr>
            </w:pPr>
            <w:r w:rsidRPr="00451270">
              <w:rPr>
                <w:rFonts w:ascii="Times New Roman" w:eastAsia="標楷體" w:hAnsi="Times New Roman" w:cs="Times New Roman"/>
              </w:rPr>
              <w:t>Asset</w:t>
            </w:r>
          </w:p>
        </w:tc>
      </w:tr>
      <w:tr w:rsidR="00451270" w:rsidRPr="00451270" w:rsidTr="00F12084">
        <w:trPr>
          <w:tblHeader/>
        </w:trPr>
        <w:tc>
          <w:tcPr>
            <w:tcW w:w="1276" w:type="dxa"/>
          </w:tcPr>
          <w:p w:rsidR="00BD12A1" w:rsidRPr="00451270" w:rsidRDefault="00BD12A1" w:rsidP="00156E21">
            <w:pPr>
              <w:overflowPunct w:val="0"/>
              <w:autoSpaceDE w:val="0"/>
              <w:autoSpaceDN w:val="0"/>
              <w:ind w:leftChars="-45" w:left="-108" w:rightChars="-47" w:right="-113"/>
              <w:jc w:val="center"/>
              <w:rPr>
                <w:rFonts w:ascii="Times New Roman" w:eastAsia="標楷體" w:hAnsi="Times New Roman" w:cs="Times New Roman"/>
              </w:rPr>
            </w:pPr>
            <w:r w:rsidRPr="00451270">
              <w:rPr>
                <w:rFonts w:ascii="Times New Roman" w:eastAsia="標楷體" w:hAnsi="Times New Roman" w:cs="Times New Roman"/>
              </w:rPr>
              <w:t>Year of</w:t>
            </w:r>
          </w:p>
        </w:tc>
        <w:tc>
          <w:tcPr>
            <w:tcW w:w="1985" w:type="dxa"/>
          </w:tcPr>
          <w:p w:rsidR="00BD12A1" w:rsidRPr="00451270" w:rsidRDefault="00BD12A1" w:rsidP="00156E21">
            <w:pPr>
              <w:overflowPunct w:val="0"/>
              <w:autoSpaceDE w:val="0"/>
              <w:autoSpaceDN w:val="0"/>
              <w:ind w:leftChars="-45" w:left="-108" w:rightChars="-47" w:right="-113"/>
              <w:jc w:val="center"/>
              <w:rPr>
                <w:rFonts w:ascii="Times New Roman" w:eastAsia="標楷體" w:hAnsi="Times New Roman" w:cs="Times New Roman"/>
              </w:rPr>
            </w:pPr>
            <w:r w:rsidRPr="00451270">
              <w:rPr>
                <w:rFonts w:ascii="Times New Roman" w:eastAsia="標楷體" w:hAnsi="Times New Roman" w:cs="Times New Roman"/>
              </w:rPr>
              <w:t>valuation as at 30.6</w:t>
            </w:r>
          </w:p>
        </w:tc>
        <w:tc>
          <w:tcPr>
            <w:tcW w:w="1417" w:type="dxa"/>
          </w:tcPr>
          <w:p w:rsidR="00BD12A1" w:rsidRPr="00451270" w:rsidRDefault="00BD12A1" w:rsidP="00156E21">
            <w:pPr>
              <w:overflowPunct w:val="0"/>
              <w:autoSpaceDE w:val="0"/>
              <w:autoSpaceDN w:val="0"/>
              <w:ind w:leftChars="-45" w:left="-108" w:rightChars="-47" w:right="-113"/>
              <w:jc w:val="center"/>
              <w:rPr>
                <w:rFonts w:ascii="Times New Roman" w:eastAsia="標楷體" w:hAnsi="Times New Roman" w:cs="Times New Roman"/>
              </w:rPr>
            </w:pPr>
            <w:r w:rsidRPr="00451270">
              <w:rPr>
                <w:rFonts w:ascii="Times New Roman" w:eastAsia="標楷體" w:hAnsi="Times New Roman" w:cs="Times New Roman"/>
              </w:rPr>
              <w:t>Net Property</w:t>
            </w:r>
          </w:p>
        </w:tc>
        <w:tc>
          <w:tcPr>
            <w:tcW w:w="1276" w:type="dxa"/>
          </w:tcPr>
          <w:p w:rsidR="00BD12A1" w:rsidRPr="00451270" w:rsidRDefault="00BD12A1" w:rsidP="00156E21">
            <w:pPr>
              <w:overflowPunct w:val="0"/>
              <w:autoSpaceDE w:val="0"/>
              <w:autoSpaceDN w:val="0"/>
              <w:ind w:leftChars="-45" w:left="-108" w:rightChars="-47" w:right="-113"/>
              <w:jc w:val="center"/>
              <w:rPr>
                <w:rFonts w:ascii="Times New Roman" w:eastAsia="標楷體" w:hAnsi="Times New Roman" w:cs="Times New Roman"/>
              </w:rPr>
            </w:pPr>
            <w:r w:rsidRPr="00451270">
              <w:rPr>
                <w:rFonts w:ascii="Times New Roman" w:eastAsia="標楷體" w:hAnsi="Times New Roman" w:cs="Times New Roman"/>
              </w:rPr>
              <w:t>Base Fee</w:t>
            </w:r>
          </w:p>
        </w:tc>
        <w:tc>
          <w:tcPr>
            <w:tcW w:w="1417" w:type="dxa"/>
          </w:tcPr>
          <w:p w:rsidR="00BD12A1" w:rsidRPr="00451270" w:rsidRDefault="00BD12A1" w:rsidP="00156E21">
            <w:pPr>
              <w:overflowPunct w:val="0"/>
              <w:autoSpaceDE w:val="0"/>
              <w:autoSpaceDN w:val="0"/>
              <w:ind w:leftChars="-45" w:left="-108" w:rightChars="-47" w:right="-113"/>
              <w:jc w:val="center"/>
              <w:rPr>
                <w:rFonts w:ascii="Times New Roman" w:eastAsia="標楷體" w:hAnsi="Times New Roman" w:cs="Times New Roman"/>
              </w:rPr>
            </w:pPr>
            <w:r w:rsidRPr="00451270">
              <w:rPr>
                <w:rFonts w:ascii="Times New Roman" w:eastAsia="標楷體" w:hAnsi="Times New Roman" w:cs="Times New Roman"/>
              </w:rPr>
              <w:t>Variable Fee</w:t>
            </w:r>
          </w:p>
        </w:tc>
        <w:tc>
          <w:tcPr>
            <w:tcW w:w="1350" w:type="dxa"/>
          </w:tcPr>
          <w:p w:rsidR="00BD12A1" w:rsidRPr="00451270" w:rsidRDefault="00BD12A1" w:rsidP="00156E21">
            <w:pPr>
              <w:overflowPunct w:val="0"/>
              <w:autoSpaceDE w:val="0"/>
              <w:autoSpaceDN w:val="0"/>
              <w:ind w:leftChars="-45" w:left="-108" w:rightChars="-47" w:right="-113"/>
              <w:jc w:val="center"/>
              <w:rPr>
                <w:rFonts w:ascii="Times New Roman" w:eastAsia="標楷體" w:hAnsi="Times New Roman" w:cs="Times New Roman"/>
              </w:rPr>
            </w:pPr>
            <w:r w:rsidRPr="00451270">
              <w:rPr>
                <w:rFonts w:ascii="Times New Roman" w:eastAsia="標楷體" w:hAnsi="Times New Roman" w:cs="Times New Roman"/>
              </w:rPr>
              <w:t>management</w:t>
            </w:r>
          </w:p>
        </w:tc>
      </w:tr>
      <w:tr w:rsidR="00451270" w:rsidRPr="00451270" w:rsidTr="00F12084">
        <w:trPr>
          <w:tblHeader/>
        </w:trPr>
        <w:tc>
          <w:tcPr>
            <w:tcW w:w="1276" w:type="dxa"/>
          </w:tcPr>
          <w:p w:rsidR="00BD12A1" w:rsidRPr="00451270" w:rsidRDefault="00451270" w:rsidP="00156E21">
            <w:pPr>
              <w:overflowPunct w:val="0"/>
              <w:autoSpaceDE w:val="0"/>
              <w:autoSpaceDN w:val="0"/>
              <w:ind w:leftChars="-45" w:left="-108" w:rightChars="-47" w:right="-113"/>
              <w:jc w:val="center"/>
              <w:rPr>
                <w:rFonts w:ascii="Times New Roman" w:eastAsia="標楷體" w:hAnsi="Times New Roman" w:cs="Times New Roman"/>
              </w:rPr>
            </w:pPr>
            <w:r w:rsidRPr="00451270">
              <w:rPr>
                <w:rFonts w:ascii="Times New Roman" w:eastAsia="標楷體" w:hAnsi="Times New Roman" w:cs="Times New Roman"/>
                <w:u w:val="single"/>
              </w:rPr>
              <w:t>Assessment</w:t>
            </w:r>
          </w:p>
        </w:tc>
        <w:tc>
          <w:tcPr>
            <w:tcW w:w="1985" w:type="dxa"/>
          </w:tcPr>
          <w:p w:rsidR="00BD12A1" w:rsidRPr="00451270" w:rsidRDefault="00451270" w:rsidP="00156E21">
            <w:pPr>
              <w:overflowPunct w:val="0"/>
              <w:autoSpaceDE w:val="0"/>
              <w:autoSpaceDN w:val="0"/>
              <w:ind w:leftChars="-45" w:left="-108" w:rightChars="-47" w:right="-113"/>
              <w:jc w:val="center"/>
              <w:rPr>
                <w:rFonts w:ascii="Times New Roman" w:eastAsia="標楷體" w:hAnsi="Times New Roman" w:cs="Times New Roman"/>
              </w:rPr>
            </w:pPr>
            <w:r w:rsidRPr="00451270">
              <w:rPr>
                <w:rFonts w:ascii="Times New Roman" w:eastAsia="標楷體" w:hAnsi="Times New Roman" w:cs="Times New Roman"/>
                <w:u w:val="single"/>
              </w:rPr>
              <w:t>of each year [A]</w:t>
            </w:r>
          </w:p>
        </w:tc>
        <w:tc>
          <w:tcPr>
            <w:tcW w:w="1417" w:type="dxa"/>
          </w:tcPr>
          <w:p w:rsidR="00BD12A1" w:rsidRPr="00451270" w:rsidRDefault="00451270" w:rsidP="00156E21">
            <w:pPr>
              <w:overflowPunct w:val="0"/>
              <w:autoSpaceDE w:val="0"/>
              <w:autoSpaceDN w:val="0"/>
              <w:ind w:leftChars="-45" w:left="-108" w:rightChars="-47" w:right="-113"/>
              <w:jc w:val="center"/>
              <w:rPr>
                <w:rFonts w:ascii="Times New Roman" w:eastAsia="標楷體" w:hAnsi="Times New Roman" w:cs="Times New Roman"/>
              </w:rPr>
            </w:pPr>
            <w:r w:rsidRPr="00451270">
              <w:rPr>
                <w:rFonts w:ascii="Times New Roman" w:eastAsia="標楷體" w:hAnsi="Times New Roman" w:cs="Times New Roman"/>
                <w:u w:val="single"/>
              </w:rPr>
              <w:t>Income [B]</w:t>
            </w:r>
          </w:p>
        </w:tc>
        <w:tc>
          <w:tcPr>
            <w:tcW w:w="1276" w:type="dxa"/>
          </w:tcPr>
          <w:p w:rsidR="00BD12A1" w:rsidRPr="00451270" w:rsidRDefault="00451270" w:rsidP="00156E21">
            <w:pPr>
              <w:overflowPunct w:val="0"/>
              <w:autoSpaceDE w:val="0"/>
              <w:autoSpaceDN w:val="0"/>
              <w:ind w:leftChars="-45" w:left="-108" w:rightChars="-47" w:right="-113"/>
              <w:jc w:val="center"/>
              <w:rPr>
                <w:rFonts w:ascii="Times New Roman" w:eastAsia="標楷體" w:hAnsi="Times New Roman" w:cs="Times New Roman"/>
              </w:rPr>
            </w:pPr>
            <w:r w:rsidRPr="00451270">
              <w:rPr>
                <w:rFonts w:ascii="Times New Roman" w:eastAsia="標楷體" w:hAnsi="Times New Roman" w:cs="Times New Roman"/>
                <w:u w:val="single"/>
              </w:rPr>
              <w:t>[A] x 0.4%</w:t>
            </w:r>
          </w:p>
        </w:tc>
        <w:tc>
          <w:tcPr>
            <w:tcW w:w="1417" w:type="dxa"/>
          </w:tcPr>
          <w:p w:rsidR="00BD12A1" w:rsidRPr="00451270" w:rsidRDefault="00451270" w:rsidP="00156E21">
            <w:pPr>
              <w:overflowPunct w:val="0"/>
              <w:autoSpaceDE w:val="0"/>
              <w:autoSpaceDN w:val="0"/>
              <w:ind w:leftChars="-45" w:left="-108" w:rightChars="-47" w:right="-113"/>
              <w:jc w:val="center"/>
              <w:rPr>
                <w:rFonts w:ascii="Times New Roman" w:eastAsia="標楷體" w:hAnsi="Times New Roman" w:cs="Times New Roman"/>
              </w:rPr>
            </w:pPr>
            <w:r w:rsidRPr="00451270">
              <w:rPr>
                <w:rFonts w:ascii="Times New Roman" w:eastAsia="標楷體" w:hAnsi="Times New Roman" w:cs="Times New Roman"/>
                <w:u w:val="single"/>
              </w:rPr>
              <w:t>[B] x 3%</w:t>
            </w:r>
          </w:p>
        </w:tc>
        <w:tc>
          <w:tcPr>
            <w:tcW w:w="1350" w:type="dxa"/>
          </w:tcPr>
          <w:p w:rsidR="00BD12A1" w:rsidRPr="00451270" w:rsidRDefault="00F12084" w:rsidP="00156E21">
            <w:pPr>
              <w:overflowPunct w:val="0"/>
              <w:autoSpaceDE w:val="0"/>
              <w:autoSpaceDN w:val="0"/>
              <w:ind w:leftChars="-45" w:left="-108" w:rightChars="-47" w:right="-113"/>
              <w:jc w:val="center"/>
              <w:rPr>
                <w:rFonts w:ascii="Times New Roman" w:eastAsia="標楷體" w:hAnsi="Times New Roman" w:cs="Times New Roman"/>
              </w:rPr>
            </w:pPr>
            <w:r>
              <w:rPr>
                <w:rFonts w:ascii="Times New Roman" w:eastAsia="標楷體" w:hAnsi="Times New Roman" w:cs="Times New Roman"/>
                <w:u w:val="single"/>
              </w:rPr>
              <w:t>fees</w:t>
            </w:r>
          </w:p>
        </w:tc>
      </w:tr>
      <w:tr w:rsidR="00451270" w:rsidRPr="00451270" w:rsidTr="00F12084">
        <w:trPr>
          <w:tblHeader/>
        </w:trPr>
        <w:tc>
          <w:tcPr>
            <w:tcW w:w="1276" w:type="dxa"/>
          </w:tcPr>
          <w:p w:rsidR="00451270" w:rsidRPr="00451270" w:rsidRDefault="00451270" w:rsidP="00156E21">
            <w:pPr>
              <w:overflowPunct w:val="0"/>
              <w:autoSpaceDE w:val="0"/>
              <w:autoSpaceDN w:val="0"/>
              <w:ind w:leftChars="-45" w:left="-108" w:rightChars="-47" w:right="-113"/>
              <w:jc w:val="center"/>
              <w:rPr>
                <w:rFonts w:ascii="Times New Roman" w:eastAsia="標楷體" w:hAnsi="Times New Roman" w:cs="Times New Roman"/>
              </w:rPr>
            </w:pPr>
          </w:p>
        </w:tc>
        <w:tc>
          <w:tcPr>
            <w:tcW w:w="1985" w:type="dxa"/>
          </w:tcPr>
          <w:p w:rsidR="00451270" w:rsidRPr="00451270" w:rsidRDefault="00451270" w:rsidP="00156E21">
            <w:pPr>
              <w:overflowPunct w:val="0"/>
              <w:autoSpaceDE w:val="0"/>
              <w:autoSpaceDN w:val="0"/>
              <w:ind w:leftChars="-45" w:left="-108" w:rightChars="-47" w:right="-113"/>
              <w:jc w:val="center"/>
            </w:pPr>
            <w:r w:rsidRPr="00451270">
              <w:rPr>
                <w:rFonts w:ascii="Times New Roman" w:eastAsia="標楷體" w:hAnsi="Times New Roman" w:cs="Times New Roman"/>
              </w:rPr>
              <w:t>$</w:t>
            </w:r>
          </w:p>
        </w:tc>
        <w:tc>
          <w:tcPr>
            <w:tcW w:w="1417" w:type="dxa"/>
          </w:tcPr>
          <w:p w:rsidR="00451270" w:rsidRPr="00451270" w:rsidRDefault="00451270" w:rsidP="00156E21">
            <w:pPr>
              <w:overflowPunct w:val="0"/>
              <w:autoSpaceDE w:val="0"/>
              <w:autoSpaceDN w:val="0"/>
              <w:ind w:leftChars="-45" w:left="-108" w:rightChars="-47" w:right="-113"/>
              <w:jc w:val="center"/>
            </w:pPr>
            <w:r w:rsidRPr="00451270">
              <w:rPr>
                <w:rFonts w:ascii="Times New Roman" w:eastAsia="標楷體" w:hAnsi="Times New Roman" w:cs="Times New Roman"/>
              </w:rPr>
              <w:t>$</w:t>
            </w:r>
          </w:p>
        </w:tc>
        <w:tc>
          <w:tcPr>
            <w:tcW w:w="1276" w:type="dxa"/>
          </w:tcPr>
          <w:p w:rsidR="00451270" w:rsidRPr="00451270" w:rsidRDefault="00451270" w:rsidP="00156E21">
            <w:pPr>
              <w:overflowPunct w:val="0"/>
              <w:autoSpaceDE w:val="0"/>
              <w:autoSpaceDN w:val="0"/>
              <w:ind w:leftChars="-45" w:left="-108" w:rightChars="-47" w:right="-113"/>
              <w:jc w:val="center"/>
            </w:pPr>
            <w:r w:rsidRPr="00451270">
              <w:rPr>
                <w:rFonts w:ascii="Times New Roman" w:eastAsia="標楷體" w:hAnsi="Times New Roman" w:cs="Times New Roman"/>
              </w:rPr>
              <w:t>$</w:t>
            </w:r>
          </w:p>
        </w:tc>
        <w:tc>
          <w:tcPr>
            <w:tcW w:w="1417" w:type="dxa"/>
          </w:tcPr>
          <w:p w:rsidR="00451270" w:rsidRPr="00451270" w:rsidRDefault="00451270" w:rsidP="00156E21">
            <w:pPr>
              <w:overflowPunct w:val="0"/>
              <w:autoSpaceDE w:val="0"/>
              <w:autoSpaceDN w:val="0"/>
              <w:ind w:leftChars="-45" w:left="-108" w:rightChars="-47" w:right="-113"/>
              <w:jc w:val="center"/>
            </w:pPr>
            <w:r w:rsidRPr="00451270">
              <w:rPr>
                <w:rFonts w:ascii="Times New Roman" w:eastAsia="標楷體" w:hAnsi="Times New Roman" w:cs="Times New Roman"/>
              </w:rPr>
              <w:t>$</w:t>
            </w:r>
          </w:p>
        </w:tc>
        <w:tc>
          <w:tcPr>
            <w:tcW w:w="1350" w:type="dxa"/>
          </w:tcPr>
          <w:p w:rsidR="00451270" w:rsidRPr="00451270" w:rsidRDefault="00451270" w:rsidP="00156E21">
            <w:pPr>
              <w:overflowPunct w:val="0"/>
              <w:autoSpaceDE w:val="0"/>
              <w:autoSpaceDN w:val="0"/>
              <w:ind w:leftChars="-45" w:left="-108" w:rightChars="-47" w:right="-113"/>
              <w:jc w:val="center"/>
            </w:pPr>
            <w:r w:rsidRPr="00451270">
              <w:rPr>
                <w:rFonts w:ascii="Times New Roman" w:eastAsia="標楷體" w:hAnsi="Times New Roman" w:cs="Times New Roman"/>
              </w:rPr>
              <w:t>$</w:t>
            </w:r>
          </w:p>
        </w:tc>
      </w:tr>
      <w:tr w:rsidR="00451270" w:rsidRPr="00451270" w:rsidTr="00451270">
        <w:tc>
          <w:tcPr>
            <w:tcW w:w="1276" w:type="dxa"/>
          </w:tcPr>
          <w:p w:rsidR="00BD12A1" w:rsidRPr="00451270" w:rsidRDefault="00451270" w:rsidP="00156E21">
            <w:pPr>
              <w:overflowPunct w:val="0"/>
              <w:autoSpaceDE w:val="0"/>
              <w:autoSpaceDN w:val="0"/>
              <w:ind w:leftChars="-45" w:left="-108" w:rightChars="-47" w:right="-113"/>
              <w:jc w:val="center"/>
              <w:rPr>
                <w:rFonts w:ascii="Times New Roman" w:eastAsia="標楷體" w:hAnsi="Times New Roman" w:cs="Times New Roman"/>
              </w:rPr>
            </w:pPr>
            <w:r w:rsidRPr="00451270">
              <w:rPr>
                <w:rFonts w:ascii="Times New Roman" w:eastAsia="標楷體" w:hAnsi="Times New Roman" w:cs="Times New Roman"/>
              </w:rPr>
              <w:t>2007/08</w:t>
            </w:r>
          </w:p>
        </w:tc>
        <w:tc>
          <w:tcPr>
            <w:tcW w:w="1985" w:type="dxa"/>
          </w:tcPr>
          <w:p w:rsidR="00BD12A1" w:rsidRPr="00451270" w:rsidRDefault="00451270" w:rsidP="00156E21">
            <w:pPr>
              <w:overflowPunct w:val="0"/>
              <w:autoSpaceDE w:val="0"/>
              <w:autoSpaceDN w:val="0"/>
              <w:ind w:leftChars="-45" w:left="-108" w:rightChars="-43" w:right="-103"/>
              <w:jc w:val="center"/>
              <w:rPr>
                <w:rFonts w:ascii="Times New Roman" w:eastAsia="標楷體" w:hAnsi="Times New Roman" w:cs="Times New Roman"/>
              </w:rPr>
            </w:pPr>
            <w:r w:rsidRPr="00451270">
              <w:rPr>
                <w:rFonts w:ascii="Times New Roman" w:eastAsia="標楷體" w:hAnsi="Times New Roman" w:cs="Times New Roman"/>
              </w:rPr>
              <w:t>245,000,000</w:t>
            </w:r>
          </w:p>
        </w:tc>
        <w:tc>
          <w:tcPr>
            <w:tcW w:w="1417" w:type="dxa"/>
          </w:tcPr>
          <w:p w:rsidR="00BD12A1" w:rsidRPr="00451270" w:rsidRDefault="00451270" w:rsidP="00156E21">
            <w:pPr>
              <w:overflowPunct w:val="0"/>
              <w:autoSpaceDE w:val="0"/>
              <w:autoSpaceDN w:val="0"/>
              <w:ind w:leftChars="-45" w:left="-108" w:rightChars="11" w:right="26"/>
              <w:jc w:val="right"/>
              <w:rPr>
                <w:rFonts w:ascii="Times New Roman" w:eastAsia="標楷體" w:hAnsi="Times New Roman" w:cs="Times New Roman"/>
              </w:rPr>
            </w:pPr>
            <w:r w:rsidRPr="00451270">
              <w:rPr>
                <w:rFonts w:ascii="Times New Roman" w:eastAsia="標楷體" w:hAnsi="Times New Roman" w:cs="Times New Roman"/>
              </w:rPr>
              <w:t>3,858,643</w:t>
            </w:r>
          </w:p>
        </w:tc>
        <w:tc>
          <w:tcPr>
            <w:tcW w:w="1276" w:type="dxa"/>
          </w:tcPr>
          <w:p w:rsidR="00BD12A1" w:rsidRPr="00451270" w:rsidRDefault="00451270" w:rsidP="00156E21">
            <w:pPr>
              <w:overflowPunct w:val="0"/>
              <w:autoSpaceDE w:val="0"/>
              <w:autoSpaceDN w:val="0"/>
              <w:ind w:leftChars="-45" w:left="-108" w:rightChars="12" w:right="29"/>
              <w:jc w:val="right"/>
              <w:rPr>
                <w:rFonts w:ascii="Times New Roman" w:eastAsia="標楷體" w:hAnsi="Times New Roman" w:cs="Times New Roman"/>
              </w:rPr>
            </w:pPr>
            <w:r w:rsidRPr="00451270">
              <w:rPr>
                <w:rFonts w:ascii="Times New Roman" w:eastAsia="標楷體" w:hAnsi="Times New Roman" w:cs="Times New Roman"/>
              </w:rPr>
              <w:t>515,506</w:t>
            </w:r>
          </w:p>
        </w:tc>
        <w:tc>
          <w:tcPr>
            <w:tcW w:w="1417" w:type="dxa"/>
          </w:tcPr>
          <w:p w:rsidR="00BD12A1" w:rsidRPr="00451270" w:rsidRDefault="00451270" w:rsidP="00156E21">
            <w:pPr>
              <w:overflowPunct w:val="0"/>
              <w:autoSpaceDE w:val="0"/>
              <w:autoSpaceDN w:val="0"/>
              <w:ind w:leftChars="-45" w:left="-108" w:rightChars="-47" w:right="-113"/>
              <w:jc w:val="center"/>
              <w:rPr>
                <w:rFonts w:ascii="Times New Roman" w:eastAsia="標楷體" w:hAnsi="Times New Roman" w:cs="Times New Roman"/>
              </w:rPr>
            </w:pPr>
            <w:r w:rsidRPr="00451270">
              <w:rPr>
                <w:rFonts w:ascii="Times New Roman" w:eastAsia="標楷體" w:hAnsi="Times New Roman" w:cs="Times New Roman"/>
              </w:rPr>
              <w:t>115,760</w:t>
            </w:r>
          </w:p>
        </w:tc>
        <w:tc>
          <w:tcPr>
            <w:tcW w:w="1350" w:type="dxa"/>
          </w:tcPr>
          <w:p w:rsidR="00BD12A1" w:rsidRPr="00451270" w:rsidRDefault="00451270" w:rsidP="00156E21">
            <w:pPr>
              <w:overflowPunct w:val="0"/>
              <w:autoSpaceDE w:val="0"/>
              <w:autoSpaceDN w:val="0"/>
              <w:ind w:leftChars="-45" w:left="-108" w:rightChars="45" w:right="108"/>
              <w:jc w:val="right"/>
              <w:rPr>
                <w:rFonts w:ascii="Times New Roman" w:eastAsia="標楷體" w:hAnsi="Times New Roman" w:cs="Times New Roman"/>
              </w:rPr>
            </w:pPr>
            <w:r w:rsidRPr="00451270">
              <w:rPr>
                <w:rFonts w:ascii="Times New Roman" w:eastAsia="標楷體" w:hAnsi="Times New Roman" w:cs="Times New Roman"/>
              </w:rPr>
              <w:t>631,266</w:t>
            </w:r>
          </w:p>
        </w:tc>
      </w:tr>
      <w:tr w:rsidR="00451270" w:rsidRPr="00451270" w:rsidTr="00451270">
        <w:tc>
          <w:tcPr>
            <w:tcW w:w="1276" w:type="dxa"/>
          </w:tcPr>
          <w:p w:rsidR="00BD12A1" w:rsidRPr="00451270" w:rsidRDefault="00451270" w:rsidP="00156E21">
            <w:pPr>
              <w:overflowPunct w:val="0"/>
              <w:autoSpaceDE w:val="0"/>
              <w:autoSpaceDN w:val="0"/>
              <w:ind w:leftChars="-45" w:left="-108" w:rightChars="-47" w:right="-113"/>
              <w:jc w:val="center"/>
              <w:rPr>
                <w:rFonts w:ascii="Times New Roman" w:eastAsia="標楷體" w:hAnsi="Times New Roman" w:cs="Times New Roman"/>
              </w:rPr>
            </w:pPr>
            <w:r w:rsidRPr="00451270">
              <w:rPr>
                <w:rFonts w:ascii="Times New Roman" w:eastAsia="標楷體" w:hAnsi="Times New Roman" w:cs="Times New Roman"/>
              </w:rPr>
              <w:t>2008/09</w:t>
            </w:r>
          </w:p>
        </w:tc>
        <w:tc>
          <w:tcPr>
            <w:tcW w:w="1985" w:type="dxa"/>
          </w:tcPr>
          <w:p w:rsidR="00BD12A1" w:rsidRPr="00451270" w:rsidRDefault="00451270" w:rsidP="00156E21">
            <w:pPr>
              <w:overflowPunct w:val="0"/>
              <w:autoSpaceDE w:val="0"/>
              <w:autoSpaceDN w:val="0"/>
              <w:ind w:leftChars="-45" w:left="-108" w:rightChars="-43" w:right="-103"/>
              <w:jc w:val="center"/>
              <w:rPr>
                <w:rFonts w:ascii="Times New Roman" w:eastAsia="標楷體" w:hAnsi="Times New Roman" w:cs="Times New Roman"/>
              </w:rPr>
            </w:pPr>
            <w:r w:rsidRPr="00451270">
              <w:rPr>
                <w:rFonts w:ascii="Times New Roman" w:eastAsia="標楷體" w:hAnsi="Times New Roman" w:cs="Times New Roman"/>
              </w:rPr>
              <w:t>277,000,000</w:t>
            </w:r>
          </w:p>
        </w:tc>
        <w:tc>
          <w:tcPr>
            <w:tcW w:w="1417" w:type="dxa"/>
          </w:tcPr>
          <w:p w:rsidR="00BD12A1" w:rsidRPr="00451270" w:rsidRDefault="00451270" w:rsidP="00156E21">
            <w:pPr>
              <w:overflowPunct w:val="0"/>
              <w:autoSpaceDE w:val="0"/>
              <w:autoSpaceDN w:val="0"/>
              <w:ind w:leftChars="-45" w:left="-108" w:rightChars="11" w:right="26"/>
              <w:jc w:val="right"/>
              <w:rPr>
                <w:rFonts w:ascii="Times New Roman" w:eastAsia="標楷體" w:hAnsi="Times New Roman" w:cs="Times New Roman"/>
              </w:rPr>
            </w:pPr>
            <w:r w:rsidRPr="00451270">
              <w:rPr>
                <w:rFonts w:ascii="Times New Roman" w:eastAsia="標楷體" w:hAnsi="Times New Roman" w:cs="Times New Roman"/>
              </w:rPr>
              <w:t>9,479,905</w:t>
            </w:r>
          </w:p>
        </w:tc>
        <w:tc>
          <w:tcPr>
            <w:tcW w:w="1276" w:type="dxa"/>
          </w:tcPr>
          <w:p w:rsidR="00BD12A1" w:rsidRPr="00451270" w:rsidRDefault="00451270" w:rsidP="00156E21">
            <w:pPr>
              <w:overflowPunct w:val="0"/>
              <w:autoSpaceDE w:val="0"/>
              <w:autoSpaceDN w:val="0"/>
              <w:ind w:leftChars="-45" w:left="-108" w:rightChars="12" w:right="29"/>
              <w:jc w:val="right"/>
              <w:rPr>
                <w:rFonts w:ascii="Times New Roman" w:eastAsia="標楷體" w:hAnsi="Times New Roman" w:cs="Times New Roman"/>
              </w:rPr>
            </w:pPr>
            <w:r w:rsidRPr="00451270">
              <w:rPr>
                <w:rFonts w:ascii="Times New Roman" w:eastAsia="標楷體" w:hAnsi="Times New Roman" w:cs="Times New Roman"/>
              </w:rPr>
              <w:t>1,108,000</w:t>
            </w:r>
          </w:p>
        </w:tc>
        <w:tc>
          <w:tcPr>
            <w:tcW w:w="1417" w:type="dxa"/>
          </w:tcPr>
          <w:p w:rsidR="00BD12A1" w:rsidRPr="00451270" w:rsidRDefault="00451270" w:rsidP="00156E21">
            <w:pPr>
              <w:overflowPunct w:val="0"/>
              <w:autoSpaceDE w:val="0"/>
              <w:autoSpaceDN w:val="0"/>
              <w:ind w:leftChars="-45" w:left="-108" w:rightChars="-47" w:right="-113"/>
              <w:jc w:val="center"/>
              <w:rPr>
                <w:rFonts w:ascii="Times New Roman" w:eastAsia="標楷體" w:hAnsi="Times New Roman" w:cs="Times New Roman"/>
              </w:rPr>
            </w:pPr>
            <w:r w:rsidRPr="00451270">
              <w:rPr>
                <w:rFonts w:ascii="Times New Roman" w:eastAsia="標楷體" w:hAnsi="Times New Roman" w:cs="Times New Roman"/>
              </w:rPr>
              <w:t>284,397</w:t>
            </w:r>
          </w:p>
        </w:tc>
        <w:tc>
          <w:tcPr>
            <w:tcW w:w="1350" w:type="dxa"/>
          </w:tcPr>
          <w:p w:rsidR="00BD12A1" w:rsidRPr="00451270" w:rsidRDefault="00451270" w:rsidP="00156E21">
            <w:pPr>
              <w:overflowPunct w:val="0"/>
              <w:autoSpaceDE w:val="0"/>
              <w:autoSpaceDN w:val="0"/>
              <w:ind w:leftChars="-45" w:left="-108" w:rightChars="45" w:right="108"/>
              <w:jc w:val="right"/>
              <w:rPr>
                <w:rFonts w:ascii="Times New Roman" w:eastAsia="標楷體" w:hAnsi="Times New Roman" w:cs="Times New Roman"/>
              </w:rPr>
            </w:pPr>
            <w:r w:rsidRPr="00451270">
              <w:rPr>
                <w:rFonts w:ascii="Times New Roman" w:eastAsia="標楷體" w:hAnsi="Times New Roman" w:cs="Times New Roman"/>
              </w:rPr>
              <w:t>1,392,397</w:t>
            </w:r>
          </w:p>
        </w:tc>
      </w:tr>
      <w:tr w:rsidR="00451270" w:rsidRPr="00451270" w:rsidTr="00451270">
        <w:tc>
          <w:tcPr>
            <w:tcW w:w="1276" w:type="dxa"/>
          </w:tcPr>
          <w:p w:rsidR="00BD12A1" w:rsidRPr="00451270" w:rsidRDefault="00451270" w:rsidP="00156E21">
            <w:pPr>
              <w:overflowPunct w:val="0"/>
              <w:autoSpaceDE w:val="0"/>
              <w:autoSpaceDN w:val="0"/>
              <w:ind w:leftChars="-45" w:left="-108" w:rightChars="-47" w:right="-113"/>
              <w:jc w:val="center"/>
              <w:rPr>
                <w:rFonts w:ascii="Times New Roman" w:eastAsia="標楷體" w:hAnsi="Times New Roman" w:cs="Times New Roman"/>
              </w:rPr>
            </w:pPr>
            <w:r w:rsidRPr="00451270">
              <w:rPr>
                <w:rFonts w:ascii="Times New Roman" w:eastAsia="標楷體" w:hAnsi="Times New Roman" w:cs="Times New Roman"/>
                <w:lang w:eastAsia="zh-TW"/>
              </w:rPr>
              <w:t>2009/10</w:t>
            </w:r>
          </w:p>
        </w:tc>
        <w:tc>
          <w:tcPr>
            <w:tcW w:w="1985" w:type="dxa"/>
          </w:tcPr>
          <w:p w:rsidR="00BD12A1" w:rsidRPr="00451270" w:rsidRDefault="00451270" w:rsidP="00156E21">
            <w:pPr>
              <w:overflowPunct w:val="0"/>
              <w:autoSpaceDE w:val="0"/>
              <w:autoSpaceDN w:val="0"/>
              <w:ind w:leftChars="-45" w:left="-108" w:rightChars="-43" w:right="-103"/>
              <w:jc w:val="center"/>
              <w:rPr>
                <w:rFonts w:ascii="Times New Roman" w:eastAsia="標楷體" w:hAnsi="Times New Roman" w:cs="Times New Roman"/>
              </w:rPr>
            </w:pPr>
            <w:r w:rsidRPr="00451270">
              <w:rPr>
                <w:rFonts w:ascii="Times New Roman" w:eastAsia="標楷體" w:hAnsi="Times New Roman" w:cs="Times New Roman"/>
                <w:lang w:eastAsia="zh-TW"/>
              </w:rPr>
              <w:t>258,000,000</w:t>
            </w:r>
          </w:p>
        </w:tc>
        <w:tc>
          <w:tcPr>
            <w:tcW w:w="1417" w:type="dxa"/>
          </w:tcPr>
          <w:p w:rsidR="00BD12A1" w:rsidRPr="00451270" w:rsidRDefault="00451270" w:rsidP="00156E21">
            <w:pPr>
              <w:overflowPunct w:val="0"/>
              <w:autoSpaceDE w:val="0"/>
              <w:autoSpaceDN w:val="0"/>
              <w:ind w:leftChars="-45" w:left="-108" w:rightChars="11" w:right="26"/>
              <w:jc w:val="right"/>
              <w:rPr>
                <w:rFonts w:ascii="Times New Roman" w:eastAsia="標楷體" w:hAnsi="Times New Roman" w:cs="Times New Roman"/>
              </w:rPr>
            </w:pPr>
            <w:r w:rsidRPr="00451270">
              <w:rPr>
                <w:rFonts w:ascii="Times New Roman" w:eastAsia="標楷體" w:hAnsi="Times New Roman" w:cs="Times New Roman"/>
                <w:lang w:eastAsia="zh-TW"/>
              </w:rPr>
              <w:t>10,096,185</w:t>
            </w:r>
          </w:p>
        </w:tc>
        <w:tc>
          <w:tcPr>
            <w:tcW w:w="1276" w:type="dxa"/>
          </w:tcPr>
          <w:p w:rsidR="00BD12A1" w:rsidRPr="00451270" w:rsidRDefault="00451270" w:rsidP="00156E21">
            <w:pPr>
              <w:overflowPunct w:val="0"/>
              <w:autoSpaceDE w:val="0"/>
              <w:autoSpaceDN w:val="0"/>
              <w:ind w:leftChars="-45" w:left="-108" w:rightChars="12" w:right="29"/>
              <w:jc w:val="right"/>
              <w:rPr>
                <w:rFonts w:ascii="Times New Roman" w:eastAsia="標楷體" w:hAnsi="Times New Roman" w:cs="Times New Roman"/>
              </w:rPr>
            </w:pPr>
            <w:r w:rsidRPr="00451270">
              <w:rPr>
                <w:rFonts w:ascii="Times New Roman" w:eastAsia="標楷體" w:hAnsi="Times New Roman" w:cs="Times New Roman"/>
                <w:lang w:eastAsia="zh-TW"/>
              </w:rPr>
              <w:t>1,032,000</w:t>
            </w:r>
          </w:p>
        </w:tc>
        <w:tc>
          <w:tcPr>
            <w:tcW w:w="1417" w:type="dxa"/>
          </w:tcPr>
          <w:p w:rsidR="00BD12A1" w:rsidRPr="00451270" w:rsidRDefault="00451270" w:rsidP="00156E21">
            <w:pPr>
              <w:overflowPunct w:val="0"/>
              <w:autoSpaceDE w:val="0"/>
              <w:autoSpaceDN w:val="0"/>
              <w:ind w:leftChars="-45" w:left="-108" w:rightChars="-47" w:right="-113"/>
              <w:jc w:val="center"/>
              <w:rPr>
                <w:rFonts w:ascii="Times New Roman" w:eastAsia="標楷體" w:hAnsi="Times New Roman" w:cs="Times New Roman"/>
              </w:rPr>
            </w:pPr>
            <w:r w:rsidRPr="00451270">
              <w:rPr>
                <w:rFonts w:ascii="Times New Roman" w:eastAsia="標楷體" w:hAnsi="Times New Roman" w:cs="Times New Roman"/>
                <w:lang w:eastAsia="zh-TW"/>
              </w:rPr>
              <w:t>302,886</w:t>
            </w:r>
          </w:p>
        </w:tc>
        <w:tc>
          <w:tcPr>
            <w:tcW w:w="1350" w:type="dxa"/>
          </w:tcPr>
          <w:p w:rsidR="00BD12A1" w:rsidRPr="00451270" w:rsidRDefault="00451270" w:rsidP="00156E21">
            <w:pPr>
              <w:overflowPunct w:val="0"/>
              <w:autoSpaceDE w:val="0"/>
              <w:autoSpaceDN w:val="0"/>
              <w:ind w:leftChars="-45" w:left="-108" w:rightChars="45" w:right="108"/>
              <w:jc w:val="right"/>
              <w:rPr>
                <w:rFonts w:ascii="Times New Roman" w:eastAsia="標楷體" w:hAnsi="Times New Roman" w:cs="Times New Roman"/>
              </w:rPr>
            </w:pPr>
            <w:r w:rsidRPr="00451270">
              <w:rPr>
                <w:rFonts w:ascii="Times New Roman" w:eastAsia="標楷體" w:hAnsi="Times New Roman" w:cs="Times New Roman"/>
                <w:lang w:eastAsia="zh-TW"/>
              </w:rPr>
              <w:t>1,334,886</w:t>
            </w:r>
          </w:p>
        </w:tc>
      </w:tr>
      <w:tr w:rsidR="00451270" w:rsidRPr="00451270" w:rsidTr="00451270">
        <w:tc>
          <w:tcPr>
            <w:tcW w:w="1276" w:type="dxa"/>
          </w:tcPr>
          <w:p w:rsidR="00BD12A1" w:rsidRPr="00451270" w:rsidRDefault="00451270" w:rsidP="00156E21">
            <w:pPr>
              <w:overflowPunct w:val="0"/>
              <w:autoSpaceDE w:val="0"/>
              <w:autoSpaceDN w:val="0"/>
              <w:ind w:leftChars="-45" w:left="-108" w:rightChars="-47" w:right="-113"/>
              <w:jc w:val="center"/>
              <w:rPr>
                <w:rFonts w:ascii="Times New Roman" w:eastAsia="標楷體" w:hAnsi="Times New Roman" w:cs="Times New Roman"/>
              </w:rPr>
            </w:pPr>
            <w:r w:rsidRPr="00451270">
              <w:rPr>
                <w:rFonts w:ascii="Times New Roman" w:eastAsia="標楷體" w:hAnsi="Times New Roman" w:cs="Times New Roman"/>
                <w:lang w:eastAsia="zh-TW"/>
              </w:rPr>
              <w:t>2010/11</w:t>
            </w:r>
          </w:p>
        </w:tc>
        <w:tc>
          <w:tcPr>
            <w:tcW w:w="1985" w:type="dxa"/>
          </w:tcPr>
          <w:p w:rsidR="00BD12A1" w:rsidRPr="00451270" w:rsidRDefault="00451270" w:rsidP="00156E21">
            <w:pPr>
              <w:overflowPunct w:val="0"/>
              <w:autoSpaceDE w:val="0"/>
              <w:autoSpaceDN w:val="0"/>
              <w:ind w:leftChars="-45" w:left="-108" w:rightChars="-43" w:right="-103"/>
              <w:jc w:val="center"/>
              <w:rPr>
                <w:rFonts w:ascii="Times New Roman" w:eastAsia="標楷體" w:hAnsi="Times New Roman" w:cs="Times New Roman"/>
              </w:rPr>
            </w:pPr>
            <w:r w:rsidRPr="00451270">
              <w:rPr>
                <w:rFonts w:ascii="Times New Roman" w:eastAsia="標楷體" w:hAnsi="Times New Roman" w:cs="Times New Roman"/>
                <w:lang w:eastAsia="zh-TW"/>
              </w:rPr>
              <w:t>302,000,000</w:t>
            </w:r>
          </w:p>
        </w:tc>
        <w:tc>
          <w:tcPr>
            <w:tcW w:w="1417" w:type="dxa"/>
          </w:tcPr>
          <w:p w:rsidR="00BD12A1" w:rsidRPr="00451270" w:rsidRDefault="00451270" w:rsidP="00156E21">
            <w:pPr>
              <w:overflowPunct w:val="0"/>
              <w:autoSpaceDE w:val="0"/>
              <w:autoSpaceDN w:val="0"/>
              <w:ind w:leftChars="-45" w:left="-108" w:rightChars="11" w:right="26"/>
              <w:jc w:val="right"/>
              <w:rPr>
                <w:rFonts w:ascii="Times New Roman" w:eastAsia="標楷體" w:hAnsi="Times New Roman" w:cs="Times New Roman"/>
              </w:rPr>
            </w:pPr>
            <w:r w:rsidRPr="00451270">
              <w:rPr>
                <w:rFonts w:ascii="Times New Roman" w:eastAsia="標楷體" w:hAnsi="Times New Roman" w:cs="Times New Roman"/>
                <w:lang w:eastAsia="zh-TW"/>
              </w:rPr>
              <w:t>9,559,641</w:t>
            </w:r>
          </w:p>
        </w:tc>
        <w:tc>
          <w:tcPr>
            <w:tcW w:w="1276" w:type="dxa"/>
          </w:tcPr>
          <w:p w:rsidR="00BD12A1" w:rsidRPr="00451270" w:rsidRDefault="00451270" w:rsidP="00156E21">
            <w:pPr>
              <w:overflowPunct w:val="0"/>
              <w:autoSpaceDE w:val="0"/>
              <w:autoSpaceDN w:val="0"/>
              <w:ind w:leftChars="-45" w:left="-108" w:rightChars="12" w:right="29"/>
              <w:jc w:val="right"/>
              <w:rPr>
                <w:rFonts w:ascii="Times New Roman" w:eastAsia="標楷體" w:hAnsi="Times New Roman" w:cs="Times New Roman"/>
              </w:rPr>
            </w:pPr>
            <w:r w:rsidRPr="00451270">
              <w:rPr>
                <w:rFonts w:ascii="Times New Roman" w:eastAsia="標楷體" w:hAnsi="Times New Roman" w:cs="Times New Roman"/>
                <w:lang w:eastAsia="zh-TW"/>
              </w:rPr>
              <w:t>1,208,000</w:t>
            </w:r>
          </w:p>
        </w:tc>
        <w:tc>
          <w:tcPr>
            <w:tcW w:w="1417" w:type="dxa"/>
          </w:tcPr>
          <w:p w:rsidR="00BD12A1" w:rsidRPr="00451270" w:rsidRDefault="00451270" w:rsidP="00156E21">
            <w:pPr>
              <w:overflowPunct w:val="0"/>
              <w:autoSpaceDE w:val="0"/>
              <w:autoSpaceDN w:val="0"/>
              <w:ind w:leftChars="-45" w:left="-108" w:rightChars="-47" w:right="-113"/>
              <w:jc w:val="center"/>
              <w:rPr>
                <w:rFonts w:ascii="Times New Roman" w:eastAsia="標楷體" w:hAnsi="Times New Roman" w:cs="Times New Roman"/>
              </w:rPr>
            </w:pPr>
            <w:r w:rsidRPr="00451270">
              <w:rPr>
                <w:rFonts w:ascii="Times New Roman" w:eastAsia="標楷體" w:hAnsi="Times New Roman" w:cs="Times New Roman"/>
                <w:lang w:eastAsia="zh-TW"/>
              </w:rPr>
              <w:t>286,789</w:t>
            </w:r>
          </w:p>
        </w:tc>
        <w:tc>
          <w:tcPr>
            <w:tcW w:w="1350" w:type="dxa"/>
          </w:tcPr>
          <w:p w:rsidR="00BD12A1" w:rsidRPr="00451270" w:rsidRDefault="00451270" w:rsidP="00156E21">
            <w:pPr>
              <w:overflowPunct w:val="0"/>
              <w:autoSpaceDE w:val="0"/>
              <w:autoSpaceDN w:val="0"/>
              <w:ind w:leftChars="-45" w:left="-108" w:rightChars="45" w:right="108"/>
              <w:jc w:val="right"/>
              <w:rPr>
                <w:rFonts w:ascii="Times New Roman" w:eastAsia="標楷體" w:hAnsi="Times New Roman" w:cs="Times New Roman"/>
              </w:rPr>
            </w:pPr>
            <w:r w:rsidRPr="00451270">
              <w:rPr>
                <w:rFonts w:ascii="Times New Roman" w:eastAsia="標楷體" w:hAnsi="Times New Roman" w:cs="Times New Roman"/>
                <w:lang w:eastAsia="zh-TW"/>
              </w:rPr>
              <w:t>1,494,789</w:t>
            </w:r>
          </w:p>
        </w:tc>
      </w:tr>
      <w:tr w:rsidR="00451270" w:rsidRPr="00451270" w:rsidTr="00451270">
        <w:tc>
          <w:tcPr>
            <w:tcW w:w="1276" w:type="dxa"/>
          </w:tcPr>
          <w:p w:rsidR="00451270" w:rsidRPr="00451270" w:rsidRDefault="00451270" w:rsidP="00156E21">
            <w:pPr>
              <w:overflowPunct w:val="0"/>
              <w:autoSpaceDE w:val="0"/>
              <w:autoSpaceDN w:val="0"/>
              <w:ind w:leftChars="-45" w:left="-108" w:rightChars="-47" w:right="-113"/>
              <w:jc w:val="center"/>
              <w:rPr>
                <w:rFonts w:ascii="Times New Roman" w:eastAsia="標楷體" w:hAnsi="Times New Roman" w:cs="Times New Roman"/>
              </w:rPr>
            </w:pPr>
            <w:r w:rsidRPr="00451270">
              <w:rPr>
                <w:rFonts w:ascii="Times New Roman" w:eastAsia="標楷體" w:hAnsi="Times New Roman" w:cs="Times New Roman"/>
                <w:lang w:eastAsia="zh-TW"/>
              </w:rPr>
              <w:t>2011/12</w:t>
            </w:r>
          </w:p>
        </w:tc>
        <w:tc>
          <w:tcPr>
            <w:tcW w:w="1985" w:type="dxa"/>
          </w:tcPr>
          <w:p w:rsidR="00451270" w:rsidRPr="00451270" w:rsidRDefault="00451270" w:rsidP="00156E21">
            <w:pPr>
              <w:overflowPunct w:val="0"/>
              <w:autoSpaceDE w:val="0"/>
              <w:autoSpaceDN w:val="0"/>
              <w:ind w:leftChars="-45" w:left="-108" w:rightChars="-43" w:right="-103"/>
              <w:jc w:val="center"/>
              <w:rPr>
                <w:rFonts w:ascii="Times New Roman" w:eastAsia="標楷體" w:hAnsi="Times New Roman" w:cs="Times New Roman"/>
              </w:rPr>
            </w:pPr>
            <w:r w:rsidRPr="00451270">
              <w:rPr>
                <w:rFonts w:ascii="Times New Roman" w:eastAsia="標楷體" w:hAnsi="Times New Roman" w:cs="Times New Roman"/>
                <w:lang w:eastAsia="zh-TW"/>
              </w:rPr>
              <w:t>363,000,000</w:t>
            </w:r>
          </w:p>
        </w:tc>
        <w:tc>
          <w:tcPr>
            <w:tcW w:w="1417" w:type="dxa"/>
          </w:tcPr>
          <w:p w:rsidR="00451270" w:rsidRPr="00451270" w:rsidRDefault="00451270" w:rsidP="00156E21">
            <w:pPr>
              <w:overflowPunct w:val="0"/>
              <w:autoSpaceDE w:val="0"/>
              <w:autoSpaceDN w:val="0"/>
              <w:ind w:leftChars="-45" w:left="-108" w:rightChars="11" w:right="26"/>
              <w:jc w:val="right"/>
              <w:rPr>
                <w:rFonts w:ascii="Times New Roman" w:eastAsia="標楷體" w:hAnsi="Times New Roman" w:cs="Times New Roman"/>
              </w:rPr>
            </w:pPr>
            <w:r w:rsidRPr="00451270">
              <w:rPr>
                <w:rFonts w:ascii="Times New Roman" w:eastAsia="標楷體" w:hAnsi="Times New Roman" w:cs="Times New Roman"/>
                <w:lang w:eastAsia="zh-TW"/>
              </w:rPr>
              <w:t>10,453,635</w:t>
            </w:r>
          </w:p>
        </w:tc>
        <w:tc>
          <w:tcPr>
            <w:tcW w:w="1276" w:type="dxa"/>
          </w:tcPr>
          <w:p w:rsidR="00451270" w:rsidRPr="00451270" w:rsidRDefault="00451270" w:rsidP="00156E21">
            <w:pPr>
              <w:overflowPunct w:val="0"/>
              <w:autoSpaceDE w:val="0"/>
              <w:autoSpaceDN w:val="0"/>
              <w:ind w:leftChars="-45" w:left="-108" w:rightChars="12" w:right="29"/>
              <w:jc w:val="right"/>
              <w:rPr>
                <w:rFonts w:ascii="Times New Roman" w:eastAsia="標楷體" w:hAnsi="Times New Roman" w:cs="Times New Roman"/>
              </w:rPr>
            </w:pPr>
            <w:r w:rsidRPr="00451270">
              <w:rPr>
                <w:rFonts w:ascii="Times New Roman" w:eastAsia="標楷體" w:hAnsi="Times New Roman" w:cs="Times New Roman"/>
                <w:lang w:eastAsia="zh-TW"/>
              </w:rPr>
              <w:t>1,452,000</w:t>
            </w:r>
          </w:p>
        </w:tc>
        <w:tc>
          <w:tcPr>
            <w:tcW w:w="1417" w:type="dxa"/>
          </w:tcPr>
          <w:p w:rsidR="00451270" w:rsidRPr="00451270" w:rsidRDefault="00451270" w:rsidP="00156E21">
            <w:pPr>
              <w:overflowPunct w:val="0"/>
              <w:autoSpaceDE w:val="0"/>
              <w:autoSpaceDN w:val="0"/>
              <w:ind w:leftChars="-45" w:left="-108" w:rightChars="-47" w:right="-113"/>
              <w:jc w:val="center"/>
              <w:rPr>
                <w:rFonts w:ascii="Times New Roman" w:eastAsia="標楷體" w:hAnsi="Times New Roman" w:cs="Times New Roman"/>
              </w:rPr>
            </w:pPr>
            <w:r w:rsidRPr="00451270">
              <w:rPr>
                <w:rFonts w:ascii="Times New Roman" w:eastAsia="標楷體" w:hAnsi="Times New Roman" w:cs="Times New Roman"/>
                <w:lang w:eastAsia="zh-TW"/>
              </w:rPr>
              <w:t>313,609</w:t>
            </w:r>
          </w:p>
        </w:tc>
        <w:tc>
          <w:tcPr>
            <w:tcW w:w="1350" w:type="dxa"/>
          </w:tcPr>
          <w:p w:rsidR="00451270" w:rsidRPr="00451270" w:rsidRDefault="00451270" w:rsidP="00156E21">
            <w:pPr>
              <w:overflowPunct w:val="0"/>
              <w:autoSpaceDE w:val="0"/>
              <w:autoSpaceDN w:val="0"/>
              <w:ind w:leftChars="-45" w:left="-108" w:rightChars="45" w:right="108"/>
              <w:jc w:val="right"/>
              <w:rPr>
                <w:rFonts w:ascii="Times New Roman" w:eastAsia="標楷體" w:hAnsi="Times New Roman" w:cs="Times New Roman"/>
              </w:rPr>
            </w:pPr>
            <w:r w:rsidRPr="00451270">
              <w:rPr>
                <w:rFonts w:ascii="Times New Roman" w:eastAsia="標楷體" w:hAnsi="Times New Roman" w:cs="Times New Roman"/>
                <w:lang w:eastAsia="zh-TW"/>
              </w:rPr>
              <w:t>1,765,609</w:t>
            </w:r>
          </w:p>
        </w:tc>
      </w:tr>
      <w:tr w:rsidR="00451270" w:rsidRPr="00451270" w:rsidTr="00451270">
        <w:tc>
          <w:tcPr>
            <w:tcW w:w="1276" w:type="dxa"/>
          </w:tcPr>
          <w:p w:rsidR="00451270" w:rsidRPr="00451270" w:rsidRDefault="00451270" w:rsidP="00156E21">
            <w:pPr>
              <w:overflowPunct w:val="0"/>
              <w:autoSpaceDE w:val="0"/>
              <w:autoSpaceDN w:val="0"/>
              <w:ind w:leftChars="-45" w:left="-108" w:rightChars="-47" w:right="-113"/>
              <w:jc w:val="center"/>
              <w:rPr>
                <w:rFonts w:ascii="Times New Roman" w:eastAsia="標楷體" w:hAnsi="Times New Roman" w:cs="Times New Roman"/>
              </w:rPr>
            </w:pPr>
            <w:r w:rsidRPr="00451270">
              <w:rPr>
                <w:rFonts w:ascii="Times New Roman" w:eastAsia="標楷體" w:hAnsi="Times New Roman" w:cs="Times New Roman"/>
                <w:lang w:eastAsia="zh-TW"/>
              </w:rPr>
              <w:t>2012/13</w:t>
            </w:r>
          </w:p>
        </w:tc>
        <w:tc>
          <w:tcPr>
            <w:tcW w:w="1985" w:type="dxa"/>
          </w:tcPr>
          <w:p w:rsidR="00451270" w:rsidRPr="00451270" w:rsidRDefault="00451270" w:rsidP="00156E21">
            <w:pPr>
              <w:overflowPunct w:val="0"/>
              <w:autoSpaceDE w:val="0"/>
              <w:autoSpaceDN w:val="0"/>
              <w:ind w:leftChars="-45" w:left="-108" w:rightChars="-43" w:right="-103"/>
              <w:jc w:val="center"/>
              <w:rPr>
                <w:rFonts w:ascii="Times New Roman" w:eastAsia="標楷體" w:hAnsi="Times New Roman" w:cs="Times New Roman"/>
              </w:rPr>
            </w:pPr>
            <w:r w:rsidRPr="00451270">
              <w:rPr>
                <w:rFonts w:ascii="Times New Roman" w:eastAsia="標楷體" w:hAnsi="Times New Roman" w:cs="Times New Roman"/>
                <w:lang w:eastAsia="zh-TW"/>
              </w:rPr>
              <w:t>376,000,000</w:t>
            </w:r>
          </w:p>
        </w:tc>
        <w:tc>
          <w:tcPr>
            <w:tcW w:w="1417" w:type="dxa"/>
          </w:tcPr>
          <w:p w:rsidR="00451270" w:rsidRPr="00451270" w:rsidRDefault="00451270" w:rsidP="00156E21">
            <w:pPr>
              <w:overflowPunct w:val="0"/>
              <w:autoSpaceDE w:val="0"/>
              <w:autoSpaceDN w:val="0"/>
              <w:ind w:leftChars="-45" w:left="-108" w:rightChars="11" w:right="26"/>
              <w:jc w:val="right"/>
              <w:rPr>
                <w:rFonts w:ascii="Times New Roman" w:eastAsia="標楷體" w:hAnsi="Times New Roman" w:cs="Times New Roman"/>
              </w:rPr>
            </w:pPr>
            <w:r w:rsidRPr="00451270">
              <w:rPr>
                <w:rFonts w:ascii="Times New Roman" w:eastAsia="標楷體" w:hAnsi="Times New Roman" w:cs="Times New Roman"/>
                <w:lang w:eastAsia="zh-TW"/>
              </w:rPr>
              <w:t>12,080,127</w:t>
            </w:r>
          </w:p>
        </w:tc>
        <w:tc>
          <w:tcPr>
            <w:tcW w:w="1276" w:type="dxa"/>
          </w:tcPr>
          <w:p w:rsidR="00451270" w:rsidRPr="00451270" w:rsidRDefault="00451270" w:rsidP="00156E21">
            <w:pPr>
              <w:overflowPunct w:val="0"/>
              <w:autoSpaceDE w:val="0"/>
              <w:autoSpaceDN w:val="0"/>
              <w:ind w:leftChars="-45" w:left="-108" w:rightChars="12" w:right="29"/>
              <w:jc w:val="right"/>
              <w:rPr>
                <w:rFonts w:ascii="Times New Roman" w:eastAsia="標楷體" w:hAnsi="Times New Roman" w:cs="Times New Roman"/>
              </w:rPr>
            </w:pPr>
            <w:r w:rsidRPr="00451270">
              <w:rPr>
                <w:rFonts w:ascii="Times New Roman" w:eastAsia="標楷體" w:hAnsi="Times New Roman" w:cs="Times New Roman"/>
                <w:lang w:eastAsia="zh-TW"/>
              </w:rPr>
              <w:t>1,504,000</w:t>
            </w:r>
          </w:p>
        </w:tc>
        <w:tc>
          <w:tcPr>
            <w:tcW w:w="1417" w:type="dxa"/>
          </w:tcPr>
          <w:p w:rsidR="00451270" w:rsidRPr="00451270" w:rsidRDefault="00451270" w:rsidP="00156E21">
            <w:pPr>
              <w:overflowPunct w:val="0"/>
              <w:autoSpaceDE w:val="0"/>
              <w:autoSpaceDN w:val="0"/>
              <w:ind w:leftChars="-45" w:left="-108" w:rightChars="-47" w:right="-113"/>
              <w:jc w:val="center"/>
              <w:rPr>
                <w:rFonts w:ascii="Times New Roman" w:eastAsia="標楷體" w:hAnsi="Times New Roman" w:cs="Times New Roman"/>
              </w:rPr>
            </w:pPr>
            <w:r w:rsidRPr="00451270">
              <w:rPr>
                <w:rFonts w:ascii="Times New Roman" w:eastAsia="標楷體" w:hAnsi="Times New Roman" w:cs="Times New Roman"/>
                <w:lang w:eastAsia="zh-TW"/>
              </w:rPr>
              <w:t>362,404</w:t>
            </w:r>
          </w:p>
        </w:tc>
        <w:tc>
          <w:tcPr>
            <w:tcW w:w="1350" w:type="dxa"/>
          </w:tcPr>
          <w:p w:rsidR="00451270" w:rsidRPr="00451270" w:rsidRDefault="00451270" w:rsidP="00156E21">
            <w:pPr>
              <w:overflowPunct w:val="0"/>
              <w:autoSpaceDE w:val="0"/>
              <w:autoSpaceDN w:val="0"/>
              <w:ind w:leftChars="-45" w:left="-108" w:rightChars="45" w:right="108"/>
              <w:jc w:val="right"/>
              <w:rPr>
                <w:rFonts w:ascii="Times New Roman" w:eastAsia="標楷體" w:hAnsi="Times New Roman" w:cs="Times New Roman"/>
              </w:rPr>
            </w:pPr>
            <w:r w:rsidRPr="00451270">
              <w:rPr>
                <w:rFonts w:ascii="Times New Roman" w:eastAsia="標楷體" w:hAnsi="Times New Roman" w:cs="Times New Roman"/>
                <w:lang w:eastAsia="zh-TW"/>
              </w:rPr>
              <w:t>1,866,404</w:t>
            </w:r>
          </w:p>
        </w:tc>
      </w:tr>
      <w:tr w:rsidR="00451270" w:rsidRPr="00451270" w:rsidTr="00451270">
        <w:tc>
          <w:tcPr>
            <w:tcW w:w="1276" w:type="dxa"/>
          </w:tcPr>
          <w:p w:rsidR="00451270" w:rsidRPr="00451270" w:rsidRDefault="00451270" w:rsidP="00156E21">
            <w:pPr>
              <w:overflowPunct w:val="0"/>
              <w:autoSpaceDE w:val="0"/>
              <w:autoSpaceDN w:val="0"/>
              <w:ind w:leftChars="-45" w:left="-108" w:rightChars="-47" w:right="-113"/>
              <w:jc w:val="center"/>
              <w:rPr>
                <w:rFonts w:ascii="Times New Roman" w:eastAsia="標楷體" w:hAnsi="Times New Roman" w:cs="Times New Roman"/>
              </w:rPr>
            </w:pPr>
            <w:r w:rsidRPr="00451270">
              <w:rPr>
                <w:rFonts w:ascii="Times New Roman" w:eastAsia="標楷體" w:hAnsi="Times New Roman" w:cs="Times New Roman"/>
                <w:lang w:eastAsia="zh-TW"/>
              </w:rPr>
              <w:t>2013/14</w:t>
            </w:r>
          </w:p>
        </w:tc>
        <w:tc>
          <w:tcPr>
            <w:tcW w:w="1985" w:type="dxa"/>
          </w:tcPr>
          <w:p w:rsidR="00451270" w:rsidRPr="00451270" w:rsidRDefault="00451270" w:rsidP="00156E21">
            <w:pPr>
              <w:overflowPunct w:val="0"/>
              <w:autoSpaceDE w:val="0"/>
              <w:autoSpaceDN w:val="0"/>
              <w:ind w:leftChars="-45" w:left="-108" w:rightChars="-43" w:right="-103"/>
              <w:jc w:val="center"/>
              <w:rPr>
                <w:rFonts w:ascii="Times New Roman" w:eastAsia="標楷體" w:hAnsi="Times New Roman" w:cs="Times New Roman"/>
              </w:rPr>
            </w:pPr>
            <w:r w:rsidRPr="00451270">
              <w:rPr>
                <w:rFonts w:ascii="Times New Roman" w:eastAsia="標楷體" w:hAnsi="Times New Roman" w:cs="Times New Roman"/>
                <w:lang w:eastAsia="zh-TW"/>
              </w:rPr>
              <w:t>410,000,000</w:t>
            </w:r>
          </w:p>
        </w:tc>
        <w:tc>
          <w:tcPr>
            <w:tcW w:w="1417" w:type="dxa"/>
          </w:tcPr>
          <w:p w:rsidR="00451270" w:rsidRPr="00451270" w:rsidRDefault="00451270" w:rsidP="00156E21">
            <w:pPr>
              <w:overflowPunct w:val="0"/>
              <w:autoSpaceDE w:val="0"/>
              <w:autoSpaceDN w:val="0"/>
              <w:ind w:leftChars="-45" w:left="-108" w:rightChars="11" w:right="26"/>
              <w:jc w:val="right"/>
              <w:rPr>
                <w:rFonts w:ascii="Times New Roman" w:eastAsia="標楷體" w:hAnsi="Times New Roman" w:cs="Times New Roman"/>
              </w:rPr>
            </w:pPr>
            <w:r w:rsidRPr="00451270">
              <w:rPr>
                <w:rFonts w:ascii="Times New Roman" w:eastAsia="標楷體" w:hAnsi="Times New Roman" w:cs="Times New Roman"/>
                <w:lang w:eastAsia="zh-TW"/>
              </w:rPr>
              <w:t>12,445,207</w:t>
            </w:r>
          </w:p>
        </w:tc>
        <w:tc>
          <w:tcPr>
            <w:tcW w:w="1276" w:type="dxa"/>
          </w:tcPr>
          <w:p w:rsidR="00451270" w:rsidRPr="00451270" w:rsidRDefault="00451270" w:rsidP="00156E21">
            <w:pPr>
              <w:overflowPunct w:val="0"/>
              <w:autoSpaceDE w:val="0"/>
              <w:autoSpaceDN w:val="0"/>
              <w:ind w:leftChars="-45" w:left="-108" w:rightChars="12" w:right="29"/>
              <w:jc w:val="right"/>
              <w:rPr>
                <w:rFonts w:ascii="Times New Roman" w:eastAsia="標楷體" w:hAnsi="Times New Roman" w:cs="Times New Roman"/>
              </w:rPr>
            </w:pPr>
            <w:r w:rsidRPr="00451270">
              <w:rPr>
                <w:rFonts w:ascii="Times New Roman" w:eastAsia="標楷體" w:hAnsi="Times New Roman" w:cs="Times New Roman"/>
                <w:lang w:eastAsia="zh-TW"/>
              </w:rPr>
              <w:t>1,640,000</w:t>
            </w:r>
          </w:p>
        </w:tc>
        <w:tc>
          <w:tcPr>
            <w:tcW w:w="1417" w:type="dxa"/>
          </w:tcPr>
          <w:p w:rsidR="00451270" w:rsidRPr="00451270" w:rsidRDefault="00451270" w:rsidP="00156E21">
            <w:pPr>
              <w:overflowPunct w:val="0"/>
              <w:autoSpaceDE w:val="0"/>
              <w:autoSpaceDN w:val="0"/>
              <w:ind w:leftChars="-45" w:left="-108" w:rightChars="-47" w:right="-113"/>
              <w:jc w:val="center"/>
              <w:rPr>
                <w:rFonts w:ascii="Times New Roman" w:eastAsia="標楷體" w:hAnsi="Times New Roman" w:cs="Times New Roman"/>
              </w:rPr>
            </w:pPr>
            <w:r w:rsidRPr="00451270">
              <w:rPr>
                <w:rFonts w:ascii="Times New Roman" w:eastAsia="標楷體" w:hAnsi="Times New Roman" w:cs="Times New Roman"/>
                <w:lang w:eastAsia="zh-TW"/>
              </w:rPr>
              <w:t>373,356</w:t>
            </w:r>
          </w:p>
        </w:tc>
        <w:tc>
          <w:tcPr>
            <w:tcW w:w="1350" w:type="dxa"/>
          </w:tcPr>
          <w:p w:rsidR="00451270" w:rsidRPr="00451270" w:rsidRDefault="00451270" w:rsidP="00156E21">
            <w:pPr>
              <w:overflowPunct w:val="0"/>
              <w:autoSpaceDE w:val="0"/>
              <w:autoSpaceDN w:val="0"/>
              <w:ind w:leftChars="-45" w:left="-108" w:rightChars="45" w:right="108"/>
              <w:jc w:val="right"/>
              <w:rPr>
                <w:rFonts w:ascii="Times New Roman" w:eastAsia="標楷體" w:hAnsi="Times New Roman" w:cs="Times New Roman"/>
              </w:rPr>
            </w:pPr>
            <w:r w:rsidRPr="00451270">
              <w:rPr>
                <w:rFonts w:ascii="Times New Roman" w:eastAsia="標楷體" w:hAnsi="Times New Roman" w:cs="Times New Roman"/>
                <w:lang w:eastAsia="zh-TW"/>
              </w:rPr>
              <w:t>2,013,356</w:t>
            </w:r>
          </w:p>
        </w:tc>
      </w:tr>
      <w:tr w:rsidR="00451270" w:rsidRPr="00451270" w:rsidTr="00451270">
        <w:tc>
          <w:tcPr>
            <w:tcW w:w="1276" w:type="dxa"/>
          </w:tcPr>
          <w:p w:rsidR="00451270" w:rsidRPr="00451270" w:rsidRDefault="00451270" w:rsidP="00156E21">
            <w:pPr>
              <w:overflowPunct w:val="0"/>
              <w:autoSpaceDE w:val="0"/>
              <w:autoSpaceDN w:val="0"/>
              <w:ind w:leftChars="-45" w:left="-108" w:rightChars="-47" w:right="-113"/>
              <w:jc w:val="center"/>
              <w:rPr>
                <w:rFonts w:ascii="Times New Roman" w:eastAsia="標楷體" w:hAnsi="Times New Roman" w:cs="Times New Roman"/>
              </w:rPr>
            </w:pPr>
            <w:r w:rsidRPr="00451270">
              <w:rPr>
                <w:rFonts w:ascii="Times New Roman" w:eastAsia="標楷體" w:hAnsi="Times New Roman" w:cs="Times New Roman"/>
                <w:lang w:eastAsia="zh-TW"/>
              </w:rPr>
              <w:t>2014/15</w:t>
            </w:r>
          </w:p>
        </w:tc>
        <w:tc>
          <w:tcPr>
            <w:tcW w:w="1985" w:type="dxa"/>
          </w:tcPr>
          <w:p w:rsidR="00451270" w:rsidRPr="00451270" w:rsidRDefault="00451270" w:rsidP="00156E21">
            <w:pPr>
              <w:overflowPunct w:val="0"/>
              <w:autoSpaceDE w:val="0"/>
              <w:autoSpaceDN w:val="0"/>
              <w:ind w:leftChars="-45" w:left="-108" w:rightChars="-43" w:right="-103"/>
              <w:jc w:val="center"/>
              <w:rPr>
                <w:rFonts w:ascii="Times New Roman" w:eastAsia="標楷體" w:hAnsi="Times New Roman" w:cs="Times New Roman"/>
              </w:rPr>
            </w:pPr>
            <w:r w:rsidRPr="00451270">
              <w:rPr>
                <w:rFonts w:ascii="Times New Roman" w:eastAsia="標楷體" w:hAnsi="Times New Roman" w:cs="Times New Roman"/>
                <w:lang w:eastAsia="zh-TW"/>
              </w:rPr>
              <w:t>439,300,000</w:t>
            </w:r>
          </w:p>
        </w:tc>
        <w:tc>
          <w:tcPr>
            <w:tcW w:w="1417" w:type="dxa"/>
          </w:tcPr>
          <w:p w:rsidR="00451270" w:rsidRPr="00451270" w:rsidRDefault="00451270" w:rsidP="00156E21">
            <w:pPr>
              <w:overflowPunct w:val="0"/>
              <w:autoSpaceDE w:val="0"/>
              <w:autoSpaceDN w:val="0"/>
              <w:ind w:leftChars="-45" w:left="-108" w:rightChars="11" w:right="26"/>
              <w:jc w:val="right"/>
              <w:rPr>
                <w:rFonts w:ascii="Times New Roman" w:eastAsia="標楷體" w:hAnsi="Times New Roman" w:cs="Times New Roman"/>
              </w:rPr>
            </w:pPr>
            <w:r w:rsidRPr="00451270">
              <w:rPr>
                <w:rFonts w:ascii="Times New Roman" w:eastAsia="標楷體" w:hAnsi="Times New Roman" w:cs="Times New Roman"/>
                <w:lang w:eastAsia="zh-TW"/>
              </w:rPr>
              <w:t>14,610,006</w:t>
            </w:r>
          </w:p>
        </w:tc>
        <w:tc>
          <w:tcPr>
            <w:tcW w:w="1276" w:type="dxa"/>
          </w:tcPr>
          <w:p w:rsidR="00451270" w:rsidRPr="00451270" w:rsidRDefault="00451270" w:rsidP="00156E21">
            <w:pPr>
              <w:overflowPunct w:val="0"/>
              <w:autoSpaceDE w:val="0"/>
              <w:autoSpaceDN w:val="0"/>
              <w:ind w:leftChars="-45" w:left="-108" w:rightChars="12" w:right="29"/>
              <w:jc w:val="right"/>
              <w:rPr>
                <w:rFonts w:ascii="Times New Roman" w:eastAsia="標楷體" w:hAnsi="Times New Roman" w:cs="Times New Roman"/>
              </w:rPr>
            </w:pPr>
            <w:r w:rsidRPr="00451270">
              <w:rPr>
                <w:rFonts w:ascii="Times New Roman" w:eastAsia="標楷體" w:hAnsi="Times New Roman" w:cs="Times New Roman"/>
                <w:lang w:eastAsia="zh-TW"/>
              </w:rPr>
              <w:t>1,757,200</w:t>
            </w:r>
          </w:p>
        </w:tc>
        <w:tc>
          <w:tcPr>
            <w:tcW w:w="1417" w:type="dxa"/>
          </w:tcPr>
          <w:p w:rsidR="00451270" w:rsidRPr="00451270" w:rsidRDefault="00451270" w:rsidP="00156E21">
            <w:pPr>
              <w:overflowPunct w:val="0"/>
              <w:autoSpaceDE w:val="0"/>
              <w:autoSpaceDN w:val="0"/>
              <w:ind w:leftChars="-45" w:left="-108" w:rightChars="-47" w:right="-113"/>
              <w:jc w:val="center"/>
              <w:rPr>
                <w:rFonts w:ascii="Times New Roman" w:eastAsia="標楷體" w:hAnsi="Times New Roman" w:cs="Times New Roman"/>
              </w:rPr>
            </w:pPr>
            <w:r w:rsidRPr="00451270">
              <w:rPr>
                <w:rFonts w:ascii="Times New Roman" w:eastAsia="標楷體" w:hAnsi="Times New Roman" w:cs="Times New Roman"/>
                <w:lang w:eastAsia="zh-TW"/>
              </w:rPr>
              <w:t>438,300</w:t>
            </w:r>
          </w:p>
        </w:tc>
        <w:tc>
          <w:tcPr>
            <w:tcW w:w="1350" w:type="dxa"/>
          </w:tcPr>
          <w:p w:rsidR="00451270" w:rsidRPr="00451270" w:rsidRDefault="00451270" w:rsidP="00156E21">
            <w:pPr>
              <w:overflowPunct w:val="0"/>
              <w:autoSpaceDE w:val="0"/>
              <w:autoSpaceDN w:val="0"/>
              <w:ind w:leftChars="-45" w:left="-108" w:rightChars="45" w:right="108"/>
              <w:jc w:val="right"/>
              <w:rPr>
                <w:rFonts w:ascii="Times New Roman" w:eastAsia="標楷體" w:hAnsi="Times New Roman" w:cs="Times New Roman"/>
              </w:rPr>
            </w:pPr>
            <w:r w:rsidRPr="00451270">
              <w:rPr>
                <w:rFonts w:ascii="Times New Roman" w:eastAsia="標楷體" w:hAnsi="Times New Roman" w:cs="Times New Roman"/>
                <w:lang w:eastAsia="zh-TW"/>
              </w:rPr>
              <w:t>2,195,500</w:t>
            </w:r>
          </w:p>
        </w:tc>
      </w:tr>
      <w:tr w:rsidR="00451270" w:rsidRPr="00451270" w:rsidTr="00451270">
        <w:tc>
          <w:tcPr>
            <w:tcW w:w="1276" w:type="dxa"/>
          </w:tcPr>
          <w:p w:rsidR="00451270" w:rsidRPr="00451270" w:rsidRDefault="00451270" w:rsidP="00156E21">
            <w:pPr>
              <w:overflowPunct w:val="0"/>
              <w:autoSpaceDE w:val="0"/>
              <w:autoSpaceDN w:val="0"/>
              <w:ind w:leftChars="-45" w:left="-108" w:rightChars="-47" w:right="-113"/>
              <w:jc w:val="center"/>
              <w:rPr>
                <w:rFonts w:ascii="Times New Roman" w:eastAsia="標楷體" w:hAnsi="Times New Roman" w:cs="Times New Roman"/>
              </w:rPr>
            </w:pPr>
            <w:r w:rsidRPr="00451270">
              <w:rPr>
                <w:rFonts w:ascii="Times New Roman" w:eastAsia="標楷體" w:hAnsi="Times New Roman" w:cs="Times New Roman"/>
                <w:lang w:eastAsia="zh-TW"/>
              </w:rPr>
              <w:t>2015/16</w:t>
            </w:r>
          </w:p>
        </w:tc>
        <w:tc>
          <w:tcPr>
            <w:tcW w:w="1985" w:type="dxa"/>
          </w:tcPr>
          <w:p w:rsidR="00451270" w:rsidRPr="00451270" w:rsidRDefault="00451270" w:rsidP="00156E21">
            <w:pPr>
              <w:overflowPunct w:val="0"/>
              <w:autoSpaceDE w:val="0"/>
              <w:autoSpaceDN w:val="0"/>
              <w:ind w:leftChars="-45" w:left="-108" w:rightChars="-43" w:right="-103"/>
              <w:jc w:val="center"/>
              <w:rPr>
                <w:rFonts w:ascii="Times New Roman" w:eastAsia="標楷體" w:hAnsi="Times New Roman" w:cs="Times New Roman"/>
              </w:rPr>
            </w:pPr>
            <w:r w:rsidRPr="00451270">
              <w:rPr>
                <w:rFonts w:ascii="Times New Roman" w:eastAsia="標楷體" w:hAnsi="Times New Roman" w:cs="Times New Roman"/>
                <w:lang w:eastAsia="zh-TW"/>
              </w:rPr>
              <w:t>505,100,000</w:t>
            </w:r>
          </w:p>
        </w:tc>
        <w:tc>
          <w:tcPr>
            <w:tcW w:w="1417" w:type="dxa"/>
          </w:tcPr>
          <w:p w:rsidR="00451270" w:rsidRPr="00451270" w:rsidRDefault="00451270" w:rsidP="00156E21">
            <w:pPr>
              <w:overflowPunct w:val="0"/>
              <w:autoSpaceDE w:val="0"/>
              <w:autoSpaceDN w:val="0"/>
              <w:ind w:leftChars="-45" w:left="-108" w:rightChars="11" w:right="26"/>
              <w:jc w:val="right"/>
              <w:rPr>
                <w:rFonts w:ascii="Times New Roman" w:eastAsia="標楷體" w:hAnsi="Times New Roman" w:cs="Times New Roman"/>
              </w:rPr>
            </w:pPr>
            <w:r w:rsidRPr="00451270">
              <w:rPr>
                <w:rFonts w:ascii="Times New Roman" w:eastAsia="標楷體" w:hAnsi="Times New Roman" w:cs="Times New Roman"/>
                <w:lang w:eastAsia="zh-TW"/>
              </w:rPr>
              <w:t>15,239,810</w:t>
            </w:r>
          </w:p>
        </w:tc>
        <w:tc>
          <w:tcPr>
            <w:tcW w:w="1276" w:type="dxa"/>
          </w:tcPr>
          <w:p w:rsidR="00451270" w:rsidRPr="00451270" w:rsidRDefault="00451270" w:rsidP="00156E21">
            <w:pPr>
              <w:overflowPunct w:val="0"/>
              <w:autoSpaceDE w:val="0"/>
              <w:autoSpaceDN w:val="0"/>
              <w:ind w:leftChars="-45" w:left="-108" w:rightChars="12" w:right="29"/>
              <w:jc w:val="right"/>
              <w:rPr>
                <w:rFonts w:ascii="Times New Roman" w:eastAsia="標楷體" w:hAnsi="Times New Roman" w:cs="Times New Roman"/>
              </w:rPr>
            </w:pPr>
            <w:r w:rsidRPr="00451270">
              <w:rPr>
                <w:rFonts w:ascii="Times New Roman" w:eastAsia="標楷體" w:hAnsi="Times New Roman" w:cs="Times New Roman"/>
                <w:lang w:eastAsia="zh-TW"/>
              </w:rPr>
              <w:t>2,020,400</w:t>
            </w:r>
          </w:p>
        </w:tc>
        <w:tc>
          <w:tcPr>
            <w:tcW w:w="1417" w:type="dxa"/>
          </w:tcPr>
          <w:p w:rsidR="00451270" w:rsidRPr="00451270" w:rsidRDefault="00451270" w:rsidP="00156E21">
            <w:pPr>
              <w:overflowPunct w:val="0"/>
              <w:autoSpaceDE w:val="0"/>
              <w:autoSpaceDN w:val="0"/>
              <w:ind w:leftChars="-45" w:left="-108" w:rightChars="-47" w:right="-113"/>
              <w:jc w:val="center"/>
              <w:rPr>
                <w:rFonts w:ascii="Times New Roman" w:eastAsia="標楷體" w:hAnsi="Times New Roman" w:cs="Times New Roman"/>
              </w:rPr>
            </w:pPr>
            <w:r w:rsidRPr="00451270">
              <w:rPr>
                <w:rFonts w:ascii="Times New Roman" w:eastAsia="標楷體" w:hAnsi="Times New Roman" w:cs="Times New Roman"/>
                <w:lang w:eastAsia="zh-TW"/>
              </w:rPr>
              <w:t>457,194</w:t>
            </w:r>
          </w:p>
        </w:tc>
        <w:tc>
          <w:tcPr>
            <w:tcW w:w="1350" w:type="dxa"/>
          </w:tcPr>
          <w:p w:rsidR="00451270" w:rsidRPr="00451270" w:rsidRDefault="00451270" w:rsidP="00156E21">
            <w:pPr>
              <w:overflowPunct w:val="0"/>
              <w:autoSpaceDE w:val="0"/>
              <w:autoSpaceDN w:val="0"/>
              <w:ind w:leftChars="-45" w:left="-108" w:rightChars="45" w:right="108"/>
              <w:jc w:val="right"/>
              <w:rPr>
                <w:rFonts w:ascii="Times New Roman" w:eastAsia="標楷體" w:hAnsi="Times New Roman" w:cs="Times New Roman"/>
              </w:rPr>
            </w:pPr>
            <w:r w:rsidRPr="00451270">
              <w:rPr>
                <w:rFonts w:ascii="Times New Roman" w:eastAsia="標楷體" w:hAnsi="Times New Roman" w:cs="Times New Roman"/>
                <w:lang w:eastAsia="zh-TW"/>
              </w:rPr>
              <w:t>2,477,594</w:t>
            </w:r>
          </w:p>
        </w:tc>
      </w:tr>
    </w:tbl>
    <w:p w:rsidR="00451270" w:rsidRDefault="00451270" w:rsidP="00156E21">
      <w:pPr>
        <w:overflowPunct w:val="0"/>
        <w:autoSpaceDE w:val="0"/>
        <w:autoSpaceDN w:val="0"/>
        <w:jc w:val="both"/>
        <w:rPr>
          <w:rFonts w:ascii="Times New Roman" w:eastAsia="標楷體" w:hAnsi="Times New Roman" w:cs="Times New Roman"/>
        </w:rPr>
      </w:pPr>
    </w:p>
    <w:p w:rsidR="00737FBC" w:rsidRPr="0069274C" w:rsidRDefault="00737FBC"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(b)</w:t>
      </w:r>
      <w:r w:rsidR="00451270">
        <w:rPr>
          <w:rFonts w:ascii="Times New Roman" w:eastAsia="標楷體" w:hAnsi="Times New Roman" w:cs="Times New Roman"/>
        </w:rPr>
        <w:tab/>
      </w:r>
      <w:r w:rsidRPr="0069274C">
        <w:rPr>
          <w:rFonts w:ascii="Times New Roman" w:eastAsia="標楷體" w:hAnsi="Times New Roman" w:cs="Times New Roman"/>
        </w:rPr>
        <w:t xml:space="preserve">The above asset management fees were charged in the accounts of </w:t>
      </w:r>
      <w:r w:rsidR="00F12084">
        <w:rPr>
          <w:rFonts w:ascii="Times New Roman" w:eastAsia="標楷體" w:hAnsi="Times New Roman" w:cs="Times New Roman"/>
        </w:rPr>
        <w:t>REIT K</w:t>
      </w:r>
      <w:r w:rsidRPr="0069274C">
        <w:rPr>
          <w:rFonts w:ascii="Times New Roman" w:eastAsia="標楷體" w:hAnsi="Times New Roman" w:cs="Times New Roman"/>
        </w:rPr>
        <w:t xml:space="preserve"> and the Taxpayer as follows:</w:t>
      </w:r>
    </w:p>
    <w:p w:rsidR="00737FBC" w:rsidRDefault="00737FBC" w:rsidP="00156E21">
      <w:pPr>
        <w:overflowPunct w:val="0"/>
        <w:autoSpaceDE w:val="0"/>
        <w:autoSpaceDN w:val="0"/>
        <w:jc w:val="both"/>
        <w:rPr>
          <w:rFonts w:ascii="Times New Roman" w:eastAsia="標楷體" w:hAnsi="Times New Roman" w:cs="Times New Roman"/>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0"/>
        <w:gridCol w:w="728"/>
        <w:gridCol w:w="896"/>
        <w:gridCol w:w="714"/>
        <w:gridCol w:w="826"/>
        <w:gridCol w:w="826"/>
        <w:gridCol w:w="839"/>
        <w:gridCol w:w="812"/>
        <w:gridCol w:w="812"/>
        <w:gridCol w:w="808"/>
      </w:tblGrid>
      <w:tr w:rsidR="00F52D09" w:rsidRPr="0092031C" w:rsidTr="00F52D09">
        <w:tc>
          <w:tcPr>
            <w:tcW w:w="1470" w:type="dxa"/>
          </w:tcPr>
          <w:p w:rsidR="00B63340" w:rsidRPr="0092031C" w:rsidRDefault="00B63340" w:rsidP="00156E21">
            <w:pPr>
              <w:overflowPunct w:val="0"/>
              <w:autoSpaceDE w:val="0"/>
              <w:autoSpaceDN w:val="0"/>
              <w:ind w:leftChars="-45" w:left="-108" w:rightChars="-67" w:right="-161"/>
              <w:jc w:val="both"/>
              <w:rPr>
                <w:rFonts w:ascii="Times New Roman" w:eastAsia="標楷體" w:hAnsi="Times New Roman" w:cs="Times New Roman"/>
                <w:sz w:val="18"/>
                <w:szCs w:val="18"/>
              </w:rPr>
            </w:pPr>
          </w:p>
        </w:tc>
        <w:tc>
          <w:tcPr>
            <w:tcW w:w="728" w:type="dxa"/>
          </w:tcPr>
          <w:p w:rsidR="00B63340" w:rsidRPr="0092031C" w:rsidRDefault="00B63340" w:rsidP="00156E21">
            <w:pPr>
              <w:overflowPunct w:val="0"/>
              <w:autoSpaceDE w:val="0"/>
              <w:autoSpaceDN w:val="0"/>
              <w:ind w:leftChars="-41" w:left="-98" w:rightChars="-21" w:right="-50"/>
              <w:jc w:val="center"/>
              <w:rPr>
                <w:rFonts w:ascii="Times New Roman" w:eastAsia="標楷體" w:hAnsi="Times New Roman" w:cs="Times New Roman"/>
                <w:sz w:val="18"/>
                <w:szCs w:val="18"/>
              </w:rPr>
            </w:pPr>
            <w:r w:rsidRPr="0092031C">
              <w:rPr>
                <w:rFonts w:ascii="Times New Roman" w:eastAsia="標楷體" w:hAnsi="Times New Roman" w:cs="Times New Roman"/>
                <w:sz w:val="18"/>
                <w:szCs w:val="18"/>
                <w:u w:val="single"/>
              </w:rPr>
              <w:t>2007/08</w:t>
            </w:r>
          </w:p>
        </w:tc>
        <w:tc>
          <w:tcPr>
            <w:tcW w:w="896" w:type="dxa"/>
          </w:tcPr>
          <w:p w:rsidR="00B63340" w:rsidRPr="0092031C" w:rsidRDefault="00B63340" w:rsidP="00156E21">
            <w:pPr>
              <w:overflowPunct w:val="0"/>
              <w:autoSpaceDE w:val="0"/>
              <w:autoSpaceDN w:val="0"/>
              <w:ind w:leftChars="-41" w:left="-98" w:rightChars="-21" w:right="-50"/>
              <w:jc w:val="center"/>
              <w:rPr>
                <w:rFonts w:ascii="Times New Roman" w:eastAsia="標楷體" w:hAnsi="Times New Roman" w:cs="Times New Roman"/>
                <w:sz w:val="18"/>
                <w:szCs w:val="18"/>
              </w:rPr>
            </w:pPr>
            <w:r w:rsidRPr="0092031C">
              <w:rPr>
                <w:rFonts w:ascii="Times New Roman" w:eastAsia="標楷體" w:hAnsi="Times New Roman" w:cs="Times New Roman"/>
                <w:sz w:val="18"/>
                <w:szCs w:val="18"/>
                <w:u w:val="single"/>
              </w:rPr>
              <w:t>2008/09</w:t>
            </w:r>
          </w:p>
        </w:tc>
        <w:tc>
          <w:tcPr>
            <w:tcW w:w="714" w:type="dxa"/>
          </w:tcPr>
          <w:p w:rsidR="00B63340" w:rsidRPr="0092031C" w:rsidRDefault="00B63340" w:rsidP="00156E21">
            <w:pPr>
              <w:overflowPunct w:val="0"/>
              <w:autoSpaceDE w:val="0"/>
              <w:autoSpaceDN w:val="0"/>
              <w:ind w:leftChars="-41" w:left="-98" w:rightChars="-21" w:right="-50"/>
              <w:jc w:val="center"/>
              <w:rPr>
                <w:rFonts w:ascii="Times New Roman" w:eastAsia="標楷體" w:hAnsi="Times New Roman" w:cs="Times New Roman"/>
                <w:sz w:val="18"/>
                <w:szCs w:val="18"/>
              </w:rPr>
            </w:pPr>
            <w:r w:rsidRPr="0092031C">
              <w:rPr>
                <w:rFonts w:ascii="Times New Roman" w:eastAsia="標楷體" w:hAnsi="Times New Roman" w:cs="Times New Roman"/>
                <w:sz w:val="18"/>
                <w:szCs w:val="18"/>
                <w:u w:val="single"/>
              </w:rPr>
              <w:t>2009/10</w:t>
            </w:r>
          </w:p>
        </w:tc>
        <w:tc>
          <w:tcPr>
            <w:tcW w:w="826" w:type="dxa"/>
          </w:tcPr>
          <w:p w:rsidR="00B63340" w:rsidRPr="0092031C" w:rsidRDefault="00B63340" w:rsidP="00156E21">
            <w:pPr>
              <w:overflowPunct w:val="0"/>
              <w:autoSpaceDE w:val="0"/>
              <w:autoSpaceDN w:val="0"/>
              <w:ind w:leftChars="-41" w:left="-98" w:rightChars="-21" w:right="-50"/>
              <w:jc w:val="center"/>
              <w:rPr>
                <w:rFonts w:ascii="Times New Roman" w:eastAsia="標楷體" w:hAnsi="Times New Roman" w:cs="Times New Roman"/>
                <w:sz w:val="18"/>
                <w:szCs w:val="18"/>
              </w:rPr>
            </w:pPr>
            <w:r w:rsidRPr="0092031C">
              <w:rPr>
                <w:rFonts w:ascii="Times New Roman" w:eastAsia="標楷體" w:hAnsi="Times New Roman" w:cs="Times New Roman"/>
                <w:sz w:val="18"/>
                <w:szCs w:val="18"/>
                <w:u w:val="single"/>
              </w:rPr>
              <w:t>2010/11</w:t>
            </w:r>
          </w:p>
        </w:tc>
        <w:tc>
          <w:tcPr>
            <w:tcW w:w="826" w:type="dxa"/>
          </w:tcPr>
          <w:p w:rsidR="00B63340" w:rsidRPr="0092031C" w:rsidRDefault="00B63340" w:rsidP="00156E21">
            <w:pPr>
              <w:overflowPunct w:val="0"/>
              <w:autoSpaceDE w:val="0"/>
              <w:autoSpaceDN w:val="0"/>
              <w:ind w:leftChars="-41" w:left="-98" w:rightChars="-21" w:right="-50"/>
              <w:jc w:val="center"/>
              <w:rPr>
                <w:rFonts w:ascii="Times New Roman" w:eastAsia="標楷體" w:hAnsi="Times New Roman" w:cs="Times New Roman"/>
                <w:sz w:val="18"/>
                <w:szCs w:val="18"/>
              </w:rPr>
            </w:pPr>
            <w:r w:rsidRPr="0092031C">
              <w:rPr>
                <w:rFonts w:ascii="Times New Roman" w:eastAsia="標楷體" w:hAnsi="Times New Roman" w:cs="Times New Roman"/>
                <w:sz w:val="18"/>
                <w:szCs w:val="18"/>
                <w:u w:val="single"/>
              </w:rPr>
              <w:t>2011/12</w:t>
            </w:r>
          </w:p>
        </w:tc>
        <w:tc>
          <w:tcPr>
            <w:tcW w:w="839" w:type="dxa"/>
          </w:tcPr>
          <w:p w:rsidR="00B63340" w:rsidRPr="0092031C" w:rsidRDefault="00B63340" w:rsidP="00156E21">
            <w:pPr>
              <w:overflowPunct w:val="0"/>
              <w:autoSpaceDE w:val="0"/>
              <w:autoSpaceDN w:val="0"/>
              <w:ind w:leftChars="-41" w:left="-98" w:rightChars="-21" w:right="-50"/>
              <w:jc w:val="center"/>
              <w:rPr>
                <w:rFonts w:ascii="Times New Roman" w:eastAsia="標楷體" w:hAnsi="Times New Roman" w:cs="Times New Roman"/>
                <w:sz w:val="18"/>
                <w:szCs w:val="18"/>
              </w:rPr>
            </w:pPr>
            <w:r w:rsidRPr="0092031C">
              <w:rPr>
                <w:rFonts w:ascii="Times New Roman" w:eastAsia="標楷體" w:hAnsi="Times New Roman" w:cs="Times New Roman"/>
                <w:sz w:val="18"/>
                <w:szCs w:val="18"/>
                <w:u w:val="single"/>
              </w:rPr>
              <w:t>2012/13</w:t>
            </w:r>
          </w:p>
        </w:tc>
        <w:tc>
          <w:tcPr>
            <w:tcW w:w="812" w:type="dxa"/>
          </w:tcPr>
          <w:p w:rsidR="00B63340" w:rsidRPr="0092031C" w:rsidRDefault="00B63340" w:rsidP="00156E21">
            <w:pPr>
              <w:overflowPunct w:val="0"/>
              <w:autoSpaceDE w:val="0"/>
              <w:autoSpaceDN w:val="0"/>
              <w:ind w:leftChars="-41" w:left="-98" w:rightChars="-21" w:right="-50"/>
              <w:jc w:val="center"/>
              <w:rPr>
                <w:rFonts w:ascii="Times New Roman" w:eastAsia="標楷體" w:hAnsi="Times New Roman" w:cs="Times New Roman"/>
                <w:sz w:val="18"/>
                <w:szCs w:val="18"/>
              </w:rPr>
            </w:pPr>
            <w:r w:rsidRPr="0092031C">
              <w:rPr>
                <w:rFonts w:ascii="Times New Roman" w:eastAsia="標楷體" w:hAnsi="Times New Roman" w:cs="Times New Roman"/>
                <w:sz w:val="18"/>
                <w:szCs w:val="18"/>
                <w:u w:val="single"/>
              </w:rPr>
              <w:t>2013/14</w:t>
            </w:r>
          </w:p>
        </w:tc>
        <w:tc>
          <w:tcPr>
            <w:tcW w:w="812" w:type="dxa"/>
          </w:tcPr>
          <w:p w:rsidR="00B63340" w:rsidRPr="0092031C" w:rsidRDefault="00B63340" w:rsidP="00156E21">
            <w:pPr>
              <w:overflowPunct w:val="0"/>
              <w:autoSpaceDE w:val="0"/>
              <w:autoSpaceDN w:val="0"/>
              <w:ind w:leftChars="-41" w:left="-98" w:rightChars="-21" w:right="-50"/>
              <w:jc w:val="center"/>
              <w:rPr>
                <w:rFonts w:ascii="Times New Roman" w:eastAsia="標楷體" w:hAnsi="Times New Roman" w:cs="Times New Roman"/>
                <w:sz w:val="18"/>
                <w:szCs w:val="18"/>
              </w:rPr>
            </w:pPr>
            <w:r w:rsidRPr="0092031C">
              <w:rPr>
                <w:rFonts w:ascii="Times New Roman" w:eastAsia="標楷體" w:hAnsi="Times New Roman" w:cs="Times New Roman"/>
                <w:sz w:val="18"/>
                <w:szCs w:val="18"/>
                <w:u w:val="single"/>
              </w:rPr>
              <w:t>2014/15</w:t>
            </w:r>
          </w:p>
        </w:tc>
        <w:tc>
          <w:tcPr>
            <w:tcW w:w="808" w:type="dxa"/>
          </w:tcPr>
          <w:p w:rsidR="00B63340" w:rsidRPr="0092031C" w:rsidRDefault="00B63340" w:rsidP="00156E21">
            <w:pPr>
              <w:overflowPunct w:val="0"/>
              <w:autoSpaceDE w:val="0"/>
              <w:autoSpaceDN w:val="0"/>
              <w:ind w:leftChars="-41" w:left="-98" w:rightChars="-21" w:right="-50"/>
              <w:jc w:val="center"/>
              <w:rPr>
                <w:rFonts w:ascii="Times New Roman" w:eastAsia="標楷體" w:hAnsi="Times New Roman" w:cs="Times New Roman"/>
                <w:sz w:val="18"/>
                <w:szCs w:val="18"/>
              </w:rPr>
            </w:pPr>
            <w:r w:rsidRPr="0092031C">
              <w:rPr>
                <w:rFonts w:ascii="Times New Roman" w:eastAsia="標楷體" w:hAnsi="Times New Roman" w:cs="Times New Roman"/>
                <w:sz w:val="18"/>
                <w:szCs w:val="18"/>
                <w:u w:val="single"/>
              </w:rPr>
              <w:t>2015/16</w:t>
            </w:r>
          </w:p>
        </w:tc>
      </w:tr>
      <w:tr w:rsidR="00F52D09" w:rsidRPr="0092031C" w:rsidTr="00F52D09">
        <w:tc>
          <w:tcPr>
            <w:tcW w:w="1470" w:type="dxa"/>
          </w:tcPr>
          <w:p w:rsidR="00B63340" w:rsidRPr="0092031C" w:rsidRDefault="00B63340" w:rsidP="00156E21">
            <w:pPr>
              <w:overflowPunct w:val="0"/>
              <w:autoSpaceDE w:val="0"/>
              <w:autoSpaceDN w:val="0"/>
              <w:ind w:leftChars="-45" w:left="-108" w:rightChars="-67" w:right="-161"/>
              <w:jc w:val="both"/>
              <w:rPr>
                <w:rFonts w:ascii="Times New Roman" w:eastAsia="標楷體" w:hAnsi="Times New Roman" w:cs="Times New Roman"/>
                <w:sz w:val="18"/>
                <w:szCs w:val="18"/>
              </w:rPr>
            </w:pPr>
          </w:p>
        </w:tc>
        <w:tc>
          <w:tcPr>
            <w:tcW w:w="728" w:type="dxa"/>
          </w:tcPr>
          <w:p w:rsidR="00B63340" w:rsidRPr="0092031C" w:rsidRDefault="00B63340" w:rsidP="00156E21">
            <w:pPr>
              <w:overflowPunct w:val="0"/>
              <w:autoSpaceDE w:val="0"/>
              <w:autoSpaceDN w:val="0"/>
              <w:ind w:leftChars="-41" w:left="-98" w:rightChars="-21" w:right="-50"/>
              <w:jc w:val="center"/>
              <w:rPr>
                <w:sz w:val="18"/>
                <w:szCs w:val="18"/>
              </w:rPr>
            </w:pPr>
            <w:r w:rsidRPr="0092031C">
              <w:rPr>
                <w:rFonts w:ascii="Times New Roman" w:eastAsia="標楷體" w:hAnsi="Times New Roman" w:cs="Times New Roman"/>
                <w:sz w:val="18"/>
                <w:szCs w:val="18"/>
              </w:rPr>
              <w:t>$</w:t>
            </w:r>
          </w:p>
        </w:tc>
        <w:tc>
          <w:tcPr>
            <w:tcW w:w="896" w:type="dxa"/>
          </w:tcPr>
          <w:p w:rsidR="00B63340" w:rsidRPr="0092031C" w:rsidRDefault="00B63340" w:rsidP="00156E21">
            <w:pPr>
              <w:overflowPunct w:val="0"/>
              <w:autoSpaceDE w:val="0"/>
              <w:autoSpaceDN w:val="0"/>
              <w:ind w:leftChars="-41" w:left="-98" w:rightChars="-21" w:right="-50"/>
              <w:jc w:val="center"/>
              <w:rPr>
                <w:sz w:val="18"/>
                <w:szCs w:val="18"/>
              </w:rPr>
            </w:pPr>
            <w:r w:rsidRPr="0092031C">
              <w:rPr>
                <w:rFonts w:ascii="Times New Roman" w:eastAsia="標楷體" w:hAnsi="Times New Roman" w:cs="Times New Roman"/>
                <w:sz w:val="18"/>
                <w:szCs w:val="18"/>
              </w:rPr>
              <w:t>$</w:t>
            </w:r>
          </w:p>
        </w:tc>
        <w:tc>
          <w:tcPr>
            <w:tcW w:w="714" w:type="dxa"/>
          </w:tcPr>
          <w:p w:rsidR="00B63340" w:rsidRPr="0092031C" w:rsidRDefault="00B63340" w:rsidP="00156E21">
            <w:pPr>
              <w:overflowPunct w:val="0"/>
              <w:autoSpaceDE w:val="0"/>
              <w:autoSpaceDN w:val="0"/>
              <w:ind w:leftChars="-41" w:left="-98" w:rightChars="-21" w:right="-50"/>
              <w:jc w:val="center"/>
              <w:rPr>
                <w:sz w:val="18"/>
                <w:szCs w:val="18"/>
              </w:rPr>
            </w:pPr>
            <w:r w:rsidRPr="0092031C">
              <w:rPr>
                <w:rFonts w:ascii="Times New Roman" w:eastAsia="標楷體" w:hAnsi="Times New Roman" w:cs="Times New Roman"/>
                <w:sz w:val="18"/>
                <w:szCs w:val="18"/>
              </w:rPr>
              <w:t>$</w:t>
            </w:r>
          </w:p>
        </w:tc>
        <w:tc>
          <w:tcPr>
            <w:tcW w:w="826" w:type="dxa"/>
          </w:tcPr>
          <w:p w:rsidR="00B63340" w:rsidRPr="0092031C" w:rsidRDefault="00B63340" w:rsidP="00156E21">
            <w:pPr>
              <w:overflowPunct w:val="0"/>
              <w:autoSpaceDE w:val="0"/>
              <w:autoSpaceDN w:val="0"/>
              <w:ind w:leftChars="-41" w:left="-98" w:rightChars="-21" w:right="-50"/>
              <w:jc w:val="center"/>
              <w:rPr>
                <w:sz w:val="18"/>
                <w:szCs w:val="18"/>
              </w:rPr>
            </w:pPr>
            <w:r w:rsidRPr="0092031C">
              <w:rPr>
                <w:rFonts w:ascii="Times New Roman" w:eastAsia="標楷體" w:hAnsi="Times New Roman" w:cs="Times New Roman"/>
                <w:sz w:val="18"/>
                <w:szCs w:val="18"/>
              </w:rPr>
              <w:t>$</w:t>
            </w:r>
          </w:p>
        </w:tc>
        <w:tc>
          <w:tcPr>
            <w:tcW w:w="826" w:type="dxa"/>
          </w:tcPr>
          <w:p w:rsidR="00B63340" w:rsidRPr="0092031C" w:rsidRDefault="00B63340" w:rsidP="00156E21">
            <w:pPr>
              <w:overflowPunct w:val="0"/>
              <w:autoSpaceDE w:val="0"/>
              <w:autoSpaceDN w:val="0"/>
              <w:ind w:leftChars="-41" w:left="-98" w:rightChars="-21" w:right="-50"/>
              <w:jc w:val="center"/>
              <w:rPr>
                <w:sz w:val="18"/>
                <w:szCs w:val="18"/>
              </w:rPr>
            </w:pPr>
            <w:r w:rsidRPr="0092031C">
              <w:rPr>
                <w:rFonts w:ascii="Times New Roman" w:eastAsia="標楷體" w:hAnsi="Times New Roman" w:cs="Times New Roman"/>
                <w:sz w:val="18"/>
                <w:szCs w:val="18"/>
              </w:rPr>
              <w:t>$</w:t>
            </w:r>
          </w:p>
        </w:tc>
        <w:tc>
          <w:tcPr>
            <w:tcW w:w="839" w:type="dxa"/>
          </w:tcPr>
          <w:p w:rsidR="00B63340" w:rsidRPr="0092031C" w:rsidRDefault="00B63340" w:rsidP="00156E21">
            <w:pPr>
              <w:overflowPunct w:val="0"/>
              <w:autoSpaceDE w:val="0"/>
              <w:autoSpaceDN w:val="0"/>
              <w:ind w:leftChars="-41" w:left="-98" w:rightChars="-21" w:right="-50"/>
              <w:jc w:val="center"/>
              <w:rPr>
                <w:sz w:val="18"/>
                <w:szCs w:val="18"/>
              </w:rPr>
            </w:pPr>
            <w:r w:rsidRPr="0092031C">
              <w:rPr>
                <w:rFonts w:ascii="Times New Roman" w:eastAsia="標楷體" w:hAnsi="Times New Roman" w:cs="Times New Roman"/>
                <w:sz w:val="18"/>
                <w:szCs w:val="18"/>
              </w:rPr>
              <w:t>$</w:t>
            </w:r>
          </w:p>
        </w:tc>
        <w:tc>
          <w:tcPr>
            <w:tcW w:w="812" w:type="dxa"/>
          </w:tcPr>
          <w:p w:rsidR="00B63340" w:rsidRPr="0092031C" w:rsidRDefault="00B63340" w:rsidP="00156E21">
            <w:pPr>
              <w:overflowPunct w:val="0"/>
              <w:autoSpaceDE w:val="0"/>
              <w:autoSpaceDN w:val="0"/>
              <w:ind w:leftChars="-41" w:left="-98" w:rightChars="-21" w:right="-50"/>
              <w:jc w:val="center"/>
              <w:rPr>
                <w:sz w:val="18"/>
                <w:szCs w:val="18"/>
              </w:rPr>
            </w:pPr>
            <w:r w:rsidRPr="0092031C">
              <w:rPr>
                <w:rFonts w:ascii="Times New Roman" w:eastAsia="標楷體" w:hAnsi="Times New Roman" w:cs="Times New Roman"/>
                <w:sz w:val="18"/>
                <w:szCs w:val="18"/>
              </w:rPr>
              <w:t>$</w:t>
            </w:r>
          </w:p>
        </w:tc>
        <w:tc>
          <w:tcPr>
            <w:tcW w:w="812" w:type="dxa"/>
          </w:tcPr>
          <w:p w:rsidR="00B63340" w:rsidRPr="0092031C" w:rsidRDefault="00B63340" w:rsidP="00156E21">
            <w:pPr>
              <w:overflowPunct w:val="0"/>
              <w:autoSpaceDE w:val="0"/>
              <w:autoSpaceDN w:val="0"/>
              <w:ind w:leftChars="-41" w:left="-98" w:rightChars="-21" w:right="-50"/>
              <w:jc w:val="center"/>
              <w:rPr>
                <w:sz w:val="18"/>
                <w:szCs w:val="18"/>
              </w:rPr>
            </w:pPr>
            <w:r w:rsidRPr="0092031C">
              <w:rPr>
                <w:rFonts w:ascii="Times New Roman" w:eastAsia="標楷體" w:hAnsi="Times New Roman" w:cs="Times New Roman"/>
                <w:sz w:val="18"/>
                <w:szCs w:val="18"/>
              </w:rPr>
              <w:t>$</w:t>
            </w:r>
          </w:p>
        </w:tc>
        <w:tc>
          <w:tcPr>
            <w:tcW w:w="808" w:type="dxa"/>
          </w:tcPr>
          <w:p w:rsidR="00B63340" w:rsidRPr="0092031C" w:rsidRDefault="00B63340" w:rsidP="00156E21">
            <w:pPr>
              <w:overflowPunct w:val="0"/>
              <w:autoSpaceDE w:val="0"/>
              <w:autoSpaceDN w:val="0"/>
              <w:ind w:leftChars="-41" w:left="-98" w:rightChars="-21" w:right="-50"/>
              <w:jc w:val="center"/>
              <w:rPr>
                <w:sz w:val="18"/>
                <w:szCs w:val="18"/>
              </w:rPr>
            </w:pPr>
            <w:r w:rsidRPr="0092031C">
              <w:rPr>
                <w:rFonts w:ascii="Times New Roman" w:eastAsia="標楷體" w:hAnsi="Times New Roman" w:cs="Times New Roman"/>
                <w:sz w:val="18"/>
                <w:szCs w:val="18"/>
              </w:rPr>
              <w:t>$</w:t>
            </w:r>
          </w:p>
        </w:tc>
      </w:tr>
      <w:tr w:rsidR="00F52D09" w:rsidRPr="0092031C" w:rsidTr="00F52D09">
        <w:tc>
          <w:tcPr>
            <w:tcW w:w="2198" w:type="dxa"/>
            <w:gridSpan w:val="2"/>
          </w:tcPr>
          <w:p w:rsidR="00F52D09" w:rsidRPr="0092031C" w:rsidRDefault="00F52D09" w:rsidP="00156E21">
            <w:pPr>
              <w:overflowPunct w:val="0"/>
              <w:autoSpaceDE w:val="0"/>
              <w:autoSpaceDN w:val="0"/>
              <w:ind w:leftChars="-41" w:left="-98" w:rightChars="-21" w:right="-50"/>
              <w:jc w:val="both"/>
              <w:rPr>
                <w:rFonts w:ascii="Times New Roman" w:eastAsia="標楷體" w:hAnsi="Times New Roman" w:cs="Times New Roman"/>
                <w:sz w:val="18"/>
                <w:szCs w:val="18"/>
              </w:rPr>
            </w:pPr>
            <w:r w:rsidRPr="0092031C">
              <w:rPr>
                <w:rFonts w:ascii="Times New Roman" w:eastAsia="標楷體" w:hAnsi="Times New Roman" w:cs="Times New Roman"/>
                <w:b/>
                <w:sz w:val="18"/>
                <w:szCs w:val="18"/>
              </w:rPr>
              <w:t>REIT</w:t>
            </w:r>
            <w:r w:rsidR="003C28DF">
              <w:rPr>
                <w:rFonts w:ascii="Times New Roman" w:eastAsia="標楷體" w:hAnsi="Times New Roman" w:cs="Times New Roman"/>
                <w:b/>
                <w:sz w:val="18"/>
                <w:szCs w:val="18"/>
              </w:rPr>
              <w:t xml:space="preserve"> K</w:t>
            </w:r>
          </w:p>
        </w:tc>
        <w:tc>
          <w:tcPr>
            <w:tcW w:w="896" w:type="dxa"/>
          </w:tcPr>
          <w:p w:rsidR="00F52D09" w:rsidRPr="0092031C" w:rsidRDefault="00F52D09" w:rsidP="00156E21">
            <w:pPr>
              <w:overflowPunct w:val="0"/>
              <w:autoSpaceDE w:val="0"/>
              <w:autoSpaceDN w:val="0"/>
              <w:ind w:leftChars="-41" w:left="-98" w:rightChars="-21" w:right="-50"/>
              <w:jc w:val="both"/>
              <w:rPr>
                <w:rFonts w:ascii="Times New Roman" w:eastAsia="標楷體" w:hAnsi="Times New Roman" w:cs="Times New Roman"/>
                <w:sz w:val="18"/>
                <w:szCs w:val="18"/>
              </w:rPr>
            </w:pPr>
          </w:p>
        </w:tc>
        <w:tc>
          <w:tcPr>
            <w:tcW w:w="714" w:type="dxa"/>
          </w:tcPr>
          <w:p w:rsidR="00F52D09" w:rsidRPr="0092031C" w:rsidRDefault="00F52D09" w:rsidP="00156E21">
            <w:pPr>
              <w:overflowPunct w:val="0"/>
              <w:autoSpaceDE w:val="0"/>
              <w:autoSpaceDN w:val="0"/>
              <w:ind w:leftChars="-41" w:left="-98" w:rightChars="-21" w:right="-50"/>
              <w:jc w:val="both"/>
              <w:rPr>
                <w:rFonts w:ascii="Times New Roman" w:eastAsia="標楷體" w:hAnsi="Times New Roman" w:cs="Times New Roman"/>
                <w:sz w:val="18"/>
                <w:szCs w:val="18"/>
              </w:rPr>
            </w:pPr>
          </w:p>
        </w:tc>
        <w:tc>
          <w:tcPr>
            <w:tcW w:w="826" w:type="dxa"/>
          </w:tcPr>
          <w:p w:rsidR="00F52D09" w:rsidRPr="0092031C" w:rsidRDefault="00F52D09" w:rsidP="00156E21">
            <w:pPr>
              <w:overflowPunct w:val="0"/>
              <w:autoSpaceDE w:val="0"/>
              <w:autoSpaceDN w:val="0"/>
              <w:ind w:leftChars="-41" w:left="-98" w:rightChars="-21" w:right="-50"/>
              <w:jc w:val="both"/>
              <w:rPr>
                <w:rFonts w:ascii="Times New Roman" w:eastAsia="標楷體" w:hAnsi="Times New Roman" w:cs="Times New Roman"/>
                <w:sz w:val="18"/>
                <w:szCs w:val="18"/>
              </w:rPr>
            </w:pPr>
          </w:p>
        </w:tc>
        <w:tc>
          <w:tcPr>
            <w:tcW w:w="826" w:type="dxa"/>
          </w:tcPr>
          <w:p w:rsidR="00F52D09" w:rsidRPr="0092031C" w:rsidRDefault="00F52D09" w:rsidP="00156E21">
            <w:pPr>
              <w:overflowPunct w:val="0"/>
              <w:autoSpaceDE w:val="0"/>
              <w:autoSpaceDN w:val="0"/>
              <w:ind w:leftChars="-41" w:left="-98" w:rightChars="-21" w:right="-50"/>
              <w:jc w:val="both"/>
              <w:rPr>
                <w:rFonts w:ascii="Times New Roman" w:eastAsia="標楷體" w:hAnsi="Times New Roman" w:cs="Times New Roman"/>
                <w:sz w:val="18"/>
                <w:szCs w:val="18"/>
              </w:rPr>
            </w:pPr>
          </w:p>
        </w:tc>
        <w:tc>
          <w:tcPr>
            <w:tcW w:w="839" w:type="dxa"/>
          </w:tcPr>
          <w:p w:rsidR="00F52D09" w:rsidRPr="0092031C" w:rsidRDefault="00F52D09" w:rsidP="00156E21">
            <w:pPr>
              <w:overflowPunct w:val="0"/>
              <w:autoSpaceDE w:val="0"/>
              <w:autoSpaceDN w:val="0"/>
              <w:ind w:leftChars="-41" w:left="-98" w:rightChars="-21" w:right="-50"/>
              <w:jc w:val="both"/>
              <w:rPr>
                <w:rFonts w:ascii="Times New Roman" w:eastAsia="標楷體" w:hAnsi="Times New Roman" w:cs="Times New Roman"/>
                <w:sz w:val="18"/>
                <w:szCs w:val="18"/>
              </w:rPr>
            </w:pPr>
          </w:p>
        </w:tc>
        <w:tc>
          <w:tcPr>
            <w:tcW w:w="812" w:type="dxa"/>
          </w:tcPr>
          <w:p w:rsidR="00F52D09" w:rsidRPr="0092031C" w:rsidRDefault="00F52D09" w:rsidP="00156E21">
            <w:pPr>
              <w:overflowPunct w:val="0"/>
              <w:autoSpaceDE w:val="0"/>
              <w:autoSpaceDN w:val="0"/>
              <w:ind w:leftChars="-41" w:left="-98" w:rightChars="-21" w:right="-50"/>
              <w:jc w:val="both"/>
              <w:rPr>
                <w:rFonts w:ascii="Times New Roman" w:eastAsia="標楷體" w:hAnsi="Times New Roman" w:cs="Times New Roman"/>
                <w:sz w:val="18"/>
                <w:szCs w:val="18"/>
              </w:rPr>
            </w:pPr>
          </w:p>
        </w:tc>
        <w:tc>
          <w:tcPr>
            <w:tcW w:w="812" w:type="dxa"/>
          </w:tcPr>
          <w:p w:rsidR="00F52D09" w:rsidRPr="0092031C" w:rsidRDefault="00F52D09" w:rsidP="00156E21">
            <w:pPr>
              <w:overflowPunct w:val="0"/>
              <w:autoSpaceDE w:val="0"/>
              <w:autoSpaceDN w:val="0"/>
              <w:ind w:leftChars="-41" w:left="-98" w:rightChars="-21" w:right="-50"/>
              <w:jc w:val="both"/>
              <w:rPr>
                <w:rFonts w:ascii="Times New Roman" w:eastAsia="標楷體" w:hAnsi="Times New Roman" w:cs="Times New Roman"/>
                <w:sz w:val="18"/>
                <w:szCs w:val="18"/>
              </w:rPr>
            </w:pPr>
          </w:p>
        </w:tc>
        <w:tc>
          <w:tcPr>
            <w:tcW w:w="808" w:type="dxa"/>
          </w:tcPr>
          <w:p w:rsidR="00F52D09" w:rsidRPr="0092031C" w:rsidRDefault="00F52D09" w:rsidP="00156E21">
            <w:pPr>
              <w:overflowPunct w:val="0"/>
              <w:autoSpaceDE w:val="0"/>
              <w:autoSpaceDN w:val="0"/>
              <w:ind w:leftChars="-41" w:left="-98" w:rightChars="-21" w:right="-50"/>
              <w:jc w:val="both"/>
              <w:rPr>
                <w:rFonts w:ascii="Times New Roman" w:eastAsia="標楷體" w:hAnsi="Times New Roman" w:cs="Times New Roman"/>
                <w:sz w:val="18"/>
                <w:szCs w:val="18"/>
              </w:rPr>
            </w:pPr>
          </w:p>
        </w:tc>
      </w:tr>
      <w:tr w:rsidR="00F52D09" w:rsidRPr="0092031C" w:rsidTr="00F52D09">
        <w:tc>
          <w:tcPr>
            <w:tcW w:w="1470" w:type="dxa"/>
          </w:tcPr>
          <w:p w:rsidR="00B63340" w:rsidRPr="0092031C" w:rsidRDefault="0092031C" w:rsidP="00156E21">
            <w:pPr>
              <w:overflowPunct w:val="0"/>
              <w:autoSpaceDE w:val="0"/>
              <w:autoSpaceDN w:val="0"/>
              <w:ind w:leftChars="-45" w:left="-108" w:rightChars="-67" w:right="-161"/>
              <w:jc w:val="both"/>
              <w:rPr>
                <w:rFonts w:ascii="Times New Roman" w:eastAsia="標楷體" w:hAnsi="Times New Roman" w:cs="Times New Roman"/>
                <w:sz w:val="18"/>
                <w:szCs w:val="18"/>
              </w:rPr>
            </w:pPr>
            <w:r w:rsidRPr="0092031C">
              <w:rPr>
                <w:rFonts w:ascii="Times New Roman" w:eastAsia="標楷體" w:hAnsi="Times New Roman" w:cs="Times New Roman"/>
                <w:sz w:val="18"/>
                <w:szCs w:val="18"/>
              </w:rPr>
              <w:t>- Base Fee (1/3)</w:t>
            </w:r>
          </w:p>
        </w:tc>
        <w:tc>
          <w:tcPr>
            <w:tcW w:w="728" w:type="dxa"/>
          </w:tcPr>
          <w:p w:rsidR="00B63340" w:rsidRPr="0092031C" w:rsidRDefault="0092031C" w:rsidP="00156E21">
            <w:pPr>
              <w:overflowPunct w:val="0"/>
              <w:autoSpaceDE w:val="0"/>
              <w:autoSpaceDN w:val="0"/>
              <w:ind w:leftChars="-41" w:left="-98" w:rightChars="-21" w:right="-50"/>
              <w:jc w:val="right"/>
              <w:rPr>
                <w:rFonts w:ascii="Times New Roman" w:eastAsia="標楷體" w:hAnsi="Times New Roman" w:cs="Times New Roman"/>
                <w:sz w:val="18"/>
                <w:szCs w:val="18"/>
              </w:rPr>
            </w:pPr>
            <w:r w:rsidRPr="0092031C">
              <w:rPr>
                <w:rFonts w:ascii="Times New Roman" w:eastAsia="標楷體" w:hAnsi="Times New Roman" w:cs="Times New Roman"/>
                <w:sz w:val="18"/>
                <w:szCs w:val="18"/>
                <w:u w:val="double"/>
              </w:rPr>
              <w:t xml:space="preserve">    </w:t>
            </w:r>
            <w:r w:rsidR="003C28DF">
              <w:rPr>
                <w:rFonts w:ascii="Times New Roman" w:eastAsia="標楷體" w:hAnsi="Times New Roman" w:cs="Times New Roman"/>
                <w:sz w:val="18"/>
                <w:szCs w:val="18"/>
                <w:u w:val="double"/>
              </w:rPr>
              <w:t xml:space="preserve">       </w:t>
            </w:r>
            <w:r w:rsidRPr="0092031C">
              <w:rPr>
                <w:rFonts w:ascii="Times New Roman" w:eastAsia="標楷體" w:hAnsi="Times New Roman" w:cs="Times New Roman"/>
                <w:sz w:val="18"/>
                <w:szCs w:val="18"/>
                <w:u w:val="double"/>
              </w:rPr>
              <w:t xml:space="preserve"> -</w:t>
            </w:r>
          </w:p>
        </w:tc>
        <w:tc>
          <w:tcPr>
            <w:tcW w:w="896" w:type="dxa"/>
          </w:tcPr>
          <w:p w:rsidR="00B63340" w:rsidRPr="0092031C" w:rsidRDefault="0092031C" w:rsidP="00156E21">
            <w:pPr>
              <w:overflowPunct w:val="0"/>
              <w:autoSpaceDE w:val="0"/>
              <w:autoSpaceDN w:val="0"/>
              <w:ind w:leftChars="-41" w:left="-98" w:rightChars="-21" w:right="-50"/>
              <w:jc w:val="right"/>
              <w:rPr>
                <w:rFonts w:ascii="Times New Roman" w:eastAsia="標楷體" w:hAnsi="Times New Roman" w:cs="Times New Roman"/>
                <w:sz w:val="18"/>
                <w:szCs w:val="18"/>
              </w:rPr>
            </w:pPr>
            <w:r w:rsidRPr="0092031C">
              <w:rPr>
                <w:rFonts w:ascii="Times New Roman" w:eastAsia="標楷體" w:hAnsi="Times New Roman" w:cs="Times New Roman"/>
                <w:sz w:val="18"/>
                <w:szCs w:val="18"/>
                <w:u w:val="double"/>
              </w:rPr>
              <w:t>#541,169</w:t>
            </w:r>
          </w:p>
        </w:tc>
        <w:tc>
          <w:tcPr>
            <w:tcW w:w="714" w:type="dxa"/>
          </w:tcPr>
          <w:p w:rsidR="00B63340" w:rsidRPr="0092031C" w:rsidRDefault="0092031C" w:rsidP="00156E21">
            <w:pPr>
              <w:overflowPunct w:val="0"/>
              <w:autoSpaceDE w:val="0"/>
              <w:autoSpaceDN w:val="0"/>
              <w:ind w:leftChars="-41" w:left="-98" w:rightChars="-21" w:right="-50"/>
              <w:jc w:val="right"/>
              <w:rPr>
                <w:rFonts w:ascii="Times New Roman" w:eastAsia="標楷體" w:hAnsi="Times New Roman" w:cs="Times New Roman"/>
                <w:sz w:val="18"/>
                <w:szCs w:val="18"/>
              </w:rPr>
            </w:pPr>
            <w:r w:rsidRPr="0092031C">
              <w:rPr>
                <w:rFonts w:ascii="Times New Roman" w:eastAsia="標楷體" w:hAnsi="Times New Roman" w:cs="Times New Roman"/>
                <w:sz w:val="18"/>
                <w:szCs w:val="18"/>
                <w:u w:val="double"/>
              </w:rPr>
              <w:t>344,000</w:t>
            </w:r>
          </w:p>
        </w:tc>
        <w:tc>
          <w:tcPr>
            <w:tcW w:w="826" w:type="dxa"/>
          </w:tcPr>
          <w:p w:rsidR="00B63340" w:rsidRPr="0092031C" w:rsidRDefault="003C28DF" w:rsidP="00156E21">
            <w:pPr>
              <w:overflowPunct w:val="0"/>
              <w:autoSpaceDE w:val="0"/>
              <w:autoSpaceDN w:val="0"/>
              <w:ind w:leftChars="-41" w:left="-98" w:rightChars="-21" w:right="-50"/>
              <w:jc w:val="right"/>
              <w:rPr>
                <w:rFonts w:ascii="Times New Roman" w:eastAsia="標楷體" w:hAnsi="Times New Roman" w:cs="Times New Roman"/>
                <w:sz w:val="18"/>
                <w:szCs w:val="18"/>
              </w:rPr>
            </w:pPr>
            <w:r>
              <w:rPr>
                <w:rFonts w:ascii="Times New Roman" w:eastAsia="標楷體" w:hAnsi="Times New Roman" w:cs="Times New Roman"/>
                <w:sz w:val="18"/>
                <w:szCs w:val="18"/>
                <w:u w:val="double"/>
              </w:rPr>
              <w:t xml:space="preserve">   </w:t>
            </w:r>
            <w:r w:rsidR="0092031C" w:rsidRPr="0092031C">
              <w:rPr>
                <w:rFonts w:ascii="Times New Roman" w:eastAsia="標楷體" w:hAnsi="Times New Roman" w:cs="Times New Roman"/>
                <w:sz w:val="18"/>
                <w:szCs w:val="18"/>
                <w:u w:val="double"/>
              </w:rPr>
              <w:t>402,267</w:t>
            </w:r>
          </w:p>
        </w:tc>
        <w:tc>
          <w:tcPr>
            <w:tcW w:w="826" w:type="dxa"/>
          </w:tcPr>
          <w:p w:rsidR="00B63340" w:rsidRPr="0092031C" w:rsidRDefault="003C28DF" w:rsidP="00156E21">
            <w:pPr>
              <w:overflowPunct w:val="0"/>
              <w:autoSpaceDE w:val="0"/>
              <w:autoSpaceDN w:val="0"/>
              <w:ind w:leftChars="-41" w:left="-98" w:rightChars="-21" w:right="-50"/>
              <w:jc w:val="right"/>
              <w:rPr>
                <w:rFonts w:ascii="Times New Roman" w:eastAsia="標楷體" w:hAnsi="Times New Roman" w:cs="Times New Roman"/>
                <w:sz w:val="18"/>
                <w:szCs w:val="18"/>
              </w:rPr>
            </w:pPr>
            <w:r>
              <w:rPr>
                <w:rFonts w:ascii="Times New Roman" w:eastAsia="標楷體" w:hAnsi="Times New Roman" w:cs="Times New Roman"/>
                <w:sz w:val="18"/>
                <w:szCs w:val="18"/>
                <w:u w:val="double"/>
              </w:rPr>
              <w:t xml:space="preserve">   </w:t>
            </w:r>
            <w:r w:rsidR="0092031C" w:rsidRPr="0092031C">
              <w:rPr>
                <w:rFonts w:ascii="Times New Roman" w:eastAsia="標楷體" w:hAnsi="Times New Roman" w:cs="Times New Roman"/>
                <w:sz w:val="18"/>
                <w:szCs w:val="18"/>
                <w:u w:val="double"/>
              </w:rPr>
              <w:t>484,000</w:t>
            </w:r>
          </w:p>
        </w:tc>
        <w:tc>
          <w:tcPr>
            <w:tcW w:w="839" w:type="dxa"/>
          </w:tcPr>
          <w:p w:rsidR="00B63340" w:rsidRPr="0092031C" w:rsidRDefault="003C28DF" w:rsidP="00156E21">
            <w:pPr>
              <w:overflowPunct w:val="0"/>
              <w:autoSpaceDE w:val="0"/>
              <w:autoSpaceDN w:val="0"/>
              <w:ind w:leftChars="-41" w:left="-98" w:rightChars="-21" w:right="-50"/>
              <w:jc w:val="right"/>
              <w:rPr>
                <w:rFonts w:ascii="Times New Roman" w:eastAsia="標楷體" w:hAnsi="Times New Roman" w:cs="Times New Roman"/>
                <w:sz w:val="18"/>
                <w:szCs w:val="18"/>
              </w:rPr>
            </w:pPr>
            <w:r>
              <w:rPr>
                <w:rFonts w:ascii="Times New Roman" w:eastAsia="標楷體" w:hAnsi="Times New Roman" w:cs="Times New Roman"/>
                <w:sz w:val="18"/>
                <w:szCs w:val="18"/>
                <w:u w:val="double"/>
              </w:rPr>
              <w:t xml:space="preserve">   </w:t>
            </w:r>
            <w:r w:rsidR="0092031C" w:rsidRPr="0092031C">
              <w:rPr>
                <w:rFonts w:ascii="Times New Roman" w:eastAsia="標楷體" w:hAnsi="Times New Roman" w:cs="Times New Roman"/>
                <w:sz w:val="18"/>
                <w:szCs w:val="18"/>
                <w:u w:val="double"/>
              </w:rPr>
              <w:t>501,333</w:t>
            </w:r>
          </w:p>
        </w:tc>
        <w:tc>
          <w:tcPr>
            <w:tcW w:w="812" w:type="dxa"/>
          </w:tcPr>
          <w:p w:rsidR="00B63340" w:rsidRPr="0092031C" w:rsidRDefault="003C28DF" w:rsidP="00156E21">
            <w:pPr>
              <w:overflowPunct w:val="0"/>
              <w:autoSpaceDE w:val="0"/>
              <w:autoSpaceDN w:val="0"/>
              <w:ind w:leftChars="-41" w:left="-98" w:rightChars="-21" w:right="-50"/>
              <w:jc w:val="right"/>
              <w:rPr>
                <w:rFonts w:ascii="Times New Roman" w:eastAsia="標楷體" w:hAnsi="Times New Roman" w:cs="Times New Roman"/>
                <w:sz w:val="18"/>
                <w:szCs w:val="18"/>
              </w:rPr>
            </w:pPr>
            <w:r>
              <w:rPr>
                <w:rFonts w:ascii="Times New Roman" w:eastAsia="標楷體" w:hAnsi="Times New Roman" w:cs="Times New Roman"/>
                <w:sz w:val="18"/>
                <w:szCs w:val="18"/>
                <w:u w:val="double"/>
              </w:rPr>
              <w:t xml:space="preserve">   </w:t>
            </w:r>
            <w:r w:rsidR="0092031C" w:rsidRPr="0092031C">
              <w:rPr>
                <w:rFonts w:ascii="Times New Roman" w:eastAsia="標楷體" w:hAnsi="Times New Roman" w:cs="Times New Roman"/>
                <w:sz w:val="18"/>
                <w:szCs w:val="18"/>
                <w:u w:val="double"/>
              </w:rPr>
              <w:t>546,667</w:t>
            </w:r>
          </w:p>
        </w:tc>
        <w:tc>
          <w:tcPr>
            <w:tcW w:w="812" w:type="dxa"/>
          </w:tcPr>
          <w:p w:rsidR="00B63340" w:rsidRPr="0092031C" w:rsidRDefault="003C28DF" w:rsidP="00156E21">
            <w:pPr>
              <w:overflowPunct w:val="0"/>
              <w:autoSpaceDE w:val="0"/>
              <w:autoSpaceDN w:val="0"/>
              <w:ind w:leftChars="-41" w:left="-98" w:rightChars="-21" w:right="-50"/>
              <w:jc w:val="right"/>
              <w:rPr>
                <w:rFonts w:ascii="Times New Roman" w:eastAsia="標楷體" w:hAnsi="Times New Roman" w:cs="Times New Roman"/>
                <w:sz w:val="18"/>
                <w:szCs w:val="18"/>
              </w:rPr>
            </w:pPr>
            <w:r>
              <w:rPr>
                <w:rFonts w:ascii="Times New Roman" w:eastAsia="標楷體" w:hAnsi="Times New Roman" w:cs="Times New Roman"/>
                <w:sz w:val="18"/>
                <w:szCs w:val="18"/>
                <w:u w:val="double"/>
              </w:rPr>
              <w:t xml:space="preserve">   </w:t>
            </w:r>
            <w:r w:rsidR="0092031C" w:rsidRPr="0092031C">
              <w:rPr>
                <w:rFonts w:ascii="Times New Roman" w:eastAsia="標楷體" w:hAnsi="Times New Roman" w:cs="Times New Roman"/>
                <w:sz w:val="18"/>
                <w:szCs w:val="18"/>
                <w:u w:val="double"/>
              </w:rPr>
              <w:t>585,734</w:t>
            </w:r>
          </w:p>
        </w:tc>
        <w:tc>
          <w:tcPr>
            <w:tcW w:w="808" w:type="dxa"/>
          </w:tcPr>
          <w:p w:rsidR="00B63340" w:rsidRPr="0092031C" w:rsidRDefault="003C28DF" w:rsidP="00156E21">
            <w:pPr>
              <w:overflowPunct w:val="0"/>
              <w:autoSpaceDE w:val="0"/>
              <w:autoSpaceDN w:val="0"/>
              <w:ind w:leftChars="-41" w:left="-98" w:rightChars="-21" w:right="-50"/>
              <w:jc w:val="right"/>
              <w:rPr>
                <w:rFonts w:ascii="Times New Roman" w:eastAsia="標楷體" w:hAnsi="Times New Roman" w:cs="Times New Roman"/>
                <w:sz w:val="18"/>
                <w:szCs w:val="18"/>
              </w:rPr>
            </w:pPr>
            <w:r>
              <w:rPr>
                <w:rFonts w:ascii="Times New Roman" w:eastAsia="標楷體" w:hAnsi="Times New Roman" w:cs="Times New Roman"/>
                <w:sz w:val="18"/>
                <w:szCs w:val="18"/>
                <w:u w:val="double"/>
              </w:rPr>
              <w:t xml:space="preserve">   </w:t>
            </w:r>
            <w:r w:rsidR="0092031C" w:rsidRPr="0092031C">
              <w:rPr>
                <w:rFonts w:ascii="Times New Roman" w:eastAsia="標楷體" w:hAnsi="Times New Roman" w:cs="Times New Roman"/>
                <w:sz w:val="18"/>
                <w:szCs w:val="18"/>
                <w:u w:val="double"/>
              </w:rPr>
              <w:t>673,467</w:t>
            </w:r>
          </w:p>
        </w:tc>
      </w:tr>
      <w:tr w:rsidR="00F52D09" w:rsidRPr="0092031C" w:rsidTr="00F52D09">
        <w:tc>
          <w:tcPr>
            <w:tcW w:w="1470" w:type="dxa"/>
          </w:tcPr>
          <w:p w:rsidR="0092031C" w:rsidRPr="0092031C" w:rsidRDefault="0092031C" w:rsidP="00156E21">
            <w:pPr>
              <w:overflowPunct w:val="0"/>
              <w:autoSpaceDE w:val="0"/>
              <w:autoSpaceDN w:val="0"/>
              <w:ind w:leftChars="-45" w:left="-108" w:rightChars="-67" w:right="-161"/>
              <w:jc w:val="both"/>
              <w:rPr>
                <w:rFonts w:ascii="Times New Roman" w:eastAsia="標楷體" w:hAnsi="Times New Roman" w:cs="Times New Roman"/>
                <w:b/>
                <w:sz w:val="18"/>
                <w:szCs w:val="18"/>
              </w:rPr>
            </w:pPr>
          </w:p>
        </w:tc>
        <w:tc>
          <w:tcPr>
            <w:tcW w:w="728" w:type="dxa"/>
          </w:tcPr>
          <w:p w:rsidR="0092031C" w:rsidRPr="0092031C" w:rsidRDefault="0092031C" w:rsidP="00156E21">
            <w:pPr>
              <w:overflowPunct w:val="0"/>
              <w:autoSpaceDE w:val="0"/>
              <w:autoSpaceDN w:val="0"/>
              <w:ind w:leftChars="-41" w:left="-98" w:rightChars="-21" w:right="-50"/>
              <w:jc w:val="right"/>
              <w:rPr>
                <w:rFonts w:ascii="Times New Roman" w:eastAsia="標楷體" w:hAnsi="Times New Roman" w:cs="Times New Roman"/>
                <w:sz w:val="18"/>
                <w:szCs w:val="18"/>
              </w:rPr>
            </w:pPr>
          </w:p>
        </w:tc>
        <w:tc>
          <w:tcPr>
            <w:tcW w:w="896" w:type="dxa"/>
          </w:tcPr>
          <w:p w:rsidR="0092031C" w:rsidRPr="0092031C" w:rsidRDefault="0092031C" w:rsidP="00156E21">
            <w:pPr>
              <w:overflowPunct w:val="0"/>
              <w:autoSpaceDE w:val="0"/>
              <w:autoSpaceDN w:val="0"/>
              <w:ind w:leftChars="-41" w:left="-98" w:rightChars="-21" w:right="-50"/>
              <w:jc w:val="right"/>
              <w:rPr>
                <w:rFonts w:ascii="Times New Roman" w:eastAsia="標楷體" w:hAnsi="Times New Roman" w:cs="Times New Roman"/>
                <w:sz w:val="18"/>
                <w:szCs w:val="18"/>
              </w:rPr>
            </w:pPr>
          </w:p>
        </w:tc>
        <w:tc>
          <w:tcPr>
            <w:tcW w:w="714" w:type="dxa"/>
          </w:tcPr>
          <w:p w:rsidR="0092031C" w:rsidRPr="0092031C" w:rsidRDefault="0092031C" w:rsidP="00156E21">
            <w:pPr>
              <w:overflowPunct w:val="0"/>
              <w:autoSpaceDE w:val="0"/>
              <w:autoSpaceDN w:val="0"/>
              <w:ind w:leftChars="-41" w:left="-98" w:rightChars="-21" w:right="-50"/>
              <w:jc w:val="right"/>
              <w:rPr>
                <w:rFonts w:ascii="Times New Roman" w:eastAsia="標楷體" w:hAnsi="Times New Roman" w:cs="Times New Roman"/>
                <w:sz w:val="18"/>
                <w:szCs w:val="18"/>
              </w:rPr>
            </w:pPr>
          </w:p>
        </w:tc>
        <w:tc>
          <w:tcPr>
            <w:tcW w:w="826" w:type="dxa"/>
          </w:tcPr>
          <w:p w:rsidR="0092031C" w:rsidRPr="0092031C" w:rsidRDefault="0092031C" w:rsidP="00156E21">
            <w:pPr>
              <w:overflowPunct w:val="0"/>
              <w:autoSpaceDE w:val="0"/>
              <w:autoSpaceDN w:val="0"/>
              <w:ind w:leftChars="-41" w:left="-98" w:rightChars="-21" w:right="-50"/>
              <w:jc w:val="right"/>
              <w:rPr>
                <w:rFonts w:ascii="Times New Roman" w:eastAsia="標楷體" w:hAnsi="Times New Roman" w:cs="Times New Roman"/>
                <w:sz w:val="18"/>
                <w:szCs w:val="18"/>
              </w:rPr>
            </w:pPr>
          </w:p>
        </w:tc>
        <w:tc>
          <w:tcPr>
            <w:tcW w:w="826" w:type="dxa"/>
          </w:tcPr>
          <w:p w:rsidR="0092031C" w:rsidRPr="0092031C" w:rsidRDefault="0092031C" w:rsidP="00156E21">
            <w:pPr>
              <w:overflowPunct w:val="0"/>
              <w:autoSpaceDE w:val="0"/>
              <w:autoSpaceDN w:val="0"/>
              <w:ind w:leftChars="-41" w:left="-98" w:rightChars="-21" w:right="-50"/>
              <w:jc w:val="right"/>
              <w:rPr>
                <w:rFonts w:ascii="Times New Roman" w:eastAsia="標楷體" w:hAnsi="Times New Roman" w:cs="Times New Roman"/>
                <w:sz w:val="18"/>
                <w:szCs w:val="18"/>
              </w:rPr>
            </w:pPr>
          </w:p>
        </w:tc>
        <w:tc>
          <w:tcPr>
            <w:tcW w:w="839" w:type="dxa"/>
          </w:tcPr>
          <w:p w:rsidR="0092031C" w:rsidRPr="0092031C" w:rsidRDefault="0092031C" w:rsidP="00156E21">
            <w:pPr>
              <w:overflowPunct w:val="0"/>
              <w:autoSpaceDE w:val="0"/>
              <w:autoSpaceDN w:val="0"/>
              <w:ind w:leftChars="-41" w:left="-98" w:rightChars="-21" w:right="-50"/>
              <w:jc w:val="right"/>
              <w:rPr>
                <w:rFonts w:ascii="Times New Roman" w:eastAsia="標楷體" w:hAnsi="Times New Roman" w:cs="Times New Roman"/>
                <w:sz w:val="18"/>
                <w:szCs w:val="18"/>
              </w:rPr>
            </w:pPr>
          </w:p>
        </w:tc>
        <w:tc>
          <w:tcPr>
            <w:tcW w:w="812" w:type="dxa"/>
          </w:tcPr>
          <w:p w:rsidR="0092031C" w:rsidRPr="0092031C" w:rsidRDefault="0092031C" w:rsidP="00156E21">
            <w:pPr>
              <w:overflowPunct w:val="0"/>
              <w:autoSpaceDE w:val="0"/>
              <w:autoSpaceDN w:val="0"/>
              <w:ind w:leftChars="-41" w:left="-98" w:rightChars="-21" w:right="-50"/>
              <w:jc w:val="right"/>
              <w:rPr>
                <w:rFonts w:ascii="Times New Roman" w:eastAsia="標楷體" w:hAnsi="Times New Roman" w:cs="Times New Roman"/>
                <w:sz w:val="18"/>
                <w:szCs w:val="18"/>
              </w:rPr>
            </w:pPr>
          </w:p>
        </w:tc>
        <w:tc>
          <w:tcPr>
            <w:tcW w:w="812" w:type="dxa"/>
          </w:tcPr>
          <w:p w:rsidR="0092031C" w:rsidRPr="0092031C" w:rsidRDefault="0092031C" w:rsidP="00156E21">
            <w:pPr>
              <w:overflowPunct w:val="0"/>
              <w:autoSpaceDE w:val="0"/>
              <w:autoSpaceDN w:val="0"/>
              <w:ind w:leftChars="-41" w:left="-98" w:rightChars="-21" w:right="-50"/>
              <w:jc w:val="right"/>
              <w:rPr>
                <w:rFonts w:ascii="Times New Roman" w:eastAsia="標楷體" w:hAnsi="Times New Roman" w:cs="Times New Roman"/>
                <w:sz w:val="18"/>
                <w:szCs w:val="18"/>
              </w:rPr>
            </w:pPr>
          </w:p>
        </w:tc>
        <w:tc>
          <w:tcPr>
            <w:tcW w:w="808" w:type="dxa"/>
          </w:tcPr>
          <w:p w:rsidR="0092031C" w:rsidRPr="0092031C" w:rsidRDefault="0092031C" w:rsidP="00156E21">
            <w:pPr>
              <w:overflowPunct w:val="0"/>
              <w:autoSpaceDE w:val="0"/>
              <w:autoSpaceDN w:val="0"/>
              <w:ind w:leftChars="-41" w:left="-98" w:rightChars="-21" w:right="-50"/>
              <w:jc w:val="right"/>
              <w:rPr>
                <w:rFonts w:ascii="Times New Roman" w:eastAsia="標楷體" w:hAnsi="Times New Roman" w:cs="Times New Roman"/>
                <w:sz w:val="18"/>
                <w:szCs w:val="18"/>
              </w:rPr>
            </w:pPr>
          </w:p>
        </w:tc>
      </w:tr>
      <w:tr w:rsidR="00F52D09" w:rsidRPr="0092031C" w:rsidTr="00F52D09">
        <w:tc>
          <w:tcPr>
            <w:tcW w:w="1470" w:type="dxa"/>
          </w:tcPr>
          <w:p w:rsidR="00B63340" w:rsidRPr="0092031C" w:rsidRDefault="0092031C" w:rsidP="00156E21">
            <w:pPr>
              <w:overflowPunct w:val="0"/>
              <w:autoSpaceDE w:val="0"/>
              <w:autoSpaceDN w:val="0"/>
              <w:ind w:leftChars="-45" w:left="-108" w:rightChars="-67" w:right="-161"/>
              <w:jc w:val="both"/>
              <w:rPr>
                <w:rFonts w:ascii="Times New Roman" w:eastAsia="標楷體" w:hAnsi="Times New Roman" w:cs="Times New Roman"/>
                <w:sz w:val="18"/>
                <w:szCs w:val="18"/>
              </w:rPr>
            </w:pPr>
            <w:r w:rsidRPr="0092031C">
              <w:rPr>
                <w:rFonts w:ascii="Times New Roman" w:eastAsia="標楷體" w:hAnsi="Times New Roman" w:cs="Times New Roman"/>
                <w:b/>
                <w:sz w:val="18"/>
                <w:szCs w:val="18"/>
              </w:rPr>
              <w:t>The Taxpayer</w:t>
            </w:r>
          </w:p>
        </w:tc>
        <w:tc>
          <w:tcPr>
            <w:tcW w:w="728" w:type="dxa"/>
          </w:tcPr>
          <w:p w:rsidR="00B63340" w:rsidRPr="0092031C" w:rsidRDefault="00B63340" w:rsidP="00156E21">
            <w:pPr>
              <w:overflowPunct w:val="0"/>
              <w:autoSpaceDE w:val="0"/>
              <w:autoSpaceDN w:val="0"/>
              <w:ind w:leftChars="-41" w:left="-98" w:rightChars="-21" w:right="-50"/>
              <w:jc w:val="right"/>
              <w:rPr>
                <w:rFonts w:ascii="Times New Roman" w:eastAsia="標楷體" w:hAnsi="Times New Roman" w:cs="Times New Roman"/>
                <w:sz w:val="18"/>
                <w:szCs w:val="18"/>
              </w:rPr>
            </w:pPr>
          </w:p>
        </w:tc>
        <w:tc>
          <w:tcPr>
            <w:tcW w:w="896" w:type="dxa"/>
          </w:tcPr>
          <w:p w:rsidR="00B63340" w:rsidRPr="0092031C" w:rsidRDefault="00B63340" w:rsidP="00156E21">
            <w:pPr>
              <w:overflowPunct w:val="0"/>
              <w:autoSpaceDE w:val="0"/>
              <w:autoSpaceDN w:val="0"/>
              <w:ind w:leftChars="-41" w:left="-98" w:rightChars="-21" w:right="-50"/>
              <w:jc w:val="right"/>
              <w:rPr>
                <w:rFonts w:ascii="Times New Roman" w:eastAsia="標楷體" w:hAnsi="Times New Roman" w:cs="Times New Roman"/>
                <w:sz w:val="18"/>
                <w:szCs w:val="18"/>
              </w:rPr>
            </w:pPr>
          </w:p>
        </w:tc>
        <w:tc>
          <w:tcPr>
            <w:tcW w:w="714" w:type="dxa"/>
          </w:tcPr>
          <w:p w:rsidR="00B63340" w:rsidRPr="0092031C" w:rsidRDefault="00B63340" w:rsidP="00156E21">
            <w:pPr>
              <w:overflowPunct w:val="0"/>
              <w:autoSpaceDE w:val="0"/>
              <w:autoSpaceDN w:val="0"/>
              <w:ind w:leftChars="-41" w:left="-98" w:rightChars="-21" w:right="-50"/>
              <w:jc w:val="right"/>
              <w:rPr>
                <w:rFonts w:ascii="Times New Roman" w:eastAsia="標楷體" w:hAnsi="Times New Roman" w:cs="Times New Roman"/>
                <w:sz w:val="18"/>
                <w:szCs w:val="18"/>
              </w:rPr>
            </w:pPr>
          </w:p>
        </w:tc>
        <w:tc>
          <w:tcPr>
            <w:tcW w:w="826" w:type="dxa"/>
          </w:tcPr>
          <w:p w:rsidR="00B63340" w:rsidRPr="0092031C" w:rsidRDefault="00B63340" w:rsidP="00156E21">
            <w:pPr>
              <w:overflowPunct w:val="0"/>
              <w:autoSpaceDE w:val="0"/>
              <w:autoSpaceDN w:val="0"/>
              <w:ind w:leftChars="-41" w:left="-98" w:rightChars="-21" w:right="-50"/>
              <w:jc w:val="right"/>
              <w:rPr>
                <w:rFonts w:ascii="Times New Roman" w:eastAsia="標楷體" w:hAnsi="Times New Roman" w:cs="Times New Roman"/>
                <w:sz w:val="18"/>
                <w:szCs w:val="18"/>
              </w:rPr>
            </w:pPr>
          </w:p>
        </w:tc>
        <w:tc>
          <w:tcPr>
            <w:tcW w:w="826" w:type="dxa"/>
          </w:tcPr>
          <w:p w:rsidR="00B63340" w:rsidRPr="0092031C" w:rsidRDefault="00B63340" w:rsidP="00156E21">
            <w:pPr>
              <w:overflowPunct w:val="0"/>
              <w:autoSpaceDE w:val="0"/>
              <w:autoSpaceDN w:val="0"/>
              <w:ind w:leftChars="-41" w:left="-98" w:rightChars="-21" w:right="-50"/>
              <w:jc w:val="right"/>
              <w:rPr>
                <w:rFonts w:ascii="Times New Roman" w:eastAsia="標楷體" w:hAnsi="Times New Roman" w:cs="Times New Roman"/>
                <w:sz w:val="18"/>
                <w:szCs w:val="18"/>
              </w:rPr>
            </w:pPr>
          </w:p>
        </w:tc>
        <w:tc>
          <w:tcPr>
            <w:tcW w:w="839" w:type="dxa"/>
          </w:tcPr>
          <w:p w:rsidR="00B63340" w:rsidRPr="0092031C" w:rsidRDefault="00B63340" w:rsidP="00156E21">
            <w:pPr>
              <w:overflowPunct w:val="0"/>
              <w:autoSpaceDE w:val="0"/>
              <w:autoSpaceDN w:val="0"/>
              <w:ind w:leftChars="-41" w:left="-98" w:rightChars="-21" w:right="-50"/>
              <w:jc w:val="right"/>
              <w:rPr>
                <w:rFonts w:ascii="Times New Roman" w:eastAsia="標楷體" w:hAnsi="Times New Roman" w:cs="Times New Roman"/>
                <w:sz w:val="18"/>
                <w:szCs w:val="18"/>
              </w:rPr>
            </w:pPr>
          </w:p>
        </w:tc>
        <w:tc>
          <w:tcPr>
            <w:tcW w:w="812" w:type="dxa"/>
          </w:tcPr>
          <w:p w:rsidR="00B63340" w:rsidRPr="0092031C" w:rsidRDefault="00B63340" w:rsidP="00156E21">
            <w:pPr>
              <w:overflowPunct w:val="0"/>
              <w:autoSpaceDE w:val="0"/>
              <w:autoSpaceDN w:val="0"/>
              <w:ind w:leftChars="-41" w:left="-98" w:rightChars="-21" w:right="-50"/>
              <w:jc w:val="right"/>
              <w:rPr>
                <w:rFonts w:ascii="Times New Roman" w:eastAsia="標楷體" w:hAnsi="Times New Roman" w:cs="Times New Roman"/>
                <w:sz w:val="18"/>
                <w:szCs w:val="18"/>
              </w:rPr>
            </w:pPr>
          </w:p>
        </w:tc>
        <w:tc>
          <w:tcPr>
            <w:tcW w:w="812" w:type="dxa"/>
          </w:tcPr>
          <w:p w:rsidR="00B63340" w:rsidRPr="0092031C" w:rsidRDefault="00B63340" w:rsidP="00156E21">
            <w:pPr>
              <w:overflowPunct w:val="0"/>
              <w:autoSpaceDE w:val="0"/>
              <w:autoSpaceDN w:val="0"/>
              <w:ind w:leftChars="-41" w:left="-98" w:rightChars="-21" w:right="-50"/>
              <w:jc w:val="right"/>
              <w:rPr>
                <w:rFonts w:ascii="Times New Roman" w:eastAsia="標楷體" w:hAnsi="Times New Roman" w:cs="Times New Roman"/>
                <w:sz w:val="18"/>
                <w:szCs w:val="18"/>
              </w:rPr>
            </w:pPr>
          </w:p>
        </w:tc>
        <w:tc>
          <w:tcPr>
            <w:tcW w:w="808" w:type="dxa"/>
          </w:tcPr>
          <w:p w:rsidR="00B63340" w:rsidRPr="0092031C" w:rsidRDefault="00B63340" w:rsidP="00156E21">
            <w:pPr>
              <w:overflowPunct w:val="0"/>
              <w:autoSpaceDE w:val="0"/>
              <w:autoSpaceDN w:val="0"/>
              <w:ind w:leftChars="-41" w:left="-98" w:rightChars="-21" w:right="-50"/>
              <w:jc w:val="right"/>
              <w:rPr>
                <w:rFonts w:ascii="Times New Roman" w:eastAsia="標楷體" w:hAnsi="Times New Roman" w:cs="Times New Roman"/>
                <w:sz w:val="18"/>
                <w:szCs w:val="18"/>
              </w:rPr>
            </w:pPr>
          </w:p>
        </w:tc>
      </w:tr>
      <w:tr w:rsidR="00F52D09" w:rsidRPr="0092031C" w:rsidTr="00F52D09">
        <w:tc>
          <w:tcPr>
            <w:tcW w:w="1470" w:type="dxa"/>
          </w:tcPr>
          <w:p w:rsidR="00B63340" w:rsidRPr="0092031C" w:rsidRDefault="0092031C" w:rsidP="00156E21">
            <w:pPr>
              <w:overflowPunct w:val="0"/>
              <w:autoSpaceDE w:val="0"/>
              <w:autoSpaceDN w:val="0"/>
              <w:ind w:leftChars="-45" w:left="-108" w:rightChars="-67" w:right="-161"/>
              <w:jc w:val="both"/>
              <w:rPr>
                <w:rFonts w:ascii="Times New Roman" w:eastAsia="標楷體" w:hAnsi="Times New Roman" w:cs="Times New Roman"/>
                <w:sz w:val="18"/>
                <w:szCs w:val="18"/>
              </w:rPr>
            </w:pPr>
            <w:r w:rsidRPr="0092031C">
              <w:rPr>
                <w:rFonts w:ascii="Times New Roman" w:eastAsia="標楷體" w:hAnsi="Times New Roman" w:cs="Times New Roman"/>
                <w:sz w:val="18"/>
                <w:szCs w:val="18"/>
              </w:rPr>
              <w:t>- Base Fee (2/3)</w:t>
            </w:r>
          </w:p>
        </w:tc>
        <w:tc>
          <w:tcPr>
            <w:tcW w:w="728" w:type="dxa"/>
          </w:tcPr>
          <w:p w:rsidR="00B63340" w:rsidRPr="0092031C" w:rsidRDefault="0092031C" w:rsidP="00156E21">
            <w:pPr>
              <w:overflowPunct w:val="0"/>
              <w:autoSpaceDE w:val="0"/>
              <w:autoSpaceDN w:val="0"/>
              <w:ind w:leftChars="-41" w:left="-98" w:rightChars="-21" w:right="-50"/>
              <w:jc w:val="right"/>
              <w:rPr>
                <w:rFonts w:ascii="Times New Roman" w:eastAsia="標楷體" w:hAnsi="Times New Roman" w:cs="Times New Roman"/>
                <w:sz w:val="18"/>
                <w:szCs w:val="18"/>
              </w:rPr>
            </w:pPr>
            <w:r w:rsidRPr="0092031C">
              <w:rPr>
                <w:rFonts w:ascii="Times New Roman" w:eastAsia="標楷體" w:hAnsi="Times New Roman" w:cs="Times New Roman"/>
                <w:sz w:val="18"/>
                <w:szCs w:val="18"/>
              </w:rPr>
              <w:t xml:space="preserve">    -    </w:t>
            </w:r>
          </w:p>
        </w:tc>
        <w:tc>
          <w:tcPr>
            <w:tcW w:w="896" w:type="dxa"/>
          </w:tcPr>
          <w:p w:rsidR="00B63340" w:rsidRPr="0092031C" w:rsidRDefault="0092031C" w:rsidP="00156E21">
            <w:pPr>
              <w:overflowPunct w:val="0"/>
              <w:autoSpaceDE w:val="0"/>
              <w:autoSpaceDN w:val="0"/>
              <w:ind w:leftChars="-41" w:left="-98" w:rightChars="-21" w:right="-50"/>
              <w:jc w:val="right"/>
              <w:rPr>
                <w:rFonts w:ascii="Times New Roman" w:eastAsia="標楷體" w:hAnsi="Times New Roman" w:cs="Times New Roman"/>
                <w:sz w:val="18"/>
                <w:szCs w:val="18"/>
              </w:rPr>
            </w:pPr>
            <w:r w:rsidRPr="0092031C">
              <w:rPr>
                <w:rFonts w:ascii="Times New Roman" w:eastAsia="標楷體" w:hAnsi="Times New Roman" w:cs="Times New Roman"/>
                <w:sz w:val="18"/>
                <w:szCs w:val="18"/>
              </w:rPr>
              <w:t>#1,082,338</w:t>
            </w:r>
          </w:p>
        </w:tc>
        <w:tc>
          <w:tcPr>
            <w:tcW w:w="714" w:type="dxa"/>
          </w:tcPr>
          <w:p w:rsidR="00B63340" w:rsidRPr="0092031C" w:rsidRDefault="0092031C" w:rsidP="00156E21">
            <w:pPr>
              <w:overflowPunct w:val="0"/>
              <w:autoSpaceDE w:val="0"/>
              <w:autoSpaceDN w:val="0"/>
              <w:ind w:leftChars="-41" w:left="-98" w:rightChars="-21" w:right="-50"/>
              <w:jc w:val="right"/>
              <w:rPr>
                <w:rFonts w:ascii="Times New Roman" w:eastAsia="標楷體" w:hAnsi="Times New Roman" w:cs="Times New Roman"/>
                <w:sz w:val="18"/>
                <w:szCs w:val="18"/>
              </w:rPr>
            </w:pPr>
            <w:r w:rsidRPr="0092031C">
              <w:rPr>
                <w:rFonts w:ascii="Times New Roman" w:eastAsia="標楷體" w:hAnsi="Times New Roman" w:cs="Times New Roman"/>
                <w:sz w:val="18"/>
                <w:szCs w:val="18"/>
              </w:rPr>
              <w:t>688,000</w:t>
            </w:r>
          </w:p>
        </w:tc>
        <w:tc>
          <w:tcPr>
            <w:tcW w:w="826" w:type="dxa"/>
          </w:tcPr>
          <w:p w:rsidR="00B63340" w:rsidRPr="0092031C" w:rsidRDefault="0092031C" w:rsidP="00156E21">
            <w:pPr>
              <w:overflowPunct w:val="0"/>
              <w:autoSpaceDE w:val="0"/>
              <w:autoSpaceDN w:val="0"/>
              <w:ind w:leftChars="-41" w:left="-98" w:rightChars="-21" w:right="-50"/>
              <w:jc w:val="right"/>
              <w:rPr>
                <w:rFonts w:ascii="Times New Roman" w:eastAsia="標楷體" w:hAnsi="Times New Roman" w:cs="Times New Roman"/>
                <w:sz w:val="18"/>
                <w:szCs w:val="18"/>
              </w:rPr>
            </w:pPr>
            <w:r w:rsidRPr="0092031C">
              <w:rPr>
                <w:rFonts w:ascii="Times New Roman" w:eastAsia="標楷體" w:hAnsi="Times New Roman" w:cs="Times New Roman"/>
                <w:sz w:val="18"/>
                <w:szCs w:val="18"/>
              </w:rPr>
              <w:t>805,333</w:t>
            </w:r>
          </w:p>
        </w:tc>
        <w:tc>
          <w:tcPr>
            <w:tcW w:w="826" w:type="dxa"/>
          </w:tcPr>
          <w:p w:rsidR="00B63340" w:rsidRPr="0092031C" w:rsidRDefault="0092031C" w:rsidP="00156E21">
            <w:pPr>
              <w:overflowPunct w:val="0"/>
              <w:autoSpaceDE w:val="0"/>
              <w:autoSpaceDN w:val="0"/>
              <w:ind w:leftChars="-41" w:left="-98" w:rightChars="-21" w:right="-50"/>
              <w:jc w:val="right"/>
              <w:rPr>
                <w:rFonts w:ascii="Times New Roman" w:eastAsia="標楷體" w:hAnsi="Times New Roman" w:cs="Times New Roman"/>
                <w:sz w:val="18"/>
                <w:szCs w:val="18"/>
              </w:rPr>
            </w:pPr>
            <w:r w:rsidRPr="0092031C">
              <w:rPr>
                <w:rFonts w:ascii="Times New Roman" w:eastAsia="標楷體" w:hAnsi="Times New Roman" w:cs="Times New Roman"/>
                <w:sz w:val="18"/>
                <w:szCs w:val="18"/>
              </w:rPr>
              <w:t>968,000</w:t>
            </w:r>
          </w:p>
        </w:tc>
        <w:tc>
          <w:tcPr>
            <w:tcW w:w="839" w:type="dxa"/>
          </w:tcPr>
          <w:p w:rsidR="00B63340" w:rsidRPr="0092031C" w:rsidRDefault="0092031C" w:rsidP="00156E21">
            <w:pPr>
              <w:overflowPunct w:val="0"/>
              <w:autoSpaceDE w:val="0"/>
              <w:autoSpaceDN w:val="0"/>
              <w:ind w:leftChars="-41" w:left="-98" w:rightChars="-21" w:right="-50"/>
              <w:jc w:val="right"/>
              <w:rPr>
                <w:rFonts w:ascii="Times New Roman" w:eastAsia="標楷體" w:hAnsi="Times New Roman" w:cs="Times New Roman"/>
                <w:sz w:val="18"/>
                <w:szCs w:val="18"/>
              </w:rPr>
            </w:pPr>
            <w:r w:rsidRPr="0092031C">
              <w:rPr>
                <w:rFonts w:ascii="Times New Roman" w:eastAsia="標楷體" w:hAnsi="Times New Roman" w:cs="Times New Roman"/>
                <w:sz w:val="18"/>
                <w:szCs w:val="18"/>
              </w:rPr>
              <w:t>1,002,667</w:t>
            </w:r>
          </w:p>
        </w:tc>
        <w:tc>
          <w:tcPr>
            <w:tcW w:w="812" w:type="dxa"/>
          </w:tcPr>
          <w:p w:rsidR="00B63340" w:rsidRPr="0092031C" w:rsidRDefault="0092031C" w:rsidP="00156E21">
            <w:pPr>
              <w:overflowPunct w:val="0"/>
              <w:autoSpaceDE w:val="0"/>
              <w:autoSpaceDN w:val="0"/>
              <w:ind w:leftChars="-41" w:left="-98" w:rightChars="-21" w:right="-50"/>
              <w:jc w:val="right"/>
              <w:rPr>
                <w:rFonts w:ascii="Times New Roman" w:eastAsia="標楷體" w:hAnsi="Times New Roman" w:cs="Times New Roman"/>
                <w:sz w:val="18"/>
                <w:szCs w:val="18"/>
              </w:rPr>
            </w:pPr>
            <w:r w:rsidRPr="0092031C">
              <w:rPr>
                <w:rFonts w:ascii="Times New Roman" w:eastAsia="標楷體" w:hAnsi="Times New Roman" w:cs="Times New Roman"/>
                <w:sz w:val="18"/>
                <w:szCs w:val="18"/>
              </w:rPr>
              <w:t>1,093,333</w:t>
            </w:r>
          </w:p>
        </w:tc>
        <w:tc>
          <w:tcPr>
            <w:tcW w:w="812" w:type="dxa"/>
          </w:tcPr>
          <w:p w:rsidR="00B63340" w:rsidRPr="0092031C" w:rsidRDefault="0092031C" w:rsidP="00156E21">
            <w:pPr>
              <w:overflowPunct w:val="0"/>
              <w:autoSpaceDE w:val="0"/>
              <w:autoSpaceDN w:val="0"/>
              <w:ind w:leftChars="-41" w:left="-98" w:rightChars="-21" w:right="-50"/>
              <w:jc w:val="right"/>
              <w:rPr>
                <w:rFonts w:ascii="Times New Roman" w:eastAsia="標楷體" w:hAnsi="Times New Roman" w:cs="Times New Roman"/>
                <w:sz w:val="18"/>
                <w:szCs w:val="18"/>
              </w:rPr>
            </w:pPr>
            <w:r w:rsidRPr="0092031C">
              <w:rPr>
                <w:rFonts w:ascii="Times New Roman" w:eastAsia="標楷體" w:hAnsi="Times New Roman" w:cs="Times New Roman"/>
                <w:sz w:val="18"/>
                <w:szCs w:val="18"/>
              </w:rPr>
              <w:t>1,171,466</w:t>
            </w:r>
          </w:p>
        </w:tc>
        <w:tc>
          <w:tcPr>
            <w:tcW w:w="808" w:type="dxa"/>
          </w:tcPr>
          <w:p w:rsidR="00B63340" w:rsidRPr="0092031C" w:rsidRDefault="0092031C" w:rsidP="00156E21">
            <w:pPr>
              <w:overflowPunct w:val="0"/>
              <w:autoSpaceDE w:val="0"/>
              <w:autoSpaceDN w:val="0"/>
              <w:ind w:leftChars="-41" w:left="-98" w:rightChars="-21" w:right="-50"/>
              <w:jc w:val="right"/>
              <w:rPr>
                <w:rFonts w:ascii="Times New Roman" w:eastAsia="標楷體" w:hAnsi="Times New Roman" w:cs="Times New Roman"/>
                <w:sz w:val="18"/>
                <w:szCs w:val="18"/>
              </w:rPr>
            </w:pPr>
            <w:r w:rsidRPr="0092031C">
              <w:rPr>
                <w:rFonts w:ascii="Times New Roman" w:eastAsia="標楷體" w:hAnsi="Times New Roman" w:cs="Times New Roman"/>
                <w:sz w:val="18"/>
                <w:szCs w:val="18"/>
              </w:rPr>
              <w:t>1,346,933</w:t>
            </w:r>
          </w:p>
        </w:tc>
      </w:tr>
      <w:tr w:rsidR="00F52D09" w:rsidRPr="0092031C" w:rsidTr="00F52D09">
        <w:tc>
          <w:tcPr>
            <w:tcW w:w="1470" w:type="dxa"/>
          </w:tcPr>
          <w:p w:rsidR="00B63340" w:rsidRPr="0092031C" w:rsidRDefault="0092031C" w:rsidP="00156E21">
            <w:pPr>
              <w:overflowPunct w:val="0"/>
              <w:autoSpaceDE w:val="0"/>
              <w:autoSpaceDN w:val="0"/>
              <w:ind w:leftChars="-45" w:left="-108" w:rightChars="-67" w:right="-161"/>
              <w:jc w:val="both"/>
              <w:rPr>
                <w:rFonts w:ascii="Times New Roman" w:eastAsia="標楷體" w:hAnsi="Times New Roman" w:cs="Times New Roman"/>
                <w:sz w:val="18"/>
                <w:szCs w:val="18"/>
              </w:rPr>
            </w:pPr>
            <w:r w:rsidRPr="0092031C">
              <w:rPr>
                <w:rFonts w:ascii="Times New Roman" w:eastAsia="標楷體" w:hAnsi="Times New Roman" w:cs="Times New Roman"/>
                <w:sz w:val="18"/>
                <w:szCs w:val="18"/>
              </w:rPr>
              <w:t>- Variable Fee</w:t>
            </w:r>
          </w:p>
        </w:tc>
        <w:tc>
          <w:tcPr>
            <w:tcW w:w="728" w:type="dxa"/>
          </w:tcPr>
          <w:p w:rsidR="00B63340" w:rsidRPr="0092031C" w:rsidRDefault="0092031C" w:rsidP="00156E21">
            <w:pPr>
              <w:overflowPunct w:val="0"/>
              <w:autoSpaceDE w:val="0"/>
              <w:autoSpaceDN w:val="0"/>
              <w:ind w:leftChars="-41" w:left="-98" w:rightChars="-21" w:right="-50"/>
              <w:jc w:val="right"/>
              <w:rPr>
                <w:rFonts w:ascii="Times New Roman" w:eastAsia="標楷體" w:hAnsi="Times New Roman" w:cs="Times New Roman"/>
                <w:sz w:val="18"/>
                <w:szCs w:val="18"/>
              </w:rPr>
            </w:pPr>
            <w:r w:rsidRPr="0092031C">
              <w:rPr>
                <w:rFonts w:ascii="Times New Roman" w:eastAsia="標楷體" w:hAnsi="Times New Roman" w:cs="Times New Roman"/>
                <w:sz w:val="18"/>
                <w:szCs w:val="18"/>
                <w:u w:val="single"/>
              </w:rPr>
              <w:t>115,760</w:t>
            </w:r>
          </w:p>
        </w:tc>
        <w:tc>
          <w:tcPr>
            <w:tcW w:w="896" w:type="dxa"/>
          </w:tcPr>
          <w:p w:rsidR="00B63340" w:rsidRPr="0092031C" w:rsidRDefault="003C28DF" w:rsidP="00156E21">
            <w:pPr>
              <w:overflowPunct w:val="0"/>
              <w:autoSpaceDE w:val="0"/>
              <w:autoSpaceDN w:val="0"/>
              <w:ind w:leftChars="-41" w:left="-98" w:rightChars="-21" w:right="-50"/>
              <w:jc w:val="right"/>
              <w:rPr>
                <w:rFonts w:ascii="Times New Roman" w:eastAsia="標楷體" w:hAnsi="Times New Roman" w:cs="Times New Roman"/>
                <w:sz w:val="18"/>
                <w:szCs w:val="18"/>
              </w:rPr>
            </w:pPr>
            <w:r>
              <w:rPr>
                <w:rFonts w:ascii="Times New Roman" w:eastAsia="標楷體" w:hAnsi="Times New Roman" w:cs="Times New Roman"/>
                <w:sz w:val="18"/>
                <w:szCs w:val="18"/>
                <w:u w:val="single"/>
              </w:rPr>
              <w:t xml:space="preserve">   </w:t>
            </w:r>
            <w:r w:rsidR="0092031C" w:rsidRPr="0092031C">
              <w:rPr>
                <w:rFonts w:ascii="Times New Roman" w:eastAsia="標楷體" w:hAnsi="Times New Roman" w:cs="Times New Roman"/>
                <w:sz w:val="18"/>
                <w:szCs w:val="18"/>
                <w:u w:val="single"/>
              </w:rPr>
              <w:t>284,397</w:t>
            </w:r>
          </w:p>
        </w:tc>
        <w:tc>
          <w:tcPr>
            <w:tcW w:w="714" w:type="dxa"/>
          </w:tcPr>
          <w:p w:rsidR="00B63340" w:rsidRPr="0092031C" w:rsidRDefault="0092031C" w:rsidP="00156E21">
            <w:pPr>
              <w:overflowPunct w:val="0"/>
              <w:autoSpaceDE w:val="0"/>
              <w:autoSpaceDN w:val="0"/>
              <w:ind w:leftChars="-41" w:left="-98" w:rightChars="-21" w:right="-50"/>
              <w:jc w:val="right"/>
              <w:rPr>
                <w:rFonts w:ascii="Times New Roman" w:eastAsia="標楷體" w:hAnsi="Times New Roman" w:cs="Times New Roman"/>
                <w:sz w:val="18"/>
                <w:szCs w:val="18"/>
              </w:rPr>
            </w:pPr>
            <w:r w:rsidRPr="0092031C">
              <w:rPr>
                <w:rFonts w:ascii="Times New Roman" w:eastAsia="標楷體" w:hAnsi="Times New Roman" w:cs="Times New Roman"/>
                <w:sz w:val="18"/>
                <w:szCs w:val="18"/>
                <w:u w:val="single"/>
              </w:rPr>
              <w:t>302,886</w:t>
            </w:r>
          </w:p>
        </w:tc>
        <w:tc>
          <w:tcPr>
            <w:tcW w:w="826" w:type="dxa"/>
          </w:tcPr>
          <w:p w:rsidR="00B63340" w:rsidRPr="0092031C" w:rsidRDefault="003C28DF" w:rsidP="00156E21">
            <w:pPr>
              <w:overflowPunct w:val="0"/>
              <w:autoSpaceDE w:val="0"/>
              <w:autoSpaceDN w:val="0"/>
              <w:ind w:leftChars="-41" w:left="-98" w:rightChars="-21" w:right="-50"/>
              <w:jc w:val="right"/>
              <w:rPr>
                <w:rFonts w:ascii="Times New Roman" w:eastAsia="標楷體" w:hAnsi="Times New Roman" w:cs="Times New Roman"/>
                <w:sz w:val="18"/>
                <w:szCs w:val="18"/>
              </w:rPr>
            </w:pPr>
            <w:r>
              <w:rPr>
                <w:rFonts w:ascii="Times New Roman" w:eastAsia="標楷體" w:hAnsi="Times New Roman" w:cs="Times New Roman"/>
                <w:sz w:val="18"/>
                <w:szCs w:val="18"/>
                <w:u w:val="single"/>
              </w:rPr>
              <w:t xml:space="preserve">   </w:t>
            </w:r>
            <w:r w:rsidR="0092031C" w:rsidRPr="0092031C">
              <w:rPr>
                <w:rFonts w:ascii="Times New Roman" w:eastAsia="標楷體" w:hAnsi="Times New Roman" w:cs="Times New Roman"/>
                <w:sz w:val="18"/>
                <w:szCs w:val="18"/>
                <w:u w:val="single"/>
              </w:rPr>
              <w:t>286,789</w:t>
            </w:r>
          </w:p>
        </w:tc>
        <w:tc>
          <w:tcPr>
            <w:tcW w:w="826" w:type="dxa"/>
          </w:tcPr>
          <w:p w:rsidR="00B63340" w:rsidRPr="0092031C" w:rsidRDefault="003C28DF" w:rsidP="00156E21">
            <w:pPr>
              <w:overflowPunct w:val="0"/>
              <w:autoSpaceDE w:val="0"/>
              <w:autoSpaceDN w:val="0"/>
              <w:ind w:leftChars="-41" w:left="-98" w:rightChars="-21" w:right="-50"/>
              <w:jc w:val="right"/>
              <w:rPr>
                <w:rFonts w:ascii="Times New Roman" w:eastAsia="標楷體" w:hAnsi="Times New Roman" w:cs="Times New Roman"/>
                <w:sz w:val="18"/>
                <w:szCs w:val="18"/>
              </w:rPr>
            </w:pPr>
            <w:r>
              <w:rPr>
                <w:rFonts w:ascii="Times New Roman" w:eastAsia="標楷體" w:hAnsi="Times New Roman" w:cs="Times New Roman"/>
                <w:sz w:val="18"/>
                <w:szCs w:val="18"/>
                <w:u w:val="single"/>
              </w:rPr>
              <w:t xml:space="preserve">   </w:t>
            </w:r>
            <w:r w:rsidR="0092031C" w:rsidRPr="0092031C">
              <w:rPr>
                <w:rFonts w:ascii="Times New Roman" w:eastAsia="標楷體" w:hAnsi="Times New Roman" w:cs="Times New Roman"/>
                <w:sz w:val="18"/>
                <w:szCs w:val="18"/>
                <w:u w:val="single"/>
              </w:rPr>
              <w:t>313,609</w:t>
            </w:r>
          </w:p>
        </w:tc>
        <w:tc>
          <w:tcPr>
            <w:tcW w:w="839" w:type="dxa"/>
          </w:tcPr>
          <w:p w:rsidR="00B63340" w:rsidRPr="0092031C" w:rsidRDefault="003C28DF" w:rsidP="00156E21">
            <w:pPr>
              <w:overflowPunct w:val="0"/>
              <w:autoSpaceDE w:val="0"/>
              <w:autoSpaceDN w:val="0"/>
              <w:ind w:leftChars="-41" w:left="-98" w:rightChars="-21" w:right="-50"/>
              <w:jc w:val="right"/>
              <w:rPr>
                <w:rFonts w:ascii="Times New Roman" w:eastAsia="標楷體" w:hAnsi="Times New Roman" w:cs="Times New Roman"/>
                <w:sz w:val="18"/>
                <w:szCs w:val="18"/>
              </w:rPr>
            </w:pPr>
            <w:r>
              <w:rPr>
                <w:rFonts w:ascii="Times New Roman" w:eastAsia="標楷體" w:hAnsi="Times New Roman" w:cs="Times New Roman"/>
                <w:sz w:val="18"/>
                <w:szCs w:val="18"/>
                <w:u w:val="single"/>
              </w:rPr>
              <w:t xml:space="preserve">   </w:t>
            </w:r>
            <w:r w:rsidR="0092031C" w:rsidRPr="0092031C">
              <w:rPr>
                <w:rFonts w:ascii="Times New Roman" w:eastAsia="標楷體" w:hAnsi="Times New Roman" w:cs="Times New Roman"/>
                <w:sz w:val="18"/>
                <w:szCs w:val="18"/>
                <w:u w:val="single"/>
              </w:rPr>
              <w:t>362,404</w:t>
            </w:r>
          </w:p>
        </w:tc>
        <w:tc>
          <w:tcPr>
            <w:tcW w:w="812" w:type="dxa"/>
          </w:tcPr>
          <w:p w:rsidR="00B63340" w:rsidRPr="0092031C" w:rsidRDefault="003C28DF" w:rsidP="00156E21">
            <w:pPr>
              <w:overflowPunct w:val="0"/>
              <w:autoSpaceDE w:val="0"/>
              <w:autoSpaceDN w:val="0"/>
              <w:ind w:leftChars="-41" w:left="-98" w:rightChars="-21" w:right="-50"/>
              <w:jc w:val="right"/>
              <w:rPr>
                <w:rFonts w:ascii="Times New Roman" w:eastAsia="標楷體" w:hAnsi="Times New Roman" w:cs="Times New Roman"/>
                <w:sz w:val="18"/>
                <w:szCs w:val="18"/>
              </w:rPr>
            </w:pPr>
            <w:r>
              <w:rPr>
                <w:rFonts w:ascii="Times New Roman" w:eastAsia="標楷體" w:hAnsi="Times New Roman" w:cs="Times New Roman"/>
                <w:sz w:val="18"/>
                <w:szCs w:val="18"/>
                <w:u w:val="single"/>
              </w:rPr>
              <w:t xml:space="preserve">   </w:t>
            </w:r>
            <w:r w:rsidR="0092031C" w:rsidRPr="0092031C">
              <w:rPr>
                <w:rFonts w:ascii="Times New Roman" w:eastAsia="標楷體" w:hAnsi="Times New Roman" w:cs="Times New Roman"/>
                <w:sz w:val="18"/>
                <w:szCs w:val="18"/>
                <w:u w:val="single"/>
              </w:rPr>
              <w:t>373,356</w:t>
            </w:r>
          </w:p>
        </w:tc>
        <w:tc>
          <w:tcPr>
            <w:tcW w:w="812" w:type="dxa"/>
          </w:tcPr>
          <w:p w:rsidR="00B63340" w:rsidRPr="0092031C" w:rsidRDefault="003C28DF" w:rsidP="00156E21">
            <w:pPr>
              <w:overflowPunct w:val="0"/>
              <w:autoSpaceDE w:val="0"/>
              <w:autoSpaceDN w:val="0"/>
              <w:ind w:leftChars="-41" w:left="-98" w:rightChars="-21" w:right="-50"/>
              <w:jc w:val="right"/>
              <w:rPr>
                <w:rFonts w:ascii="Times New Roman" w:eastAsia="標楷體" w:hAnsi="Times New Roman" w:cs="Times New Roman"/>
                <w:sz w:val="18"/>
                <w:szCs w:val="18"/>
              </w:rPr>
            </w:pPr>
            <w:r>
              <w:rPr>
                <w:rFonts w:ascii="Times New Roman" w:eastAsia="標楷體" w:hAnsi="Times New Roman" w:cs="Times New Roman"/>
                <w:sz w:val="18"/>
                <w:szCs w:val="18"/>
                <w:u w:val="single"/>
              </w:rPr>
              <w:t xml:space="preserve">   </w:t>
            </w:r>
            <w:r w:rsidR="0092031C" w:rsidRPr="0092031C">
              <w:rPr>
                <w:rFonts w:ascii="Times New Roman" w:eastAsia="標楷體" w:hAnsi="Times New Roman" w:cs="Times New Roman"/>
                <w:sz w:val="18"/>
                <w:szCs w:val="18"/>
                <w:u w:val="single"/>
              </w:rPr>
              <w:t>438,300</w:t>
            </w:r>
          </w:p>
        </w:tc>
        <w:tc>
          <w:tcPr>
            <w:tcW w:w="808" w:type="dxa"/>
          </w:tcPr>
          <w:p w:rsidR="00B63340" w:rsidRPr="0092031C" w:rsidRDefault="003C28DF" w:rsidP="00156E21">
            <w:pPr>
              <w:overflowPunct w:val="0"/>
              <w:autoSpaceDE w:val="0"/>
              <w:autoSpaceDN w:val="0"/>
              <w:ind w:leftChars="-41" w:left="-98" w:rightChars="-21" w:right="-50"/>
              <w:jc w:val="right"/>
              <w:rPr>
                <w:rFonts w:ascii="Times New Roman" w:eastAsia="標楷體" w:hAnsi="Times New Roman" w:cs="Times New Roman"/>
                <w:sz w:val="18"/>
                <w:szCs w:val="18"/>
              </w:rPr>
            </w:pPr>
            <w:r>
              <w:rPr>
                <w:rFonts w:ascii="Times New Roman" w:eastAsia="標楷體" w:hAnsi="Times New Roman" w:cs="Times New Roman"/>
                <w:sz w:val="18"/>
                <w:szCs w:val="18"/>
                <w:u w:val="single"/>
              </w:rPr>
              <w:t xml:space="preserve">   </w:t>
            </w:r>
            <w:r w:rsidR="0092031C" w:rsidRPr="0092031C">
              <w:rPr>
                <w:rFonts w:ascii="Times New Roman" w:eastAsia="標楷體" w:hAnsi="Times New Roman" w:cs="Times New Roman"/>
                <w:sz w:val="18"/>
                <w:szCs w:val="18"/>
                <w:u w:val="single"/>
              </w:rPr>
              <w:t>457,194</w:t>
            </w:r>
          </w:p>
        </w:tc>
      </w:tr>
      <w:tr w:rsidR="00F52D09" w:rsidRPr="0092031C" w:rsidTr="00F52D09">
        <w:tc>
          <w:tcPr>
            <w:tcW w:w="1470" w:type="dxa"/>
          </w:tcPr>
          <w:p w:rsidR="0092031C" w:rsidRPr="0092031C" w:rsidRDefault="0092031C" w:rsidP="00156E21">
            <w:pPr>
              <w:overflowPunct w:val="0"/>
              <w:autoSpaceDE w:val="0"/>
              <w:autoSpaceDN w:val="0"/>
              <w:ind w:leftChars="-45" w:left="-108" w:rightChars="-67" w:right="-161"/>
              <w:jc w:val="both"/>
              <w:rPr>
                <w:rFonts w:ascii="Times New Roman" w:eastAsia="標楷體" w:hAnsi="Times New Roman" w:cs="Times New Roman"/>
                <w:sz w:val="18"/>
                <w:szCs w:val="18"/>
              </w:rPr>
            </w:pPr>
            <w:r w:rsidRPr="0092031C">
              <w:rPr>
                <w:rFonts w:ascii="Times New Roman" w:eastAsia="標楷體" w:hAnsi="Times New Roman" w:cs="Times New Roman"/>
                <w:sz w:val="18"/>
                <w:szCs w:val="18"/>
              </w:rPr>
              <w:t>The Manager’s Fees.</w:t>
            </w:r>
          </w:p>
        </w:tc>
        <w:tc>
          <w:tcPr>
            <w:tcW w:w="728" w:type="dxa"/>
          </w:tcPr>
          <w:p w:rsidR="0092031C" w:rsidRPr="0092031C" w:rsidRDefault="0092031C" w:rsidP="00156E21">
            <w:pPr>
              <w:overflowPunct w:val="0"/>
              <w:autoSpaceDE w:val="0"/>
              <w:autoSpaceDN w:val="0"/>
              <w:ind w:leftChars="-41" w:left="-98" w:rightChars="-21" w:right="-50"/>
              <w:jc w:val="right"/>
              <w:rPr>
                <w:rFonts w:ascii="Times New Roman" w:eastAsia="標楷體" w:hAnsi="Times New Roman" w:cs="Times New Roman"/>
                <w:sz w:val="18"/>
                <w:szCs w:val="18"/>
              </w:rPr>
            </w:pPr>
            <w:r w:rsidRPr="0092031C">
              <w:rPr>
                <w:rFonts w:ascii="Times New Roman" w:eastAsia="標楷體" w:hAnsi="Times New Roman" w:cs="Times New Roman"/>
                <w:sz w:val="18"/>
                <w:szCs w:val="18"/>
                <w:u w:val="double"/>
              </w:rPr>
              <w:t>115,760</w:t>
            </w:r>
          </w:p>
        </w:tc>
        <w:tc>
          <w:tcPr>
            <w:tcW w:w="896" w:type="dxa"/>
          </w:tcPr>
          <w:p w:rsidR="0092031C" w:rsidRPr="0092031C" w:rsidRDefault="0092031C" w:rsidP="00156E21">
            <w:pPr>
              <w:overflowPunct w:val="0"/>
              <w:autoSpaceDE w:val="0"/>
              <w:autoSpaceDN w:val="0"/>
              <w:ind w:leftChars="-41" w:left="-98" w:rightChars="-21" w:right="-50"/>
              <w:jc w:val="right"/>
              <w:rPr>
                <w:rFonts w:ascii="Times New Roman" w:eastAsia="標楷體" w:hAnsi="Times New Roman" w:cs="Times New Roman"/>
                <w:sz w:val="18"/>
                <w:szCs w:val="18"/>
              </w:rPr>
            </w:pPr>
            <w:r w:rsidRPr="0092031C">
              <w:rPr>
                <w:rFonts w:ascii="Times New Roman" w:eastAsia="標楷體" w:hAnsi="Times New Roman" w:cs="Times New Roman"/>
                <w:sz w:val="18"/>
                <w:szCs w:val="18"/>
                <w:u w:val="double"/>
              </w:rPr>
              <w:t>1,366,735</w:t>
            </w:r>
          </w:p>
        </w:tc>
        <w:tc>
          <w:tcPr>
            <w:tcW w:w="714" w:type="dxa"/>
          </w:tcPr>
          <w:p w:rsidR="0092031C" w:rsidRPr="0092031C" w:rsidRDefault="0092031C" w:rsidP="00156E21">
            <w:pPr>
              <w:overflowPunct w:val="0"/>
              <w:autoSpaceDE w:val="0"/>
              <w:autoSpaceDN w:val="0"/>
              <w:ind w:leftChars="-41" w:left="-98" w:rightChars="-21" w:right="-50"/>
              <w:jc w:val="right"/>
              <w:rPr>
                <w:rFonts w:ascii="Times New Roman" w:eastAsia="標楷體" w:hAnsi="Times New Roman" w:cs="Times New Roman"/>
                <w:sz w:val="18"/>
                <w:szCs w:val="18"/>
              </w:rPr>
            </w:pPr>
            <w:r w:rsidRPr="0092031C">
              <w:rPr>
                <w:rFonts w:ascii="Times New Roman" w:eastAsia="標楷體" w:hAnsi="Times New Roman" w:cs="Times New Roman"/>
                <w:sz w:val="18"/>
                <w:szCs w:val="18"/>
                <w:u w:val="double"/>
              </w:rPr>
              <w:t>990,886</w:t>
            </w:r>
          </w:p>
        </w:tc>
        <w:tc>
          <w:tcPr>
            <w:tcW w:w="826" w:type="dxa"/>
          </w:tcPr>
          <w:p w:rsidR="0092031C" w:rsidRPr="0092031C" w:rsidRDefault="0092031C" w:rsidP="00156E21">
            <w:pPr>
              <w:overflowPunct w:val="0"/>
              <w:autoSpaceDE w:val="0"/>
              <w:autoSpaceDN w:val="0"/>
              <w:ind w:leftChars="-41" w:left="-98" w:rightChars="-21" w:right="-50"/>
              <w:jc w:val="right"/>
              <w:rPr>
                <w:rFonts w:ascii="Times New Roman" w:eastAsia="標楷體" w:hAnsi="Times New Roman" w:cs="Times New Roman"/>
                <w:sz w:val="18"/>
                <w:szCs w:val="18"/>
              </w:rPr>
            </w:pPr>
            <w:r w:rsidRPr="0092031C">
              <w:rPr>
                <w:rFonts w:ascii="Times New Roman" w:eastAsia="標楷體" w:hAnsi="Times New Roman" w:cs="Times New Roman"/>
                <w:sz w:val="18"/>
                <w:szCs w:val="18"/>
                <w:u w:val="double"/>
              </w:rPr>
              <w:t>1,092,122</w:t>
            </w:r>
          </w:p>
        </w:tc>
        <w:tc>
          <w:tcPr>
            <w:tcW w:w="826" w:type="dxa"/>
          </w:tcPr>
          <w:p w:rsidR="0092031C" w:rsidRPr="0092031C" w:rsidRDefault="0092031C" w:rsidP="00156E21">
            <w:pPr>
              <w:overflowPunct w:val="0"/>
              <w:autoSpaceDE w:val="0"/>
              <w:autoSpaceDN w:val="0"/>
              <w:ind w:leftChars="-41" w:left="-98" w:rightChars="-21" w:right="-50"/>
              <w:jc w:val="right"/>
              <w:rPr>
                <w:rFonts w:ascii="Times New Roman" w:eastAsia="標楷體" w:hAnsi="Times New Roman" w:cs="Times New Roman"/>
                <w:sz w:val="18"/>
                <w:szCs w:val="18"/>
              </w:rPr>
            </w:pPr>
            <w:r w:rsidRPr="0092031C">
              <w:rPr>
                <w:rFonts w:ascii="Times New Roman" w:eastAsia="標楷體" w:hAnsi="Times New Roman" w:cs="Times New Roman"/>
                <w:sz w:val="18"/>
                <w:szCs w:val="18"/>
                <w:u w:val="double"/>
              </w:rPr>
              <w:t>1,281,609</w:t>
            </w:r>
          </w:p>
        </w:tc>
        <w:tc>
          <w:tcPr>
            <w:tcW w:w="839" w:type="dxa"/>
          </w:tcPr>
          <w:p w:rsidR="0092031C" w:rsidRPr="0092031C" w:rsidRDefault="0092031C" w:rsidP="00156E21">
            <w:pPr>
              <w:overflowPunct w:val="0"/>
              <w:autoSpaceDE w:val="0"/>
              <w:autoSpaceDN w:val="0"/>
              <w:ind w:leftChars="-41" w:left="-98" w:rightChars="-21" w:right="-50"/>
              <w:jc w:val="right"/>
              <w:rPr>
                <w:rFonts w:ascii="Times New Roman" w:eastAsia="標楷體" w:hAnsi="Times New Roman" w:cs="Times New Roman"/>
                <w:sz w:val="18"/>
                <w:szCs w:val="18"/>
              </w:rPr>
            </w:pPr>
            <w:r w:rsidRPr="0092031C">
              <w:rPr>
                <w:rFonts w:ascii="Times New Roman" w:eastAsia="標楷體" w:hAnsi="Times New Roman" w:cs="Times New Roman"/>
                <w:sz w:val="18"/>
                <w:szCs w:val="18"/>
                <w:u w:val="double"/>
              </w:rPr>
              <w:t>1,365,071</w:t>
            </w:r>
          </w:p>
        </w:tc>
        <w:tc>
          <w:tcPr>
            <w:tcW w:w="812" w:type="dxa"/>
          </w:tcPr>
          <w:p w:rsidR="0092031C" w:rsidRPr="0092031C" w:rsidRDefault="0092031C" w:rsidP="00156E21">
            <w:pPr>
              <w:overflowPunct w:val="0"/>
              <w:autoSpaceDE w:val="0"/>
              <w:autoSpaceDN w:val="0"/>
              <w:ind w:leftChars="-41" w:left="-98" w:rightChars="-21" w:right="-50"/>
              <w:jc w:val="right"/>
              <w:rPr>
                <w:rFonts w:ascii="Times New Roman" w:eastAsia="標楷體" w:hAnsi="Times New Roman" w:cs="Times New Roman"/>
                <w:sz w:val="18"/>
                <w:szCs w:val="18"/>
              </w:rPr>
            </w:pPr>
            <w:r w:rsidRPr="0092031C">
              <w:rPr>
                <w:rFonts w:ascii="Times New Roman" w:eastAsia="標楷體" w:hAnsi="Times New Roman" w:cs="Times New Roman"/>
                <w:sz w:val="18"/>
                <w:szCs w:val="18"/>
                <w:u w:val="double"/>
              </w:rPr>
              <w:t>1,466,689</w:t>
            </w:r>
          </w:p>
        </w:tc>
        <w:tc>
          <w:tcPr>
            <w:tcW w:w="812" w:type="dxa"/>
          </w:tcPr>
          <w:p w:rsidR="0092031C" w:rsidRPr="0092031C" w:rsidRDefault="0092031C" w:rsidP="00156E21">
            <w:pPr>
              <w:overflowPunct w:val="0"/>
              <w:autoSpaceDE w:val="0"/>
              <w:autoSpaceDN w:val="0"/>
              <w:ind w:leftChars="-41" w:left="-98" w:rightChars="-21" w:right="-50"/>
              <w:jc w:val="right"/>
              <w:rPr>
                <w:rFonts w:ascii="Times New Roman" w:eastAsia="標楷體" w:hAnsi="Times New Roman" w:cs="Times New Roman"/>
                <w:sz w:val="18"/>
                <w:szCs w:val="18"/>
              </w:rPr>
            </w:pPr>
            <w:r w:rsidRPr="0092031C">
              <w:rPr>
                <w:rFonts w:ascii="Times New Roman" w:eastAsia="標楷體" w:hAnsi="Times New Roman" w:cs="Times New Roman"/>
                <w:sz w:val="18"/>
                <w:szCs w:val="18"/>
                <w:u w:val="double"/>
              </w:rPr>
              <w:t>1,609,766</w:t>
            </w:r>
          </w:p>
        </w:tc>
        <w:tc>
          <w:tcPr>
            <w:tcW w:w="808" w:type="dxa"/>
          </w:tcPr>
          <w:p w:rsidR="0092031C" w:rsidRPr="0092031C" w:rsidRDefault="0092031C" w:rsidP="00156E21">
            <w:pPr>
              <w:overflowPunct w:val="0"/>
              <w:autoSpaceDE w:val="0"/>
              <w:autoSpaceDN w:val="0"/>
              <w:ind w:leftChars="-41" w:left="-98" w:rightChars="-21" w:right="-50"/>
              <w:jc w:val="right"/>
              <w:rPr>
                <w:rFonts w:ascii="Times New Roman" w:eastAsia="標楷體" w:hAnsi="Times New Roman" w:cs="Times New Roman"/>
                <w:sz w:val="18"/>
                <w:szCs w:val="18"/>
              </w:rPr>
            </w:pPr>
            <w:r w:rsidRPr="0092031C">
              <w:rPr>
                <w:rFonts w:ascii="Times New Roman" w:eastAsia="標楷體" w:hAnsi="Times New Roman" w:cs="Times New Roman"/>
                <w:sz w:val="18"/>
                <w:szCs w:val="18"/>
                <w:u w:val="double"/>
              </w:rPr>
              <w:t>1,804,127</w:t>
            </w:r>
          </w:p>
        </w:tc>
      </w:tr>
      <w:tr w:rsidR="00176C3C" w:rsidRPr="0092031C" w:rsidTr="00F52D09">
        <w:tc>
          <w:tcPr>
            <w:tcW w:w="8731" w:type="dxa"/>
            <w:gridSpan w:val="10"/>
          </w:tcPr>
          <w:p w:rsidR="00176C3C" w:rsidRPr="0092031C" w:rsidRDefault="00176C3C" w:rsidP="00156E21">
            <w:pPr>
              <w:overflowPunct w:val="0"/>
              <w:autoSpaceDE w:val="0"/>
              <w:autoSpaceDN w:val="0"/>
              <w:ind w:leftChars="-45" w:left="-108" w:rightChars="-67" w:right="-161"/>
              <w:jc w:val="both"/>
              <w:rPr>
                <w:rFonts w:ascii="Times New Roman" w:eastAsia="標楷體" w:hAnsi="Times New Roman" w:cs="Times New Roman"/>
                <w:sz w:val="18"/>
                <w:szCs w:val="18"/>
              </w:rPr>
            </w:pPr>
          </w:p>
        </w:tc>
      </w:tr>
      <w:tr w:rsidR="0092031C" w:rsidRPr="0092031C" w:rsidTr="00F52D09">
        <w:tc>
          <w:tcPr>
            <w:tcW w:w="8731" w:type="dxa"/>
            <w:gridSpan w:val="10"/>
          </w:tcPr>
          <w:p w:rsidR="0092031C" w:rsidRPr="0092031C" w:rsidRDefault="0092031C" w:rsidP="00156E21">
            <w:pPr>
              <w:overflowPunct w:val="0"/>
              <w:autoSpaceDE w:val="0"/>
              <w:autoSpaceDN w:val="0"/>
              <w:ind w:leftChars="-45" w:left="-108" w:rightChars="-67" w:right="-161"/>
              <w:jc w:val="both"/>
              <w:rPr>
                <w:rFonts w:ascii="Times New Roman" w:eastAsia="標楷體" w:hAnsi="Times New Roman" w:cs="Times New Roman"/>
                <w:sz w:val="18"/>
                <w:szCs w:val="18"/>
                <w:u w:val="double"/>
              </w:rPr>
            </w:pPr>
            <w:r w:rsidRPr="0092031C">
              <w:rPr>
                <w:rFonts w:ascii="Times New Roman" w:eastAsia="標楷體" w:hAnsi="Times New Roman" w:cs="Times New Roman"/>
                <w:sz w:val="18"/>
                <w:szCs w:val="18"/>
              </w:rPr>
              <w:t># Including Base Fee adjustment for the period from 21 December 2006 to 30 June 2007</w:t>
            </w:r>
          </w:p>
        </w:tc>
      </w:tr>
    </w:tbl>
    <w:p w:rsidR="00737FBC" w:rsidRPr="0069274C" w:rsidRDefault="00737FBC" w:rsidP="00156E21">
      <w:pPr>
        <w:overflowPunct w:val="0"/>
        <w:autoSpaceDE w:val="0"/>
        <w:autoSpaceDN w:val="0"/>
        <w:jc w:val="both"/>
        <w:rPr>
          <w:rFonts w:ascii="Times New Roman" w:eastAsia="標楷體" w:hAnsi="Times New Roman" w:cs="Times New Roman"/>
        </w:rPr>
      </w:pPr>
    </w:p>
    <w:p w:rsidR="00737FBC" w:rsidRPr="0069274C" w:rsidRDefault="00737FBC"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The assessor of the Revenue was of the view that the Manager’s Fees and the Property Manager’s Fees shou</w:t>
      </w:r>
      <w:r w:rsidR="000F4A5A" w:rsidRPr="0069274C">
        <w:rPr>
          <w:rFonts w:ascii="Times New Roman" w:eastAsia="標楷體" w:hAnsi="Times New Roman" w:cs="Times New Roman"/>
        </w:rPr>
        <w:t>l</w:t>
      </w:r>
      <w:r w:rsidRPr="0069274C">
        <w:rPr>
          <w:rFonts w:ascii="Times New Roman" w:eastAsia="標楷體" w:hAnsi="Times New Roman" w:cs="Times New Roman"/>
        </w:rPr>
        <w:t xml:space="preserve">d not be deductible in computing the Taxpayer’s assessable profits. She therefore raised on the Taxpayer the following Additional Profits Tax </w:t>
      </w:r>
      <w:r w:rsidR="004012A2">
        <w:rPr>
          <w:rFonts w:ascii="Times New Roman" w:eastAsia="標楷體" w:hAnsi="Times New Roman" w:cs="Times New Roman"/>
        </w:rPr>
        <w:t>A</w:t>
      </w:r>
      <w:r w:rsidRPr="0069274C">
        <w:rPr>
          <w:rFonts w:ascii="Times New Roman" w:eastAsia="標楷體" w:hAnsi="Times New Roman" w:cs="Times New Roman"/>
        </w:rPr>
        <w:t xml:space="preserve">ssessments for the years of assessment 2007/08 to 2012/13 and Profits Tax </w:t>
      </w:r>
      <w:r w:rsidR="004012A2">
        <w:rPr>
          <w:rFonts w:ascii="Times New Roman" w:eastAsia="標楷體" w:hAnsi="Times New Roman" w:cs="Times New Roman"/>
        </w:rPr>
        <w:t>A</w:t>
      </w:r>
      <w:r w:rsidRPr="0069274C">
        <w:rPr>
          <w:rFonts w:ascii="Times New Roman" w:eastAsia="標楷體" w:hAnsi="Times New Roman" w:cs="Times New Roman"/>
        </w:rPr>
        <w:t>ssessments for the years of assessment 2013/14 to 2015/16 to disallow both fees:</w:t>
      </w:r>
    </w:p>
    <w:p w:rsidR="00737FBC" w:rsidRPr="0069274C" w:rsidRDefault="00737FBC" w:rsidP="00156E21">
      <w:pPr>
        <w:overflowPunct w:val="0"/>
        <w:autoSpaceDE w:val="0"/>
        <w:autoSpaceDN w:val="0"/>
        <w:jc w:val="both"/>
        <w:rPr>
          <w:rFonts w:ascii="Times New Roman" w:eastAsia="標楷體" w:hAnsi="Times New Roman" w:cs="Times New Roman"/>
        </w:rPr>
      </w:pPr>
    </w:p>
    <w:p w:rsidR="00737FBC" w:rsidRPr="003C28DF" w:rsidRDefault="00737FBC" w:rsidP="00156E21">
      <w:pPr>
        <w:pStyle w:val="a3"/>
        <w:numPr>
          <w:ilvl w:val="0"/>
          <w:numId w:val="21"/>
        </w:numPr>
        <w:tabs>
          <w:tab w:val="left" w:pos="2107"/>
        </w:tabs>
        <w:overflowPunct w:val="0"/>
        <w:autoSpaceDE w:val="0"/>
        <w:autoSpaceDN w:val="0"/>
        <w:ind w:leftChars="638" w:left="2108" w:hangingChars="240" w:hanging="577"/>
        <w:jc w:val="both"/>
        <w:rPr>
          <w:rFonts w:ascii="Times New Roman" w:eastAsia="標楷體" w:hAnsi="Times New Roman" w:cs="Times New Roman"/>
          <w:b/>
          <w:i/>
        </w:rPr>
      </w:pPr>
      <w:r w:rsidRPr="003C28DF">
        <w:rPr>
          <w:rFonts w:ascii="Times New Roman" w:eastAsia="標楷體" w:hAnsi="Times New Roman" w:cs="Times New Roman"/>
          <w:b/>
          <w:i/>
        </w:rPr>
        <w:t xml:space="preserve">Additional Profits Tax </w:t>
      </w:r>
      <w:r w:rsidR="004012A2" w:rsidRPr="003C28DF">
        <w:rPr>
          <w:rFonts w:ascii="Times New Roman" w:eastAsia="標楷體" w:hAnsi="Times New Roman" w:cs="Times New Roman"/>
          <w:b/>
          <w:i/>
        </w:rPr>
        <w:t>A</w:t>
      </w:r>
      <w:r w:rsidRPr="003C28DF">
        <w:rPr>
          <w:rFonts w:ascii="Times New Roman" w:eastAsia="標楷體" w:hAnsi="Times New Roman" w:cs="Times New Roman"/>
          <w:b/>
          <w:i/>
        </w:rPr>
        <w:t>ssessments for the years of assessment 2007/08 to 2012/13</w:t>
      </w:r>
    </w:p>
    <w:p w:rsidR="00737FBC" w:rsidRDefault="00737FBC" w:rsidP="00156E21">
      <w:pPr>
        <w:overflowPunct w:val="0"/>
        <w:autoSpaceDE w:val="0"/>
        <w:autoSpaceDN w:val="0"/>
        <w:jc w:val="both"/>
        <w:rPr>
          <w:rFonts w:ascii="Times New Roman" w:eastAsia="標楷體" w:hAnsi="Times New Roman" w:cs="Times New Roman"/>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982"/>
        <w:gridCol w:w="983"/>
        <w:gridCol w:w="983"/>
        <w:gridCol w:w="982"/>
        <w:gridCol w:w="983"/>
        <w:gridCol w:w="983"/>
      </w:tblGrid>
      <w:tr w:rsidR="00EA1A7E" w:rsidRPr="003C28DF" w:rsidTr="003C28DF">
        <w:tc>
          <w:tcPr>
            <w:tcW w:w="2835" w:type="dxa"/>
          </w:tcPr>
          <w:p w:rsidR="00EA1A7E" w:rsidRPr="003C28DF" w:rsidRDefault="00EA1A7E" w:rsidP="00156E21">
            <w:pPr>
              <w:overflowPunct w:val="0"/>
              <w:autoSpaceDE w:val="0"/>
              <w:autoSpaceDN w:val="0"/>
              <w:jc w:val="both"/>
              <w:rPr>
                <w:rFonts w:ascii="Times New Roman" w:eastAsia="標楷體" w:hAnsi="Times New Roman" w:cs="Times New Roman"/>
                <w:sz w:val="22"/>
                <w:szCs w:val="22"/>
              </w:rPr>
            </w:pPr>
          </w:p>
        </w:tc>
        <w:tc>
          <w:tcPr>
            <w:tcW w:w="982" w:type="dxa"/>
          </w:tcPr>
          <w:p w:rsidR="00EA1A7E" w:rsidRPr="003C28DF" w:rsidRDefault="00EA1A7E" w:rsidP="00156E21">
            <w:pPr>
              <w:overflowPunct w:val="0"/>
              <w:autoSpaceDE w:val="0"/>
              <w:autoSpaceDN w:val="0"/>
              <w:ind w:leftChars="-44" w:left="-106" w:rightChars="-45" w:right="-108"/>
              <w:jc w:val="center"/>
              <w:rPr>
                <w:rFonts w:ascii="Times New Roman" w:eastAsia="標楷體" w:hAnsi="Times New Roman" w:cs="Times New Roman"/>
                <w:sz w:val="22"/>
                <w:szCs w:val="22"/>
              </w:rPr>
            </w:pPr>
            <w:r w:rsidRPr="003C28DF">
              <w:rPr>
                <w:rFonts w:ascii="Times New Roman" w:eastAsia="標楷體" w:hAnsi="Times New Roman" w:cs="Times New Roman"/>
                <w:sz w:val="22"/>
                <w:szCs w:val="22"/>
                <w:u w:val="single"/>
              </w:rPr>
              <w:t>2007/08</w:t>
            </w:r>
          </w:p>
        </w:tc>
        <w:tc>
          <w:tcPr>
            <w:tcW w:w="983" w:type="dxa"/>
          </w:tcPr>
          <w:p w:rsidR="00EA1A7E" w:rsidRPr="003C28DF" w:rsidRDefault="00EA1A7E" w:rsidP="00156E21">
            <w:pPr>
              <w:overflowPunct w:val="0"/>
              <w:autoSpaceDE w:val="0"/>
              <w:autoSpaceDN w:val="0"/>
              <w:ind w:leftChars="-44" w:left="-106" w:rightChars="-45" w:right="-108"/>
              <w:jc w:val="center"/>
              <w:rPr>
                <w:rFonts w:ascii="Times New Roman" w:eastAsia="標楷體" w:hAnsi="Times New Roman" w:cs="Times New Roman"/>
                <w:sz w:val="22"/>
                <w:szCs w:val="22"/>
              </w:rPr>
            </w:pPr>
            <w:r w:rsidRPr="003C28DF">
              <w:rPr>
                <w:rFonts w:ascii="Times New Roman" w:eastAsia="標楷體" w:hAnsi="Times New Roman" w:cs="Times New Roman"/>
                <w:sz w:val="22"/>
                <w:szCs w:val="22"/>
                <w:u w:val="single"/>
              </w:rPr>
              <w:t>2008/09</w:t>
            </w:r>
          </w:p>
        </w:tc>
        <w:tc>
          <w:tcPr>
            <w:tcW w:w="983" w:type="dxa"/>
          </w:tcPr>
          <w:p w:rsidR="00EA1A7E" w:rsidRPr="003C28DF" w:rsidRDefault="00EA1A7E" w:rsidP="00156E21">
            <w:pPr>
              <w:overflowPunct w:val="0"/>
              <w:autoSpaceDE w:val="0"/>
              <w:autoSpaceDN w:val="0"/>
              <w:ind w:leftChars="-44" w:left="-106" w:rightChars="-45" w:right="-108"/>
              <w:jc w:val="center"/>
              <w:rPr>
                <w:rFonts w:ascii="Times New Roman" w:eastAsia="標楷體" w:hAnsi="Times New Roman" w:cs="Times New Roman"/>
                <w:sz w:val="22"/>
                <w:szCs w:val="22"/>
              </w:rPr>
            </w:pPr>
            <w:r w:rsidRPr="003C28DF">
              <w:rPr>
                <w:rFonts w:ascii="Times New Roman" w:eastAsia="標楷體" w:hAnsi="Times New Roman" w:cs="Times New Roman"/>
                <w:sz w:val="22"/>
                <w:szCs w:val="22"/>
                <w:u w:val="single"/>
              </w:rPr>
              <w:t>2009/10</w:t>
            </w:r>
          </w:p>
        </w:tc>
        <w:tc>
          <w:tcPr>
            <w:tcW w:w="982" w:type="dxa"/>
          </w:tcPr>
          <w:p w:rsidR="00EA1A7E" w:rsidRPr="003C28DF" w:rsidRDefault="00EA1A7E" w:rsidP="00156E21">
            <w:pPr>
              <w:overflowPunct w:val="0"/>
              <w:autoSpaceDE w:val="0"/>
              <w:autoSpaceDN w:val="0"/>
              <w:ind w:leftChars="-44" w:left="-106" w:rightChars="-45" w:right="-108"/>
              <w:jc w:val="center"/>
              <w:rPr>
                <w:rFonts w:ascii="Times New Roman" w:eastAsia="標楷體" w:hAnsi="Times New Roman" w:cs="Times New Roman"/>
                <w:sz w:val="22"/>
                <w:szCs w:val="22"/>
              </w:rPr>
            </w:pPr>
            <w:r w:rsidRPr="003C28DF">
              <w:rPr>
                <w:rFonts w:ascii="Times New Roman" w:eastAsia="標楷體" w:hAnsi="Times New Roman" w:cs="Times New Roman"/>
                <w:sz w:val="22"/>
                <w:szCs w:val="22"/>
                <w:u w:val="single"/>
              </w:rPr>
              <w:t>2010/11</w:t>
            </w:r>
          </w:p>
        </w:tc>
        <w:tc>
          <w:tcPr>
            <w:tcW w:w="983" w:type="dxa"/>
          </w:tcPr>
          <w:p w:rsidR="00EA1A7E" w:rsidRPr="003C28DF" w:rsidRDefault="00EA1A7E" w:rsidP="00156E21">
            <w:pPr>
              <w:overflowPunct w:val="0"/>
              <w:autoSpaceDE w:val="0"/>
              <w:autoSpaceDN w:val="0"/>
              <w:ind w:leftChars="-44" w:left="-106" w:rightChars="-45" w:right="-108"/>
              <w:jc w:val="center"/>
              <w:rPr>
                <w:rFonts w:ascii="Times New Roman" w:eastAsia="標楷體" w:hAnsi="Times New Roman" w:cs="Times New Roman"/>
                <w:sz w:val="22"/>
                <w:szCs w:val="22"/>
              </w:rPr>
            </w:pPr>
            <w:r w:rsidRPr="003C28DF">
              <w:rPr>
                <w:rFonts w:ascii="Times New Roman" w:eastAsia="標楷體" w:hAnsi="Times New Roman" w:cs="Times New Roman"/>
                <w:sz w:val="22"/>
                <w:szCs w:val="22"/>
                <w:u w:val="single"/>
              </w:rPr>
              <w:t>2011/12</w:t>
            </w:r>
          </w:p>
        </w:tc>
        <w:tc>
          <w:tcPr>
            <w:tcW w:w="983" w:type="dxa"/>
          </w:tcPr>
          <w:p w:rsidR="00EA1A7E" w:rsidRPr="003C28DF" w:rsidRDefault="00EA1A7E" w:rsidP="00156E21">
            <w:pPr>
              <w:overflowPunct w:val="0"/>
              <w:autoSpaceDE w:val="0"/>
              <w:autoSpaceDN w:val="0"/>
              <w:ind w:leftChars="-44" w:left="-106" w:rightChars="-45" w:right="-108"/>
              <w:jc w:val="center"/>
              <w:rPr>
                <w:rFonts w:ascii="Times New Roman" w:eastAsia="標楷體" w:hAnsi="Times New Roman" w:cs="Times New Roman"/>
                <w:sz w:val="22"/>
                <w:szCs w:val="22"/>
              </w:rPr>
            </w:pPr>
            <w:r w:rsidRPr="003C28DF">
              <w:rPr>
                <w:rFonts w:ascii="Times New Roman" w:eastAsia="標楷體" w:hAnsi="Times New Roman" w:cs="Times New Roman"/>
                <w:sz w:val="22"/>
                <w:szCs w:val="22"/>
                <w:u w:val="single"/>
              </w:rPr>
              <w:t>2012/13</w:t>
            </w:r>
          </w:p>
        </w:tc>
      </w:tr>
      <w:tr w:rsidR="00EA1A7E" w:rsidRPr="003C28DF" w:rsidTr="003C28DF">
        <w:tc>
          <w:tcPr>
            <w:tcW w:w="2835" w:type="dxa"/>
          </w:tcPr>
          <w:p w:rsidR="00EA1A7E" w:rsidRPr="003C28DF" w:rsidRDefault="00EA1A7E" w:rsidP="00156E21">
            <w:pPr>
              <w:overflowPunct w:val="0"/>
              <w:autoSpaceDE w:val="0"/>
              <w:autoSpaceDN w:val="0"/>
              <w:jc w:val="both"/>
              <w:rPr>
                <w:rFonts w:ascii="Times New Roman" w:eastAsia="標楷體" w:hAnsi="Times New Roman" w:cs="Times New Roman"/>
                <w:sz w:val="22"/>
                <w:szCs w:val="22"/>
              </w:rPr>
            </w:pPr>
          </w:p>
        </w:tc>
        <w:tc>
          <w:tcPr>
            <w:tcW w:w="982" w:type="dxa"/>
          </w:tcPr>
          <w:p w:rsidR="00EA1A7E" w:rsidRPr="003C28DF" w:rsidRDefault="00EA1A7E" w:rsidP="00156E21">
            <w:pPr>
              <w:overflowPunct w:val="0"/>
              <w:autoSpaceDE w:val="0"/>
              <w:autoSpaceDN w:val="0"/>
              <w:ind w:leftChars="-44" w:left="-106" w:rightChars="-45" w:right="-108"/>
              <w:jc w:val="center"/>
              <w:rPr>
                <w:sz w:val="22"/>
                <w:szCs w:val="22"/>
              </w:rPr>
            </w:pPr>
            <w:r w:rsidRPr="003C28DF">
              <w:rPr>
                <w:rFonts w:ascii="Times New Roman" w:eastAsia="標楷體" w:hAnsi="Times New Roman" w:cs="Times New Roman"/>
                <w:sz w:val="22"/>
                <w:szCs w:val="22"/>
              </w:rPr>
              <w:t>$</w:t>
            </w:r>
          </w:p>
        </w:tc>
        <w:tc>
          <w:tcPr>
            <w:tcW w:w="983" w:type="dxa"/>
          </w:tcPr>
          <w:p w:rsidR="00EA1A7E" w:rsidRPr="003C28DF" w:rsidRDefault="00EA1A7E" w:rsidP="00156E21">
            <w:pPr>
              <w:overflowPunct w:val="0"/>
              <w:autoSpaceDE w:val="0"/>
              <w:autoSpaceDN w:val="0"/>
              <w:ind w:leftChars="-44" w:left="-106" w:rightChars="-45" w:right="-108"/>
              <w:jc w:val="center"/>
              <w:rPr>
                <w:sz w:val="22"/>
                <w:szCs w:val="22"/>
              </w:rPr>
            </w:pPr>
            <w:r w:rsidRPr="003C28DF">
              <w:rPr>
                <w:rFonts w:ascii="Times New Roman" w:eastAsia="標楷體" w:hAnsi="Times New Roman" w:cs="Times New Roman"/>
                <w:sz w:val="22"/>
                <w:szCs w:val="22"/>
              </w:rPr>
              <w:t>$</w:t>
            </w:r>
          </w:p>
        </w:tc>
        <w:tc>
          <w:tcPr>
            <w:tcW w:w="983" w:type="dxa"/>
          </w:tcPr>
          <w:p w:rsidR="00EA1A7E" w:rsidRPr="003C28DF" w:rsidRDefault="00EA1A7E" w:rsidP="00156E21">
            <w:pPr>
              <w:overflowPunct w:val="0"/>
              <w:autoSpaceDE w:val="0"/>
              <w:autoSpaceDN w:val="0"/>
              <w:ind w:leftChars="-44" w:left="-106" w:rightChars="-45" w:right="-108"/>
              <w:jc w:val="center"/>
              <w:rPr>
                <w:sz w:val="22"/>
                <w:szCs w:val="22"/>
              </w:rPr>
            </w:pPr>
            <w:r w:rsidRPr="003C28DF">
              <w:rPr>
                <w:rFonts w:ascii="Times New Roman" w:eastAsia="標楷體" w:hAnsi="Times New Roman" w:cs="Times New Roman"/>
                <w:sz w:val="22"/>
                <w:szCs w:val="22"/>
              </w:rPr>
              <w:t>$</w:t>
            </w:r>
          </w:p>
        </w:tc>
        <w:tc>
          <w:tcPr>
            <w:tcW w:w="982" w:type="dxa"/>
          </w:tcPr>
          <w:p w:rsidR="00EA1A7E" w:rsidRPr="003C28DF" w:rsidRDefault="00EA1A7E" w:rsidP="00156E21">
            <w:pPr>
              <w:overflowPunct w:val="0"/>
              <w:autoSpaceDE w:val="0"/>
              <w:autoSpaceDN w:val="0"/>
              <w:ind w:leftChars="-44" w:left="-106" w:rightChars="-45" w:right="-108"/>
              <w:jc w:val="center"/>
              <w:rPr>
                <w:sz w:val="22"/>
                <w:szCs w:val="22"/>
              </w:rPr>
            </w:pPr>
            <w:r w:rsidRPr="003C28DF">
              <w:rPr>
                <w:rFonts w:ascii="Times New Roman" w:eastAsia="標楷體" w:hAnsi="Times New Roman" w:cs="Times New Roman"/>
                <w:sz w:val="22"/>
                <w:szCs w:val="22"/>
              </w:rPr>
              <w:t>$</w:t>
            </w:r>
          </w:p>
        </w:tc>
        <w:tc>
          <w:tcPr>
            <w:tcW w:w="983" w:type="dxa"/>
          </w:tcPr>
          <w:p w:rsidR="00EA1A7E" w:rsidRPr="003C28DF" w:rsidRDefault="00EA1A7E" w:rsidP="00156E21">
            <w:pPr>
              <w:overflowPunct w:val="0"/>
              <w:autoSpaceDE w:val="0"/>
              <w:autoSpaceDN w:val="0"/>
              <w:ind w:leftChars="-44" w:left="-106" w:rightChars="-45" w:right="-108"/>
              <w:jc w:val="center"/>
              <w:rPr>
                <w:sz w:val="22"/>
                <w:szCs w:val="22"/>
              </w:rPr>
            </w:pPr>
            <w:r w:rsidRPr="003C28DF">
              <w:rPr>
                <w:rFonts w:ascii="Times New Roman" w:eastAsia="標楷體" w:hAnsi="Times New Roman" w:cs="Times New Roman"/>
                <w:sz w:val="22"/>
                <w:szCs w:val="22"/>
              </w:rPr>
              <w:t>$</w:t>
            </w:r>
          </w:p>
        </w:tc>
        <w:tc>
          <w:tcPr>
            <w:tcW w:w="983" w:type="dxa"/>
          </w:tcPr>
          <w:p w:rsidR="00EA1A7E" w:rsidRPr="003C28DF" w:rsidRDefault="00EA1A7E" w:rsidP="00156E21">
            <w:pPr>
              <w:overflowPunct w:val="0"/>
              <w:autoSpaceDE w:val="0"/>
              <w:autoSpaceDN w:val="0"/>
              <w:ind w:leftChars="-44" w:left="-106" w:rightChars="-45" w:right="-108"/>
              <w:jc w:val="center"/>
              <w:rPr>
                <w:sz w:val="22"/>
                <w:szCs w:val="22"/>
              </w:rPr>
            </w:pPr>
            <w:r w:rsidRPr="003C28DF">
              <w:rPr>
                <w:rFonts w:ascii="Times New Roman" w:eastAsia="標楷體" w:hAnsi="Times New Roman" w:cs="Times New Roman"/>
                <w:sz w:val="22"/>
                <w:szCs w:val="22"/>
              </w:rPr>
              <w:t>$</w:t>
            </w:r>
          </w:p>
        </w:tc>
      </w:tr>
      <w:tr w:rsidR="00EA1A7E" w:rsidRPr="003C28DF" w:rsidTr="003C28DF">
        <w:tc>
          <w:tcPr>
            <w:tcW w:w="2835" w:type="dxa"/>
          </w:tcPr>
          <w:p w:rsidR="00EA1A7E" w:rsidRPr="003C28DF" w:rsidRDefault="00EA1A7E" w:rsidP="00156E21">
            <w:pPr>
              <w:overflowPunct w:val="0"/>
              <w:autoSpaceDE w:val="0"/>
              <w:autoSpaceDN w:val="0"/>
              <w:jc w:val="both"/>
              <w:rPr>
                <w:rFonts w:ascii="Times New Roman" w:eastAsia="標楷體" w:hAnsi="Times New Roman" w:cs="Times New Roman"/>
                <w:sz w:val="22"/>
                <w:szCs w:val="22"/>
              </w:rPr>
            </w:pPr>
            <w:r w:rsidRPr="003C28DF">
              <w:rPr>
                <w:rFonts w:ascii="Times New Roman" w:eastAsia="標楷體" w:hAnsi="Times New Roman" w:cs="Times New Roman"/>
                <w:sz w:val="22"/>
                <w:szCs w:val="22"/>
              </w:rPr>
              <w:t>Amounts disallowed</w:t>
            </w:r>
          </w:p>
        </w:tc>
        <w:tc>
          <w:tcPr>
            <w:tcW w:w="982" w:type="dxa"/>
          </w:tcPr>
          <w:p w:rsidR="00EA1A7E" w:rsidRPr="003C28DF" w:rsidRDefault="00EA1A7E" w:rsidP="00156E21">
            <w:pPr>
              <w:overflowPunct w:val="0"/>
              <w:autoSpaceDE w:val="0"/>
              <w:autoSpaceDN w:val="0"/>
              <w:ind w:leftChars="-44" w:left="-106" w:rightChars="-45" w:right="-108"/>
              <w:jc w:val="both"/>
              <w:rPr>
                <w:rFonts w:ascii="Times New Roman" w:eastAsia="標楷體" w:hAnsi="Times New Roman" w:cs="Times New Roman"/>
                <w:sz w:val="22"/>
                <w:szCs w:val="22"/>
              </w:rPr>
            </w:pPr>
          </w:p>
        </w:tc>
        <w:tc>
          <w:tcPr>
            <w:tcW w:w="983" w:type="dxa"/>
          </w:tcPr>
          <w:p w:rsidR="00EA1A7E" w:rsidRPr="003C28DF" w:rsidRDefault="00EA1A7E" w:rsidP="00156E21">
            <w:pPr>
              <w:overflowPunct w:val="0"/>
              <w:autoSpaceDE w:val="0"/>
              <w:autoSpaceDN w:val="0"/>
              <w:ind w:leftChars="-44" w:left="-106" w:rightChars="-45" w:right="-108"/>
              <w:jc w:val="both"/>
              <w:rPr>
                <w:rFonts w:ascii="Times New Roman" w:eastAsia="標楷體" w:hAnsi="Times New Roman" w:cs="Times New Roman"/>
                <w:sz w:val="22"/>
                <w:szCs w:val="22"/>
              </w:rPr>
            </w:pPr>
          </w:p>
        </w:tc>
        <w:tc>
          <w:tcPr>
            <w:tcW w:w="983" w:type="dxa"/>
          </w:tcPr>
          <w:p w:rsidR="00EA1A7E" w:rsidRPr="003C28DF" w:rsidRDefault="00EA1A7E" w:rsidP="00156E21">
            <w:pPr>
              <w:overflowPunct w:val="0"/>
              <w:autoSpaceDE w:val="0"/>
              <w:autoSpaceDN w:val="0"/>
              <w:ind w:leftChars="-44" w:left="-106" w:rightChars="-45" w:right="-108"/>
              <w:jc w:val="both"/>
              <w:rPr>
                <w:rFonts w:ascii="Times New Roman" w:eastAsia="標楷體" w:hAnsi="Times New Roman" w:cs="Times New Roman"/>
                <w:sz w:val="22"/>
                <w:szCs w:val="22"/>
              </w:rPr>
            </w:pPr>
          </w:p>
        </w:tc>
        <w:tc>
          <w:tcPr>
            <w:tcW w:w="982" w:type="dxa"/>
          </w:tcPr>
          <w:p w:rsidR="00EA1A7E" w:rsidRPr="003C28DF" w:rsidRDefault="00EA1A7E" w:rsidP="00156E21">
            <w:pPr>
              <w:overflowPunct w:val="0"/>
              <w:autoSpaceDE w:val="0"/>
              <w:autoSpaceDN w:val="0"/>
              <w:ind w:leftChars="-44" w:left="-106" w:rightChars="-45" w:right="-108"/>
              <w:jc w:val="both"/>
              <w:rPr>
                <w:rFonts w:ascii="Times New Roman" w:eastAsia="標楷體" w:hAnsi="Times New Roman" w:cs="Times New Roman"/>
                <w:sz w:val="22"/>
                <w:szCs w:val="22"/>
              </w:rPr>
            </w:pPr>
          </w:p>
        </w:tc>
        <w:tc>
          <w:tcPr>
            <w:tcW w:w="983" w:type="dxa"/>
          </w:tcPr>
          <w:p w:rsidR="00EA1A7E" w:rsidRPr="003C28DF" w:rsidRDefault="00EA1A7E" w:rsidP="00156E21">
            <w:pPr>
              <w:overflowPunct w:val="0"/>
              <w:autoSpaceDE w:val="0"/>
              <w:autoSpaceDN w:val="0"/>
              <w:ind w:leftChars="-44" w:left="-106" w:rightChars="-45" w:right="-108"/>
              <w:jc w:val="both"/>
              <w:rPr>
                <w:rFonts w:ascii="Times New Roman" w:eastAsia="標楷體" w:hAnsi="Times New Roman" w:cs="Times New Roman"/>
                <w:sz w:val="22"/>
                <w:szCs w:val="22"/>
              </w:rPr>
            </w:pPr>
          </w:p>
        </w:tc>
        <w:tc>
          <w:tcPr>
            <w:tcW w:w="983" w:type="dxa"/>
          </w:tcPr>
          <w:p w:rsidR="00EA1A7E" w:rsidRPr="003C28DF" w:rsidRDefault="00EA1A7E" w:rsidP="00156E21">
            <w:pPr>
              <w:overflowPunct w:val="0"/>
              <w:autoSpaceDE w:val="0"/>
              <w:autoSpaceDN w:val="0"/>
              <w:ind w:leftChars="-44" w:left="-106" w:rightChars="-45" w:right="-108"/>
              <w:jc w:val="both"/>
              <w:rPr>
                <w:rFonts w:ascii="Times New Roman" w:eastAsia="標楷體" w:hAnsi="Times New Roman" w:cs="Times New Roman"/>
                <w:sz w:val="22"/>
                <w:szCs w:val="22"/>
              </w:rPr>
            </w:pPr>
          </w:p>
        </w:tc>
      </w:tr>
      <w:tr w:rsidR="00EA1A7E" w:rsidRPr="003C28DF" w:rsidTr="003C28DF">
        <w:tc>
          <w:tcPr>
            <w:tcW w:w="2835" w:type="dxa"/>
          </w:tcPr>
          <w:p w:rsidR="00EA1A7E" w:rsidRPr="003C28DF" w:rsidRDefault="00EA1A7E" w:rsidP="00156E21">
            <w:pPr>
              <w:overflowPunct w:val="0"/>
              <w:autoSpaceDE w:val="0"/>
              <w:autoSpaceDN w:val="0"/>
              <w:jc w:val="both"/>
              <w:rPr>
                <w:rFonts w:ascii="Times New Roman" w:eastAsia="標楷體" w:hAnsi="Times New Roman" w:cs="Times New Roman"/>
                <w:sz w:val="22"/>
                <w:szCs w:val="22"/>
              </w:rPr>
            </w:pPr>
            <w:r w:rsidRPr="003C28DF">
              <w:rPr>
                <w:rFonts w:ascii="Times New Roman" w:eastAsia="標楷體" w:hAnsi="Times New Roman" w:cs="Times New Roman"/>
                <w:sz w:val="22"/>
                <w:szCs w:val="22"/>
              </w:rPr>
              <w:t>- Manager’s Fees</w:t>
            </w:r>
          </w:p>
        </w:tc>
        <w:tc>
          <w:tcPr>
            <w:tcW w:w="982" w:type="dxa"/>
          </w:tcPr>
          <w:p w:rsidR="00EA1A7E" w:rsidRPr="003C28DF" w:rsidRDefault="00EA1A7E" w:rsidP="00156E21">
            <w:pPr>
              <w:overflowPunct w:val="0"/>
              <w:autoSpaceDE w:val="0"/>
              <w:autoSpaceDN w:val="0"/>
              <w:ind w:leftChars="-44" w:left="-106" w:rightChars="8" w:right="19"/>
              <w:jc w:val="right"/>
              <w:rPr>
                <w:rFonts w:ascii="Times New Roman" w:eastAsia="標楷體" w:hAnsi="Times New Roman" w:cs="Times New Roman"/>
                <w:sz w:val="22"/>
                <w:szCs w:val="22"/>
              </w:rPr>
            </w:pPr>
            <w:r w:rsidRPr="003C28DF">
              <w:rPr>
                <w:rFonts w:ascii="Times New Roman" w:eastAsia="標楷體" w:hAnsi="Times New Roman" w:cs="Times New Roman"/>
                <w:sz w:val="22"/>
                <w:szCs w:val="22"/>
              </w:rPr>
              <w:t>115,760</w:t>
            </w:r>
          </w:p>
        </w:tc>
        <w:tc>
          <w:tcPr>
            <w:tcW w:w="983" w:type="dxa"/>
          </w:tcPr>
          <w:p w:rsidR="00EA1A7E" w:rsidRPr="003C28DF" w:rsidRDefault="00EA1A7E" w:rsidP="00156E21">
            <w:pPr>
              <w:overflowPunct w:val="0"/>
              <w:autoSpaceDE w:val="0"/>
              <w:autoSpaceDN w:val="0"/>
              <w:ind w:leftChars="-44" w:left="-106" w:rightChars="-45" w:right="-108"/>
              <w:jc w:val="right"/>
              <w:rPr>
                <w:rFonts w:ascii="Times New Roman" w:eastAsia="標楷體" w:hAnsi="Times New Roman" w:cs="Times New Roman"/>
                <w:sz w:val="22"/>
                <w:szCs w:val="22"/>
              </w:rPr>
            </w:pPr>
            <w:r w:rsidRPr="003C28DF">
              <w:rPr>
                <w:rFonts w:ascii="Times New Roman" w:eastAsia="標楷體" w:hAnsi="Times New Roman" w:cs="Times New Roman"/>
                <w:sz w:val="22"/>
                <w:szCs w:val="22"/>
              </w:rPr>
              <w:t>1,366,735</w:t>
            </w:r>
          </w:p>
        </w:tc>
        <w:tc>
          <w:tcPr>
            <w:tcW w:w="983" w:type="dxa"/>
          </w:tcPr>
          <w:p w:rsidR="00EA1A7E" w:rsidRPr="003C28DF" w:rsidRDefault="00EA1A7E" w:rsidP="00156E21">
            <w:pPr>
              <w:overflowPunct w:val="0"/>
              <w:autoSpaceDE w:val="0"/>
              <w:autoSpaceDN w:val="0"/>
              <w:ind w:leftChars="-44" w:left="-106" w:rightChars="-45" w:right="-108"/>
              <w:jc w:val="right"/>
              <w:rPr>
                <w:rFonts w:ascii="Times New Roman" w:eastAsia="標楷體" w:hAnsi="Times New Roman" w:cs="Times New Roman"/>
                <w:sz w:val="22"/>
                <w:szCs w:val="22"/>
              </w:rPr>
            </w:pPr>
            <w:r w:rsidRPr="003C28DF">
              <w:rPr>
                <w:rFonts w:ascii="Times New Roman" w:eastAsia="標楷體" w:hAnsi="Times New Roman" w:cs="Times New Roman"/>
                <w:sz w:val="22"/>
                <w:szCs w:val="22"/>
              </w:rPr>
              <w:t>990,886</w:t>
            </w:r>
          </w:p>
        </w:tc>
        <w:tc>
          <w:tcPr>
            <w:tcW w:w="982" w:type="dxa"/>
          </w:tcPr>
          <w:p w:rsidR="00EA1A7E" w:rsidRPr="003C28DF" w:rsidRDefault="00EA1A7E" w:rsidP="00156E21">
            <w:pPr>
              <w:overflowPunct w:val="0"/>
              <w:autoSpaceDE w:val="0"/>
              <w:autoSpaceDN w:val="0"/>
              <w:ind w:leftChars="-44" w:left="-106" w:rightChars="-45" w:right="-108"/>
              <w:jc w:val="right"/>
              <w:rPr>
                <w:rFonts w:ascii="Times New Roman" w:eastAsia="標楷體" w:hAnsi="Times New Roman" w:cs="Times New Roman"/>
                <w:sz w:val="22"/>
                <w:szCs w:val="22"/>
              </w:rPr>
            </w:pPr>
            <w:r w:rsidRPr="003C28DF">
              <w:rPr>
                <w:rFonts w:ascii="Times New Roman" w:eastAsia="標楷體" w:hAnsi="Times New Roman" w:cs="Times New Roman"/>
                <w:sz w:val="22"/>
                <w:szCs w:val="22"/>
              </w:rPr>
              <w:t>1,092,122</w:t>
            </w:r>
          </w:p>
        </w:tc>
        <w:tc>
          <w:tcPr>
            <w:tcW w:w="983" w:type="dxa"/>
          </w:tcPr>
          <w:p w:rsidR="00EA1A7E" w:rsidRPr="003C28DF" w:rsidRDefault="00EA1A7E" w:rsidP="00156E21">
            <w:pPr>
              <w:overflowPunct w:val="0"/>
              <w:autoSpaceDE w:val="0"/>
              <w:autoSpaceDN w:val="0"/>
              <w:ind w:leftChars="-44" w:left="-106" w:rightChars="-45" w:right="-108"/>
              <w:jc w:val="right"/>
              <w:rPr>
                <w:rFonts w:ascii="Times New Roman" w:eastAsia="標楷體" w:hAnsi="Times New Roman" w:cs="Times New Roman"/>
                <w:sz w:val="22"/>
                <w:szCs w:val="22"/>
              </w:rPr>
            </w:pPr>
            <w:r w:rsidRPr="003C28DF">
              <w:rPr>
                <w:rFonts w:ascii="Times New Roman" w:eastAsia="標楷體" w:hAnsi="Times New Roman" w:cs="Times New Roman"/>
                <w:sz w:val="22"/>
                <w:szCs w:val="22"/>
              </w:rPr>
              <w:t>1,281,609</w:t>
            </w:r>
          </w:p>
        </w:tc>
        <w:tc>
          <w:tcPr>
            <w:tcW w:w="983" w:type="dxa"/>
          </w:tcPr>
          <w:p w:rsidR="00EA1A7E" w:rsidRPr="003C28DF" w:rsidRDefault="00EA1A7E" w:rsidP="00156E21">
            <w:pPr>
              <w:overflowPunct w:val="0"/>
              <w:autoSpaceDE w:val="0"/>
              <w:autoSpaceDN w:val="0"/>
              <w:ind w:leftChars="-44" w:left="-106" w:rightChars="-45" w:right="-108"/>
              <w:jc w:val="right"/>
              <w:rPr>
                <w:rFonts w:ascii="Times New Roman" w:eastAsia="標楷體" w:hAnsi="Times New Roman" w:cs="Times New Roman"/>
                <w:sz w:val="22"/>
                <w:szCs w:val="22"/>
              </w:rPr>
            </w:pPr>
            <w:r w:rsidRPr="003C28DF">
              <w:rPr>
                <w:rFonts w:ascii="Times New Roman" w:eastAsia="標楷體" w:hAnsi="Times New Roman" w:cs="Times New Roman"/>
                <w:sz w:val="22"/>
                <w:szCs w:val="22"/>
              </w:rPr>
              <w:t>1,365,071</w:t>
            </w:r>
          </w:p>
        </w:tc>
      </w:tr>
      <w:tr w:rsidR="00EA1A7E" w:rsidRPr="003C28DF" w:rsidTr="003C28DF">
        <w:tc>
          <w:tcPr>
            <w:tcW w:w="2835" w:type="dxa"/>
          </w:tcPr>
          <w:p w:rsidR="00EA1A7E" w:rsidRPr="003C28DF" w:rsidRDefault="00EA1A7E" w:rsidP="00156E21">
            <w:pPr>
              <w:overflowPunct w:val="0"/>
              <w:autoSpaceDE w:val="0"/>
              <w:autoSpaceDN w:val="0"/>
              <w:jc w:val="both"/>
              <w:rPr>
                <w:rFonts w:ascii="Times New Roman" w:eastAsia="標楷體" w:hAnsi="Times New Roman" w:cs="Times New Roman"/>
                <w:sz w:val="22"/>
                <w:szCs w:val="22"/>
              </w:rPr>
            </w:pPr>
            <w:r w:rsidRPr="003C28DF">
              <w:rPr>
                <w:rFonts w:ascii="Times New Roman" w:eastAsia="標楷體" w:hAnsi="Times New Roman" w:cs="Times New Roman"/>
                <w:sz w:val="22"/>
                <w:szCs w:val="22"/>
              </w:rPr>
              <w:t>- Property Manager’s Fees</w:t>
            </w:r>
          </w:p>
        </w:tc>
        <w:tc>
          <w:tcPr>
            <w:tcW w:w="982" w:type="dxa"/>
          </w:tcPr>
          <w:p w:rsidR="00EA1A7E" w:rsidRPr="003C28DF" w:rsidRDefault="00EA1A7E" w:rsidP="00156E21">
            <w:pPr>
              <w:overflowPunct w:val="0"/>
              <w:autoSpaceDE w:val="0"/>
              <w:autoSpaceDN w:val="0"/>
              <w:ind w:leftChars="-44" w:left="-106" w:rightChars="8" w:right="19"/>
              <w:jc w:val="right"/>
              <w:rPr>
                <w:rFonts w:ascii="Times New Roman" w:eastAsia="標楷體" w:hAnsi="Times New Roman" w:cs="Times New Roman"/>
                <w:sz w:val="22"/>
                <w:szCs w:val="22"/>
              </w:rPr>
            </w:pPr>
            <w:r w:rsidRPr="003C28DF">
              <w:rPr>
                <w:rFonts w:ascii="Times New Roman" w:eastAsia="標楷體" w:hAnsi="Times New Roman" w:cs="Times New Roman"/>
                <w:sz w:val="22"/>
                <w:szCs w:val="22"/>
                <w:u w:val="single"/>
              </w:rPr>
              <w:t>370,587</w:t>
            </w:r>
          </w:p>
        </w:tc>
        <w:tc>
          <w:tcPr>
            <w:tcW w:w="983" w:type="dxa"/>
          </w:tcPr>
          <w:p w:rsidR="00EA1A7E" w:rsidRPr="003C28DF" w:rsidRDefault="00EA1A7E" w:rsidP="00156E21">
            <w:pPr>
              <w:overflowPunct w:val="0"/>
              <w:autoSpaceDE w:val="0"/>
              <w:autoSpaceDN w:val="0"/>
              <w:ind w:leftChars="-44" w:left="-106" w:rightChars="-45" w:right="-108"/>
              <w:jc w:val="right"/>
              <w:rPr>
                <w:rFonts w:ascii="Times New Roman" w:eastAsia="標楷體" w:hAnsi="Times New Roman" w:cs="Times New Roman"/>
                <w:sz w:val="22"/>
                <w:szCs w:val="22"/>
              </w:rPr>
            </w:pPr>
            <w:r w:rsidRPr="003C28DF">
              <w:rPr>
                <w:rFonts w:ascii="Times New Roman" w:eastAsia="標楷體" w:hAnsi="Times New Roman" w:cs="Times New Roman"/>
                <w:sz w:val="22"/>
                <w:szCs w:val="22"/>
                <w:u w:val="single"/>
              </w:rPr>
              <w:t xml:space="preserve">   577,534</w:t>
            </w:r>
          </w:p>
        </w:tc>
        <w:tc>
          <w:tcPr>
            <w:tcW w:w="983" w:type="dxa"/>
          </w:tcPr>
          <w:p w:rsidR="00EA1A7E" w:rsidRPr="003C28DF" w:rsidRDefault="003C28DF" w:rsidP="00156E21">
            <w:pPr>
              <w:overflowPunct w:val="0"/>
              <w:autoSpaceDE w:val="0"/>
              <w:autoSpaceDN w:val="0"/>
              <w:ind w:leftChars="-44" w:left="-106" w:rightChars="-45" w:right="-108"/>
              <w:jc w:val="right"/>
              <w:rPr>
                <w:rFonts w:ascii="Times New Roman" w:eastAsia="標楷體" w:hAnsi="Times New Roman" w:cs="Times New Roman"/>
                <w:sz w:val="22"/>
                <w:szCs w:val="22"/>
              </w:rPr>
            </w:pPr>
            <w:r>
              <w:rPr>
                <w:rFonts w:ascii="Times New Roman" w:eastAsia="標楷體" w:hAnsi="Times New Roman" w:cs="Times New Roman"/>
                <w:sz w:val="22"/>
                <w:szCs w:val="22"/>
                <w:u w:val="single"/>
              </w:rPr>
              <w:t xml:space="preserve">   </w:t>
            </w:r>
            <w:r w:rsidR="00EA1A7E" w:rsidRPr="003C28DF">
              <w:rPr>
                <w:rFonts w:ascii="Times New Roman" w:eastAsia="標楷體" w:hAnsi="Times New Roman" w:cs="Times New Roman"/>
                <w:sz w:val="22"/>
                <w:szCs w:val="22"/>
                <w:u w:val="single"/>
              </w:rPr>
              <w:t>675,369</w:t>
            </w:r>
          </w:p>
        </w:tc>
        <w:tc>
          <w:tcPr>
            <w:tcW w:w="982" w:type="dxa"/>
          </w:tcPr>
          <w:p w:rsidR="00EA1A7E" w:rsidRPr="003C28DF" w:rsidRDefault="00EA1A7E" w:rsidP="00156E21">
            <w:pPr>
              <w:overflowPunct w:val="0"/>
              <w:autoSpaceDE w:val="0"/>
              <w:autoSpaceDN w:val="0"/>
              <w:ind w:leftChars="-44" w:left="-106" w:rightChars="-45" w:right="-108"/>
              <w:jc w:val="right"/>
              <w:rPr>
                <w:rFonts w:ascii="Times New Roman" w:eastAsia="標楷體" w:hAnsi="Times New Roman" w:cs="Times New Roman"/>
                <w:sz w:val="22"/>
                <w:szCs w:val="22"/>
              </w:rPr>
            </w:pPr>
            <w:r w:rsidRPr="003C28DF">
              <w:rPr>
                <w:rFonts w:ascii="Times New Roman" w:eastAsia="標楷體" w:hAnsi="Times New Roman" w:cs="Times New Roman"/>
                <w:sz w:val="22"/>
                <w:szCs w:val="22"/>
                <w:u w:val="single"/>
              </w:rPr>
              <w:t xml:space="preserve">   596,703</w:t>
            </w:r>
          </w:p>
        </w:tc>
        <w:tc>
          <w:tcPr>
            <w:tcW w:w="983" w:type="dxa"/>
          </w:tcPr>
          <w:p w:rsidR="00EA1A7E" w:rsidRPr="003C28DF" w:rsidRDefault="00EA1A7E" w:rsidP="00156E21">
            <w:pPr>
              <w:overflowPunct w:val="0"/>
              <w:autoSpaceDE w:val="0"/>
              <w:autoSpaceDN w:val="0"/>
              <w:ind w:leftChars="-44" w:left="-106" w:rightChars="-45" w:right="-108"/>
              <w:jc w:val="right"/>
              <w:rPr>
                <w:rFonts w:ascii="Times New Roman" w:eastAsia="標楷體" w:hAnsi="Times New Roman" w:cs="Times New Roman"/>
                <w:sz w:val="22"/>
                <w:szCs w:val="22"/>
              </w:rPr>
            </w:pPr>
            <w:r w:rsidRPr="003C28DF">
              <w:rPr>
                <w:rFonts w:ascii="Times New Roman" w:eastAsia="標楷體" w:hAnsi="Times New Roman" w:cs="Times New Roman"/>
                <w:sz w:val="22"/>
                <w:szCs w:val="22"/>
                <w:u w:val="single"/>
              </w:rPr>
              <w:t xml:space="preserve">   678,654</w:t>
            </w:r>
          </w:p>
        </w:tc>
        <w:tc>
          <w:tcPr>
            <w:tcW w:w="983" w:type="dxa"/>
          </w:tcPr>
          <w:p w:rsidR="00EA1A7E" w:rsidRPr="003C28DF" w:rsidRDefault="00EA1A7E" w:rsidP="00156E21">
            <w:pPr>
              <w:overflowPunct w:val="0"/>
              <w:autoSpaceDE w:val="0"/>
              <w:autoSpaceDN w:val="0"/>
              <w:ind w:leftChars="-44" w:left="-106" w:rightChars="-45" w:right="-108"/>
              <w:jc w:val="right"/>
              <w:rPr>
                <w:rFonts w:ascii="Times New Roman" w:eastAsia="標楷體" w:hAnsi="Times New Roman" w:cs="Times New Roman"/>
                <w:sz w:val="22"/>
                <w:szCs w:val="22"/>
              </w:rPr>
            </w:pPr>
            <w:r w:rsidRPr="003C28DF">
              <w:rPr>
                <w:rFonts w:ascii="Times New Roman" w:eastAsia="標楷體" w:hAnsi="Times New Roman" w:cs="Times New Roman"/>
                <w:sz w:val="22"/>
                <w:szCs w:val="22"/>
                <w:u w:val="single"/>
              </w:rPr>
              <w:t xml:space="preserve"> </w:t>
            </w:r>
            <w:r w:rsidR="003C28DF">
              <w:rPr>
                <w:rFonts w:ascii="Times New Roman" w:eastAsia="標楷體" w:hAnsi="Times New Roman" w:cs="Times New Roman"/>
                <w:sz w:val="22"/>
                <w:szCs w:val="22"/>
                <w:u w:val="single"/>
              </w:rPr>
              <w:t xml:space="preserve"> </w:t>
            </w:r>
            <w:r w:rsidRPr="003C28DF">
              <w:rPr>
                <w:rFonts w:ascii="Times New Roman" w:eastAsia="標楷體" w:hAnsi="Times New Roman" w:cs="Times New Roman"/>
                <w:sz w:val="22"/>
                <w:szCs w:val="22"/>
                <w:u w:val="single"/>
              </w:rPr>
              <w:t xml:space="preserve"> 661,178</w:t>
            </w:r>
          </w:p>
        </w:tc>
      </w:tr>
      <w:tr w:rsidR="00EA1A7E" w:rsidRPr="003C28DF" w:rsidTr="003C28DF">
        <w:tc>
          <w:tcPr>
            <w:tcW w:w="2835" w:type="dxa"/>
          </w:tcPr>
          <w:p w:rsidR="00EA1A7E" w:rsidRPr="003C28DF" w:rsidRDefault="00EA1A7E" w:rsidP="00156E21">
            <w:pPr>
              <w:overflowPunct w:val="0"/>
              <w:autoSpaceDE w:val="0"/>
              <w:autoSpaceDN w:val="0"/>
              <w:jc w:val="both"/>
              <w:rPr>
                <w:rFonts w:ascii="Times New Roman" w:eastAsia="標楷體" w:hAnsi="Times New Roman" w:cs="Times New Roman"/>
                <w:sz w:val="22"/>
                <w:szCs w:val="22"/>
              </w:rPr>
            </w:pPr>
          </w:p>
        </w:tc>
        <w:tc>
          <w:tcPr>
            <w:tcW w:w="982" w:type="dxa"/>
          </w:tcPr>
          <w:p w:rsidR="00EA1A7E" w:rsidRPr="003C28DF" w:rsidRDefault="00EA1A7E" w:rsidP="00156E21">
            <w:pPr>
              <w:overflowPunct w:val="0"/>
              <w:autoSpaceDE w:val="0"/>
              <w:autoSpaceDN w:val="0"/>
              <w:ind w:leftChars="-44" w:left="-106" w:rightChars="8" w:right="19"/>
              <w:jc w:val="right"/>
              <w:rPr>
                <w:rFonts w:ascii="Times New Roman" w:eastAsia="標楷體" w:hAnsi="Times New Roman" w:cs="Times New Roman"/>
                <w:sz w:val="22"/>
                <w:szCs w:val="22"/>
              </w:rPr>
            </w:pPr>
          </w:p>
        </w:tc>
        <w:tc>
          <w:tcPr>
            <w:tcW w:w="983" w:type="dxa"/>
          </w:tcPr>
          <w:p w:rsidR="00EA1A7E" w:rsidRPr="003C28DF" w:rsidRDefault="00EA1A7E" w:rsidP="00156E21">
            <w:pPr>
              <w:overflowPunct w:val="0"/>
              <w:autoSpaceDE w:val="0"/>
              <w:autoSpaceDN w:val="0"/>
              <w:ind w:leftChars="-44" w:left="-106" w:rightChars="-45" w:right="-108"/>
              <w:jc w:val="right"/>
              <w:rPr>
                <w:rFonts w:ascii="Times New Roman" w:eastAsia="標楷體" w:hAnsi="Times New Roman" w:cs="Times New Roman"/>
                <w:sz w:val="22"/>
                <w:szCs w:val="22"/>
              </w:rPr>
            </w:pPr>
          </w:p>
        </w:tc>
        <w:tc>
          <w:tcPr>
            <w:tcW w:w="983" w:type="dxa"/>
          </w:tcPr>
          <w:p w:rsidR="00EA1A7E" w:rsidRPr="003C28DF" w:rsidRDefault="00EA1A7E" w:rsidP="00156E21">
            <w:pPr>
              <w:overflowPunct w:val="0"/>
              <w:autoSpaceDE w:val="0"/>
              <w:autoSpaceDN w:val="0"/>
              <w:ind w:leftChars="-44" w:left="-106" w:rightChars="-45" w:right="-108"/>
              <w:jc w:val="right"/>
              <w:rPr>
                <w:rFonts w:ascii="Times New Roman" w:eastAsia="標楷體" w:hAnsi="Times New Roman" w:cs="Times New Roman"/>
                <w:sz w:val="22"/>
                <w:szCs w:val="22"/>
              </w:rPr>
            </w:pPr>
          </w:p>
        </w:tc>
        <w:tc>
          <w:tcPr>
            <w:tcW w:w="982" w:type="dxa"/>
          </w:tcPr>
          <w:p w:rsidR="00EA1A7E" w:rsidRPr="003C28DF" w:rsidRDefault="00EA1A7E" w:rsidP="00156E21">
            <w:pPr>
              <w:overflowPunct w:val="0"/>
              <w:autoSpaceDE w:val="0"/>
              <w:autoSpaceDN w:val="0"/>
              <w:ind w:leftChars="-44" w:left="-106" w:rightChars="-45" w:right="-108"/>
              <w:jc w:val="right"/>
              <w:rPr>
                <w:rFonts w:ascii="Times New Roman" w:eastAsia="標楷體" w:hAnsi="Times New Roman" w:cs="Times New Roman"/>
                <w:sz w:val="22"/>
                <w:szCs w:val="22"/>
              </w:rPr>
            </w:pPr>
          </w:p>
        </w:tc>
        <w:tc>
          <w:tcPr>
            <w:tcW w:w="983" w:type="dxa"/>
          </w:tcPr>
          <w:p w:rsidR="00EA1A7E" w:rsidRPr="003C28DF" w:rsidRDefault="00EA1A7E" w:rsidP="00156E21">
            <w:pPr>
              <w:overflowPunct w:val="0"/>
              <w:autoSpaceDE w:val="0"/>
              <w:autoSpaceDN w:val="0"/>
              <w:ind w:leftChars="-44" w:left="-106" w:rightChars="-45" w:right="-108"/>
              <w:jc w:val="right"/>
              <w:rPr>
                <w:rFonts w:ascii="Times New Roman" w:eastAsia="標楷體" w:hAnsi="Times New Roman" w:cs="Times New Roman"/>
                <w:sz w:val="22"/>
                <w:szCs w:val="22"/>
              </w:rPr>
            </w:pPr>
          </w:p>
        </w:tc>
        <w:tc>
          <w:tcPr>
            <w:tcW w:w="983" w:type="dxa"/>
          </w:tcPr>
          <w:p w:rsidR="00EA1A7E" w:rsidRPr="003C28DF" w:rsidRDefault="00EA1A7E" w:rsidP="00156E21">
            <w:pPr>
              <w:overflowPunct w:val="0"/>
              <w:autoSpaceDE w:val="0"/>
              <w:autoSpaceDN w:val="0"/>
              <w:ind w:leftChars="-44" w:left="-106" w:rightChars="-45" w:right="-108"/>
              <w:jc w:val="right"/>
              <w:rPr>
                <w:rFonts w:ascii="Times New Roman" w:eastAsia="標楷體" w:hAnsi="Times New Roman" w:cs="Times New Roman"/>
                <w:sz w:val="22"/>
                <w:szCs w:val="22"/>
              </w:rPr>
            </w:pPr>
          </w:p>
        </w:tc>
      </w:tr>
      <w:tr w:rsidR="00EA1A7E" w:rsidRPr="003C28DF" w:rsidTr="003C28DF">
        <w:tc>
          <w:tcPr>
            <w:tcW w:w="2835" w:type="dxa"/>
          </w:tcPr>
          <w:p w:rsidR="00EA1A7E" w:rsidRPr="003C28DF" w:rsidRDefault="003C28DF" w:rsidP="00156E21">
            <w:pPr>
              <w:overflowPunct w:val="0"/>
              <w:autoSpaceDE w:val="0"/>
              <w:autoSpaceDN w:val="0"/>
              <w:jc w:val="both"/>
              <w:rPr>
                <w:rFonts w:ascii="Times New Roman" w:eastAsia="標楷體" w:hAnsi="Times New Roman" w:cs="Times New Roman"/>
                <w:sz w:val="22"/>
                <w:szCs w:val="22"/>
              </w:rPr>
            </w:pPr>
            <w:r w:rsidRPr="003C28DF">
              <w:rPr>
                <w:rFonts w:ascii="Times New Roman" w:eastAsia="標楷體" w:hAnsi="Times New Roman" w:cs="Times New Roman"/>
                <w:sz w:val="22"/>
                <w:szCs w:val="22"/>
              </w:rPr>
              <w:t xml:space="preserve">Additional Assessable </w:t>
            </w:r>
            <w:r w:rsidR="00EA1A7E" w:rsidRPr="003C28DF">
              <w:rPr>
                <w:rFonts w:ascii="Times New Roman" w:eastAsia="標楷體" w:hAnsi="Times New Roman" w:cs="Times New Roman"/>
                <w:sz w:val="22"/>
                <w:szCs w:val="22"/>
              </w:rPr>
              <w:t>Profits</w:t>
            </w:r>
          </w:p>
        </w:tc>
        <w:tc>
          <w:tcPr>
            <w:tcW w:w="982" w:type="dxa"/>
          </w:tcPr>
          <w:p w:rsidR="00EA1A7E" w:rsidRPr="003C28DF" w:rsidRDefault="00EA1A7E" w:rsidP="00156E21">
            <w:pPr>
              <w:overflowPunct w:val="0"/>
              <w:autoSpaceDE w:val="0"/>
              <w:autoSpaceDN w:val="0"/>
              <w:ind w:leftChars="-44" w:left="-106" w:rightChars="8" w:right="19"/>
              <w:jc w:val="right"/>
              <w:rPr>
                <w:rFonts w:ascii="Times New Roman" w:eastAsia="標楷體" w:hAnsi="Times New Roman" w:cs="Times New Roman"/>
                <w:sz w:val="22"/>
                <w:szCs w:val="22"/>
              </w:rPr>
            </w:pPr>
            <w:r w:rsidRPr="003C28DF">
              <w:rPr>
                <w:rFonts w:ascii="Times New Roman" w:eastAsia="標楷體" w:hAnsi="Times New Roman" w:cs="Times New Roman"/>
                <w:sz w:val="22"/>
                <w:szCs w:val="22"/>
                <w:u w:val="double"/>
              </w:rPr>
              <w:t>486,347</w:t>
            </w:r>
          </w:p>
        </w:tc>
        <w:tc>
          <w:tcPr>
            <w:tcW w:w="983" w:type="dxa"/>
          </w:tcPr>
          <w:p w:rsidR="00EA1A7E" w:rsidRPr="003C28DF" w:rsidRDefault="00EA1A7E" w:rsidP="00156E21">
            <w:pPr>
              <w:overflowPunct w:val="0"/>
              <w:autoSpaceDE w:val="0"/>
              <w:autoSpaceDN w:val="0"/>
              <w:ind w:leftChars="-44" w:left="-106" w:rightChars="-45" w:right="-108"/>
              <w:jc w:val="right"/>
              <w:rPr>
                <w:rFonts w:ascii="Times New Roman" w:eastAsia="標楷體" w:hAnsi="Times New Roman" w:cs="Times New Roman"/>
                <w:sz w:val="22"/>
                <w:szCs w:val="22"/>
              </w:rPr>
            </w:pPr>
            <w:r w:rsidRPr="003C28DF">
              <w:rPr>
                <w:rFonts w:ascii="Times New Roman" w:eastAsia="標楷體" w:hAnsi="Times New Roman" w:cs="Times New Roman"/>
                <w:sz w:val="22"/>
                <w:szCs w:val="22"/>
                <w:u w:val="double"/>
              </w:rPr>
              <w:t>1,944,269</w:t>
            </w:r>
          </w:p>
        </w:tc>
        <w:tc>
          <w:tcPr>
            <w:tcW w:w="983" w:type="dxa"/>
          </w:tcPr>
          <w:p w:rsidR="00EA1A7E" w:rsidRPr="003C28DF" w:rsidRDefault="00EA1A7E" w:rsidP="00156E21">
            <w:pPr>
              <w:overflowPunct w:val="0"/>
              <w:autoSpaceDE w:val="0"/>
              <w:autoSpaceDN w:val="0"/>
              <w:ind w:leftChars="-44" w:left="-106" w:rightChars="-45" w:right="-108"/>
              <w:jc w:val="right"/>
              <w:rPr>
                <w:rFonts w:ascii="Times New Roman" w:eastAsia="標楷體" w:hAnsi="Times New Roman" w:cs="Times New Roman"/>
                <w:sz w:val="22"/>
                <w:szCs w:val="22"/>
              </w:rPr>
            </w:pPr>
            <w:r w:rsidRPr="003C28DF">
              <w:rPr>
                <w:rFonts w:ascii="Times New Roman" w:eastAsia="標楷體" w:hAnsi="Times New Roman" w:cs="Times New Roman"/>
                <w:sz w:val="22"/>
                <w:szCs w:val="22"/>
                <w:u w:val="double"/>
              </w:rPr>
              <w:t>1,666,255</w:t>
            </w:r>
          </w:p>
        </w:tc>
        <w:tc>
          <w:tcPr>
            <w:tcW w:w="982" w:type="dxa"/>
          </w:tcPr>
          <w:p w:rsidR="00EA1A7E" w:rsidRPr="003C28DF" w:rsidRDefault="00EA1A7E" w:rsidP="00156E21">
            <w:pPr>
              <w:overflowPunct w:val="0"/>
              <w:autoSpaceDE w:val="0"/>
              <w:autoSpaceDN w:val="0"/>
              <w:ind w:leftChars="-44" w:left="-106" w:rightChars="-45" w:right="-108"/>
              <w:jc w:val="right"/>
              <w:rPr>
                <w:rFonts w:ascii="Times New Roman" w:eastAsia="標楷體" w:hAnsi="Times New Roman" w:cs="Times New Roman"/>
                <w:sz w:val="22"/>
                <w:szCs w:val="22"/>
              </w:rPr>
            </w:pPr>
            <w:r w:rsidRPr="003C28DF">
              <w:rPr>
                <w:rFonts w:ascii="Times New Roman" w:eastAsia="標楷體" w:hAnsi="Times New Roman" w:cs="Times New Roman"/>
                <w:sz w:val="22"/>
                <w:szCs w:val="22"/>
                <w:u w:val="double"/>
              </w:rPr>
              <w:t>1,688,825</w:t>
            </w:r>
          </w:p>
        </w:tc>
        <w:tc>
          <w:tcPr>
            <w:tcW w:w="983" w:type="dxa"/>
          </w:tcPr>
          <w:p w:rsidR="00EA1A7E" w:rsidRPr="003C28DF" w:rsidRDefault="00EA1A7E" w:rsidP="00156E21">
            <w:pPr>
              <w:overflowPunct w:val="0"/>
              <w:autoSpaceDE w:val="0"/>
              <w:autoSpaceDN w:val="0"/>
              <w:ind w:leftChars="-44" w:left="-106" w:rightChars="-45" w:right="-108"/>
              <w:jc w:val="right"/>
              <w:rPr>
                <w:rFonts w:ascii="Times New Roman" w:eastAsia="標楷體" w:hAnsi="Times New Roman" w:cs="Times New Roman"/>
                <w:sz w:val="22"/>
                <w:szCs w:val="22"/>
              </w:rPr>
            </w:pPr>
            <w:r w:rsidRPr="003C28DF">
              <w:rPr>
                <w:rFonts w:ascii="Times New Roman" w:eastAsia="標楷體" w:hAnsi="Times New Roman" w:cs="Times New Roman"/>
                <w:sz w:val="22"/>
                <w:szCs w:val="22"/>
                <w:u w:val="double"/>
              </w:rPr>
              <w:t>1,960,263</w:t>
            </w:r>
          </w:p>
        </w:tc>
        <w:tc>
          <w:tcPr>
            <w:tcW w:w="983" w:type="dxa"/>
          </w:tcPr>
          <w:p w:rsidR="00EA1A7E" w:rsidRPr="003C28DF" w:rsidRDefault="00EA1A7E" w:rsidP="00156E21">
            <w:pPr>
              <w:overflowPunct w:val="0"/>
              <w:autoSpaceDE w:val="0"/>
              <w:autoSpaceDN w:val="0"/>
              <w:ind w:leftChars="-44" w:left="-106" w:rightChars="-45" w:right="-108"/>
              <w:jc w:val="right"/>
              <w:rPr>
                <w:rFonts w:ascii="Times New Roman" w:eastAsia="標楷體" w:hAnsi="Times New Roman" w:cs="Times New Roman"/>
                <w:sz w:val="22"/>
                <w:szCs w:val="22"/>
              </w:rPr>
            </w:pPr>
            <w:r w:rsidRPr="003C28DF">
              <w:rPr>
                <w:rFonts w:ascii="Times New Roman" w:eastAsia="標楷體" w:hAnsi="Times New Roman" w:cs="Times New Roman"/>
                <w:sz w:val="22"/>
                <w:szCs w:val="22"/>
                <w:u w:val="double"/>
              </w:rPr>
              <w:t>2,026,249</w:t>
            </w:r>
          </w:p>
        </w:tc>
      </w:tr>
      <w:tr w:rsidR="00EA1A7E" w:rsidRPr="003C28DF" w:rsidTr="003C28DF">
        <w:tc>
          <w:tcPr>
            <w:tcW w:w="2835" w:type="dxa"/>
          </w:tcPr>
          <w:p w:rsidR="00EA1A7E" w:rsidRPr="003C28DF" w:rsidRDefault="00EA1A7E" w:rsidP="00156E21">
            <w:pPr>
              <w:overflowPunct w:val="0"/>
              <w:autoSpaceDE w:val="0"/>
              <w:autoSpaceDN w:val="0"/>
              <w:jc w:val="both"/>
              <w:rPr>
                <w:rFonts w:ascii="Times New Roman" w:eastAsia="標楷體" w:hAnsi="Times New Roman" w:cs="Times New Roman"/>
                <w:sz w:val="22"/>
                <w:szCs w:val="22"/>
              </w:rPr>
            </w:pPr>
          </w:p>
        </w:tc>
        <w:tc>
          <w:tcPr>
            <w:tcW w:w="982" w:type="dxa"/>
          </w:tcPr>
          <w:p w:rsidR="00EA1A7E" w:rsidRPr="003C28DF" w:rsidRDefault="00EA1A7E" w:rsidP="00156E21">
            <w:pPr>
              <w:overflowPunct w:val="0"/>
              <w:autoSpaceDE w:val="0"/>
              <w:autoSpaceDN w:val="0"/>
              <w:ind w:leftChars="-44" w:left="-106" w:rightChars="8" w:right="19"/>
              <w:jc w:val="right"/>
              <w:rPr>
                <w:rFonts w:ascii="Times New Roman" w:eastAsia="標楷體" w:hAnsi="Times New Roman" w:cs="Times New Roman"/>
                <w:sz w:val="22"/>
                <w:szCs w:val="22"/>
              </w:rPr>
            </w:pPr>
          </w:p>
        </w:tc>
        <w:tc>
          <w:tcPr>
            <w:tcW w:w="983" w:type="dxa"/>
          </w:tcPr>
          <w:p w:rsidR="00EA1A7E" w:rsidRPr="003C28DF" w:rsidRDefault="00EA1A7E" w:rsidP="00156E21">
            <w:pPr>
              <w:overflowPunct w:val="0"/>
              <w:autoSpaceDE w:val="0"/>
              <w:autoSpaceDN w:val="0"/>
              <w:ind w:leftChars="-44" w:left="-106" w:rightChars="-45" w:right="-108"/>
              <w:jc w:val="right"/>
              <w:rPr>
                <w:rFonts w:ascii="Times New Roman" w:eastAsia="標楷體" w:hAnsi="Times New Roman" w:cs="Times New Roman"/>
                <w:sz w:val="22"/>
                <w:szCs w:val="22"/>
              </w:rPr>
            </w:pPr>
          </w:p>
        </w:tc>
        <w:tc>
          <w:tcPr>
            <w:tcW w:w="983" w:type="dxa"/>
          </w:tcPr>
          <w:p w:rsidR="00EA1A7E" w:rsidRPr="003C28DF" w:rsidRDefault="00EA1A7E" w:rsidP="00156E21">
            <w:pPr>
              <w:overflowPunct w:val="0"/>
              <w:autoSpaceDE w:val="0"/>
              <w:autoSpaceDN w:val="0"/>
              <w:ind w:leftChars="-44" w:left="-106" w:rightChars="-45" w:right="-108"/>
              <w:jc w:val="right"/>
              <w:rPr>
                <w:rFonts w:ascii="Times New Roman" w:eastAsia="標楷體" w:hAnsi="Times New Roman" w:cs="Times New Roman"/>
                <w:sz w:val="22"/>
                <w:szCs w:val="22"/>
              </w:rPr>
            </w:pPr>
          </w:p>
        </w:tc>
        <w:tc>
          <w:tcPr>
            <w:tcW w:w="982" w:type="dxa"/>
          </w:tcPr>
          <w:p w:rsidR="00EA1A7E" w:rsidRPr="003C28DF" w:rsidRDefault="00EA1A7E" w:rsidP="00156E21">
            <w:pPr>
              <w:overflowPunct w:val="0"/>
              <w:autoSpaceDE w:val="0"/>
              <w:autoSpaceDN w:val="0"/>
              <w:ind w:leftChars="-44" w:left="-106" w:rightChars="-45" w:right="-108"/>
              <w:jc w:val="right"/>
              <w:rPr>
                <w:rFonts w:ascii="Times New Roman" w:eastAsia="標楷體" w:hAnsi="Times New Roman" w:cs="Times New Roman"/>
                <w:sz w:val="22"/>
                <w:szCs w:val="22"/>
              </w:rPr>
            </w:pPr>
          </w:p>
        </w:tc>
        <w:tc>
          <w:tcPr>
            <w:tcW w:w="983" w:type="dxa"/>
          </w:tcPr>
          <w:p w:rsidR="00EA1A7E" w:rsidRPr="003C28DF" w:rsidRDefault="00EA1A7E" w:rsidP="00156E21">
            <w:pPr>
              <w:overflowPunct w:val="0"/>
              <w:autoSpaceDE w:val="0"/>
              <w:autoSpaceDN w:val="0"/>
              <w:ind w:leftChars="-44" w:left="-106" w:rightChars="-45" w:right="-108"/>
              <w:jc w:val="right"/>
              <w:rPr>
                <w:rFonts w:ascii="Times New Roman" w:eastAsia="標楷體" w:hAnsi="Times New Roman" w:cs="Times New Roman"/>
                <w:sz w:val="22"/>
                <w:szCs w:val="22"/>
              </w:rPr>
            </w:pPr>
          </w:p>
        </w:tc>
        <w:tc>
          <w:tcPr>
            <w:tcW w:w="983" w:type="dxa"/>
          </w:tcPr>
          <w:p w:rsidR="00EA1A7E" w:rsidRPr="003C28DF" w:rsidRDefault="00EA1A7E" w:rsidP="00156E21">
            <w:pPr>
              <w:overflowPunct w:val="0"/>
              <w:autoSpaceDE w:val="0"/>
              <w:autoSpaceDN w:val="0"/>
              <w:ind w:leftChars="-44" w:left="-106" w:rightChars="-45" w:right="-108"/>
              <w:jc w:val="right"/>
              <w:rPr>
                <w:rFonts w:ascii="Times New Roman" w:eastAsia="標楷體" w:hAnsi="Times New Roman" w:cs="Times New Roman"/>
                <w:sz w:val="22"/>
                <w:szCs w:val="22"/>
              </w:rPr>
            </w:pPr>
          </w:p>
        </w:tc>
      </w:tr>
      <w:tr w:rsidR="00EA1A7E" w:rsidRPr="003C28DF" w:rsidTr="003C28DF">
        <w:tc>
          <w:tcPr>
            <w:tcW w:w="2835" w:type="dxa"/>
          </w:tcPr>
          <w:p w:rsidR="00EA1A7E" w:rsidRPr="003C28DF" w:rsidRDefault="00EA1A7E" w:rsidP="00156E21">
            <w:pPr>
              <w:overflowPunct w:val="0"/>
              <w:autoSpaceDE w:val="0"/>
              <w:autoSpaceDN w:val="0"/>
              <w:jc w:val="both"/>
              <w:rPr>
                <w:rFonts w:ascii="Times New Roman" w:eastAsia="標楷體" w:hAnsi="Times New Roman" w:cs="Times New Roman"/>
                <w:sz w:val="22"/>
                <w:szCs w:val="22"/>
              </w:rPr>
            </w:pPr>
            <w:r w:rsidRPr="003C28DF">
              <w:rPr>
                <w:rFonts w:ascii="Times New Roman" w:eastAsia="標楷體" w:hAnsi="Times New Roman" w:cs="Times New Roman"/>
                <w:sz w:val="22"/>
                <w:szCs w:val="22"/>
              </w:rPr>
              <w:t>Tax Payable thereon</w:t>
            </w:r>
          </w:p>
        </w:tc>
        <w:tc>
          <w:tcPr>
            <w:tcW w:w="982" w:type="dxa"/>
          </w:tcPr>
          <w:p w:rsidR="00EA1A7E" w:rsidRPr="003C28DF" w:rsidRDefault="003C28DF" w:rsidP="00156E21">
            <w:pPr>
              <w:overflowPunct w:val="0"/>
              <w:autoSpaceDE w:val="0"/>
              <w:autoSpaceDN w:val="0"/>
              <w:ind w:leftChars="-44" w:left="-106" w:rightChars="8" w:right="19"/>
              <w:jc w:val="right"/>
              <w:rPr>
                <w:rFonts w:ascii="Times New Roman" w:eastAsia="標楷體" w:hAnsi="Times New Roman" w:cs="Times New Roman"/>
                <w:sz w:val="22"/>
                <w:szCs w:val="22"/>
              </w:rPr>
            </w:pPr>
            <w:r w:rsidRPr="003C28DF">
              <w:rPr>
                <w:rFonts w:ascii="Times New Roman" w:eastAsia="標楷體" w:hAnsi="Times New Roman" w:cs="Times New Roman"/>
                <w:sz w:val="22"/>
                <w:szCs w:val="22"/>
                <w:u w:val="double"/>
              </w:rPr>
              <w:t xml:space="preserve">  </w:t>
            </w:r>
            <w:r w:rsidR="00EA1A7E" w:rsidRPr="003C28DF">
              <w:rPr>
                <w:rFonts w:ascii="Times New Roman" w:eastAsia="標楷體" w:hAnsi="Times New Roman" w:cs="Times New Roman"/>
                <w:sz w:val="22"/>
                <w:szCs w:val="22"/>
                <w:u w:val="double"/>
              </w:rPr>
              <w:t>85,111</w:t>
            </w:r>
          </w:p>
        </w:tc>
        <w:tc>
          <w:tcPr>
            <w:tcW w:w="983" w:type="dxa"/>
          </w:tcPr>
          <w:p w:rsidR="00EA1A7E" w:rsidRPr="003C28DF" w:rsidRDefault="003C28DF" w:rsidP="00156E21">
            <w:pPr>
              <w:overflowPunct w:val="0"/>
              <w:autoSpaceDE w:val="0"/>
              <w:autoSpaceDN w:val="0"/>
              <w:ind w:leftChars="-44" w:left="-106" w:rightChars="-45" w:right="-108"/>
              <w:jc w:val="right"/>
              <w:rPr>
                <w:rFonts w:ascii="Times New Roman" w:eastAsia="標楷體" w:hAnsi="Times New Roman" w:cs="Times New Roman"/>
                <w:sz w:val="22"/>
                <w:szCs w:val="22"/>
              </w:rPr>
            </w:pPr>
            <w:r>
              <w:rPr>
                <w:rFonts w:ascii="Times New Roman" w:eastAsia="標楷體" w:hAnsi="Times New Roman" w:cs="Times New Roman"/>
                <w:sz w:val="22"/>
                <w:szCs w:val="22"/>
                <w:u w:val="double"/>
              </w:rPr>
              <w:t xml:space="preserve">   </w:t>
            </w:r>
            <w:r w:rsidR="00EA1A7E" w:rsidRPr="003C28DF">
              <w:rPr>
                <w:rFonts w:ascii="Times New Roman" w:eastAsia="標楷體" w:hAnsi="Times New Roman" w:cs="Times New Roman"/>
                <w:sz w:val="22"/>
                <w:szCs w:val="22"/>
                <w:u w:val="double"/>
              </w:rPr>
              <w:t>320,805</w:t>
            </w:r>
          </w:p>
        </w:tc>
        <w:tc>
          <w:tcPr>
            <w:tcW w:w="983" w:type="dxa"/>
          </w:tcPr>
          <w:p w:rsidR="00EA1A7E" w:rsidRPr="003C28DF" w:rsidRDefault="003C28DF" w:rsidP="00156E21">
            <w:pPr>
              <w:overflowPunct w:val="0"/>
              <w:autoSpaceDE w:val="0"/>
              <w:autoSpaceDN w:val="0"/>
              <w:ind w:leftChars="-44" w:left="-106" w:rightChars="-45" w:right="-108"/>
              <w:jc w:val="right"/>
              <w:rPr>
                <w:rFonts w:ascii="Times New Roman" w:eastAsia="標楷體" w:hAnsi="Times New Roman" w:cs="Times New Roman"/>
                <w:sz w:val="22"/>
                <w:szCs w:val="22"/>
              </w:rPr>
            </w:pPr>
            <w:r>
              <w:rPr>
                <w:rFonts w:ascii="Times New Roman" w:eastAsia="標楷體" w:hAnsi="Times New Roman" w:cs="Times New Roman"/>
                <w:sz w:val="22"/>
                <w:szCs w:val="22"/>
                <w:u w:val="double"/>
              </w:rPr>
              <w:t xml:space="preserve">   </w:t>
            </w:r>
            <w:r w:rsidR="00EA1A7E" w:rsidRPr="003C28DF">
              <w:rPr>
                <w:rFonts w:ascii="Times New Roman" w:eastAsia="標楷體" w:hAnsi="Times New Roman" w:cs="Times New Roman"/>
                <w:sz w:val="22"/>
                <w:szCs w:val="22"/>
                <w:u w:val="double"/>
              </w:rPr>
              <w:t>274,932</w:t>
            </w:r>
          </w:p>
        </w:tc>
        <w:tc>
          <w:tcPr>
            <w:tcW w:w="982" w:type="dxa"/>
          </w:tcPr>
          <w:p w:rsidR="00EA1A7E" w:rsidRPr="003C28DF" w:rsidRDefault="003C28DF" w:rsidP="00156E21">
            <w:pPr>
              <w:overflowPunct w:val="0"/>
              <w:autoSpaceDE w:val="0"/>
              <w:autoSpaceDN w:val="0"/>
              <w:ind w:leftChars="-44" w:left="-106" w:rightChars="-45" w:right="-108"/>
              <w:jc w:val="right"/>
              <w:rPr>
                <w:rFonts w:ascii="Times New Roman" w:eastAsia="標楷體" w:hAnsi="Times New Roman" w:cs="Times New Roman"/>
                <w:sz w:val="22"/>
                <w:szCs w:val="22"/>
              </w:rPr>
            </w:pPr>
            <w:r>
              <w:rPr>
                <w:rFonts w:ascii="Times New Roman" w:eastAsia="標楷體" w:hAnsi="Times New Roman" w:cs="Times New Roman"/>
                <w:sz w:val="22"/>
                <w:szCs w:val="22"/>
                <w:u w:val="double"/>
              </w:rPr>
              <w:t xml:space="preserve">   </w:t>
            </w:r>
            <w:r w:rsidR="00EA1A7E" w:rsidRPr="003C28DF">
              <w:rPr>
                <w:rFonts w:ascii="Times New Roman" w:eastAsia="標楷體" w:hAnsi="Times New Roman" w:cs="Times New Roman"/>
                <w:sz w:val="22"/>
                <w:szCs w:val="22"/>
                <w:u w:val="double"/>
              </w:rPr>
              <w:t>278,656</w:t>
            </w:r>
          </w:p>
        </w:tc>
        <w:tc>
          <w:tcPr>
            <w:tcW w:w="983" w:type="dxa"/>
          </w:tcPr>
          <w:p w:rsidR="00EA1A7E" w:rsidRPr="003C28DF" w:rsidRDefault="003C28DF" w:rsidP="00156E21">
            <w:pPr>
              <w:overflowPunct w:val="0"/>
              <w:autoSpaceDE w:val="0"/>
              <w:autoSpaceDN w:val="0"/>
              <w:ind w:leftChars="-44" w:left="-106" w:rightChars="-45" w:right="-108"/>
              <w:jc w:val="right"/>
              <w:rPr>
                <w:rFonts w:ascii="Times New Roman" w:eastAsia="標楷體" w:hAnsi="Times New Roman" w:cs="Times New Roman"/>
                <w:sz w:val="22"/>
                <w:szCs w:val="22"/>
              </w:rPr>
            </w:pPr>
            <w:r>
              <w:rPr>
                <w:rFonts w:ascii="Times New Roman" w:eastAsia="標楷體" w:hAnsi="Times New Roman" w:cs="Times New Roman"/>
                <w:sz w:val="22"/>
                <w:szCs w:val="22"/>
                <w:u w:val="double"/>
              </w:rPr>
              <w:t xml:space="preserve">   </w:t>
            </w:r>
            <w:r w:rsidR="00EA1A7E" w:rsidRPr="003C28DF">
              <w:rPr>
                <w:rFonts w:ascii="Times New Roman" w:eastAsia="標楷體" w:hAnsi="Times New Roman" w:cs="Times New Roman"/>
                <w:sz w:val="22"/>
                <w:szCs w:val="22"/>
                <w:u w:val="double"/>
              </w:rPr>
              <w:t>323,444</w:t>
            </w:r>
          </w:p>
        </w:tc>
        <w:tc>
          <w:tcPr>
            <w:tcW w:w="983" w:type="dxa"/>
          </w:tcPr>
          <w:p w:rsidR="00EA1A7E" w:rsidRPr="003C28DF" w:rsidRDefault="003C28DF" w:rsidP="00156E21">
            <w:pPr>
              <w:overflowPunct w:val="0"/>
              <w:autoSpaceDE w:val="0"/>
              <w:autoSpaceDN w:val="0"/>
              <w:ind w:leftChars="-44" w:left="-106" w:rightChars="-45" w:right="-108"/>
              <w:jc w:val="right"/>
              <w:rPr>
                <w:rFonts w:ascii="Times New Roman" w:eastAsia="標楷體" w:hAnsi="Times New Roman" w:cs="Times New Roman"/>
                <w:sz w:val="22"/>
                <w:szCs w:val="22"/>
              </w:rPr>
            </w:pPr>
            <w:r>
              <w:rPr>
                <w:rFonts w:ascii="Times New Roman" w:eastAsia="標楷體" w:hAnsi="Times New Roman" w:cs="Times New Roman"/>
                <w:sz w:val="22"/>
                <w:szCs w:val="22"/>
                <w:u w:val="double"/>
              </w:rPr>
              <w:t xml:space="preserve">   </w:t>
            </w:r>
            <w:r w:rsidR="00EA1A7E" w:rsidRPr="003C28DF">
              <w:rPr>
                <w:rFonts w:ascii="Times New Roman" w:eastAsia="標楷體" w:hAnsi="Times New Roman" w:cs="Times New Roman"/>
                <w:sz w:val="22"/>
                <w:szCs w:val="22"/>
                <w:u w:val="double"/>
              </w:rPr>
              <w:t>334,332</w:t>
            </w:r>
          </w:p>
        </w:tc>
      </w:tr>
    </w:tbl>
    <w:p w:rsidR="00A621B5" w:rsidRPr="0069274C" w:rsidRDefault="00A621B5" w:rsidP="00156E21">
      <w:pPr>
        <w:overflowPunct w:val="0"/>
        <w:autoSpaceDE w:val="0"/>
        <w:autoSpaceDN w:val="0"/>
        <w:jc w:val="both"/>
        <w:rPr>
          <w:rFonts w:ascii="Times New Roman" w:eastAsia="標楷體" w:hAnsi="Times New Roman" w:cs="Times New Roman"/>
        </w:rPr>
      </w:pPr>
    </w:p>
    <w:p w:rsidR="00737FBC" w:rsidRPr="003C28DF" w:rsidRDefault="00F944DA" w:rsidP="00156E21">
      <w:pPr>
        <w:pStyle w:val="a3"/>
        <w:numPr>
          <w:ilvl w:val="0"/>
          <w:numId w:val="21"/>
        </w:numPr>
        <w:tabs>
          <w:tab w:val="left" w:pos="2107"/>
        </w:tabs>
        <w:overflowPunct w:val="0"/>
        <w:autoSpaceDE w:val="0"/>
        <w:autoSpaceDN w:val="0"/>
        <w:ind w:leftChars="638" w:left="2108" w:hangingChars="240" w:hanging="577"/>
        <w:jc w:val="both"/>
        <w:rPr>
          <w:rFonts w:ascii="Times New Roman" w:eastAsia="標楷體" w:hAnsi="Times New Roman" w:cs="Times New Roman"/>
          <w:b/>
          <w:i/>
        </w:rPr>
      </w:pPr>
      <w:r w:rsidRPr="003C28DF">
        <w:rPr>
          <w:rFonts w:ascii="Times New Roman" w:eastAsia="標楷體" w:hAnsi="Times New Roman" w:cs="Times New Roman"/>
          <w:b/>
          <w:i/>
        </w:rPr>
        <w:t xml:space="preserve">Profits Tax </w:t>
      </w:r>
      <w:r w:rsidR="004012A2" w:rsidRPr="003C28DF">
        <w:rPr>
          <w:rFonts w:ascii="Times New Roman" w:eastAsia="標楷體" w:hAnsi="Times New Roman" w:cs="Times New Roman"/>
          <w:b/>
          <w:i/>
        </w:rPr>
        <w:t>A</w:t>
      </w:r>
      <w:r w:rsidRPr="003C28DF">
        <w:rPr>
          <w:rFonts w:ascii="Times New Roman" w:eastAsia="標楷體" w:hAnsi="Times New Roman" w:cs="Times New Roman"/>
          <w:b/>
          <w:i/>
        </w:rPr>
        <w:t>ssessments for the year</w:t>
      </w:r>
      <w:r w:rsidR="00CD7BC8">
        <w:rPr>
          <w:rFonts w:ascii="Times New Roman" w:eastAsia="標楷體" w:hAnsi="Times New Roman" w:cs="Times New Roman"/>
          <w:b/>
          <w:i/>
        </w:rPr>
        <w:t>s</w:t>
      </w:r>
      <w:r w:rsidRPr="003C28DF">
        <w:rPr>
          <w:rFonts w:ascii="Times New Roman" w:eastAsia="標楷體" w:hAnsi="Times New Roman" w:cs="Times New Roman"/>
          <w:b/>
          <w:i/>
        </w:rPr>
        <w:t xml:space="preserve"> of assessment 2013/14 to 2015/16</w:t>
      </w:r>
    </w:p>
    <w:p w:rsidR="00737FBC" w:rsidRDefault="00737FBC" w:rsidP="00156E21">
      <w:pPr>
        <w:overflowPunct w:val="0"/>
        <w:autoSpaceDE w:val="0"/>
        <w:autoSpaceDN w:val="0"/>
        <w:jc w:val="both"/>
        <w:rPr>
          <w:rFonts w:ascii="Times New Roman" w:eastAsia="標楷體" w:hAnsi="Times New Roman" w:cs="Times New Roman"/>
        </w:rPr>
      </w:pPr>
    </w:p>
    <w:tbl>
      <w:tblPr>
        <w:tblStyle w:val="af0"/>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275"/>
        <w:gridCol w:w="1276"/>
        <w:gridCol w:w="1208"/>
      </w:tblGrid>
      <w:tr w:rsidR="00EA1A7E" w:rsidTr="003C28DF">
        <w:trPr>
          <w:tblHeader/>
        </w:trPr>
        <w:tc>
          <w:tcPr>
            <w:tcW w:w="3261" w:type="dxa"/>
          </w:tcPr>
          <w:p w:rsidR="00EA1A7E" w:rsidRDefault="00EA1A7E" w:rsidP="00156E21">
            <w:pPr>
              <w:overflowPunct w:val="0"/>
              <w:autoSpaceDE w:val="0"/>
              <w:autoSpaceDN w:val="0"/>
              <w:jc w:val="both"/>
              <w:rPr>
                <w:rFonts w:ascii="Times New Roman" w:eastAsia="標楷體" w:hAnsi="Times New Roman" w:cs="Times New Roman"/>
              </w:rPr>
            </w:pPr>
            <w:r w:rsidRPr="0069274C">
              <w:rPr>
                <w:rFonts w:ascii="Times New Roman" w:eastAsia="標楷體" w:hAnsi="Times New Roman" w:cs="Times New Roman"/>
              </w:rPr>
              <w:t>Year of assessment</w:t>
            </w:r>
          </w:p>
        </w:tc>
        <w:tc>
          <w:tcPr>
            <w:tcW w:w="1275" w:type="dxa"/>
          </w:tcPr>
          <w:p w:rsidR="00EA1A7E" w:rsidRDefault="00EA1A7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u w:val="single"/>
              </w:rPr>
              <w:t>2013/14</w:t>
            </w:r>
          </w:p>
        </w:tc>
        <w:tc>
          <w:tcPr>
            <w:tcW w:w="1276" w:type="dxa"/>
          </w:tcPr>
          <w:p w:rsidR="00EA1A7E" w:rsidRDefault="00EA1A7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u w:val="single"/>
              </w:rPr>
              <w:t>2014/15</w:t>
            </w:r>
          </w:p>
        </w:tc>
        <w:tc>
          <w:tcPr>
            <w:tcW w:w="1208" w:type="dxa"/>
          </w:tcPr>
          <w:p w:rsidR="00EA1A7E" w:rsidRDefault="00EA1A7E"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u w:val="single"/>
              </w:rPr>
              <w:t>2015/16</w:t>
            </w:r>
          </w:p>
        </w:tc>
      </w:tr>
      <w:tr w:rsidR="00EA1A7E" w:rsidTr="003C28DF">
        <w:trPr>
          <w:tblHeader/>
        </w:trPr>
        <w:tc>
          <w:tcPr>
            <w:tcW w:w="3261" w:type="dxa"/>
          </w:tcPr>
          <w:p w:rsidR="00EA1A7E" w:rsidRDefault="00EA1A7E" w:rsidP="00156E21">
            <w:pPr>
              <w:overflowPunct w:val="0"/>
              <w:autoSpaceDE w:val="0"/>
              <w:autoSpaceDN w:val="0"/>
              <w:jc w:val="both"/>
              <w:rPr>
                <w:rFonts w:ascii="Times New Roman" w:eastAsia="標楷體" w:hAnsi="Times New Roman" w:cs="Times New Roman"/>
              </w:rPr>
            </w:pPr>
          </w:p>
        </w:tc>
        <w:tc>
          <w:tcPr>
            <w:tcW w:w="1275" w:type="dxa"/>
          </w:tcPr>
          <w:p w:rsidR="00EA1A7E" w:rsidRDefault="00EA1A7E" w:rsidP="00156E21">
            <w:pPr>
              <w:overflowPunct w:val="0"/>
              <w:autoSpaceDE w:val="0"/>
              <w:autoSpaceDN w:val="0"/>
              <w:jc w:val="center"/>
            </w:pPr>
            <w:r w:rsidRPr="00C457FB">
              <w:rPr>
                <w:rFonts w:ascii="Times New Roman" w:eastAsia="標楷體" w:hAnsi="Times New Roman" w:cs="Times New Roman"/>
              </w:rPr>
              <w:t>$</w:t>
            </w:r>
          </w:p>
        </w:tc>
        <w:tc>
          <w:tcPr>
            <w:tcW w:w="1276" w:type="dxa"/>
          </w:tcPr>
          <w:p w:rsidR="00EA1A7E" w:rsidRDefault="00EA1A7E" w:rsidP="00156E21">
            <w:pPr>
              <w:overflowPunct w:val="0"/>
              <w:autoSpaceDE w:val="0"/>
              <w:autoSpaceDN w:val="0"/>
              <w:jc w:val="center"/>
            </w:pPr>
            <w:r w:rsidRPr="00C457FB">
              <w:rPr>
                <w:rFonts w:ascii="Times New Roman" w:eastAsia="標楷體" w:hAnsi="Times New Roman" w:cs="Times New Roman"/>
              </w:rPr>
              <w:t>$</w:t>
            </w:r>
          </w:p>
        </w:tc>
        <w:tc>
          <w:tcPr>
            <w:tcW w:w="1208" w:type="dxa"/>
          </w:tcPr>
          <w:p w:rsidR="00EA1A7E" w:rsidRDefault="00EA1A7E" w:rsidP="00156E21">
            <w:pPr>
              <w:overflowPunct w:val="0"/>
              <w:autoSpaceDE w:val="0"/>
              <w:autoSpaceDN w:val="0"/>
              <w:jc w:val="center"/>
            </w:pPr>
            <w:r w:rsidRPr="00C457FB">
              <w:rPr>
                <w:rFonts w:ascii="Times New Roman" w:eastAsia="標楷體" w:hAnsi="Times New Roman" w:cs="Times New Roman"/>
              </w:rPr>
              <w:t>$</w:t>
            </w:r>
          </w:p>
        </w:tc>
      </w:tr>
      <w:tr w:rsidR="00EA1A7E" w:rsidTr="00EA1A7E">
        <w:tc>
          <w:tcPr>
            <w:tcW w:w="3261" w:type="dxa"/>
          </w:tcPr>
          <w:p w:rsidR="00EA1A7E" w:rsidRDefault="00EA1A7E" w:rsidP="00156E21">
            <w:pPr>
              <w:overflowPunct w:val="0"/>
              <w:autoSpaceDE w:val="0"/>
              <w:autoSpaceDN w:val="0"/>
              <w:jc w:val="both"/>
              <w:rPr>
                <w:rFonts w:ascii="Times New Roman" w:eastAsia="標楷體" w:hAnsi="Times New Roman" w:cs="Times New Roman"/>
              </w:rPr>
            </w:pPr>
            <w:r w:rsidRPr="0069274C">
              <w:rPr>
                <w:rFonts w:ascii="Times New Roman" w:eastAsia="標楷體" w:hAnsi="Times New Roman" w:cs="Times New Roman"/>
              </w:rPr>
              <w:t>Profits per return</w:t>
            </w:r>
          </w:p>
        </w:tc>
        <w:tc>
          <w:tcPr>
            <w:tcW w:w="1275" w:type="dxa"/>
          </w:tcPr>
          <w:p w:rsidR="00EA1A7E" w:rsidRDefault="00EA1A7E" w:rsidP="00156E21">
            <w:pPr>
              <w:overflowPunct w:val="0"/>
              <w:autoSpaceDE w:val="0"/>
              <w:autoSpaceDN w:val="0"/>
              <w:jc w:val="right"/>
              <w:rPr>
                <w:rFonts w:ascii="Times New Roman" w:eastAsia="標楷體" w:hAnsi="Times New Roman" w:cs="Times New Roman"/>
              </w:rPr>
            </w:pPr>
            <w:r w:rsidRPr="0069274C">
              <w:rPr>
                <w:rFonts w:ascii="Times New Roman" w:eastAsia="標楷體" w:hAnsi="Times New Roman" w:cs="Times New Roman"/>
              </w:rPr>
              <w:t>4,610,988</w:t>
            </w:r>
          </w:p>
        </w:tc>
        <w:tc>
          <w:tcPr>
            <w:tcW w:w="1276" w:type="dxa"/>
          </w:tcPr>
          <w:p w:rsidR="00EA1A7E" w:rsidRDefault="00EA1A7E" w:rsidP="00156E21">
            <w:pPr>
              <w:overflowPunct w:val="0"/>
              <w:autoSpaceDE w:val="0"/>
              <w:autoSpaceDN w:val="0"/>
              <w:jc w:val="right"/>
              <w:rPr>
                <w:rFonts w:ascii="Times New Roman" w:eastAsia="標楷體" w:hAnsi="Times New Roman" w:cs="Times New Roman"/>
              </w:rPr>
            </w:pPr>
            <w:r w:rsidRPr="0069274C">
              <w:rPr>
                <w:rFonts w:ascii="Times New Roman" w:eastAsia="標楷體" w:hAnsi="Times New Roman" w:cs="Times New Roman"/>
              </w:rPr>
              <w:t>6,538,934</w:t>
            </w:r>
          </w:p>
        </w:tc>
        <w:tc>
          <w:tcPr>
            <w:tcW w:w="1208" w:type="dxa"/>
          </w:tcPr>
          <w:p w:rsidR="00EA1A7E" w:rsidRDefault="00EA1A7E" w:rsidP="00156E21">
            <w:pPr>
              <w:overflowPunct w:val="0"/>
              <w:autoSpaceDE w:val="0"/>
              <w:autoSpaceDN w:val="0"/>
              <w:jc w:val="right"/>
              <w:rPr>
                <w:rFonts w:ascii="Times New Roman" w:eastAsia="標楷體" w:hAnsi="Times New Roman" w:cs="Times New Roman"/>
              </w:rPr>
            </w:pPr>
            <w:r w:rsidRPr="0069274C">
              <w:rPr>
                <w:rFonts w:ascii="Times New Roman" w:eastAsia="標楷體" w:hAnsi="Times New Roman" w:cs="Times New Roman"/>
              </w:rPr>
              <w:t>7,212,246</w:t>
            </w:r>
          </w:p>
        </w:tc>
      </w:tr>
      <w:tr w:rsidR="00EA1A7E" w:rsidTr="00EA1A7E">
        <w:tc>
          <w:tcPr>
            <w:tcW w:w="3261" w:type="dxa"/>
          </w:tcPr>
          <w:p w:rsidR="00EA1A7E" w:rsidRDefault="00EA1A7E" w:rsidP="00156E21">
            <w:pPr>
              <w:overflowPunct w:val="0"/>
              <w:autoSpaceDE w:val="0"/>
              <w:autoSpaceDN w:val="0"/>
              <w:jc w:val="both"/>
              <w:rPr>
                <w:rFonts w:ascii="Times New Roman" w:eastAsia="標楷體" w:hAnsi="Times New Roman" w:cs="Times New Roman"/>
              </w:rPr>
            </w:pPr>
            <w:r w:rsidRPr="0069274C">
              <w:rPr>
                <w:rFonts w:ascii="Times New Roman" w:eastAsia="標楷體" w:hAnsi="Times New Roman" w:cs="Times New Roman"/>
                <w:u w:val="single"/>
              </w:rPr>
              <w:t>Add</w:t>
            </w:r>
            <w:r w:rsidRPr="0069274C">
              <w:rPr>
                <w:rFonts w:ascii="Times New Roman" w:eastAsia="標楷體" w:hAnsi="Times New Roman" w:cs="Times New Roman"/>
              </w:rPr>
              <w:t>: Manager’s Fees</w:t>
            </w:r>
          </w:p>
        </w:tc>
        <w:tc>
          <w:tcPr>
            <w:tcW w:w="1275" w:type="dxa"/>
          </w:tcPr>
          <w:p w:rsidR="00EA1A7E" w:rsidRDefault="00EA1A7E" w:rsidP="00156E21">
            <w:pPr>
              <w:overflowPunct w:val="0"/>
              <w:autoSpaceDE w:val="0"/>
              <w:autoSpaceDN w:val="0"/>
              <w:jc w:val="right"/>
              <w:rPr>
                <w:rFonts w:ascii="Times New Roman" w:eastAsia="標楷體" w:hAnsi="Times New Roman" w:cs="Times New Roman"/>
              </w:rPr>
            </w:pPr>
            <w:r w:rsidRPr="0069274C">
              <w:rPr>
                <w:rFonts w:ascii="Times New Roman" w:eastAsia="標楷體" w:hAnsi="Times New Roman" w:cs="Times New Roman"/>
              </w:rPr>
              <w:t>1,466,689</w:t>
            </w:r>
          </w:p>
        </w:tc>
        <w:tc>
          <w:tcPr>
            <w:tcW w:w="1276" w:type="dxa"/>
          </w:tcPr>
          <w:p w:rsidR="00EA1A7E" w:rsidRDefault="00EA1A7E" w:rsidP="00156E21">
            <w:pPr>
              <w:overflowPunct w:val="0"/>
              <w:autoSpaceDE w:val="0"/>
              <w:autoSpaceDN w:val="0"/>
              <w:jc w:val="right"/>
              <w:rPr>
                <w:rFonts w:ascii="Times New Roman" w:eastAsia="標楷體" w:hAnsi="Times New Roman" w:cs="Times New Roman"/>
              </w:rPr>
            </w:pPr>
            <w:r w:rsidRPr="0069274C">
              <w:rPr>
                <w:rFonts w:ascii="Times New Roman" w:eastAsia="標楷體" w:hAnsi="Times New Roman" w:cs="Times New Roman"/>
              </w:rPr>
              <w:t>1,609,766</w:t>
            </w:r>
          </w:p>
        </w:tc>
        <w:tc>
          <w:tcPr>
            <w:tcW w:w="1208" w:type="dxa"/>
          </w:tcPr>
          <w:p w:rsidR="00EA1A7E" w:rsidRDefault="00EA1A7E" w:rsidP="00156E21">
            <w:pPr>
              <w:overflowPunct w:val="0"/>
              <w:autoSpaceDE w:val="0"/>
              <w:autoSpaceDN w:val="0"/>
              <w:jc w:val="right"/>
              <w:rPr>
                <w:rFonts w:ascii="Times New Roman" w:eastAsia="標楷體" w:hAnsi="Times New Roman" w:cs="Times New Roman"/>
              </w:rPr>
            </w:pPr>
            <w:r w:rsidRPr="0069274C">
              <w:rPr>
                <w:rFonts w:ascii="Times New Roman" w:eastAsia="標楷體" w:hAnsi="Times New Roman" w:cs="Times New Roman"/>
              </w:rPr>
              <w:t>1,804,127</w:t>
            </w:r>
          </w:p>
        </w:tc>
      </w:tr>
      <w:tr w:rsidR="00EA1A7E" w:rsidTr="00EA1A7E">
        <w:tc>
          <w:tcPr>
            <w:tcW w:w="3261" w:type="dxa"/>
          </w:tcPr>
          <w:p w:rsidR="00EA1A7E" w:rsidRDefault="00EA1A7E" w:rsidP="00156E21">
            <w:pPr>
              <w:tabs>
                <w:tab w:val="left" w:pos="537"/>
              </w:tabs>
              <w:overflowPunct w:val="0"/>
              <w:autoSpaceDE w:val="0"/>
              <w:autoSpaceDN w:val="0"/>
              <w:jc w:val="both"/>
              <w:rPr>
                <w:rFonts w:ascii="Times New Roman" w:eastAsia="標楷體" w:hAnsi="Times New Roman" w:cs="Times New Roman"/>
              </w:rPr>
            </w:pPr>
            <w:r>
              <w:rPr>
                <w:rFonts w:ascii="Times New Roman" w:eastAsia="標楷體" w:hAnsi="Times New Roman" w:cs="Times New Roman"/>
              </w:rPr>
              <w:tab/>
            </w:r>
            <w:r w:rsidRPr="0069274C">
              <w:rPr>
                <w:rFonts w:ascii="Times New Roman" w:eastAsia="標楷體" w:hAnsi="Times New Roman" w:cs="Times New Roman"/>
              </w:rPr>
              <w:t>Property Manager’s Fees</w:t>
            </w:r>
          </w:p>
        </w:tc>
        <w:tc>
          <w:tcPr>
            <w:tcW w:w="1275" w:type="dxa"/>
          </w:tcPr>
          <w:p w:rsidR="00EA1A7E" w:rsidRDefault="003C28DF" w:rsidP="00156E21">
            <w:pPr>
              <w:overflowPunct w:val="0"/>
              <w:autoSpaceDE w:val="0"/>
              <w:autoSpaceDN w:val="0"/>
              <w:jc w:val="right"/>
              <w:rPr>
                <w:rFonts w:ascii="Times New Roman" w:eastAsia="標楷體" w:hAnsi="Times New Roman" w:cs="Times New Roman"/>
              </w:rPr>
            </w:pPr>
            <w:r>
              <w:rPr>
                <w:rFonts w:ascii="Times New Roman" w:eastAsia="標楷體" w:hAnsi="Times New Roman" w:cs="Times New Roman"/>
                <w:u w:val="single"/>
              </w:rPr>
              <w:t xml:space="preserve">   </w:t>
            </w:r>
            <w:r w:rsidR="00EA1A7E" w:rsidRPr="0069274C">
              <w:rPr>
                <w:rFonts w:ascii="Times New Roman" w:eastAsia="標楷體" w:hAnsi="Times New Roman" w:cs="Times New Roman"/>
                <w:u w:val="single"/>
              </w:rPr>
              <w:t>824,632</w:t>
            </w:r>
          </w:p>
        </w:tc>
        <w:tc>
          <w:tcPr>
            <w:tcW w:w="1276" w:type="dxa"/>
          </w:tcPr>
          <w:p w:rsidR="00EA1A7E" w:rsidRDefault="003C28DF" w:rsidP="00156E21">
            <w:pPr>
              <w:overflowPunct w:val="0"/>
              <w:autoSpaceDE w:val="0"/>
              <w:autoSpaceDN w:val="0"/>
              <w:jc w:val="right"/>
              <w:rPr>
                <w:rFonts w:ascii="Times New Roman" w:eastAsia="標楷體" w:hAnsi="Times New Roman" w:cs="Times New Roman"/>
              </w:rPr>
            </w:pPr>
            <w:r>
              <w:rPr>
                <w:rFonts w:ascii="Times New Roman" w:eastAsia="標楷體" w:hAnsi="Times New Roman" w:cs="Times New Roman"/>
                <w:u w:val="single"/>
              </w:rPr>
              <w:t xml:space="preserve">   </w:t>
            </w:r>
            <w:r w:rsidR="00EA1A7E" w:rsidRPr="0069274C">
              <w:rPr>
                <w:rFonts w:ascii="Times New Roman" w:eastAsia="標楷體" w:hAnsi="Times New Roman" w:cs="Times New Roman"/>
                <w:u w:val="single"/>
              </w:rPr>
              <w:t>827,797</w:t>
            </w:r>
          </w:p>
        </w:tc>
        <w:tc>
          <w:tcPr>
            <w:tcW w:w="1208" w:type="dxa"/>
          </w:tcPr>
          <w:p w:rsidR="00EA1A7E" w:rsidRDefault="00EA1A7E" w:rsidP="00156E21">
            <w:pPr>
              <w:overflowPunct w:val="0"/>
              <w:autoSpaceDE w:val="0"/>
              <w:autoSpaceDN w:val="0"/>
              <w:jc w:val="right"/>
              <w:rPr>
                <w:rFonts w:ascii="Times New Roman" w:eastAsia="標楷體" w:hAnsi="Times New Roman" w:cs="Times New Roman"/>
              </w:rPr>
            </w:pPr>
            <w:r w:rsidRPr="0069274C">
              <w:rPr>
                <w:rFonts w:ascii="Times New Roman" w:eastAsia="標楷體" w:hAnsi="Times New Roman" w:cs="Times New Roman"/>
                <w:u w:val="single"/>
              </w:rPr>
              <w:t xml:space="preserve"> </w:t>
            </w:r>
            <w:r w:rsidR="003C28DF">
              <w:rPr>
                <w:rFonts w:ascii="Times New Roman" w:eastAsia="標楷體" w:hAnsi="Times New Roman" w:cs="Times New Roman"/>
                <w:u w:val="single"/>
              </w:rPr>
              <w:t xml:space="preserve"> </w:t>
            </w:r>
            <w:r w:rsidRPr="0069274C">
              <w:rPr>
                <w:rFonts w:ascii="Times New Roman" w:eastAsia="標楷體" w:hAnsi="Times New Roman" w:cs="Times New Roman"/>
                <w:u w:val="single"/>
              </w:rPr>
              <w:t xml:space="preserve"> 918,310</w:t>
            </w:r>
          </w:p>
        </w:tc>
      </w:tr>
      <w:tr w:rsidR="00EA1A7E" w:rsidTr="00EA1A7E">
        <w:tc>
          <w:tcPr>
            <w:tcW w:w="3261" w:type="dxa"/>
          </w:tcPr>
          <w:p w:rsidR="00EA1A7E" w:rsidRDefault="00EA1A7E" w:rsidP="00156E21">
            <w:pPr>
              <w:overflowPunct w:val="0"/>
              <w:autoSpaceDE w:val="0"/>
              <w:autoSpaceDN w:val="0"/>
              <w:jc w:val="both"/>
              <w:rPr>
                <w:rFonts w:ascii="Times New Roman" w:eastAsia="標楷體" w:hAnsi="Times New Roman" w:cs="Times New Roman"/>
              </w:rPr>
            </w:pPr>
            <w:r w:rsidRPr="0069274C">
              <w:rPr>
                <w:rFonts w:ascii="Times New Roman" w:eastAsia="標楷體" w:hAnsi="Times New Roman" w:cs="Times New Roman"/>
              </w:rPr>
              <w:t>Assessable profits</w:t>
            </w:r>
          </w:p>
        </w:tc>
        <w:tc>
          <w:tcPr>
            <w:tcW w:w="1275" w:type="dxa"/>
          </w:tcPr>
          <w:p w:rsidR="00EA1A7E" w:rsidRDefault="00EA1A7E" w:rsidP="00156E21">
            <w:pPr>
              <w:overflowPunct w:val="0"/>
              <w:autoSpaceDE w:val="0"/>
              <w:autoSpaceDN w:val="0"/>
              <w:jc w:val="right"/>
              <w:rPr>
                <w:rFonts w:ascii="Times New Roman" w:eastAsia="標楷體" w:hAnsi="Times New Roman" w:cs="Times New Roman"/>
              </w:rPr>
            </w:pPr>
            <w:r w:rsidRPr="0069274C">
              <w:rPr>
                <w:rFonts w:ascii="Times New Roman" w:eastAsia="標楷體" w:hAnsi="Times New Roman" w:cs="Times New Roman"/>
                <w:u w:val="double"/>
              </w:rPr>
              <w:t>6,902,309</w:t>
            </w:r>
          </w:p>
        </w:tc>
        <w:tc>
          <w:tcPr>
            <w:tcW w:w="1276" w:type="dxa"/>
          </w:tcPr>
          <w:p w:rsidR="00EA1A7E" w:rsidRDefault="00EA1A7E" w:rsidP="00156E21">
            <w:pPr>
              <w:overflowPunct w:val="0"/>
              <w:autoSpaceDE w:val="0"/>
              <w:autoSpaceDN w:val="0"/>
              <w:jc w:val="right"/>
              <w:rPr>
                <w:rFonts w:ascii="Times New Roman" w:eastAsia="標楷體" w:hAnsi="Times New Roman" w:cs="Times New Roman"/>
              </w:rPr>
            </w:pPr>
            <w:r w:rsidRPr="0069274C">
              <w:rPr>
                <w:rFonts w:ascii="Times New Roman" w:eastAsia="標楷體" w:hAnsi="Times New Roman" w:cs="Times New Roman"/>
                <w:u w:val="double"/>
              </w:rPr>
              <w:t>8,976,497</w:t>
            </w:r>
          </w:p>
        </w:tc>
        <w:tc>
          <w:tcPr>
            <w:tcW w:w="1208" w:type="dxa"/>
          </w:tcPr>
          <w:p w:rsidR="00EA1A7E" w:rsidRDefault="00EA1A7E" w:rsidP="00156E21">
            <w:pPr>
              <w:overflowPunct w:val="0"/>
              <w:autoSpaceDE w:val="0"/>
              <w:autoSpaceDN w:val="0"/>
              <w:jc w:val="right"/>
              <w:rPr>
                <w:rFonts w:ascii="Times New Roman" w:eastAsia="標楷體" w:hAnsi="Times New Roman" w:cs="Times New Roman"/>
              </w:rPr>
            </w:pPr>
            <w:r w:rsidRPr="0069274C">
              <w:rPr>
                <w:rFonts w:ascii="Times New Roman" w:eastAsia="標楷體" w:hAnsi="Times New Roman" w:cs="Times New Roman"/>
                <w:u w:val="double"/>
              </w:rPr>
              <w:t>9,934,683</w:t>
            </w:r>
          </w:p>
        </w:tc>
      </w:tr>
      <w:tr w:rsidR="006450DD" w:rsidTr="00EA1A7E">
        <w:tc>
          <w:tcPr>
            <w:tcW w:w="3261" w:type="dxa"/>
          </w:tcPr>
          <w:p w:rsidR="006450DD" w:rsidRPr="0069274C" w:rsidRDefault="006450DD" w:rsidP="00156E21">
            <w:pPr>
              <w:overflowPunct w:val="0"/>
              <w:autoSpaceDE w:val="0"/>
              <w:autoSpaceDN w:val="0"/>
              <w:jc w:val="both"/>
              <w:rPr>
                <w:rFonts w:ascii="Times New Roman" w:eastAsia="標楷體" w:hAnsi="Times New Roman" w:cs="Times New Roman"/>
              </w:rPr>
            </w:pPr>
          </w:p>
        </w:tc>
        <w:tc>
          <w:tcPr>
            <w:tcW w:w="1275" w:type="dxa"/>
          </w:tcPr>
          <w:p w:rsidR="006450DD" w:rsidRPr="0069274C" w:rsidRDefault="006450DD" w:rsidP="00156E21">
            <w:pPr>
              <w:overflowPunct w:val="0"/>
              <w:autoSpaceDE w:val="0"/>
              <w:autoSpaceDN w:val="0"/>
              <w:jc w:val="right"/>
              <w:rPr>
                <w:rFonts w:ascii="Times New Roman" w:eastAsia="標楷體" w:hAnsi="Times New Roman" w:cs="Times New Roman"/>
                <w:u w:val="double"/>
              </w:rPr>
            </w:pPr>
          </w:p>
        </w:tc>
        <w:tc>
          <w:tcPr>
            <w:tcW w:w="1276" w:type="dxa"/>
          </w:tcPr>
          <w:p w:rsidR="006450DD" w:rsidRPr="0069274C" w:rsidRDefault="006450DD" w:rsidP="00156E21">
            <w:pPr>
              <w:overflowPunct w:val="0"/>
              <w:autoSpaceDE w:val="0"/>
              <w:autoSpaceDN w:val="0"/>
              <w:jc w:val="right"/>
              <w:rPr>
                <w:rFonts w:ascii="Times New Roman" w:eastAsia="標楷體" w:hAnsi="Times New Roman" w:cs="Times New Roman"/>
                <w:u w:val="double"/>
              </w:rPr>
            </w:pPr>
          </w:p>
        </w:tc>
        <w:tc>
          <w:tcPr>
            <w:tcW w:w="1208" w:type="dxa"/>
          </w:tcPr>
          <w:p w:rsidR="006450DD" w:rsidRPr="0069274C" w:rsidRDefault="006450DD" w:rsidP="00156E21">
            <w:pPr>
              <w:overflowPunct w:val="0"/>
              <w:autoSpaceDE w:val="0"/>
              <w:autoSpaceDN w:val="0"/>
              <w:jc w:val="right"/>
              <w:rPr>
                <w:rFonts w:ascii="Times New Roman" w:eastAsia="標楷體" w:hAnsi="Times New Roman" w:cs="Times New Roman"/>
                <w:u w:val="double"/>
              </w:rPr>
            </w:pPr>
          </w:p>
        </w:tc>
      </w:tr>
      <w:tr w:rsidR="00EA1A7E" w:rsidTr="00EA1A7E">
        <w:tc>
          <w:tcPr>
            <w:tcW w:w="3261" w:type="dxa"/>
          </w:tcPr>
          <w:p w:rsidR="00EA1A7E" w:rsidRPr="0069274C" w:rsidRDefault="00EA1A7E" w:rsidP="00156E21">
            <w:pPr>
              <w:overflowPunct w:val="0"/>
              <w:autoSpaceDE w:val="0"/>
              <w:autoSpaceDN w:val="0"/>
              <w:jc w:val="both"/>
              <w:rPr>
                <w:rFonts w:ascii="Times New Roman" w:eastAsia="標楷體" w:hAnsi="Times New Roman" w:cs="Times New Roman"/>
              </w:rPr>
            </w:pPr>
            <w:r w:rsidRPr="0069274C">
              <w:rPr>
                <w:rFonts w:ascii="Times New Roman" w:eastAsia="標楷體" w:hAnsi="Times New Roman" w:cs="Times New Roman"/>
              </w:rPr>
              <w:t>Tax payable thereon</w:t>
            </w:r>
          </w:p>
        </w:tc>
        <w:tc>
          <w:tcPr>
            <w:tcW w:w="1275" w:type="dxa"/>
          </w:tcPr>
          <w:p w:rsidR="00EA1A7E" w:rsidRPr="0069274C" w:rsidRDefault="00EA1A7E" w:rsidP="00156E21">
            <w:pPr>
              <w:overflowPunct w:val="0"/>
              <w:autoSpaceDE w:val="0"/>
              <w:autoSpaceDN w:val="0"/>
              <w:jc w:val="right"/>
              <w:rPr>
                <w:rFonts w:ascii="Times New Roman" w:eastAsia="標楷體" w:hAnsi="Times New Roman" w:cs="Times New Roman"/>
                <w:u w:val="double"/>
              </w:rPr>
            </w:pPr>
            <w:r w:rsidRPr="0069274C">
              <w:rPr>
                <w:rFonts w:ascii="Times New Roman" w:eastAsia="標楷體" w:hAnsi="Times New Roman" w:cs="Times New Roman"/>
                <w:u w:val="double"/>
              </w:rPr>
              <w:t>1,128,880</w:t>
            </w:r>
          </w:p>
        </w:tc>
        <w:tc>
          <w:tcPr>
            <w:tcW w:w="1276" w:type="dxa"/>
          </w:tcPr>
          <w:p w:rsidR="00EA1A7E" w:rsidRPr="0069274C" w:rsidRDefault="00EA1A7E" w:rsidP="00156E21">
            <w:pPr>
              <w:overflowPunct w:val="0"/>
              <w:autoSpaceDE w:val="0"/>
              <w:autoSpaceDN w:val="0"/>
              <w:jc w:val="right"/>
              <w:rPr>
                <w:rFonts w:ascii="Times New Roman" w:eastAsia="標楷體" w:hAnsi="Times New Roman" w:cs="Times New Roman"/>
                <w:u w:val="double"/>
              </w:rPr>
            </w:pPr>
            <w:r w:rsidRPr="0069274C">
              <w:rPr>
                <w:rFonts w:ascii="Times New Roman" w:eastAsia="標楷體" w:hAnsi="Times New Roman" w:cs="Times New Roman"/>
                <w:u w:val="double"/>
              </w:rPr>
              <w:t>1,461,122</w:t>
            </w:r>
          </w:p>
        </w:tc>
        <w:tc>
          <w:tcPr>
            <w:tcW w:w="1208" w:type="dxa"/>
          </w:tcPr>
          <w:p w:rsidR="00EA1A7E" w:rsidRPr="0069274C" w:rsidRDefault="00EA1A7E" w:rsidP="00156E21">
            <w:pPr>
              <w:overflowPunct w:val="0"/>
              <w:autoSpaceDE w:val="0"/>
              <w:autoSpaceDN w:val="0"/>
              <w:jc w:val="right"/>
              <w:rPr>
                <w:rFonts w:ascii="Times New Roman" w:eastAsia="標楷體" w:hAnsi="Times New Roman" w:cs="Times New Roman"/>
                <w:u w:val="double"/>
              </w:rPr>
            </w:pPr>
            <w:r w:rsidRPr="0069274C">
              <w:rPr>
                <w:rFonts w:ascii="Times New Roman" w:eastAsia="標楷體" w:hAnsi="Times New Roman" w:cs="Times New Roman"/>
                <w:u w:val="double"/>
              </w:rPr>
              <w:t>1,619,222</w:t>
            </w:r>
          </w:p>
        </w:tc>
      </w:tr>
    </w:tbl>
    <w:p w:rsidR="00F944DA" w:rsidRPr="0069274C" w:rsidRDefault="00F944DA" w:rsidP="00156E21">
      <w:pPr>
        <w:overflowPunct w:val="0"/>
        <w:autoSpaceDE w:val="0"/>
        <w:autoSpaceDN w:val="0"/>
        <w:jc w:val="both"/>
        <w:rPr>
          <w:rFonts w:ascii="Times New Roman" w:eastAsia="標楷體" w:hAnsi="Times New Roman" w:cs="Times New Roman"/>
        </w:rPr>
      </w:pPr>
    </w:p>
    <w:p w:rsidR="00737FBC" w:rsidRPr="0069274C" w:rsidRDefault="00F944DA"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The Taxpayer objected to the above assessments on the grounds that:</w:t>
      </w:r>
    </w:p>
    <w:p w:rsidR="00F944DA" w:rsidRPr="0069274C" w:rsidRDefault="00F944DA" w:rsidP="00156E21">
      <w:pPr>
        <w:overflowPunct w:val="0"/>
        <w:autoSpaceDE w:val="0"/>
        <w:autoSpaceDN w:val="0"/>
        <w:jc w:val="both"/>
        <w:rPr>
          <w:rFonts w:ascii="Times New Roman" w:eastAsia="標楷體" w:hAnsi="Times New Roman" w:cs="Times New Roman"/>
        </w:rPr>
      </w:pPr>
    </w:p>
    <w:p w:rsidR="00F944DA" w:rsidRPr="00EA1A7E" w:rsidRDefault="00F944DA" w:rsidP="00156E21">
      <w:pPr>
        <w:pStyle w:val="a3"/>
        <w:numPr>
          <w:ilvl w:val="0"/>
          <w:numId w:val="24"/>
        </w:num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EA1A7E">
        <w:rPr>
          <w:rFonts w:ascii="Times New Roman" w:eastAsia="標楷體" w:hAnsi="Times New Roman" w:cs="Times New Roman"/>
        </w:rPr>
        <w:t xml:space="preserve">The amounts assessed were excessive and/or wrong in fact and/or in law. </w:t>
      </w:r>
    </w:p>
    <w:p w:rsidR="00F944DA" w:rsidRPr="0069274C" w:rsidRDefault="00F944DA"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F944DA" w:rsidRPr="00EA1A7E" w:rsidRDefault="00F944DA" w:rsidP="00156E21">
      <w:pPr>
        <w:pStyle w:val="a3"/>
        <w:numPr>
          <w:ilvl w:val="0"/>
          <w:numId w:val="24"/>
        </w:num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EA1A7E">
        <w:rPr>
          <w:rFonts w:ascii="Times New Roman" w:eastAsia="標楷體" w:hAnsi="Times New Roman" w:cs="Times New Roman"/>
        </w:rPr>
        <w:t>The Manager’s Fees and the Property Manager’s Fees claimed by the Taxpayer should be allow</w:t>
      </w:r>
      <w:r w:rsidR="003E3EE9" w:rsidRPr="00EA1A7E">
        <w:rPr>
          <w:rFonts w:ascii="Times New Roman" w:eastAsia="標楷體" w:hAnsi="Times New Roman" w:cs="Times New Roman"/>
        </w:rPr>
        <w:t>ed</w:t>
      </w:r>
      <w:r w:rsidRPr="00EA1A7E">
        <w:rPr>
          <w:rFonts w:ascii="Times New Roman" w:eastAsia="標楷體" w:hAnsi="Times New Roman" w:cs="Times New Roman"/>
        </w:rPr>
        <w:t xml:space="preserve"> for deduction under section 16 of the IRO and not disallowed under section 17 of the IRO. </w:t>
      </w:r>
    </w:p>
    <w:p w:rsidR="00F944DA" w:rsidRPr="0069274C" w:rsidRDefault="00F944DA" w:rsidP="00156E21">
      <w:pPr>
        <w:overflowPunct w:val="0"/>
        <w:autoSpaceDE w:val="0"/>
        <w:autoSpaceDN w:val="0"/>
        <w:jc w:val="both"/>
        <w:rPr>
          <w:rFonts w:ascii="Times New Roman" w:eastAsia="標楷體" w:hAnsi="Times New Roman" w:cs="Times New Roman"/>
        </w:rPr>
      </w:pPr>
    </w:p>
    <w:p w:rsidR="00F944DA" w:rsidRPr="0069274C" w:rsidRDefault="00F944DA"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Having further reviewed the available information, the assessor of the Revenue accepted that the Property Manager’s Fees were deductible. Accordingly, the Additional Profits Tax </w:t>
      </w:r>
      <w:r w:rsidR="004012A2">
        <w:rPr>
          <w:rFonts w:ascii="Times New Roman" w:eastAsia="標楷體" w:hAnsi="Times New Roman" w:cs="Times New Roman"/>
        </w:rPr>
        <w:t>A</w:t>
      </w:r>
      <w:r w:rsidRPr="0069274C">
        <w:rPr>
          <w:rFonts w:ascii="Times New Roman" w:eastAsia="標楷體" w:hAnsi="Times New Roman" w:cs="Times New Roman"/>
        </w:rPr>
        <w:t xml:space="preserve">ssessments for the years of assessment 2007/08 to 2012/13 and the Profits Tax </w:t>
      </w:r>
      <w:r w:rsidR="004012A2">
        <w:rPr>
          <w:rFonts w:ascii="Times New Roman" w:eastAsia="標楷體" w:hAnsi="Times New Roman" w:cs="Times New Roman"/>
        </w:rPr>
        <w:t>A</w:t>
      </w:r>
      <w:r w:rsidRPr="0069274C">
        <w:rPr>
          <w:rFonts w:ascii="Times New Roman" w:eastAsia="標楷體" w:hAnsi="Times New Roman" w:cs="Times New Roman"/>
        </w:rPr>
        <w:t>ssessments for the years of assessment 2013/14 to 2015/16 should be revised to disallow the Manager’s Fees as follows:</w:t>
      </w:r>
    </w:p>
    <w:p w:rsidR="009C3EB3" w:rsidRPr="0069274C" w:rsidRDefault="009C3EB3" w:rsidP="00156E21">
      <w:pPr>
        <w:overflowPunct w:val="0"/>
        <w:autoSpaceDE w:val="0"/>
        <w:autoSpaceDN w:val="0"/>
        <w:jc w:val="both"/>
        <w:rPr>
          <w:rFonts w:ascii="Times New Roman" w:eastAsia="標楷體" w:hAnsi="Times New Roman" w:cs="Times New Roman"/>
        </w:rPr>
      </w:pPr>
    </w:p>
    <w:p w:rsidR="00F944DA" w:rsidRPr="003C28DF" w:rsidRDefault="00064D95" w:rsidP="00156E21">
      <w:pPr>
        <w:tabs>
          <w:tab w:val="left" w:pos="2107"/>
        </w:tabs>
        <w:overflowPunct w:val="0"/>
        <w:autoSpaceDE w:val="0"/>
        <w:autoSpaceDN w:val="0"/>
        <w:ind w:leftChars="638" w:left="2108" w:hangingChars="240" w:hanging="577"/>
        <w:jc w:val="both"/>
        <w:rPr>
          <w:rFonts w:ascii="Times New Roman" w:eastAsia="標楷體" w:hAnsi="Times New Roman" w:cs="Times New Roman"/>
          <w:b/>
          <w:i/>
        </w:rPr>
      </w:pPr>
      <w:r w:rsidRPr="003C28DF">
        <w:rPr>
          <w:rFonts w:ascii="Times New Roman" w:eastAsia="標楷體" w:hAnsi="Times New Roman" w:cs="Times New Roman"/>
          <w:b/>
          <w:i/>
        </w:rPr>
        <w:lastRenderedPageBreak/>
        <w:t>(a)</w:t>
      </w:r>
      <w:r w:rsidR="00BF4279" w:rsidRPr="003C28DF">
        <w:rPr>
          <w:rFonts w:ascii="Times New Roman" w:eastAsia="標楷體" w:hAnsi="Times New Roman" w:cs="Times New Roman"/>
          <w:b/>
          <w:i/>
        </w:rPr>
        <w:tab/>
        <w:t>Years of assessment 2007/08 to 2012/13 (additional)</w:t>
      </w:r>
    </w:p>
    <w:p w:rsidR="00BF4279" w:rsidRDefault="00BF4279" w:rsidP="00156E21">
      <w:pPr>
        <w:overflowPunct w:val="0"/>
        <w:autoSpaceDE w:val="0"/>
        <w:autoSpaceDN w:val="0"/>
        <w:jc w:val="both"/>
        <w:rPr>
          <w:rFonts w:ascii="Times New Roman" w:eastAsia="標楷體" w:hAnsi="Times New Roman" w:cs="Times New Roman"/>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1006"/>
        <w:gridCol w:w="1006"/>
        <w:gridCol w:w="1006"/>
        <w:gridCol w:w="1006"/>
        <w:gridCol w:w="1006"/>
        <w:gridCol w:w="1007"/>
      </w:tblGrid>
      <w:tr w:rsidR="00064D95" w:rsidRPr="003C28DF" w:rsidTr="003C28DF">
        <w:tc>
          <w:tcPr>
            <w:tcW w:w="2694" w:type="dxa"/>
          </w:tcPr>
          <w:p w:rsidR="00064D95" w:rsidRPr="003C28DF" w:rsidRDefault="00064D95" w:rsidP="00156E21">
            <w:pPr>
              <w:overflowPunct w:val="0"/>
              <w:autoSpaceDE w:val="0"/>
              <w:autoSpaceDN w:val="0"/>
              <w:jc w:val="both"/>
              <w:rPr>
                <w:rFonts w:ascii="Times New Roman" w:eastAsia="標楷體" w:hAnsi="Times New Roman" w:cs="Times New Roman"/>
                <w:sz w:val="21"/>
                <w:szCs w:val="21"/>
              </w:rPr>
            </w:pPr>
          </w:p>
        </w:tc>
        <w:tc>
          <w:tcPr>
            <w:tcW w:w="1006" w:type="dxa"/>
          </w:tcPr>
          <w:p w:rsidR="00064D95" w:rsidRPr="003C28DF" w:rsidRDefault="00064D95" w:rsidP="00156E21">
            <w:pPr>
              <w:overflowPunct w:val="0"/>
              <w:autoSpaceDE w:val="0"/>
              <w:autoSpaceDN w:val="0"/>
              <w:ind w:leftChars="-46" w:left="-110" w:rightChars="-38" w:right="-91"/>
              <w:jc w:val="center"/>
              <w:rPr>
                <w:rFonts w:ascii="Times New Roman" w:eastAsia="標楷體" w:hAnsi="Times New Roman" w:cs="Times New Roman"/>
                <w:sz w:val="21"/>
                <w:szCs w:val="21"/>
              </w:rPr>
            </w:pPr>
            <w:r w:rsidRPr="003C28DF">
              <w:rPr>
                <w:rFonts w:ascii="Times New Roman" w:eastAsia="標楷體" w:hAnsi="Times New Roman" w:cs="Times New Roman"/>
                <w:sz w:val="21"/>
                <w:szCs w:val="21"/>
                <w:u w:val="single"/>
              </w:rPr>
              <w:t>2007/08</w:t>
            </w:r>
          </w:p>
        </w:tc>
        <w:tc>
          <w:tcPr>
            <w:tcW w:w="1006" w:type="dxa"/>
          </w:tcPr>
          <w:p w:rsidR="00064D95" w:rsidRPr="003C28DF" w:rsidRDefault="00064D95" w:rsidP="00156E21">
            <w:pPr>
              <w:overflowPunct w:val="0"/>
              <w:autoSpaceDE w:val="0"/>
              <w:autoSpaceDN w:val="0"/>
              <w:ind w:leftChars="-46" w:left="-110" w:rightChars="-38" w:right="-91"/>
              <w:jc w:val="center"/>
              <w:rPr>
                <w:rFonts w:ascii="Times New Roman" w:eastAsia="標楷體" w:hAnsi="Times New Roman" w:cs="Times New Roman"/>
                <w:sz w:val="21"/>
                <w:szCs w:val="21"/>
              </w:rPr>
            </w:pPr>
            <w:r w:rsidRPr="003C28DF">
              <w:rPr>
                <w:rFonts w:ascii="Times New Roman" w:eastAsia="標楷體" w:hAnsi="Times New Roman" w:cs="Times New Roman"/>
                <w:sz w:val="21"/>
                <w:szCs w:val="21"/>
                <w:u w:val="single"/>
              </w:rPr>
              <w:t>2008/09</w:t>
            </w:r>
          </w:p>
        </w:tc>
        <w:tc>
          <w:tcPr>
            <w:tcW w:w="1006" w:type="dxa"/>
          </w:tcPr>
          <w:p w:rsidR="00064D95" w:rsidRPr="003C28DF" w:rsidRDefault="00064D95" w:rsidP="00156E21">
            <w:pPr>
              <w:overflowPunct w:val="0"/>
              <w:autoSpaceDE w:val="0"/>
              <w:autoSpaceDN w:val="0"/>
              <w:ind w:leftChars="-46" w:left="-110" w:rightChars="-38" w:right="-91"/>
              <w:jc w:val="center"/>
              <w:rPr>
                <w:rFonts w:ascii="Times New Roman" w:eastAsia="標楷體" w:hAnsi="Times New Roman" w:cs="Times New Roman"/>
                <w:sz w:val="21"/>
                <w:szCs w:val="21"/>
              </w:rPr>
            </w:pPr>
            <w:r w:rsidRPr="003C28DF">
              <w:rPr>
                <w:rFonts w:ascii="Times New Roman" w:eastAsia="標楷體" w:hAnsi="Times New Roman" w:cs="Times New Roman"/>
                <w:sz w:val="21"/>
                <w:szCs w:val="21"/>
                <w:u w:val="single"/>
              </w:rPr>
              <w:t>2009/10</w:t>
            </w:r>
          </w:p>
        </w:tc>
        <w:tc>
          <w:tcPr>
            <w:tcW w:w="1006" w:type="dxa"/>
          </w:tcPr>
          <w:p w:rsidR="00064D95" w:rsidRPr="003C28DF" w:rsidRDefault="00064D95" w:rsidP="00156E21">
            <w:pPr>
              <w:overflowPunct w:val="0"/>
              <w:autoSpaceDE w:val="0"/>
              <w:autoSpaceDN w:val="0"/>
              <w:ind w:leftChars="-46" w:left="-110" w:rightChars="-38" w:right="-91"/>
              <w:jc w:val="center"/>
              <w:rPr>
                <w:rFonts w:ascii="Times New Roman" w:eastAsia="標楷體" w:hAnsi="Times New Roman" w:cs="Times New Roman"/>
                <w:sz w:val="21"/>
                <w:szCs w:val="21"/>
              </w:rPr>
            </w:pPr>
            <w:r w:rsidRPr="003C28DF">
              <w:rPr>
                <w:rFonts w:ascii="Times New Roman" w:eastAsia="標楷體" w:hAnsi="Times New Roman" w:cs="Times New Roman"/>
                <w:sz w:val="21"/>
                <w:szCs w:val="21"/>
                <w:u w:val="single"/>
              </w:rPr>
              <w:t>2010/11</w:t>
            </w:r>
          </w:p>
        </w:tc>
        <w:tc>
          <w:tcPr>
            <w:tcW w:w="1006" w:type="dxa"/>
          </w:tcPr>
          <w:p w:rsidR="00064D95" w:rsidRPr="003C28DF" w:rsidRDefault="00064D95" w:rsidP="00156E21">
            <w:pPr>
              <w:overflowPunct w:val="0"/>
              <w:autoSpaceDE w:val="0"/>
              <w:autoSpaceDN w:val="0"/>
              <w:ind w:leftChars="-46" w:left="-110" w:rightChars="-38" w:right="-91"/>
              <w:jc w:val="center"/>
              <w:rPr>
                <w:rFonts w:ascii="Times New Roman" w:eastAsia="標楷體" w:hAnsi="Times New Roman" w:cs="Times New Roman"/>
                <w:sz w:val="21"/>
                <w:szCs w:val="21"/>
              </w:rPr>
            </w:pPr>
            <w:r w:rsidRPr="003C28DF">
              <w:rPr>
                <w:rFonts w:ascii="Times New Roman" w:eastAsia="標楷體" w:hAnsi="Times New Roman" w:cs="Times New Roman"/>
                <w:sz w:val="21"/>
                <w:szCs w:val="21"/>
                <w:u w:val="single"/>
              </w:rPr>
              <w:t>2011/12</w:t>
            </w:r>
          </w:p>
        </w:tc>
        <w:tc>
          <w:tcPr>
            <w:tcW w:w="1007" w:type="dxa"/>
          </w:tcPr>
          <w:p w:rsidR="00064D95" w:rsidRPr="003C28DF" w:rsidRDefault="00064D95" w:rsidP="00156E21">
            <w:pPr>
              <w:overflowPunct w:val="0"/>
              <w:autoSpaceDE w:val="0"/>
              <w:autoSpaceDN w:val="0"/>
              <w:ind w:leftChars="-46" w:left="-110" w:rightChars="-38" w:right="-91"/>
              <w:jc w:val="center"/>
              <w:rPr>
                <w:rFonts w:ascii="Times New Roman" w:eastAsia="標楷體" w:hAnsi="Times New Roman" w:cs="Times New Roman"/>
                <w:sz w:val="21"/>
                <w:szCs w:val="21"/>
              </w:rPr>
            </w:pPr>
            <w:r w:rsidRPr="003C28DF">
              <w:rPr>
                <w:rFonts w:ascii="Times New Roman" w:eastAsia="標楷體" w:hAnsi="Times New Roman" w:cs="Times New Roman"/>
                <w:sz w:val="21"/>
                <w:szCs w:val="21"/>
                <w:u w:val="single"/>
              </w:rPr>
              <w:t>2012/13</w:t>
            </w:r>
          </w:p>
        </w:tc>
      </w:tr>
      <w:tr w:rsidR="00064D95" w:rsidRPr="003C28DF" w:rsidTr="003C28DF">
        <w:tc>
          <w:tcPr>
            <w:tcW w:w="2694" w:type="dxa"/>
          </w:tcPr>
          <w:p w:rsidR="00064D95" w:rsidRPr="003C28DF" w:rsidRDefault="00064D95" w:rsidP="00156E21">
            <w:pPr>
              <w:overflowPunct w:val="0"/>
              <w:autoSpaceDE w:val="0"/>
              <w:autoSpaceDN w:val="0"/>
              <w:jc w:val="both"/>
              <w:rPr>
                <w:rFonts w:ascii="Times New Roman" w:eastAsia="標楷體" w:hAnsi="Times New Roman" w:cs="Times New Roman"/>
                <w:sz w:val="21"/>
                <w:szCs w:val="21"/>
              </w:rPr>
            </w:pPr>
          </w:p>
        </w:tc>
        <w:tc>
          <w:tcPr>
            <w:tcW w:w="1006" w:type="dxa"/>
          </w:tcPr>
          <w:p w:rsidR="00064D95" w:rsidRPr="003C28DF" w:rsidRDefault="00064D95" w:rsidP="00156E21">
            <w:pPr>
              <w:overflowPunct w:val="0"/>
              <w:autoSpaceDE w:val="0"/>
              <w:autoSpaceDN w:val="0"/>
              <w:ind w:leftChars="-46" w:left="-110" w:rightChars="-38" w:right="-91"/>
              <w:jc w:val="center"/>
              <w:rPr>
                <w:sz w:val="21"/>
                <w:szCs w:val="21"/>
              </w:rPr>
            </w:pPr>
            <w:r w:rsidRPr="003C28DF">
              <w:rPr>
                <w:rFonts w:ascii="Times New Roman" w:eastAsia="標楷體" w:hAnsi="Times New Roman" w:cs="Times New Roman"/>
                <w:sz w:val="21"/>
                <w:szCs w:val="21"/>
              </w:rPr>
              <w:t>$</w:t>
            </w:r>
          </w:p>
        </w:tc>
        <w:tc>
          <w:tcPr>
            <w:tcW w:w="1006" w:type="dxa"/>
          </w:tcPr>
          <w:p w:rsidR="00064D95" w:rsidRPr="003C28DF" w:rsidRDefault="00064D95" w:rsidP="00156E21">
            <w:pPr>
              <w:overflowPunct w:val="0"/>
              <w:autoSpaceDE w:val="0"/>
              <w:autoSpaceDN w:val="0"/>
              <w:ind w:leftChars="-46" w:left="-110" w:rightChars="-38" w:right="-91"/>
              <w:jc w:val="center"/>
              <w:rPr>
                <w:sz w:val="21"/>
                <w:szCs w:val="21"/>
              </w:rPr>
            </w:pPr>
            <w:r w:rsidRPr="003C28DF">
              <w:rPr>
                <w:rFonts w:ascii="Times New Roman" w:eastAsia="標楷體" w:hAnsi="Times New Roman" w:cs="Times New Roman"/>
                <w:sz w:val="21"/>
                <w:szCs w:val="21"/>
              </w:rPr>
              <w:t>$</w:t>
            </w:r>
          </w:p>
        </w:tc>
        <w:tc>
          <w:tcPr>
            <w:tcW w:w="1006" w:type="dxa"/>
          </w:tcPr>
          <w:p w:rsidR="00064D95" w:rsidRPr="003C28DF" w:rsidRDefault="00064D95" w:rsidP="00156E21">
            <w:pPr>
              <w:overflowPunct w:val="0"/>
              <w:autoSpaceDE w:val="0"/>
              <w:autoSpaceDN w:val="0"/>
              <w:ind w:leftChars="-46" w:left="-110" w:rightChars="-38" w:right="-91"/>
              <w:jc w:val="center"/>
              <w:rPr>
                <w:sz w:val="21"/>
                <w:szCs w:val="21"/>
              </w:rPr>
            </w:pPr>
            <w:r w:rsidRPr="003C28DF">
              <w:rPr>
                <w:rFonts w:ascii="Times New Roman" w:eastAsia="標楷體" w:hAnsi="Times New Roman" w:cs="Times New Roman"/>
                <w:sz w:val="21"/>
                <w:szCs w:val="21"/>
              </w:rPr>
              <w:t>$</w:t>
            </w:r>
          </w:p>
        </w:tc>
        <w:tc>
          <w:tcPr>
            <w:tcW w:w="1006" w:type="dxa"/>
          </w:tcPr>
          <w:p w:rsidR="00064D95" w:rsidRPr="003C28DF" w:rsidRDefault="00064D95" w:rsidP="00156E21">
            <w:pPr>
              <w:overflowPunct w:val="0"/>
              <w:autoSpaceDE w:val="0"/>
              <w:autoSpaceDN w:val="0"/>
              <w:ind w:leftChars="-46" w:left="-110" w:rightChars="-38" w:right="-91"/>
              <w:jc w:val="center"/>
              <w:rPr>
                <w:sz w:val="21"/>
                <w:szCs w:val="21"/>
              </w:rPr>
            </w:pPr>
            <w:r w:rsidRPr="003C28DF">
              <w:rPr>
                <w:rFonts w:ascii="Times New Roman" w:eastAsia="標楷體" w:hAnsi="Times New Roman" w:cs="Times New Roman"/>
                <w:sz w:val="21"/>
                <w:szCs w:val="21"/>
              </w:rPr>
              <w:t>$</w:t>
            </w:r>
          </w:p>
        </w:tc>
        <w:tc>
          <w:tcPr>
            <w:tcW w:w="1006" w:type="dxa"/>
          </w:tcPr>
          <w:p w:rsidR="00064D95" w:rsidRPr="003C28DF" w:rsidRDefault="00064D95" w:rsidP="00156E21">
            <w:pPr>
              <w:overflowPunct w:val="0"/>
              <w:autoSpaceDE w:val="0"/>
              <w:autoSpaceDN w:val="0"/>
              <w:ind w:leftChars="-46" w:left="-110" w:rightChars="-38" w:right="-91"/>
              <w:jc w:val="center"/>
              <w:rPr>
                <w:sz w:val="21"/>
                <w:szCs w:val="21"/>
              </w:rPr>
            </w:pPr>
            <w:r w:rsidRPr="003C28DF">
              <w:rPr>
                <w:rFonts w:ascii="Times New Roman" w:eastAsia="標楷體" w:hAnsi="Times New Roman" w:cs="Times New Roman"/>
                <w:sz w:val="21"/>
                <w:szCs w:val="21"/>
              </w:rPr>
              <w:t>$</w:t>
            </w:r>
          </w:p>
        </w:tc>
        <w:tc>
          <w:tcPr>
            <w:tcW w:w="1007" w:type="dxa"/>
          </w:tcPr>
          <w:p w:rsidR="00064D95" w:rsidRPr="003C28DF" w:rsidRDefault="00064D95" w:rsidP="00156E21">
            <w:pPr>
              <w:overflowPunct w:val="0"/>
              <w:autoSpaceDE w:val="0"/>
              <w:autoSpaceDN w:val="0"/>
              <w:ind w:leftChars="-46" w:left="-110" w:rightChars="-38" w:right="-91"/>
              <w:jc w:val="center"/>
              <w:rPr>
                <w:sz w:val="21"/>
                <w:szCs w:val="21"/>
              </w:rPr>
            </w:pPr>
            <w:r w:rsidRPr="003C28DF">
              <w:rPr>
                <w:rFonts w:ascii="Times New Roman" w:eastAsia="標楷體" w:hAnsi="Times New Roman" w:cs="Times New Roman"/>
                <w:sz w:val="21"/>
                <w:szCs w:val="21"/>
              </w:rPr>
              <w:t>$</w:t>
            </w:r>
          </w:p>
        </w:tc>
      </w:tr>
      <w:tr w:rsidR="00064D95" w:rsidRPr="003C28DF" w:rsidTr="003C28DF">
        <w:tc>
          <w:tcPr>
            <w:tcW w:w="2694" w:type="dxa"/>
          </w:tcPr>
          <w:p w:rsidR="00064D95" w:rsidRPr="003C28DF" w:rsidRDefault="00064D95" w:rsidP="00156E21">
            <w:pPr>
              <w:overflowPunct w:val="0"/>
              <w:autoSpaceDE w:val="0"/>
              <w:autoSpaceDN w:val="0"/>
              <w:jc w:val="both"/>
              <w:rPr>
                <w:rFonts w:ascii="Times New Roman" w:eastAsia="標楷體" w:hAnsi="Times New Roman" w:cs="Times New Roman"/>
                <w:sz w:val="21"/>
                <w:szCs w:val="21"/>
              </w:rPr>
            </w:pPr>
            <w:r w:rsidRPr="003C28DF">
              <w:rPr>
                <w:rFonts w:ascii="Times New Roman" w:eastAsia="標楷體" w:hAnsi="Times New Roman" w:cs="Times New Roman"/>
                <w:sz w:val="21"/>
                <w:szCs w:val="21"/>
              </w:rPr>
              <w:t>Additional assessable</w:t>
            </w:r>
            <w:r w:rsidR="003C28DF" w:rsidRPr="003C28DF">
              <w:rPr>
                <w:rFonts w:ascii="Times New Roman" w:eastAsia="標楷體" w:hAnsi="Times New Roman" w:cs="Times New Roman"/>
                <w:sz w:val="21"/>
                <w:szCs w:val="21"/>
              </w:rPr>
              <w:t xml:space="preserve"> profits</w:t>
            </w:r>
          </w:p>
        </w:tc>
        <w:tc>
          <w:tcPr>
            <w:tcW w:w="1006" w:type="dxa"/>
          </w:tcPr>
          <w:p w:rsidR="00064D95" w:rsidRPr="003C28DF" w:rsidRDefault="00064D95" w:rsidP="00156E21">
            <w:pPr>
              <w:overflowPunct w:val="0"/>
              <w:autoSpaceDE w:val="0"/>
              <w:autoSpaceDN w:val="0"/>
              <w:ind w:leftChars="-46" w:left="-110" w:rightChars="20" w:right="48"/>
              <w:jc w:val="right"/>
              <w:rPr>
                <w:rFonts w:ascii="Times New Roman" w:eastAsia="標楷體" w:hAnsi="Times New Roman" w:cs="Times New Roman"/>
                <w:sz w:val="21"/>
                <w:szCs w:val="21"/>
              </w:rPr>
            </w:pPr>
            <w:r w:rsidRPr="003C28DF">
              <w:rPr>
                <w:rFonts w:ascii="Times New Roman" w:eastAsia="標楷體" w:hAnsi="Times New Roman" w:cs="Times New Roman"/>
                <w:sz w:val="21"/>
                <w:szCs w:val="21"/>
                <w:u w:val="double"/>
              </w:rPr>
              <w:t>115,760</w:t>
            </w:r>
          </w:p>
        </w:tc>
        <w:tc>
          <w:tcPr>
            <w:tcW w:w="1006" w:type="dxa"/>
          </w:tcPr>
          <w:p w:rsidR="00064D95" w:rsidRPr="003C28DF" w:rsidRDefault="00064D95" w:rsidP="00156E21">
            <w:pPr>
              <w:overflowPunct w:val="0"/>
              <w:autoSpaceDE w:val="0"/>
              <w:autoSpaceDN w:val="0"/>
              <w:ind w:leftChars="-46" w:left="-110" w:rightChars="-37" w:right="-89"/>
              <w:jc w:val="right"/>
              <w:rPr>
                <w:rFonts w:ascii="Times New Roman" w:eastAsia="標楷體" w:hAnsi="Times New Roman" w:cs="Times New Roman"/>
                <w:sz w:val="21"/>
                <w:szCs w:val="21"/>
              </w:rPr>
            </w:pPr>
            <w:r w:rsidRPr="003C28DF">
              <w:rPr>
                <w:rFonts w:ascii="Times New Roman" w:eastAsia="標楷體" w:hAnsi="Times New Roman" w:cs="Times New Roman"/>
                <w:sz w:val="21"/>
                <w:szCs w:val="21"/>
                <w:u w:val="double"/>
              </w:rPr>
              <w:t>1,366,735</w:t>
            </w:r>
          </w:p>
        </w:tc>
        <w:tc>
          <w:tcPr>
            <w:tcW w:w="1006" w:type="dxa"/>
          </w:tcPr>
          <w:p w:rsidR="00064D95" w:rsidRPr="003C28DF" w:rsidRDefault="00064D95" w:rsidP="00156E21">
            <w:pPr>
              <w:overflowPunct w:val="0"/>
              <w:autoSpaceDE w:val="0"/>
              <w:autoSpaceDN w:val="0"/>
              <w:ind w:leftChars="-46" w:left="-110" w:rightChars="20" w:right="48"/>
              <w:jc w:val="right"/>
              <w:rPr>
                <w:rFonts w:ascii="Times New Roman" w:eastAsia="標楷體" w:hAnsi="Times New Roman" w:cs="Times New Roman"/>
                <w:sz w:val="21"/>
                <w:szCs w:val="21"/>
              </w:rPr>
            </w:pPr>
            <w:r w:rsidRPr="003C28DF">
              <w:rPr>
                <w:rFonts w:ascii="Times New Roman" w:eastAsia="標楷體" w:hAnsi="Times New Roman" w:cs="Times New Roman"/>
                <w:sz w:val="21"/>
                <w:szCs w:val="21"/>
                <w:u w:val="double"/>
              </w:rPr>
              <w:t>990,886</w:t>
            </w:r>
          </w:p>
        </w:tc>
        <w:tc>
          <w:tcPr>
            <w:tcW w:w="1006" w:type="dxa"/>
          </w:tcPr>
          <w:p w:rsidR="00064D95" w:rsidRPr="003C28DF" w:rsidRDefault="00064D95" w:rsidP="00156E21">
            <w:pPr>
              <w:overflowPunct w:val="0"/>
              <w:autoSpaceDE w:val="0"/>
              <w:autoSpaceDN w:val="0"/>
              <w:ind w:leftChars="-46" w:left="-110" w:rightChars="-37" w:right="-89"/>
              <w:jc w:val="right"/>
              <w:rPr>
                <w:rFonts w:ascii="Times New Roman" w:eastAsia="標楷體" w:hAnsi="Times New Roman" w:cs="Times New Roman"/>
                <w:sz w:val="21"/>
                <w:szCs w:val="21"/>
              </w:rPr>
            </w:pPr>
            <w:r w:rsidRPr="003C28DF">
              <w:rPr>
                <w:rFonts w:ascii="Times New Roman" w:eastAsia="標楷體" w:hAnsi="Times New Roman" w:cs="Times New Roman"/>
                <w:sz w:val="21"/>
                <w:szCs w:val="21"/>
                <w:u w:val="double"/>
              </w:rPr>
              <w:t>1,092,122</w:t>
            </w:r>
          </w:p>
        </w:tc>
        <w:tc>
          <w:tcPr>
            <w:tcW w:w="1006" w:type="dxa"/>
          </w:tcPr>
          <w:p w:rsidR="00064D95" w:rsidRPr="003C28DF" w:rsidRDefault="00064D95" w:rsidP="00156E21">
            <w:pPr>
              <w:overflowPunct w:val="0"/>
              <w:autoSpaceDE w:val="0"/>
              <w:autoSpaceDN w:val="0"/>
              <w:ind w:leftChars="-46" w:left="-110" w:rightChars="-37" w:right="-89"/>
              <w:jc w:val="right"/>
              <w:rPr>
                <w:rFonts w:ascii="Times New Roman" w:eastAsia="標楷體" w:hAnsi="Times New Roman" w:cs="Times New Roman"/>
                <w:sz w:val="21"/>
                <w:szCs w:val="21"/>
              </w:rPr>
            </w:pPr>
            <w:r w:rsidRPr="003C28DF">
              <w:rPr>
                <w:rFonts w:ascii="Times New Roman" w:eastAsia="標楷體" w:hAnsi="Times New Roman" w:cs="Times New Roman"/>
                <w:sz w:val="21"/>
                <w:szCs w:val="21"/>
                <w:u w:val="double"/>
              </w:rPr>
              <w:t>1,281,609</w:t>
            </w:r>
          </w:p>
        </w:tc>
        <w:tc>
          <w:tcPr>
            <w:tcW w:w="1007" w:type="dxa"/>
          </w:tcPr>
          <w:p w:rsidR="00064D95" w:rsidRPr="003C28DF" w:rsidRDefault="00064D95" w:rsidP="00156E21">
            <w:pPr>
              <w:overflowPunct w:val="0"/>
              <w:autoSpaceDE w:val="0"/>
              <w:autoSpaceDN w:val="0"/>
              <w:ind w:leftChars="-46" w:left="-110" w:rightChars="-37" w:right="-89"/>
              <w:jc w:val="right"/>
              <w:rPr>
                <w:rFonts w:ascii="Times New Roman" w:eastAsia="標楷體" w:hAnsi="Times New Roman" w:cs="Times New Roman"/>
                <w:sz w:val="21"/>
                <w:szCs w:val="21"/>
              </w:rPr>
            </w:pPr>
            <w:r w:rsidRPr="003C28DF">
              <w:rPr>
                <w:rFonts w:ascii="Times New Roman" w:eastAsia="標楷體" w:hAnsi="Times New Roman" w:cs="Times New Roman"/>
                <w:sz w:val="21"/>
                <w:szCs w:val="21"/>
                <w:u w:val="double"/>
              </w:rPr>
              <w:t>1,365,071</w:t>
            </w:r>
          </w:p>
        </w:tc>
      </w:tr>
      <w:tr w:rsidR="00064D95" w:rsidRPr="003C28DF" w:rsidTr="003C28DF">
        <w:tc>
          <w:tcPr>
            <w:tcW w:w="2694" w:type="dxa"/>
          </w:tcPr>
          <w:p w:rsidR="00064D95" w:rsidRPr="003C28DF" w:rsidRDefault="00064D95" w:rsidP="00156E21">
            <w:pPr>
              <w:overflowPunct w:val="0"/>
              <w:autoSpaceDE w:val="0"/>
              <w:autoSpaceDN w:val="0"/>
              <w:jc w:val="both"/>
              <w:rPr>
                <w:rFonts w:ascii="Times New Roman" w:eastAsia="標楷體" w:hAnsi="Times New Roman" w:cs="Times New Roman"/>
                <w:sz w:val="21"/>
                <w:szCs w:val="21"/>
              </w:rPr>
            </w:pPr>
          </w:p>
        </w:tc>
        <w:tc>
          <w:tcPr>
            <w:tcW w:w="1006" w:type="dxa"/>
          </w:tcPr>
          <w:p w:rsidR="00064D95" w:rsidRPr="003C28DF" w:rsidRDefault="00064D95" w:rsidP="00156E21">
            <w:pPr>
              <w:overflowPunct w:val="0"/>
              <w:autoSpaceDE w:val="0"/>
              <w:autoSpaceDN w:val="0"/>
              <w:ind w:leftChars="-46" w:left="-110" w:rightChars="20" w:right="48"/>
              <w:jc w:val="right"/>
              <w:rPr>
                <w:rFonts w:ascii="Times New Roman" w:eastAsia="標楷體" w:hAnsi="Times New Roman" w:cs="Times New Roman"/>
                <w:sz w:val="21"/>
                <w:szCs w:val="21"/>
              </w:rPr>
            </w:pPr>
          </w:p>
        </w:tc>
        <w:tc>
          <w:tcPr>
            <w:tcW w:w="1006" w:type="dxa"/>
          </w:tcPr>
          <w:p w:rsidR="00064D95" w:rsidRPr="003C28DF" w:rsidRDefault="00064D95" w:rsidP="00156E21">
            <w:pPr>
              <w:overflowPunct w:val="0"/>
              <w:autoSpaceDE w:val="0"/>
              <w:autoSpaceDN w:val="0"/>
              <w:ind w:leftChars="-46" w:left="-110" w:rightChars="-37" w:right="-89"/>
              <w:jc w:val="right"/>
              <w:rPr>
                <w:rFonts w:ascii="Times New Roman" w:eastAsia="標楷體" w:hAnsi="Times New Roman" w:cs="Times New Roman"/>
                <w:sz w:val="21"/>
                <w:szCs w:val="21"/>
              </w:rPr>
            </w:pPr>
          </w:p>
        </w:tc>
        <w:tc>
          <w:tcPr>
            <w:tcW w:w="1006" w:type="dxa"/>
          </w:tcPr>
          <w:p w:rsidR="00064D95" w:rsidRPr="003C28DF" w:rsidRDefault="00064D95" w:rsidP="00156E21">
            <w:pPr>
              <w:overflowPunct w:val="0"/>
              <w:autoSpaceDE w:val="0"/>
              <w:autoSpaceDN w:val="0"/>
              <w:ind w:leftChars="-46" w:left="-110" w:rightChars="33" w:right="79"/>
              <w:jc w:val="right"/>
              <w:rPr>
                <w:rFonts w:ascii="Times New Roman" w:eastAsia="標楷體" w:hAnsi="Times New Roman" w:cs="Times New Roman"/>
                <w:sz w:val="21"/>
                <w:szCs w:val="21"/>
              </w:rPr>
            </w:pPr>
          </w:p>
        </w:tc>
        <w:tc>
          <w:tcPr>
            <w:tcW w:w="1006" w:type="dxa"/>
          </w:tcPr>
          <w:p w:rsidR="00064D95" w:rsidRPr="003C28DF" w:rsidRDefault="00064D95" w:rsidP="00156E21">
            <w:pPr>
              <w:overflowPunct w:val="0"/>
              <w:autoSpaceDE w:val="0"/>
              <w:autoSpaceDN w:val="0"/>
              <w:ind w:leftChars="-46" w:left="-110" w:rightChars="-37" w:right="-89"/>
              <w:jc w:val="right"/>
              <w:rPr>
                <w:rFonts w:ascii="Times New Roman" w:eastAsia="標楷體" w:hAnsi="Times New Roman" w:cs="Times New Roman"/>
                <w:sz w:val="21"/>
                <w:szCs w:val="21"/>
              </w:rPr>
            </w:pPr>
          </w:p>
        </w:tc>
        <w:tc>
          <w:tcPr>
            <w:tcW w:w="1006" w:type="dxa"/>
          </w:tcPr>
          <w:p w:rsidR="00064D95" w:rsidRPr="003C28DF" w:rsidRDefault="00064D95" w:rsidP="00156E21">
            <w:pPr>
              <w:overflowPunct w:val="0"/>
              <w:autoSpaceDE w:val="0"/>
              <w:autoSpaceDN w:val="0"/>
              <w:ind w:leftChars="-46" w:left="-110" w:rightChars="-37" w:right="-89"/>
              <w:jc w:val="right"/>
              <w:rPr>
                <w:rFonts w:ascii="Times New Roman" w:eastAsia="標楷體" w:hAnsi="Times New Roman" w:cs="Times New Roman"/>
                <w:sz w:val="21"/>
                <w:szCs w:val="21"/>
              </w:rPr>
            </w:pPr>
          </w:p>
        </w:tc>
        <w:tc>
          <w:tcPr>
            <w:tcW w:w="1007" w:type="dxa"/>
          </w:tcPr>
          <w:p w:rsidR="00064D95" w:rsidRPr="003C28DF" w:rsidRDefault="00064D95" w:rsidP="00156E21">
            <w:pPr>
              <w:overflowPunct w:val="0"/>
              <w:autoSpaceDE w:val="0"/>
              <w:autoSpaceDN w:val="0"/>
              <w:ind w:leftChars="-46" w:left="-110" w:rightChars="-37" w:right="-89"/>
              <w:jc w:val="right"/>
              <w:rPr>
                <w:rFonts w:ascii="Times New Roman" w:eastAsia="標楷體" w:hAnsi="Times New Roman" w:cs="Times New Roman"/>
                <w:sz w:val="21"/>
                <w:szCs w:val="21"/>
              </w:rPr>
            </w:pPr>
          </w:p>
        </w:tc>
      </w:tr>
      <w:tr w:rsidR="00064D95" w:rsidRPr="003C28DF" w:rsidTr="003C28DF">
        <w:tc>
          <w:tcPr>
            <w:tcW w:w="2694" w:type="dxa"/>
          </w:tcPr>
          <w:p w:rsidR="00064D95" w:rsidRPr="003C28DF" w:rsidRDefault="00064D95" w:rsidP="00156E21">
            <w:pPr>
              <w:overflowPunct w:val="0"/>
              <w:autoSpaceDE w:val="0"/>
              <w:autoSpaceDN w:val="0"/>
              <w:jc w:val="both"/>
              <w:rPr>
                <w:rFonts w:ascii="Times New Roman" w:eastAsia="標楷體" w:hAnsi="Times New Roman" w:cs="Times New Roman"/>
                <w:sz w:val="21"/>
                <w:szCs w:val="21"/>
              </w:rPr>
            </w:pPr>
            <w:r w:rsidRPr="003C28DF">
              <w:rPr>
                <w:rFonts w:ascii="Times New Roman" w:eastAsia="標楷體" w:hAnsi="Times New Roman" w:cs="Times New Roman"/>
                <w:sz w:val="21"/>
                <w:szCs w:val="21"/>
              </w:rPr>
              <w:t>Tax payable thereon</w:t>
            </w:r>
          </w:p>
        </w:tc>
        <w:tc>
          <w:tcPr>
            <w:tcW w:w="1006" w:type="dxa"/>
          </w:tcPr>
          <w:p w:rsidR="00064D95" w:rsidRPr="003C28DF" w:rsidRDefault="003C28DF" w:rsidP="00156E21">
            <w:pPr>
              <w:overflowPunct w:val="0"/>
              <w:autoSpaceDE w:val="0"/>
              <w:autoSpaceDN w:val="0"/>
              <w:ind w:leftChars="-46" w:left="-110" w:rightChars="20" w:right="48"/>
              <w:jc w:val="right"/>
              <w:rPr>
                <w:rFonts w:ascii="Times New Roman" w:eastAsia="標楷體" w:hAnsi="Times New Roman" w:cs="Times New Roman"/>
                <w:sz w:val="21"/>
                <w:szCs w:val="21"/>
              </w:rPr>
            </w:pPr>
            <w:r w:rsidRPr="003C28DF">
              <w:rPr>
                <w:rFonts w:ascii="Times New Roman" w:eastAsia="標楷體" w:hAnsi="Times New Roman" w:cs="Times New Roman"/>
                <w:sz w:val="21"/>
                <w:szCs w:val="21"/>
                <w:u w:val="double"/>
              </w:rPr>
              <w:t xml:space="preserve">  </w:t>
            </w:r>
            <w:r w:rsidR="00064D95" w:rsidRPr="003C28DF">
              <w:rPr>
                <w:rFonts w:ascii="Times New Roman" w:eastAsia="標楷體" w:hAnsi="Times New Roman" w:cs="Times New Roman"/>
                <w:sz w:val="21"/>
                <w:szCs w:val="21"/>
                <w:u w:val="double"/>
              </w:rPr>
              <w:t>20,258</w:t>
            </w:r>
          </w:p>
        </w:tc>
        <w:tc>
          <w:tcPr>
            <w:tcW w:w="1006" w:type="dxa"/>
          </w:tcPr>
          <w:p w:rsidR="00064D95" w:rsidRPr="003C28DF" w:rsidRDefault="003C28DF" w:rsidP="00156E21">
            <w:pPr>
              <w:overflowPunct w:val="0"/>
              <w:autoSpaceDE w:val="0"/>
              <w:autoSpaceDN w:val="0"/>
              <w:ind w:leftChars="-46" w:left="-110" w:rightChars="-37" w:right="-89"/>
              <w:jc w:val="right"/>
              <w:rPr>
                <w:rFonts w:ascii="Times New Roman" w:eastAsia="標楷體" w:hAnsi="Times New Roman" w:cs="Times New Roman"/>
                <w:sz w:val="21"/>
                <w:szCs w:val="21"/>
              </w:rPr>
            </w:pPr>
            <w:r w:rsidRPr="003C28DF">
              <w:rPr>
                <w:rFonts w:ascii="Times New Roman" w:eastAsia="標楷體" w:hAnsi="Times New Roman" w:cs="Times New Roman"/>
                <w:sz w:val="21"/>
                <w:szCs w:val="21"/>
                <w:u w:val="double"/>
              </w:rPr>
              <w:t xml:space="preserve">   </w:t>
            </w:r>
            <w:r w:rsidR="00064D95" w:rsidRPr="003C28DF">
              <w:rPr>
                <w:rFonts w:ascii="Times New Roman" w:eastAsia="標楷體" w:hAnsi="Times New Roman" w:cs="Times New Roman"/>
                <w:sz w:val="21"/>
                <w:szCs w:val="21"/>
                <w:u w:val="double"/>
              </w:rPr>
              <w:t>225,512</w:t>
            </w:r>
          </w:p>
        </w:tc>
        <w:tc>
          <w:tcPr>
            <w:tcW w:w="1006" w:type="dxa"/>
          </w:tcPr>
          <w:p w:rsidR="00064D95" w:rsidRPr="003C28DF" w:rsidRDefault="00064D95" w:rsidP="00156E21">
            <w:pPr>
              <w:overflowPunct w:val="0"/>
              <w:autoSpaceDE w:val="0"/>
              <w:autoSpaceDN w:val="0"/>
              <w:ind w:leftChars="-46" w:left="-110" w:rightChars="20" w:right="48"/>
              <w:jc w:val="right"/>
              <w:rPr>
                <w:rFonts w:ascii="Times New Roman" w:eastAsia="標楷體" w:hAnsi="Times New Roman" w:cs="Times New Roman"/>
                <w:sz w:val="21"/>
                <w:szCs w:val="21"/>
              </w:rPr>
            </w:pPr>
            <w:r w:rsidRPr="003C28DF">
              <w:rPr>
                <w:rFonts w:ascii="Times New Roman" w:eastAsia="標楷體" w:hAnsi="Times New Roman" w:cs="Times New Roman"/>
                <w:sz w:val="21"/>
                <w:szCs w:val="21"/>
                <w:u w:val="double"/>
              </w:rPr>
              <w:t>163,496</w:t>
            </w:r>
          </w:p>
        </w:tc>
        <w:tc>
          <w:tcPr>
            <w:tcW w:w="1006" w:type="dxa"/>
          </w:tcPr>
          <w:p w:rsidR="00064D95" w:rsidRPr="003C28DF" w:rsidRDefault="003C28DF" w:rsidP="00156E21">
            <w:pPr>
              <w:overflowPunct w:val="0"/>
              <w:autoSpaceDE w:val="0"/>
              <w:autoSpaceDN w:val="0"/>
              <w:ind w:leftChars="-46" w:left="-110" w:rightChars="-37" w:right="-89"/>
              <w:jc w:val="right"/>
              <w:rPr>
                <w:rFonts w:ascii="Times New Roman" w:eastAsia="標楷體" w:hAnsi="Times New Roman" w:cs="Times New Roman"/>
                <w:sz w:val="21"/>
                <w:szCs w:val="21"/>
              </w:rPr>
            </w:pPr>
            <w:r w:rsidRPr="003C28DF">
              <w:rPr>
                <w:rFonts w:ascii="Times New Roman" w:eastAsia="標楷體" w:hAnsi="Times New Roman" w:cs="Times New Roman"/>
                <w:sz w:val="21"/>
                <w:szCs w:val="21"/>
                <w:u w:val="double"/>
              </w:rPr>
              <w:t xml:space="preserve">   </w:t>
            </w:r>
            <w:r w:rsidR="00064D95" w:rsidRPr="003C28DF">
              <w:rPr>
                <w:rFonts w:ascii="Times New Roman" w:eastAsia="標楷體" w:hAnsi="Times New Roman" w:cs="Times New Roman"/>
                <w:sz w:val="21"/>
                <w:szCs w:val="21"/>
                <w:u w:val="double"/>
              </w:rPr>
              <w:t>180,200</w:t>
            </w:r>
          </w:p>
        </w:tc>
        <w:tc>
          <w:tcPr>
            <w:tcW w:w="1006" w:type="dxa"/>
          </w:tcPr>
          <w:p w:rsidR="00064D95" w:rsidRPr="003C28DF" w:rsidRDefault="003C28DF" w:rsidP="00156E21">
            <w:pPr>
              <w:overflowPunct w:val="0"/>
              <w:autoSpaceDE w:val="0"/>
              <w:autoSpaceDN w:val="0"/>
              <w:ind w:leftChars="-46" w:left="-110" w:rightChars="-37" w:right="-89"/>
              <w:jc w:val="right"/>
              <w:rPr>
                <w:rFonts w:ascii="Times New Roman" w:eastAsia="標楷體" w:hAnsi="Times New Roman" w:cs="Times New Roman"/>
                <w:sz w:val="21"/>
                <w:szCs w:val="21"/>
              </w:rPr>
            </w:pPr>
            <w:r w:rsidRPr="003C28DF">
              <w:rPr>
                <w:rFonts w:ascii="Times New Roman" w:eastAsia="標楷體" w:hAnsi="Times New Roman" w:cs="Times New Roman"/>
                <w:sz w:val="21"/>
                <w:szCs w:val="21"/>
                <w:u w:val="double"/>
              </w:rPr>
              <w:t xml:space="preserve">   </w:t>
            </w:r>
            <w:r w:rsidR="00064D95" w:rsidRPr="003C28DF">
              <w:rPr>
                <w:rFonts w:ascii="Times New Roman" w:eastAsia="標楷體" w:hAnsi="Times New Roman" w:cs="Times New Roman"/>
                <w:sz w:val="21"/>
                <w:szCs w:val="21"/>
                <w:u w:val="double"/>
              </w:rPr>
              <w:t>211,466</w:t>
            </w:r>
          </w:p>
        </w:tc>
        <w:tc>
          <w:tcPr>
            <w:tcW w:w="1007" w:type="dxa"/>
          </w:tcPr>
          <w:p w:rsidR="00064D95" w:rsidRPr="003C28DF" w:rsidRDefault="003C28DF" w:rsidP="00156E21">
            <w:pPr>
              <w:overflowPunct w:val="0"/>
              <w:autoSpaceDE w:val="0"/>
              <w:autoSpaceDN w:val="0"/>
              <w:ind w:leftChars="-46" w:left="-110" w:rightChars="-37" w:right="-89"/>
              <w:jc w:val="right"/>
              <w:rPr>
                <w:rFonts w:ascii="Times New Roman" w:eastAsia="標楷體" w:hAnsi="Times New Roman" w:cs="Times New Roman"/>
                <w:sz w:val="21"/>
                <w:szCs w:val="21"/>
              </w:rPr>
            </w:pPr>
            <w:r w:rsidRPr="003C28DF">
              <w:rPr>
                <w:rFonts w:ascii="Times New Roman" w:eastAsia="標楷體" w:hAnsi="Times New Roman" w:cs="Times New Roman"/>
                <w:sz w:val="21"/>
                <w:szCs w:val="21"/>
                <w:u w:val="double"/>
              </w:rPr>
              <w:t xml:space="preserve">   </w:t>
            </w:r>
            <w:r w:rsidR="00064D95" w:rsidRPr="003C28DF">
              <w:rPr>
                <w:rFonts w:ascii="Times New Roman" w:eastAsia="標楷體" w:hAnsi="Times New Roman" w:cs="Times New Roman"/>
                <w:sz w:val="21"/>
                <w:szCs w:val="21"/>
                <w:u w:val="double"/>
              </w:rPr>
              <w:t>225,237</w:t>
            </w:r>
          </w:p>
        </w:tc>
      </w:tr>
    </w:tbl>
    <w:p w:rsidR="00064D95" w:rsidRDefault="00064D95"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BF4279" w:rsidRPr="003C28DF" w:rsidRDefault="00064D95" w:rsidP="00156E21">
      <w:pPr>
        <w:tabs>
          <w:tab w:val="left" w:pos="2107"/>
        </w:tabs>
        <w:overflowPunct w:val="0"/>
        <w:autoSpaceDE w:val="0"/>
        <w:autoSpaceDN w:val="0"/>
        <w:ind w:leftChars="638" w:left="2108" w:hangingChars="240" w:hanging="577"/>
        <w:jc w:val="both"/>
        <w:rPr>
          <w:rFonts w:ascii="Times New Roman" w:eastAsia="標楷體" w:hAnsi="Times New Roman" w:cs="Times New Roman"/>
          <w:b/>
          <w:i/>
        </w:rPr>
      </w:pPr>
      <w:r w:rsidRPr="003C28DF">
        <w:rPr>
          <w:rFonts w:ascii="Times New Roman" w:eastAsia="標楷體" w:hAnsi="Times New Roman" w:cs="Times New Roman"/>
          <w:b/>
          <w:i/>
        </w:rPr>
        <w:t>(b)</w:t>
      </w:r>
      <w:r w:rsidR="00BF4279" w:rsidRPr="003C28DF">
        <w:rPr>
          <w:rFonts w:ascii="Times New Roman" w:eastAsia="標楷體" w:hAnsi="Times New Roman" w:cs="Times New Roman"/>
          <w:b/>
          <w:i/>
        </w:rPr>
        <w:tab/>
        <w:t>Years of assessment 2013/14 to 2015/16</w:t>
      </w:r>
    </w:p>
    <w:p w:rsidR="00BF4279" w:rsidRDefault="00BF4279" w:rsidP="00156E21">
      <w:pPr>
        <w:overflowPunct w:val="0"/>
        <w:autoSpaceDE w:val="0"/>
        <w:autoSpaceDN w:val="0"/>
        <w:ind w:leftChars="400" w:left="960"/>
        <w:jc w:val="both"/>
        <w:rPr>
          <w:rFonts w:ascii="Times New Roman" w:eastAsia="標楷體" w:hAnsi="Times New Roman" w:cs="Times New Roman"/>
        </w:rPr>
      </w:pPr>
    </w:p>
    <w:tbl>
      <w:tblPr>
        <w:tblStyle w:val="af0"/>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275"/>
        <w:gridCol w:w="1276"/>
        <w:gridCol w:w="1276"/>
      </w:tblGrid>
      <w:tr w:rsidR="00064D95" w:rsidTr="00064D95">
        <w:tc>
          <w:tcPr>
            <w:tcW w:w="2410" w:type="dxa"/>
          </w:tcPr>
          <w:p w:rsidR="00064D95" w:rsidRDefault="00064D95" w:rsidP="00156E21">
            <w:pPr>
              <w:overflowPunct w:val="0"/>
              <w:autoSpaceDE w:val="0"/>
              <w:autoSpaceDN w:val="0"/>
              <w:jc w:val="both"/>
              <w:rPr>
                <w:rFonts w:ascii="Times New Roman" w:eastAsia="標楷體" w:hAnsi="Times New Roman" w:cs="Times New Roman"/>
              </w:rPr>
            </w:pPr>
          </w:p>
        </w:tc>
        <w:tc>
          <w:tcPr>
            <w:tcW w:w="1275" w:type="dxa"/>
          </w:tcPr>
          <w:p w:rsidR="00064D95" w:rsidRDefault="00064D95"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u w:val="single"/>
              </w:rPr>
              <w:t>2013/14</w:t>
            </w:r>
          </w:p>
        </w:tc>
        <w:tc>
          <w:tcPr>
            <w:tcW w:w="1276" w:type="dxa"/>
          </w:tcPr>
          <w:p w:rsidR="00064D95" w:rsidRDefault="00064D95"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u w:val="single"/>
              </w:rPr>
              <w:t>2014/15</w:t>
            </w:r>
          </w:p>
        </w:tc>
        <w:tc>
          <w:tcPr>
            <w:tcW w:w="1276" w:type="dxa"/>
          </w:tcPr>
          <w:p w:rsidR="00064D95" w:rsidRDefault="00064D95" w:rsidP="00156E21">
            <w:pPr>
              <w:overflowPunct w:val="0"/>
              <w:autoSpaceDE w:val="0"/>
              <w:autoSpaceDN w:val="0"/>
              <w:jc w:val="center"/>
              <w:rPr>
                <w:rFonts w:ascii="Times New Roman" w:eastAsia="標楷體" w:hAnsi="Times New Roman" w:cs="Times New Roman"/>
              </w:rPr>
            </w:pPr>
            <w:r w:rsidRPr="0069274C">
              <w:rPr>
                <w:rFonts w:ascii="Times New Roman" w:eastAsia="標楷體" w:hAnsi="Times New Roman" w:cs="Times New Roman"/>
                <w:u w:val="single"/>
              </w:rPr>
              <w:t>2015/16</w:t>
            </w:r>
          </w:p>
        </w:tc>
      </w:tr>
      <w:tr w:rsidR="00064D95" w:rsidTr="00064D95">
        <w:tc>
          <w:tcPr>
            <w:tcW w:w="2410" w:type="dxa"/>
          </w:tcPr>
          <w:p w:rsidR="00064D95" w:rsidRDefault="00064D95" w:rsidP="00156E21">
            <w:pPr>
              <w:overflowPunct w:val="0"/>
              <w:autoSpaceDE w:val="0"/>
              <w:autoSpaceDN w:val="0"/>
              <w:jc w:val="both"/>
              <w:rPr>
                <w:rFonts w:ascii="Times New Roman" w:eastAsia="標楷體" w:hAnsi="Times New Roman" w:cs="Times New Roman"/>
              </w:rPr>
            </w:pPr>
          </w:p>
        </w:tc>
        <w:tc>
          <w:tcPr>
            <w:tcW w:w="1275" w:type="dxa"/>
          </w:tcPr>
          <w:p w:rsidR="00064D95" w:rsidRDefault="00064D95" w:rsidP="00156E21">
            <w:pPr>
              <w:overflowPunct w:val="0"/>
              <w:autoSpaceDE w:val="0"/>
              <w:autoSpaceDN w:val="0"/>
              <w:jc w:val="center"/>
            </w:pPr>
            <w:r w:rsidRPr="00272288">
              <w:rPr>
                <w:rFonts w:ascii="Times New Roman" w:eastAsia="標楷體" w:hAnsi="Times New Roman" w:cs="Times New Roman"/>
              </w:rPr>
              <w:t>$</w:t>
            </w:r>
          </w:p>
        </w:tc>
        <w:tc>
          <w:tcPr>
            <w:tcW w:w="1276" w:type="dxa"/>
          </w:tcPr>
          <w:p w:rsidR="00064D95" w:rsidRDefault="00064D95" w:rsidP="00156E21">
            <w:pPr>
              <w:overflowPunct w:val="0"/>
              <w:autoSpaceDE w:val="0"/>
              <w:autoSpaceDN w:val="0"/>
              <w:jc w:val="center"/>
            </w:pPr>
            <w:r w:rsidRPr="00272288">
              <w:rPr>
                <w:rFonts w:ascii="Times New Roman" w:eastAsia="標楷體" w:hAnsi="Times New Roman" w:cs="Times New Roman"/>
              </w:rPr>
              <w:t>$</w:t>
            </w:r>
          </w:p>
        </w:tc>
        <w:tc>
          <w:tcPr>
            <w:tcW w:w="1276" w:type="dxa"/>
          </w:tcPr>
          <w:p w:rsidR="00064D95" w:rsidRDefault="00064D95" w:rsidP="00156E21">
            <w:pPr>
              <w:overflowPunct w:val="0"/>
              <w:autoSpaceDE w:val="0"/>
              <w:autoSpaceDN w:val="0"/>
              <w:jc w:val="center"/>
            </w:pPr>
            <w:r w:rsidRPr="00272288">
              <w:rPr>
                <w:rFonts w:ascii="Times New Roman" w:eastAsia="標楷體" w:hAnsi="Times New Roman" w:cs="Times New Roman"/>
              </w:rPr>
              <w:t>$</w:t>
            </w:r>
          </w:p>
        </w:tc>
      </w:tr>
      <w:tr w:rsidR="00064D95" w:rsidTr="00064D95">
        <w:tc>
          <w:tcPr>
            <w:tcW w:w="2410" w:type="dxa"/>
          </w:tcPr>
          <w:p w:rsidR="00064D95" w:rsidRDefault="00064D95" w:rsidP="00156E21">
            <w:pPr>
              <w:overflowPunct w:val="0"/>
              <w:autoSpaceDE w:val="0"/>
              <w:autoSpaceDN w:val="0"/>
              <w:jc w:val="both"/>
              <w:rPr>
                <w:rFonts w:ascii="Times New Roman" w:eastAsia="標楷體" w:hAnsi="Times New Roman" w:cs="Times New Roman"/>
              </w:rPr>
            </w:pPr>
            <w:r w:rsidRPr="0069274C">
              <w:rPr>
                <w:rFonts w:ascii="Times New Roman" w:eastAsia="標楷體" w:hAnsi="Times New Roman" w:cs="Times New Roman"/>
              </w:rPr>
              <w:t>Profits per return</w:t>
            </w:r>
          </w:p>
        </w:tc>
        <w:tc>
          <w:tcPr>
            <w:tcW w:w="1275" w:type="dxa"/>
          </w:tcPr>
          <w:p w:rsidR="00064D95" w:rsidRDefault="00064D95" w:rsidP="00156E21">
            <w:pPr>
              <w:overflowPunct w:val="0"/>
              <w:autoSpaceDE w:val="0"/>
              <w:autoSpaceDN w:val="0"/>
              <w:jc w:val="right"/>
              <w:rPr>
                <w:rFonts w:ascii="Times New Roman" w:eastAsia="標楷體" w:hAnsi="Times New Roman" w:cs="Times New Roman"/>
              </w:rPr>
            </w:pPr>
            <w:r w:rsidRPr="0069274C">
              <w:rPr>
                <w:rFonts w:ascii="Times New Roman" w:eastAsia="標楷體" w:hAnsi="Times New Roman" w:cs="Times New Roman"/>
              </w:rPr>
              <w:t>4,610,988</w:t>
            </w:r>
          </w:p>
        </w:tc>
        <w:tc>
          <w:tcPr>
            <w:tcW w:w="1276" w:type="dxa"/>
          </w:tcPr>
          <w:p w:rsidR="00064D95" w:rsidRDefault="00064D95" w:rsidP="00156E21">
            <w:pPr>
              <w:overflowPunct w:val="0"/>
              <w:autoSpaceDE w:val="0"/>
              <w:autoSpaceDN w:val="0"/>
              <w:jc w:val="right"/>
              <w:rPr>
                <w:rFonts w:ascii="Times New Roman" w:eastAsia="標楷體" w:hAnsi="Times New Roman" w:cs="Times New Roman"/>
              </w:rPr>
            </w:pPr>
            <w:r w:rsidRPr="0069274C">
              <w:rPr>
                <w:rFonts w:ascii="Times New Roman" w:eastAsia="標楷體" w:hAnsi="Times New Roman" w:cs="Times New Roman"/>
              </w:rPr>
              <w:t>6,538,934</w:t>
            </w:r>
          </w:p>
        </w:tc>
        <w:tc>
          <w:tcPr>
            <w:tcW w:w="1276" w:type="dxa"/>
          </w:tcPr>
          <w:p w:rsidR="00064D95" w:rsidRDefault="00064D95" w:rsidP="00156E21">
            <w:pPr>
              <w:overflowPunct w:val="0"/>
              <w:autoSpaceDE w:val="0"/>
              <w:autoSpaceDN w:val="0"/>
              <w:jc w:val="right"/>
              <w:rPr>
                <w:rFonts w:ascii="Times New Roman" w:eastAsia="標楷體" w:hAnsi="Times New Roman" w:cs="Times New Roman"/>
              </w:rPr>
            </w:pPr>
            <w:r w:rsidRPr="0069274C">
              <w:rPr>
                <w:rFonts w:ascii="Times New Roman" w:eastAsia="標楷體" w:hAnsi="Times New Roman" w:cs="Times New Roman"/>
              </w:rPr>
              <w:t>7,212,246</w:t>
            </w:r>
          </w:p>
        </w:tc>
      </w:tr>
      <w:tr w:rsidR="00064D95" w:rsidTr="00064D95">
        <w:tc>
          <w:tcPr>
            <w:tcW w:w="2410" w:type="dxa"/>
          </w:tcPr>
          <w:p w:rsidR="00064D95" w:rsidRDefault="00064D95" w:rsidP="00156E21">
            <w:pPr>
              <w:overflowPunct w:val="0"/>
              <w:autoSpaceDE w:val="0"/>
              <w:autoSpaceDN w:val="0"/>
              <w:jc w:val="both"/>
              <w:rPr>
                <w:rFonts w:ascii="Times New Roman" w:eastAsia="標楷體" w:hAnsi="Times New Roman" w:cs="Times New Roman"/>
              </w:rPr>
            </w:pPr>
            <w:r w:rsidRPr="0069274C">
              <w:rPr>
                <w:rFonts w:ascii="Times New Roman" w:eastAsia="標楷體" w:hAnsi="Times New Roman" w:cs="Times New Roman"/>
                <w:u w:val="single"/>
              </w:rPr>
              <w:t>Add:</w:t>
            </w:r>
            <w:r w:rsidRPr="0069274C">
              <w:rPr>
                <w:rFonts w:ascii="Times New Roman" w:eastAsia="標楷體" w:hAnsi="Times New Roman" w:cs="Times New Roman"/>
              </w:rPr>
              <w:t xml:space="preserve"> Manager’s Fees</w:t>
            </w:r>
          </w:p>
        </w:tc>
        <w:tc>
          <w:tcPr>
            <w:tcW w:w="1275" w:type="dxa"/>
          </w:tcPr>
          <w:p w:rsidR="00064D95" w:rsidRDefault="00064D95" w:rsidP="00156E21">
            <w:pPr>
              <w:overflowPunct w:val="0"/>
              <w:autoSpaceDE w:val="0"/>
              <w:autoSpaceDN w:val="0"/>
              <w:jc w:val="right"/>
              <w:rPr>
                <w:rFonts w:ascii="Times New Roman" w:eastAsia="標楷體" w:hAnsi="Times New Roman" w:cs="Times New Roman"/>
              </w:rPr>
            </w:pPr>
            <w:r w:rsidRPr="0069274C">
              <w:rPr>
                <w:rFonts w:ascii="Times New Roman" w:eastAsia="標楷體" w:hAnsi="Times New Roman" w:cs="Times New Roman"/>
                <w:u w:val="single"/>
              </w:rPr>
              <w:t>1,466,689</w:t>
            </w:r>
          </w:p>
        </w:tc>
        <w:tc>
          <w:tcPr>
            <w:tcW w:w="1276" w:type="dxa"/>
          </w:tcPr>
          <w:p w:rsidR="00064D95" w:rsidRDefault="00064D95" w:rsidP="00156E21">
            <w:pPr>
              <w:overflowPunct w:val="0"/>
              <w:autoSpaceDE w:val="0"/>
              <w:autoSpaceDN w:val="0"/>
              <w:jc w:val="right"/>
              <w:rPr>
                <w:rFonts w:ascii="Times New Roman" w:eastAsia="標楷體" w:hAnsi="Times New Roman" w:cs="Times New Roman"/>
              </w:rPr>
            </w:pPr>
            <w:r w:rsidRPr="0069274C">
              <w:rPr>
                <w:rFonts w:ascii="Times New Roman" w:eastAsia="標楷體" w:hAnsi="Times New Roman" w:cs="Times New Roman"/>
                <w:u w:val="single"/>
              </w:rPr>
              <w:t>1,609,766</w:t>
            </w:r>
          </w:p>
        </w:tc>
        <w:tc>
          <w:tcPr>
            <w:tcW w:w="1276" w:type="dxa"/>
          </w:tcPr>
          <w:p w:rsidR="00064D95" w:rsidRDefault="00064D95" w:rsidP="00156E21">
            <w:pPr>
              <w:overflowPunct w:val="0"/>
              <w:autoSpaceDE w:val="0"/>
              <w:autoSpaceDN w:val="0"/>
              <w:jc w:val="right"/>
              <w:rPr>
                <w:rFonts w:ascii="Times New Roman" w:eastAsia="標楷體" w:hAnsi="Times New Roman" w:cs="Times New Roman"/>
              </w:rPr>
            </w:pPr>
            <w:r w:rsidRPr="0069274C">
              <w:rPr>
                <w:rFonts w:ascii="Times New Roman" w:eastAsia="標楷體" w:hAnsi="Times New Roman" w:cs="Times New Roman"/>
                <w:u w:val="single"/>
              </w:rPr>
              <w:t>1,804,127</w:t>
            </w:r>
          </w:p>
        </w:tc>
      </w:tr>
      <w:tr w:rsidR="00064D95" w:rsidTr="00064D95">
        <w:tc>
          <w:tcPr>
            <w:tcW w:w="2410" w:type="dxa"/>
          </w:tcPr>
          <w:p w:rsidR="00064D95" w:rsidRDefault="00064D95" w:rsidP="00156E21">
            <w:pPr>
              <w:overflowPunct w:val="0"/>
              <w:autoSpaceDE w:val="0"/>
              <w:autoSpaceDN w:val="0"/>
              <w:jc w:val="both"/>
              <w:rPr>
                <w:rFonts w:ascii="Times New Roman" w:eastAsia="標楷體" w:hAnsi="Times New Roman" w:cs="Times New Roman"/>
              </w:rPr>
            </w:pPr>
            <w:r w:rsidRPr="0069274C">
              <w:rPr>
                <w:rFonts w:ascii="Times New Roman" w:eastAsia="標楷體" w:hAnsi="Times New Roman" w:cs="Times New Roman"/>
              </w:rPr>
              <w:t>Assessable profits</w:t>
            </w:r>
          </w:p>
        </w:tc>
        <w:tc>
          <w:tcPr>
            <w:tcW w:w="1275" w:type="dxa"/>
          </w:tcPr>
          <w:p w:rsidR="00064D95" w:rsidRDefault="00064D95" w:rsidP="00156E21">
            <w:pPr>
              <w:overflowPunct w:val="0"/>
              <w:autoSpaceDE w:val="0"/>
              <w:autoSpaceDN w:val="0"/>
              <w:jc w:val="right"/>
              <w:rPr>
                <w:rFonts w:ascii="Times New Roman" w:eastAsia="標楷體" w:hAnsi="Times New Roman" w:cs="Times New Roman"/>
              </w:rPr>
            </w:pPr>
            <w:r w:rsidRPr="0069274C">
              <w:rPr>
                <w:rFonts w:ascii="Times New Roman" w:eastAsia="標楷體" w:hAnsi="Times New Roman" w:cs="Times New Roman"/>
                <w:u w:val="double"/>
              </w:rPr>
              <w:t>6,077,677</w:t>
            </w:r>
          </w:p>
        </w:tc>
        <w:tc>
          <w:tcPr>
            <w:tcW w:w="1276" w:type="dxa"/>
          </w:tcPr>
          <w:p w:rsidR="00064D95" w:rsidRDefault="00064D95" w:rsidP="00156E21">
            <w:pPr>
              <w:overflowPunct w:val="0"/>
              <w:autoSpaceDE w:val="0"/>
              <w:autoSpaceDN w:val="0"/>
              <w:jc w:val="right"/>
              <w:rPr>
                <w:rFonts w:ascii="Times New Roman" w:eastAsia="標楷體" w:hAnsi="Times New Roman" w:cs="Times New Roman"/>
              </w:rPr>
            </w:pPr>
            <w:r w:rsidRPr="0069274C">
              <w:rPr>
                <w:rFonts w:ascii="Times New Roman" w:eastAsia="標楷體" w:hAnsi="Times New Roman" w:cs="Times New Roman"/>
                <w:u w:val="double"/>
              </w:rPr>
              <w:t>8,148,700</w:t>
            </w:r>
          </w:p>
        </w:tc>
        <w:tc>
          <w:tcPr>
            <w:tcW w:w="1276" w:type="dxa"/>
          </w:tcPr>
          <w:p w:rsidR="00064D95" w:rsidRDefault="00064D95" w:rsidP="00156E21">
            <w:pPr>
              <w:overflowPunct w:val="0"/>
              <w:autoSpaceDE w:val="0"/>
              <w:autoSpaceDN w:val="0"/>
              <w:jc w:val="right"/>
              <w:rPr>
                <w:rFonts w:ascii="Times New Roman" w:eastAsia="標楷體" w:hAnsi="Times New Roman" w:cs="Times New Roman"/>
              </w:rPr>
            </w:pPr>
            <w:r w:rsidRPr="0069274C">
              <w:rPr>
                <w:rFonts w:ascii="Times New Roman" w:eastAsia="標楷體" w:hAnsi="Times New Roman" w:cs="Times New Roman"/>
                <w:u w:val="double"/>
              </w:rPr>
              <w:t>9,016,373</w:t>
            </w:r>
          </w:p>
        </w:tc>
      </w:tr>
      <w:tr w:rsidR="006450DD" w:rsidTr="00064D95">
        <w:tc>
          <w:tcPr>
            <w:tcW w:w="2410" w:type="dxa"/>
          </w:tcPr>
          <w:p w:rsidR="006450DD" w:rsidRPr="0069274C" w:rsidRDefault="006450DD" w:rsidP="00156E21">
            <w:pPr>
              <w:overflowPunct w:val="0"/>
              <w:autoSpaceDE w:val="0"/>
              <w:autoSpaceDN w:val="0"/>
              <w:jc w:val="both"/>
              <w:rPr>
                <w:rFonts w:ascii="Times New Roman" w:eastAsia="標楷體" w:hAnsi="Times New Roman" w:cs="Times New Roman"/>
              </w:rPr>
            </w:pPr>
          </w:p>
        </w:tc>
        <w:tc>
          <w:tcPr>
            <w:tcW w:w="1275" w:type="dxa"/>
          </w:tcPr>
          <w:p w:rsidR="006450DD" w:rsidRDefault="006450DD" w:rsidP="00156E21">
            <w:pPr>
              <w:overflowPunct w:val="0"/>
              <w:autoSpaceDE w:val="0"/>
              <w:autoSpaceDN w:val="0"/>
              <w:jc w:val="right"/>
              <w:rPr>
                <w:rFonts w:ascii="Times New Roman" w:eastAsia="標楷體" w:hAnsi="Times New Roman" w:cs="Times New Roman"/>
                <w:u w:val="double"/>
              </w:rPr>
            </w:pPr>
          </w:p>
        </w:tc>
        <w:tc>
          <w:tcPr>
            <w:tcW w:w="1276" w:type="dxa"/>
          </w:tcPr>
          <w:p w:rsidR="006450DD" w:rsidRPr="0069274C" w:rsidRDefault="006450DD" w:rsidP="00156E21">
            <w:pPr>
              <w:overflowPunct w:val="0"/>
              <w:autoSpaceDE w:val="0"/>
              <w:autoSpaceDN w:val="0"/>
              <w:jc w:val="right"/>
              <w:rPr>
                <w:rFonts w:ascii="Times New Roman" w:eastAsia="標楷體" w:hAnsi="Times New Roman" w:cs="Times New Roman"/>
                <w:u w:val="double"/>
              </w:rPr>
            </w:pPr>
          </w:p>
        </w:tc>
        <w:tc>
          <w:tcPr>
            <w:tcW w:w="1276" w:type="dxa"/>
          </w:tcPr>
          <w:p w:rsidR="006450DD" w:rsidRPr="0069274C" w:rsidRDefault="006450DD" w:rsidP="00156E21">
            <w:pPr>
              <w:overflowPunct w:val="0"/>
              <w:autoSpaceDE w:val="0"/>
              <w:autoSpaceDN w:val="0"/>
              <w:jc w:val="right"/>
              <w:rPr>
                <w:rFonts w:ascii="Times New Roman" w:eastAsia="標楷體" w:hAnsi="Times New Roman" w:cs="Times New Roman"/>
                <w:u w:val="double"/>
              </w:rPr>
            </w:pPr>
          </w:p>
        </w:tc>
      </w:tr>
      <w:tr w:rsidR="00064D95" w:rsidTr="00064D95">
        <w:tc>
          <w:tcPr>
            <w:tcW w:w="2410" w:type="dxa"/>
          </w:tcPr>
          <w:p w:rsidR="00064D95" w:rsidRDefault="00064D95" w:rsidP="00156E21">
            <w:pPr>
              <w:overflowPunct w:val="0"/>
              <w:autoSpaceDE w:val="0"/>
              <w:autoSpaceDN w:val="0"/>
              <w:jc w:val="both"/>
              <w:rPr>
                <w:rFonts w:ascii="Times New Roman" w:eastAsia="標楷體" w:hAnsi="Times New Roman" w:cs="Times New Roman"/>
              </w:rPr>
            </w:pPr>
            <w:r w:rsidRPr="0069274C">
              <w:rPr>
                <w:rFonts w:ascii="Times New Roman" w:eastAsia="標楷體" w:hAnsi="Times New Roman" w:cs="Times New Roman"/>
              </w:rPr>
              <w:t>Tax payable thereon</w:t>
            </w:r>
          </w:p>
        </w:tc>
        <w:tc>
          <w:tcPr>
            <w:tcW w:w="1275" w:type="dxa"/>
          </w:tcPr>
          <w:p w:rsidR="00064D95" w:rsidRDefault="003C28DF" w:rsidP="00156E21">
            <w:pPr>
              <w:overflowPunct w:val="0"/>
              <w:autoSpaceDE w:val="0"/>
              <w:autoSpaceDN w:val="0"/>
              <w:jc w:val="right"/>
              <w:rPr>
                <w:rFonts w:ascii="Times New Roman" w:eastAsia="標楷體" w:hAnsi="Times New Roman" w:cs="Times New Roman"/>
              </w:rPr>
            </w:pPr>
            <w:r>
              <w:rPr>
                <w:rFonts w:ascii="Times New Roman" w:eastAsia="標楷體" w:hAnsi="Times New Roman" w:cs="Times New Roman"/>
                <w:u w:val="double"/>
              </w:rPr>
              <w:t xml:space="preserve">   </w:t>
            </w:r>
            <w:r w:rsidR="00064D95" w:rsidRPr="0069274C">
              <w:rPr>
                <w:rFonts w:ascii="Times New Roman" w:eastAsia="標楷體" w:hAnsi="Times New Roman" w:cs="Times New Roman"/>
                <w:u w:val="double"/>
              </w:rPr>
              <w:t>992,816</w:t>
            </w:r>
          </w:p>
        </w:tc>
        <w:tc>
          <w:tcPr>
            <w:tcW w:w="1276" w:type="dxa"/>
          </w:tcPr>
          <w:p w:rsidR="00064D95" w:rsidRDefault="00064D95" w:rsidP="00156E21">
            <w:pPr>
              <w:overflowPunct w:val="0"/>
              <w:autoSpaceDE w:val="0"/>
              <w:autoSpaceDN w:val="0"/>
              <w:jc w:val="right"/>
              <w:rPr>
                <w:rFonts w:ascii="Times New Roman" w:eastAsia="標楷體" w:hAnsi="Times New Roman" w:cs="Times New Roman"/>
              </w:rPr>
            </w:pPr>
            <w:r w:rsidRPr="0069274C">
              <w:rPr>
                <w:rFonts w:ascii="Times New Roman" w:eastAsia="標楷體" w:hAnsi="Times New Roman" w:cs="Times New Roman"/>
                <w:u w:val="double"/>
              </w:rPr>
              <w:t>1,324,535</w:t>
            </w:r>
          </w:p>
        </w:tc>
        <w:tc>
          <w:tcPr>
            <w:tcW w:w="1276" w:type="dxa"/>
          </w:tcPr>
          <w:p w:rsidR="00064D95" w:rsidRDefault="00064D95" w:rsidP="00156E21">
            <w:pPr>
              <w:overflowPunct w:val="0"/>
              <w:autoSpaceDE w:val="0"/>
              <w:autoSpaceDN w:val="0"/>
              <w:jc w:val="right"/>
              <w:rPr>
                <w:rFonts w:ascii="Times New Roman" w:eastAsia="標楷體" w:hAnsi="Times New Roman" w:cs="Times New Roman"/>
              </w:rPr>
            </w:pPr>
            <w:r w:rsidRPr="0069274C">
              <w:rPr>
                <w:rFonts w:ascii="Times New Roman" w:eastAsia="標楷體" w:hAnsi="Times New Roman" w:cs="Times New Roman"/>
                <w:u w:val="double"/>
              </w:rPr>
              <w:t>1,467,701</w:t>
            </w:r>
          </w:p>
        </w:tc>
      </w:tr>
    </w:tbl>
    <w:p w:rsidR="00064D95" w:rsidRDefault="00064D95" w:rsidP="00156E21">
      <w:pPr>
        <w:overflowPunct w:val="0"/>
        <w:autoSpaceDE w:val="0"/>
        <w:autoSpaceDN w:val="0"/>
        <w:ind w:left="360"/>
        <w:jc w:val="both"/>
        <w:rPr>
          <w:rFonts w:ascii="Times New Roman" w:eastAsia="標楷體" w:hAnsi="Times New Roman" w:cs="Times New Roman"/>
        </w:rPr>
      </w:pPr>
    </w:p>
    <w:p w:rsidR="000C4F95" w:rsidRPr="00C710B7" w:rsidRDefault="000C4F95" w:rsidP="00156E21">
      <w:pPr>
        <w:overflowPunct w:val="0"/>
        <w:autoSpaceDE w:val="0"/>
        <w:autoSpaceDN w:val="0"/>
        <w:jc w:val="both"/>
        <w:rPr>
          <w:rFonts w:ascii="Times New Roman" w:eastAsia="標楷體" w:hAnsi="Times New Roman" w:cs="Times New Roman"/>
          <w:b/>
        </w:rPr>
      </w:pPr>
      <w:r w:rsidRPr="00C710B7">
        <w:rPr>
          <w:rFonts w:ascii="Times New Roman" w:eastAsia="標楷體" w:hAnsi="Times New Roman" w:cs="Times New Roman"/>
          <w:b/>
        </w:rPr>
        <w:t>The Deputy Commissioner’s Determination</w:t>
      </w:r>
    </w:p>
    <w:p w:rsidR="000C4F95" w:rsidRPr="0069274C" w:rsidRDefault="000C4F95" w:rsidP="00156E21">
      <w:pPr>
        <w:overflowPunct w:val="0"/>
        <w:autoSpaceDE w:val="0"/>
        <w:autoSpaceDN w:val="0"/>
        <w:jc w:val="both"/>
        <w:rPr>
          <w:rFonts w:ascii="Times New Roman" w:eastAsia="標楷體" w:hAnsi="Times New Roman" w:cs="Times New Roman"/>
        </w:rPr>
      </w:pPr>
    </w:p>
    <w:p w:rsidR="00F944DA" w:rsidRPr="0069274C" w:rsidRDefault="000C4F95"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The Deputy Commissioner of Inland Revenue considered the Taxpayer’s objection in his Determination dated 26 April 2018. Having noted the assessor of the Revenue’s acceptance that the Property Manager’s Fees were deductible, the Deputy Commissioner determined whether the Taxpayer should be entitled to deduct the Manager’s Fees in computing its chargeable profits for the years of assessment 2007/08 to 2015/16.</w:t>
      </w:r>
    </w:p>
    <w:p w:rsidR="000C4F95" w:rsidRPr="0069274C" w:rsidRDefault="000C4F95" w:rsidP="00156E21">
      <w:pPr>
        <w:overflowPunct w:val="0"/>
        <w:autoSpaceDE w:val="0"/>
        <w:autoSpaceDN w:val="0"/>
        <w:jc w:val="both"/>
        <w:rPr>
          <w:rFonts w:ascii="Times New Roman" w:eastAsia="標楷體" w:hAnsi="Times New Roman" w:cs="Times New Roman"/>
        </w:rPr>
      </w:pPr>
    </w:p>
    <w:p w:rsidR="000C4F95" w:rsidRPr="0069274C" w:rsidRDefault="000C4F95"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The Deputy Commissioner rejected the Taxpayer’s objection regarding the deductibility of the Manager’s Fees for these reasons:</w:t>
      </w:r>
    </w:p>
    <w:p w:rsidR="00C62883" w:rsidRPr="0069274C" w:rsidRDefault="00C62883" w:rsidP="00156E21">
      <w:pPr>
        <w:overflowPunct w:val="0"/>
        <w:autoSpaceDE w:val="0"/>
        <w:autoSpaceDN w:val="0"/>
        <w:jc w:val="both"/>
        <w:rPr>
          <w:rFonts w:ascii="Times New Roman" w:eastAsia="標楷體" w:hAnsi="Times New Roman" w:cs="Times New Roman"/>
        </w:rPr>
      </w:pPr>
    </w:p>
    <w:p w:rsidR="001526CF" w:rsidRPr="0069274C" w:rsidRDefault="000C4F95"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(1)</w:t>
      </w:r>
      <w:r w:rsidR="00064D95">
        <w:rPr>
          <w:rFonts w:ascii="Times New Roman" w:eastAsia="標楷體" w:hAnsi="Times New Roman" w:cs="Times New Roman"/>
        </w:rPr>
        <w:tab/>
      </w:r>
      <w:r w:rsidR="00D053FC" w:rsidRPr="0069274C">
        <w:rPr>
          <w:rFonts w:ascii="Times New Roman" w:eastAsia="標楷體" w:hAnsi="Times New Roman" w:cs="Times New Roman"/>
        </w:rPr>
        <w:t xml:space="preserve">The Deputy Commissioner summarized the Taxpayer’s claims in the objection in the following terms: During the relevant years of assessment, the Manager rendered services to it for the production of its chargeable profits. The Taxpayer paid the Manager’s Fees via </w:t>
      </w:r>
      <w:r w:rsidR="00C710B7">
        <w:rPr>
          <w:rFonts w:ascii="Times New Roman" w:eastAsia="標楷體" w:hAnsi="Times New Roman" w:cs="Times New Roman"/>
        </w:rPr>
        <w:t>Company N</w:t>
      </w:r>
      <w:r w:rsidR="00D053FC" w:rsidRPr="0069274C">
        <w:rPr>
          <w:rFonts w:ascii="Times New Roman" w:eastAsia="標楷體" w:hAnsi="Times New Roman" w:cs="Times New Roman"/>
        </w:rPr>
        <w:t xml:space="preserve"> and REIT </w:t>
      </w:r>
      <w:r w:rsidR="00C710B7">
        <w:rPr>
          <w:rFonts w:ascii="Times New Roman" w:eastAsia="標楷體" w:hAnsi="Times New Roman" w:cs="Times New Roman"/>
        </w:rPr>
        <w:t xml:space="preserve">K </w:t>
      </w:r>
      <w:r w:rsidR="00D053FC" w:rsidRPr="0069274C">
        <w:rPr>
          <w:rFonts w:ascii="Times New Roman" w:eastAsia="標楷體" w:hAnsi="Times New Roman" w:cs="Times New Roman"/>
        </w:rPr>
        <w:t>as it had been provided in the Trust Deed that asset management fees payable to the Manager were to be paid out of the Deposited Property (i</w:t>
      </w:r>
      <w:r w:rsidR="00C710B7">
        <w:rPr>
          <w:rFonts w:ascii="Times New Roman" w:eastAsia="標楷體" w:hAnsi="Times New Roman" w:cs="Times New Roman"/>
        </w:rPr>
        <w:t>.</w:t>
      </w:r>
      <w:r w:rsidR="00D053FC" w:rsidRPr="0069274C">
        <w:rPr>
          <w:rFonts w:ascii="Times New Roman" w:eastAsia="標楷體" w:hAnsi="Times New Roman" w:cs="Times New Roman"/>
        </w:rPr>
        <w:t>e</w:t>
      </w:r>
      <w:r w:rsidR="00C710B7">
        <w:rPr>
          <w:rFonts w:ascii="Times New Roman" w:eastAsia="標楷體" w:hAnsi="Times New Roman" w:cs="Times New Roman"/>
        </w:rPr>
        <w:t>.</w:t>
      </w:r>
      <w:r w:rsidR="00D053FC" w:rsidRPr="0069274C">
        <w:rPr>
          <w:rFonts w:ascii="Times New Roman" w:eastAsia="標楷體" w:hAnsi="Times New Roman" w:cs="Times New Roman"/>
        </w:rPr>
        <w:t xml:space="preserve"> the Property in the present case), which in effect meant by the Property Companies (i</w:t>
      </w:r>
      <w:r w:rsidR="00260FEE">
        <w:rPr>
          <w:rFonts w:ascii="Times New Roman" w:eastAsia="標楷體" w:hAnsi="Times New Roman" w:cs="Times New Roman"/>
        </w:rPr>
        <w:t>.</w:t>
      </w:r>
      <w:r w:rsidR="00D053FC" w:rsidRPr="0069274C">
        <w:rPr>
          <w:rFonts w:ascii="Times New Roman" w:eastAsia="標楷體" w:hAnsi="Times New Roman" w:cs="Times New Roman"/>
        </w:rPr>
        <w:t>e</w:t>
      </w:r>
      <w:r w:rsidR="00260FEE">
        <w:rPr>
          <w:rFonts w:ascii="Times New Roman" w:eastAsia="標楷體" w:hAnsi="Times New Roman" w:cs="Times New Roman"/>
        </w:rPr>
        <w:t>.</w:t>
      </w:r>
      <w:r w:rsidR="00D053FC" w:rsidRPr="0069274C">
        <w:rPr>
          <w:rFonts w:ascii="Times New Roman" w:eastAsia="標楷體" w:hAnsi="Times New Roman" w:cs="Times New Roman"/>
        </w:rPr>
        <w:t xml:space="preserve"> the Taxpayer in the present case) out of their rental income given that </w:t>
      </w:r>
      <w:r w:rsidR="00C710B7" w:rsidRPr="0069274C">
        <w:rPr>
          <w:rFonts w:ascii="Times New Roman" w:eastAsia="標楷體" w:hAnsi="Times New Roman" w:cs="Times New Roman"/>
        </w:rPr>
        <w:t xml:space="preserve">REIT </w:t>
      </w:r>
      <w:r w:rsidR="00C710B7">
        <w:rPr>
          <w:rFonts w:ascii="Times New Roman" w:eastAsia="標楷體" w:hAnsi="Times New Roman" w:cs="Times New Roman"/>
        </w:rPr>
        <w:t>K</w:t>
      </w:r>
      <w:r w:rsidR="00D053FC" w:rsidRPr="0069274C">
        <w:rPr>
          <w:rFonts w:ascii="Times New Roman" w:eastAsia="標楷體" w:hAnsi="Times New Roman" w:cs="Times New Roman"/>
        </w:rPr>
        <w:t xml:space="preserve"> was a trust and not a legal entity itself. Besides, by accepting the services rendered by the Manager and knowing the Manager expected to be paid, the Taxpayer came under a legal obligation to pay the Manager for the services. As there was sufficient nexus between the Manager’s Fees and the production of the Taxpayer’s chargeable profits, the Manager’s Fees should be deductible under section 16(1) of the IRO even if the Taxpayer had not pre-existing legal or contractual obligation to pay it. </w:t>
      </w:r>
    </w:p>
    <w:p w:rsidR="006B63BF" w:rsidRPr="0069274C" w:rsidRDefault="006B63BF"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F2631A" w:rsidRPr="0069274C" w:rsidRDefault="006B63BF"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lastRenderedPageBreak/>
        <w:t>(2)</w:t>
      </w:r>
      <w:r w:rsidR="00064D95">
        <w:rPr>
          <w:rFonts w:ascii="Times New Roman" w:eastAsia="標楷體" w:hAnsi="Times New Roman" w:cs="Times New Roman"/>
        </w:rPr>
        <w:tab/>
      </w:r>
      <w:r w:rsidR="00E72C3C" w:rsidRPr="0069274C">
        <w:rPr>
          <w:rFonts w:ascii="Times New Roman" w:eastAsia="標楷體" w:hAnsi="Times New Roman" w:cs="Times New Roman"/>
        </w:rPr>
        <w:t xml:space="preserve">The </w:t>
      </w:r>
      <w:r w:rsidR="00D053FC" w:rsidRPr="0069274C">
        <w:rPr>
          <w:rFonts w:ascii="Times New Roman" w:eastAsia="標楷體" w:hAnsi="Times New Roman" w:cs="Times New Roman"/>
        </w:rPr>
        <w:t>Deputy Commissioner was of the view that the Manager’s Fees were not incurred by the Taxpayer and that they were not incurred in the production of the Taxpayer’s chargeable profits</w:t>
      </w:r>
      <w:r w:rsidR="001F4398" w:rsidRPr="0069274C">
        <w:rPr>
          <w:rFonts w:ascii="Times New Roman" w:eastAsia="標楷體" w:hAnsi="Times New Roman" w:cs="Times New Roman"/>
        </w:rPr>
        <w:t>.</w:t>
      </w:r>
      <w:r w:rsidR="00D053FC" w:rsidRPr="0069274C">
        <w:rPr>
          <w:rFonts w:ascii="Times New Roman" w:eastAsia="標楷體" w:hAnsi="Times New Roman" w:cs="Times New Roman"/>
        </w:rPr>
        <w:t xml:space="preserve"> The Deputy Commissioner referred to the following matters below.</w:t>
      </w:r>
      <w:r w:rsidR="001F4398" w:rsidRPr="0069274C">
        <w:rPr>
          <w:rFonts w:ascii="Times New Roman" w:eastAsia="標楷體" w:hAnsi="Times New Roman" w:cs="Times New Roman"/>
        </w:rPr>
        <w:t xml:space="preserve"> </w:t>
      </w:r>
    </w:p>
    <w:p w:rsidR="00D15FD1" w:rsidRPr="0069274C" w:rsidRDefault="00D15FD1"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4422E3" w:rsidRPr="0069274C" w:rsidRDefault="00320F51"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w:t>
      </w:r>
      <w:r w:rsidR="006B63BF" w:rsidRPr="0069274C">
        <w:rPr>
          <w:rFonts w:ascii="Times New Roman" w:eastAsia="標楷體" w:hAnsi="Times New Roman" w:cs="Times New Roman"/>
        </w:rPr>
        <w:t>3</w:t>
      </w:r>
      <w:r w:rsidRPr="0069274C">
        <w:rPr>
          <w:rFonts w:ascii="Times New Roman" w:eastAsia="標楷體" w:hAnsi="Times New Roman" w:cs="Times New Roman"/>
        </w:rPr>
        <w:t>)</w:t>
      </w:r>
      <w:r w:rsidR="00064D95">
        <w:rPr>
          <w:rFonts w:ascii="Times New Roman" w:eastAsia="標楷體" w:hAnsi="Times New Roman" w:cs="Times New Roman"/>
        </w:rPr>
        <w:tab/>
      </w:r>
      <w:r w:rsidR="00D053FC" w:rsidRPr="0069274C">
        <w:rPr>
          <w:rFonts w:ascii="Times New Roman" w:eastAsia="標楷體" w:hAnsi="Times New Roman" w:cs="Times New Roman"/>
        </w:rPr>
        <w:t xml:space="preserve">Although the Taxpayer was a special purpose vehicle of </w:t>
      </w:r>
      <w:r w:rsidR="00C710B7" w:rsidRPr="0069274C">
        <w:rPr>
          <w:rFonts w:ascii="Times New Roman" w:eastAsia="標楷體" w:hAnsi="Times New Roman" w:cs="Times New Roman"/>
        </w:rPr>
        <w:t xml:space="preserve">REIT </w:t>
      </w:r>
      <w:r w:rsidR="00C710B7">
        <w:rPr>
          <w:rFonts w:ascii="Times New Roman" w:eastAsia="標楷體" w:hAnsi="Times New Roman" w:cs="Times New Roman"/>
        </w:rPr>
        <w:t>K</w:t>
      </w:r>
      <w:r w:rsidR="00D053FC" w:rsidRPr="0069274C">
        <w:rPr>
          <w:rFonts w:ascii="Times New Roman" w:eastAsia="標楷體" w:hAnsi="Times New Roman" w:cs="Times New Roman"/>
        </w:rPr>
        <w:t>, they were separate and distinct</w:t>
      </w:r>
      <w:r w:rsidR="00073037" w:rsidRPr="0069274C">
        <w:rPr>
          <w:rFonts w:ascii="Times New Roman" w:eastAsia="標楷體" w:hAnsi="Times New Roman" w:cs="Times New Roman"/>
        </w:rPr>
        <w:t xml:space="preserve">. </w:t>
      </w:r>
      <w:r w:rsidR="00D053FC" w:rsidRPr="0069274C">
        <w:rPr>
          <w:rFonts w:ascii="Times New Roman" w:eastAsia="標楷體" w:hAnsi="Times New Roman" w:cs="Times New Roman"/>
        </w:rPr>
        <w:t xml:space="preserve">The Taxpayer had never been a party to the Trust Deed. The terms and conditions of the Trust Deed were binding on the Trustee, the Manager and the Holders. Clause </w:t>
      </w:r>
      <w:r w:rsidR="00196CB1">
        <w:rPr>
          <w:rFonts w:ascii="Times New Roman" w:eastAsia="標楷體" w:hAnsi="Times New Roman" w:cs="Times New Roman"/>
        </w:rPr>
        <w:t>B</w:t>
      </w:r>
      <w:r w:rsidR="00D053FC" w:rsidRPr="0069274C">
        <w:rPr>
          <w:rFonts w:ascii="Times New Roman" w:eastAsia="標楷體" w:hAnsi="Times New Roman" w:cs="Times New Roman"/>
        </w:rPr>
        <w:t xml:space="preserve">.4(a) of the Trust Deed provided that the Trustee had the fiduciary duty to hold the Deposited Property on trust for the benefit of the Holders, and to oversee the activities of the Manager. According to </w:t>
      </w:r>
      <w:r w:rsidR="00944390">
        <w:rPr>
          <w:rFonts w:ascii="Times New Roman" w:eastAsia="標楷體" w:hAnsi="Times New Roman" w:cs="Times New Roman"/>
        </w:rPr>
        <w:t>c</w:t>
      </w:r>
      <w:r w:rsidR="00D053FC" w:rsidRPr="0069274C">
        <w:rPr>
          <w:rFonts w:ascii="Times New Roman" w:eastAsia="標楷體" w:hAnsi="Times New Roman" w:cs="Times New Roman"/>
        </w:rPr>
        <w:t xml:space="preserve">lause </w:t>
      </w:r>
      <w:r w:rsidR="00196CB1">
        <w:rPr>
          <w:rFonts w:ascii="Times New Roman" w:eastAsia="標楷體" w:hAnsi="Times New Roman" w:cs="Times New Roman"/>
        </w:rPr>
        <w:t>C</w:t>
      </w:r>
      <w:r w:rsidR="00D053FC" w:rsidRPr="0069274C">
        <w:rPr>
          <w:rFonts w:ascii="Times New Roman" w:eastAsia="標楷體" w:hAnsi="Times New Roman" w:cs="Times New Roman"/>
        </w:rPr>
        <w:t xml:space="preserve">.1(a), the Manager was entitled to receive remuneration, which would be paid out of the Deposited Property. </w:t>
      </w:r>
      <w:r w:rsidR="00C710B7">
        <w:rPr>
          <w:rFonts w:ascii="Times New Roman" w:eastAsia="標楷體" w:hAnsi="Times New Roman" w:cs="Times New Roman"/>
        </w:rPr>
        <w:t>‘</w:t>
      </w:r>
      <w:r w:rsidR="00D053FC" w:rsidRPr="0069274C">
        <w:rPr>
          <w:rFonts w:ascii="Times New Roman" w:eastAsia="標楷體" w:hAnsi="Times New Roman" w:cs="Times New Roman"/>
        </w:rPr>
        <w:t>Deposited Property</w:t>
      </w:r>
      <w:r w:rsidR="00C710B7">
        <w:rPr>
          <w:rFonts w:ascii="Times New Roman" w:eastAsia="標楷體" w:hAnsi="Times New Roman" w:cs="Times New Roman"/>
        </w:rPr>
        <w:t>’</w:t>
      </w:r>
      <w:r w:rsidR="00D053FC" w:rsidRPr="0069274C">
        <w:rPr>
          <w:rFonts w:ascii="Times New Roman" w:eastAsia="標楷體" w:hAnsi="Times New Roman" w:cs="Times New Roman"/>
        </w:rPr>
        <w:t xml:space="preserve"> was defined in the Trust Deed as all the assets of </w:t>
      </w:r>
      <w:r w:rsidR="00C710B7" w:rsidRPr="0069274C">
        <w:rPr>
          <w:rFonts w:ascii="Times New Roman" w:eastAsia="標楷體" w:hAnsi="Times New Roman" w:cs="Times New Roman"/>
        </w:rPr>
        <w:t xml:space="preserve">REIT </w:t>
      </w:r>
      <w:r w:rsidR="00C710B7">
        <w:rPr>
          <w:rFonts w:ascii="Times New Roman" w:eastAsia="標楷體" w:hAnsi="Times New Roman" w:cs="Times New Roman"/>
        </w:rPr>
        <w:t>K</w:t>
      </w:r>
      <w:r w:rsidR="00D053FC" w:rsidRPr="0069274C">
        <w:rPr>
          <w:rFonts w:ascii="Times New Roman" w:eastAsia="標楷體" w:hAnsi="Times New Roman" w:cs="Times New Roman"/>
        </w:rPr>
        <w:t xml:space="preserve">, including but not limited to those held through </w:t>
      </w:r>
      <w:r w:rsidR="00C710B7">
        <w:rPr>
          <w:rFonts w:ascii="Times New Roman" w:eastAsia="標楷體" w:hAnsi="Times New Roman" w:cs="Times New Roman"/>
        </w:rPr>
        <w:t>Special Purpose Vehicles (‘</w:t>
      </w:r>
      <w:r w:rsidR="00D053FC" w:rsidRPr="0069274C">
        <w:rPr>
          <w:rFonts w:ascii="Times New Roman" w:eastAsia="標楷體" w:hAnsi="Times New Roman" w:cs="Times New Roman"/>
        </w:rPr>
        <w:t>SPVs</w:t>
      </w:r>
      <w:r w:rsidR="00C710B7">
        <w:rPr>
          <w:rFonts w:ascii="Times New Roman" w:eastAsia="標楷體" w:hAnsi="Times New Roman" w:cs="Times New Roman"/>
        </w:rPr>
        <w:t>’)</w:t>
      </w:r>
      <w:r w:rsidR="00D053FC" w:rsidRPr="0069274C">
        <w:rPr>
          <w:rFonts w:ascii="Times New Roman" w:eastAsia="標楷體" w:hAnsi="Times New Roman" w:cs="Times New Roman"/>
        </w:rPr>
        <w:t xml:space="preserve">. It was plain from the above provisions of the Trust Deed that the Trustee who held the Deposited Property on trust for the benefit of the Holders had the legal obligation to pay the asset management fees to the Manager out of the Deposited Property. Given the fact that the special purpose vehicles were obliged to distribute to </w:t>
      </w:r>
      <w:r w:rsidR="00B33666" w:rsidRPr="0069274C">
        <w:rPr>
          <w:rFonts w:ascii="Times New Roman" w:eastAsia="標楷體" w:hAnsi="Times New Roman" w:cs="Times New Roman"/>
        </w:rPr>
        <w:t xml:space="preserve">REIT </w:t>
      </w:r>
      <w:r w:rsidR="00B33666">
        <w:rPr>
          <w:rFonts w:ascii="Times New Roman" w:eastAsia="標楷體" w:hAnsi="Times New Roman" w:cs="Times New Roman"/>
        </w:rPr>
        <w:t>K</w:t>
      </w:r>
      <w:r w:rsidR="00D053FC" w:rsidRPr="0069274C">
        <w:rPr>
          <w:rFonts w:ascii="Times New Roman" w:eastAsia="標楷體" w:hAnsi="Times New Roman" w:cs="Times New Roman"/>
        </w:rPr>
        <w:t xml:space="preserve"> all of their income attributable t</w:t>
      </w:r>
      <w:r w:rsidR="003F52E8" w:rsidRPr="0069274C">
        <w:rPr>
          <w:rFonts w:ascii="Times New Roman" w:eastAsia="標楷體" w:hAnsi="Times New Roman" w:cs="Times New Roman"/>
        </w:rPr>
        <w:t>o</w:t>
      </w:r>
      <w:r w:rsidR="00D053FC" w:rsidRPr="0069274C">
        <w:rPr>
          <w:rFonts w:ascii="Times New Roman" w:eastAsia="標楷體" w:hAnsi="Times New Roman" w:cs="Times New Roman"/>
        </w:rPr>
        <w:t xml:space="preserve"> </w:t>
      </w:r>
      <w:r w:rsidR="00B33666" w:rsidRPr="0069274C">
        <w:rPr>
          <w:rFonts w:ascii="Times New Roman" w:eastAsia="標楷體" w:hAnsi="Times New Roman" w:cs="Times New Roman"/>
        </w:rPr>
        <w:t xml:space="preserve">REIT </w:t>
      </w:r>
      <w:r w:rsidR="00B33666">
        <w:rPr>
          <w:rFonts w:ascii="Times New Roman" w:eastAsia="標楷體" w:hAnsi="Times New Roman" w:cs="Times New Roman"/>
        </w:rPr>
        <w:t>K</w:t>
      </w:r>
      <w:r w:rsidR="00D053FC" w:rsidRPr="0069274C">
        <w:rPr>
          <w:rFonts w:ascii="Times New Roman" w:eastAsia="標楷體" w:hAnsi="Times New Roman" w:cs="Times New Roman"/>
        </w:rPr>
        <w:t xml:space="preserve">, the Trustee had the necessary funding to pay the Manager. </w:t>
      </w:r>
    </w:p>
    <w:p w:rsidR="004422E3" w:rsidRPr="0069274C" w:rsidRDefault="004422E3"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2574A6" w:rsidRPr="0069274C" w:rsidRDefault="004422E3"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(4)</w:t>
      </w:r>
      <w:r w:rsidR="00064D95">
        <w:rPr>
          <w:rFonts w:ascii="Times New Roman" w:eastAsia="標楷體" w:hAnsi="Times New Roman" w:cs="Times New Roman"/>
        </w:rPr>
        <w:tab/>
      </w:r>
      <w:r w:rsidR="007767A5" w:rsidRPr="0069274C">
        <w:rPr>
          <w:rFonts w:ascii="Times New Roman" w:eastAsia="標楷體" w:hAnsi="Times New Roman" w:cs="Times New Roman"/>
        </w:rPr>
        <w:t xml:space="preserve">Pursuant to the Trust Deed, the Manager managed </w:t>
      </w:r>
      <w:r w:rsidR="00B33666" w:rsidRPr="0069274C">
        <w:rPr>
          <w:rFonts w:ascii="Times New Roman" w:eastAsia="標楷體" w:hAnsi="Times New Roman" w:cs="Times New Roman"/>
        </w:rPr>
        <w:t xml:space="preserve">REIT </w:t>
      </w:r>
      <w:r w:rsidR="00B33666">
        <w:rPr>
          <w:rFonts w:ascii="Times New Roman" w:eastAsia="標楷體" w:hAnsi="Times New Roman" w:cs="Times New Roman"/>
        </w:rPr>
        <w:t>K</w:t>
      </w:r>
      <w:r w:rsidR="007767A5" w:rsidRPr="0069274C">
        <w:rPr>
          <w:rFonts w:ascii="Times New Roman" w:eastAsia="標楷體" w:hAnsi="Times New Roman" w:cs="Times New Roman"/>
        </w:rPr>
        <w:t xml:space="preserve"> and the Deposited Property and issued debit notes to the Trustee demanding the payment of asset management fees. The asset management fees incurred by </w:t>
      </w:r>
      <w:r w:rsidR="00B33666" w:rsidRPr="0069274C">
        <w:rPr>
          <w:rFonts w:ascii="Times New Roman" w:eastAsia="標楷體" w:hAnsi="Times New Roman" w:cs="Times New Roman"/>
        </w:rPr>
        <w:t xml:space="preserve">REIT </w:t>
      </w:r>
      <w:r w:rsidR="00B33666">
        <w:rPr>
          <w:rFonts w:ascii="Times New Roman" w:eastAsia="標楷體" w:hAnsi="Times New Roman" w:cs="Times New Roman"/>
        </w:rPr>
        <w:t>K</w:t>
      </w:r>
      <w:r w:rsidR="007767A5" w:rsidRPr="0069274C">
        <w:rPr>
          <w:rFonts w:ascii="Times New Roman" w:eastAsia="標楷體" w:hAnsi="Times New Roman" w:cs="Times New Roman"/>
        </w:rPr>
        <w:t xml:space="preserve"> were settled </w:t>
      </w:r>
      <w:r w:rsidR="000F4A5A" w:rsidRPr="0069274C">
        <w:rPr>
          <w:rFonts w:ascii="Times New Roman" w:eastAsia="標楷體" w:hAnsi="Times New Roman" w:cs="Times New Roman"/>
        </w:rPr>
        <w:t>b</w:t>
      </w:r>
      <w:r w:rsidR="007767A5" w:rsidRPr="0069274C">
        <w:rPr>
          <w:rFonts w:ascii="Times New Roman" w:eastAsia="標楷體" w:hAnsi="Times New Roman" w:cs="Times New Roman"/>
        </w:rPr>
        <w:t>y the Trustee by issuance of Units and payment of cash. All these were consistent with the contractual relationship as illustrated in the diagrams in the Offering Circular</w:t>
      </w:r>
      <w:r w:rsidR="00073037" w:rsidRPr="0069274C">
        <w:rPr>
          <w:rFonts w:ascii="Times New Roman" w:eastAsia="標楷體" w:hAnsi="Times New Roman" w:cs="Times New Roman"/>
        </w:rPr>
        <w:t xml:space="preserve">. </w:t>
      </w:r>
    </w:p>
    <w:p w:rsidR="004422E3" w:rsidRPr="0069274C" w:rsidRDefault="004422E3"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4422E3" w:rsidRPr="0069274C" w:rsidRDefault="004422E3"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(5)</w:t>
      </w:r>
      <w:r w:rsidR="00064D95">
        <w:rPr>
          <w:rFonts w:ascii="Times New Roman" w:eastAsia="標楷體" w:hAnsi="Times New Roman" w:cs="Times New Roman"/>
        </w:rPr>
        <w:tab/>
      </w:r>
      <w:r w:rsidR="007767A5" w:rsidRPr="0069274C">
        <w:rPr>
          <w:rFonts w:ascii="Times New Roman" w:eastAsia="標楷體" w:hAnsi="Times New Roman" w:cs="Times New Roman"/>
        </w:rPr>
        <w:t xml:space="preserve">There should be no dispute that </w:t>
      </w:r>
      <w:r w:rsidR="00B33666" w:rsidRPr="0069274C">
        <w:rPr>
          <w:rFonts w:ascii="Times New Roman" w:eastAsia="標楷體" w:hAnsi="Times New Roman" w:cs="Times New Roman"/>
        </w:rPr>
        <w:t xml:space="preserve">REIT </w:t>
      </w:r>
      <w:r w:rsidR="00B33666">
        <w:rPr>
          <w:rFonts w:ascii="Times New Roman" w:eastAsia="標楷體" w:hAnsi="Times New Roman" w:cs="Times New Roman"/>
        </w:rPr>
        <w:t>K</w:t>
      </w:r>
      <w:r w:rsidR="007767A5" w:rsidRPr="0069274C">
        <w:rPr>
          <w:rFonts w:ascii="Times New Roman" w:eastAsia="標楷體" w:hAnsi="Times New Roman" w:cs="Times New Roman"/>
        </w:rPr>
        <w:t xml:space="preserve"> may incur expenses under the Trust Deed</w:t>
      </w:r>
      <w:r w:rsidR="00B07141" w:rsidRPr="0069274C">
        <w:rPr>
          <w:rFonts w:ascii="Times New Roman" w:eastAsia="標楷體" w:hAnsi="Times New Roman" w:cs="Times New Roman"/>
        </w:rPr>
        <w:t>.</w:t>
      </w:r>
      <w:r w:rsidR="007767A5" w:rsidRPr="0069274C">
        <w:rPr>
          <w:rFonts w:ascii="Times New Roman" w:eastAsia="標楷體" w:hAnsi="Times New Roman" w:cs="Times New Roman"/>
        </w:rPr>
        <w:t xml:space="preserve"> Reference was made to clause </w:t>
      </w:r>
      <w:r w:rsidR="00196CB1">
        <w:rPr>
          <w:rFonts w:ascii="Times New Roman" w:eastAsia="標楷體" w:hAnsi="Times New Roman" w:cs="Times New Roman"/>
        </w:rPr>
        <w:t>A</w:t>
      </w:r>
      <w:r w:rsidR="007767A5" w:rsidRPr="0069274C">
        <w:rPr>
          <w:rFonts w:ascii="Times New Roman" w:eastAsia="標楷體" w:hAnsi="Times New Roman" w:cs="Times New Roman"/>
        </w:rPr>
        <w:t xml:space="preserve">.7 of the Trust Deed in this regard. It followed that the asset management fees paid out of the Deposited Property in accordance with the Trust Deed should also be recognized as an expense of </w:t>
      </w:r>
      <w:r w:rsidR="00B33666" w:rsidRPr="0069274C">
        <w:rPr>
          <w:rFonts w:ascii="Times New Roman" w:eastAsia="標楷體" w:hAnsi="Times New Roman" w:cs="Times New Roman"/>
        </w:rPr>
        <w:t xml:space="preserve">REIT </w:t>
      </w:r>
      <w:r w:rsidR="00B33666">
        <w:rPr>
          <w:rFonts w:ascii="Times New Roman" w:eastAsia="標楷體" w:hAnsi="Times New Roman" w:cs="Times New Roman"/>
        </w:rPr>
        <w:t>K</w:t>
      </w:r>
      <w:r w:rsidR="007767A5" w:rsidRPr="0069274C">
        <w:rPr>
          <w:rFonts w:ascii="Times New Roman" w:eastAsia="標楷體" w:hAnsi="Times New Roman" w:cs="Times New Roman"/>
        </w:rPr>
        <w:t xml:space="preserve">. </w:t>
      </w:r>
    </w:p>
    <w:p w:rsidR="004422E3" w:rsidRPr="0069274C" w:rsidRDefault="004422E3"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4422E3" w:rsidRPr="0069274C" w:rsidRDefault="004422E3"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(6)</w:t>
      </w:r>
      <w:r w:rsidR="00064D95">
        <w:rPr>
          <w:rFonts w:ascii="Times New Roman" w:eastAsia="標楷體" w:hAnsi="Times New Roman" w:cs="Times New Roman"/>
        </w:rPr>
        <w:tab/>
      </w:r>
      <w:r w:rsidR="00B07141" w:rsidRPr="0069274C">
        <w:rPr>
          <w:rFonts w:ascii="Times New Roman" w:eastAsia="標楷體" w:hAnsi="Times New Roman" w:cs="Times New Roman"/>
        </w:rPr>
        <w:t xml:space="preserve">The </w:t>
      </w:r>
      <w:r w:rsidR="007767A5" w:rsidRPr="0069274C">
        <w:rPr>
          <w:rFonts w:ascii="Times New Roman" w:eastAsia="標楷體" w:hAnsi="Times New Roman" w:cs="Times New Roman"/>
        </w:rPr>
        <w:t>Trust Deed did not provide that the Taxpayer had an obligation to pay the Manager</w:t>
      </w:r>
      <w:r w:rsidR="00166FED" w:rsidRPr="0069274C">
        <w:rPr>
          <w:rFonts w:ascii="Times New Roman" w:eastAsia="標楷體" w:hAnsi="Times New Roman" w:cs="Times New Roman"/>
        </w:rPr>
        <w:t>.</w:t>
      </w:r>
      <w:r w:rsidR="007767A5" w:rsidRPr="0069274C">
        <w:rPr>
          <w:rFonts w:ascii="Times New Roman" w:eastAsia="標楷體" w:hAnsi="Times New Roman" w:cs="Times New Roman"/>
        </w:rPr>
        <w:t xml:space="preserve"> There was no evidence that the Trustee and the Taxpayer had entered into a recharge agreement in respect of the Manager’s Fees or a ratification agreement with the Manager similar to those concerning the Property Manager’s Fees. In the absence of such an agreement, there was no formal legal basis for the Trustee to charge the Taxpayer the Manager’s Fees on its own. If the Manager’s Fees were to be borne by the Taxpayer, it should have been expressly stated in the Offering Circular as in the case of the Property Manager’s Fees.</w:t>
      </w:r>
      <w:r w:rsidR="00166FED" w:rsidRPr="0069274C">
        <w:rPr>
          <w:rFonts w:ascii="Times New Roman" w:eastAsia="標楷體" w:hAnsi="Times New Roman" w:cs="Times New Roman"/>
        </w:rPr>
        <w:t xml:space="preserve"> </w:t>
      </w:r>
    </w:p>
    <w:p w:rsidR="004422E3" w:rsidRPr="0069274C" w:rsidRDefault="004422E3"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F069BC" w:rsidRPr="0069274C" w:rsidRDefault="004422E3"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(7)</w:t>
      </w:r>
      <w:r w:rsidR="00064D95">
        <w:rPr>
          <w:rFonts w:ascii="Times New Roman" w:eastAsia="標楷體" w:hAnsi="Times New Roman" w:cs="Times New Roman"/>
        </w:rPr>
        <w:tab/>
      </w:r>
      <w:r w:rsidR="00166FED" w:rsidRPr="0069274C">
        <w:rPr>
          <w:rFonts w:ascii="Times New Roman" w:eastAsia="標楷體" w:hAnsi="Times New Roman" w:cs="Times New Roman"/>
        </w:rPr>
        <w:t xml:space="preserve">The </w:t>
      </w:r>
      <w:r w:rsidR="007767A5" w:rsidRPr="0069274C">
        <w:rPr>
          <w:rFonts w:ascii="Times New Roman" w:eastAsia="標楷體" w:hAnsi="Times New Roman" w:cs="Times New Roman"/>
        </w:rPr>
        <w:t xml:space="preserve">Trust Deed and the REIT Code made it apparent that the Manager was appointed by the Trustee to manage and operate </w:t>
      </w:r>
      <w:r w:rsidR="00B33666" w:rsidRPr="0069274C">
        <w:rPr>
          <w:rFonts w:ascii="Times New Roman" w:eastAsia="標楷體" w:hAnsi="Times New Roman" w:cs="Times New Roman"/>
        </w:rPr>
        <w:t xml:space="preserve">REIT </w:t>
      </w:r>
      <w:r w:rsidR="00B33666">
        <w:rPr>
          <w:rFonts w:ascii="Times New Roman" w:eastAsia="標楷體" w:hAnsi="Times New Roman" w:cs="Times New Roman"/>
        </w:rPr>
        <w:t>K</w:t>
      </w:r>
      <w:r w:rsidR="007767A5" w:rsidRPr="0069274C">
        <w:rPr>
          <w:rFonts w:ascii="Times New Roman" w:eastAsia="標楷體" w:hAnsi="Times New Roman" w:cs="Times New Roman"/>
        </w:rPr>
        <w:t xml:space="preserve"> and to comply with the REIT Code for the benefit of </w:t>
      </w:r>
      <w:r w:rsidR="00B33666" w:rsidRPr="0069274C">
        <w:rPr>
          <w:rFonts w:ascii="Times New Roman" w:eastAsia="標楷體" w:hAnsi="Times New Roman" w:cs="Times New Roman"/>
        </w:rPr>
        <w:t xml:space="preserve">REIT </w:t>
      </w:r>
      <w:r w:rsidR="00B33666">
        <w:rPr>
          <w:rFonts w:ascii="Times New Roman" w:eastAsia="標楷體" w:hAnsi="Times New Roman" w:cs="Times New Roman"/>
        </w:rPr>
        <w:t>K</w:t>
      </w:r>
      <w:r w:rsidR="007767A5" w:rsidRPr="0069274C">
        <w:rPr>
          <w:rFonts w:ascii="Times New Roman" w:eastAsia="標楷體" w:hAnsi="Times New Roman" w:cs="Times New Roman"/>
        </w:rPr>
        <w:t xml:space="preserve"> as a whole. The Manager’s services in respect of the Taxpayer (a special purpose vehicle) and the Property (the assets held by such special purpose vehicle) were part and parcel of its duties and power to manage and operate </w:t>
      </w:r>
      <w:r w:rsidR="00B33666" w:rsidRPr="0069274C">
        <w:rPr>
          <w:rFonts w:ascii="Times New Roman" w:eastAsia="標楷體" w:hAnsi="Times New Roman" w:cs="Times New Roman"/>
        </w:rPr>
        <w:t xml:space="preserve">REIT </w:t>
      </w:r>
      <w:r w:rsidR="00B33666">
        <w:rPr>
          <w:rFonts w:ascii="Times New Roman" w:eastAsia="標楷體" w:hAnsi="Times New Roman" w:cs="Times New Roman"/>
        </w:rPr>
        <w:t>K</w:t>
      </w:r>
      <w:r w:rsidR="007767A5" w:rsidRPr="0069274C">
        <w:rPr>
          <w:rFonts w:ascii="Times New Roman" w:eastAsia="標楷體" w:hAnsi="Times New Roman" w:cs="Times New Roman"/>
        </w:rPr>
        <w:t xml:space="preserve"> and to comply with the REIT Code. If not being a special purpose vehicle of </w:t>
      </w:r>
      <w:r w:rsidR="00B33666" w:rsidRPr="0069274C">
        <w:rPr>
          <w:rFonts w:ascii="Times New Roman" w:eastAsia="標楷體" w:hAnsi="Times New Roman" w:cs="Times New Roman"/>
        </w:rPr>
        <w:t xml:space="preserve">REIT </w:t>
      </w:r>
      <w:r w:rsidR="00B33666">
        <w:rPr>
          <w:rFonts w:ascii="Times New Roman" w:eastAsia="標楷體" w:hAnsi="Times New Roman" w:cs="Times New Roman"/>
        </w:rPr>
        <w:t>K</w:t>
      </w:r>
      <w:r w:rsidR="007767A5" w:rsidRPr="0069274C">
        <w:rPr>
          <w:rFonts w:ascii="Times New Roman" w:eastAsia="標楷體" w:hAnsi="Times New Roman" w:cs="Times New Roman"/>
        </w:rPr>
        <w:t xml:space="preserve">, it was inconceivable that the Taxpayer, being a property holding company, would need a two-tier operation structure, including the appointment of the Manager which was a licensed entity under the SFO, to manage it and the Property and to supervise the Property Manager. </w:t>
      </w:r>
    </w:p>
    <w:p w:rsidR="00F069BC" w:rsidRPr="0069274C" w:rsidRDefault="00F069BC"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F069BC" w:rsidRPr="0069274C" w:rsidRDefault="00F069BC"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(8)</w:t>
      </w:r>
      <w:r w:rsidR="00064D95">
        <w:rPr>
          <w:rFonts w:ascii="Times New Roman" w:eastAsia="標楷體" w:hAnsi="Times New Roman" w:cs="Times New Roman"/>
        </w:rPr>
        <w:tab/>
      </w:r>
      <w:r w:rsidRPr="0069274C">
        <w:rPr>
          <w:rFonts w:ascii="Times New Roman" w:eastAsia="標楷體" w:hAnsi="Times New Roman" w:cs="Times New Roman"/>
        </w:rPr>
        <w:t>The Manager was properly remunerated by the Trustee in accordance with the Trust Deed. Any enrichment to the Taxpayer was not at the expense of the Manager</w:t>
      </w:r>
      <w:r w:rsidR="008A19B1" w:rsidRPr="0069274C">
        <w:rPr>
          <w:rFonts w:ascii="Times New Roman" w:eastAsia="標楷體" w:hAnsi="Times New Roman" w:cs="Times New Roman"/>
        </w:rPr>
        <w:t>.</w:t>
      </w:r>
      <w:r w:rsidRPr="0069274C">
        <w:rPr>
          <w:rFonts w:ascii="Times New Roman" w:eastAsia="標楷體" w:hAnsi="Times New Roman" w:cs="Times New Roman"/>
        </w:rPr>
        <w:t xml:space="preserve"> If the Manager was the claimant, one of the factors for a restitutionary claim was not satisfied. There was no evidence that the alleged acceptance of the Manager’s services by the Taxpayer would give rise to an obligation to pay the Manager’s Fees under the law of restitution. </w:t>
      </w:r>
    </w:p>
    <w:p w:rsidR="00F069BC" w:rsidRPr="0069274C" w:rsidRDefault="00F069BC"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8A19B1" w:rsidRPr="0069274C" w:rsidRDefault="00F069BC"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(9)</w:t>
      </w:r>
      <w:r w:rsidR="00064D95">
        <w:rPr>
          <w:rFonts w:ascii="Times New Roman" w:eastAsia="標楷體" w:hAnsi="Times New Roman" w:cs="Times New Roman"/>
        </w:rPr>
        <w:tab/>
      </w:r>
      <w:r w:rsidRPr="0069274C">
        <w:rPr>
          <w:rFonts w:ascii="Times New Roman" w:eastAsia="標楷體" w:hAnsi="Times New Roman" w:cs="Times New Roman"/>
        </w:rPr>
        <w:t xml:space="preserve">The asset management fees fell within the responsibility of the Trustee, who oversaw the activities of the Manager and were incurred for the sole interests of the Holders. The Taxpayer was not obliged to make payment of the Manager’s Fees. The Taxpayer had not adduced any evidence to show that it had paid via </w:t>
      </w:r>
      <w:r w:rsidR="00B33666">
        <w:rPr>
          <w:rFonts w:ascii="Times New Roman" w:eastAsia="標楷體" w:hAnsi="Times New Roman" w:cs="Times New Roman"/>
        </w:rPr>
        <w:t>Company N</w:t>
      </w:r>
      <w:r w:rsidRPr="0069274C">
        <w:rPr>
          <w:rFonts w:ascii="Times New Roman" w:eastAsia="標楷體" w:hAnsi="Times New Roman" w:cs="Times New Roman"/>
        </w:rPr>
        <w:t xml:space="preserve"> to </w:t>
      </w:r>
      <w:r w:rsidR="00B33666" w:rsidRPr="0069274C">
        <w:rPr>
          <w:rFonts w:ascii="Times New Roman" w:eastAsia="標楷體" w:hAnsi="Times New Roman" w:cs="Times New Roman"/>
        </w:rPr>
        <w:t xml:space="preserve">REIT </w:t>
      </w:r>
      <w:r w:rsidR="00B33666">
        <w:rPr>
          <w:rFonts w:ascii="Times New Roman" w:eastAsia="標楷體" w:hAnsi="Times New Roman" w:cs="Times New Roman"/>
        </w:rPr>
        <w:t>K</w:t>
      </w:r>
      <w:r w:rsidRPr="0069274C">
        <w:rPr>
          <w:rFonts w:ascii="Times New Roman" w:eastAsia="標楷體" w:hAnsi="Times New Roman" w:cs="Times New Roman"/>
        </w:rPr>
        <w:t xml:space="preserve"> the portion of the Manager’s Fees which was settled by the Trustee by issuing the Units. Even if payment was made by the Taxpayer via </w:t>
      </w:r>
      <w:r w:rsidR="003A6BA1">
        <w:rPr>
          <w:rFonts w:ascii="Times New Roman" w:eastAsia="標楷體" w:hAnsi="Times New Roman" w:cs="Times New Roman"/>
        </w:rPr>
        <w:t>Company N</w:t>
      </w:r>
      <w:r w:rsidRPr="0069274C">
        <w:rPr>
          <w:rFonts w:ascii="Times New Roman" w:eastAsia="標楷體" w:hAnsi="Times New Roman" w:cs="Times New Roman"/>
        </w:rPr>
        <w:t xml:space="preserve"> to </w:t>
      </w:r>
      <w:r w:rsidR="00B33666" w:rsidRPr="0069274C">
        <w:rPr>
          <w:rFonts w:ascii="Times New Roman" w:eastAsia="標楷體" w:hAnsi="Times New Roman" w:cs="Times New Roman"/>
        </w:rPr>
        <w:t xml:space="preserve">REIT </w:t>
      </w:r>
      <w:r w:rsidR="00B33666">
        <w:rPr>
          <w:rFonts w:ascii="Times New Roman" w:eastAsia="標楷體" w:hAnsi="Times New Roman" w:cs="Times New Roman"/>
        </w:rPr>
        <w:t>K</w:t>
      </w:r>
      <w:r w:rsidRPr="0069274C">
        <w:rPr>
          <w:rFonts w:ascii="Times New Roman" w:eastAsia="標楷體" w:hAnsi="Times New Roman" w:cs="Times New Roman"/>
        </w:rPr>
        <w:t xml:space="preserve"> in respect of the portion of the Manager’s Fees which were settled by cash, it could be a loan or distribution of the Taxpayer’s income under </w:t>
      </w:r>
      <w:r w:rsidR="00944390" w:rsidRPr="00CC7D65">
        <w:rPr>
          <w:rFonts w:ascii="Times New Roman" w:eastAsia="標楷體" w:hAnsi="Times New Roman" w:cs="Times New Roman"/>
        </w:rPr>
        <w:t>c</w:t>
      </w:r>
      <w:r w:rsidRPr="00CC7D65">
        <w:rPr>
          <w:rFonts w:ascii="Times New Roman" w:eastAsia="標楷體" w:hAnsi="Times New Roman" w:cs="Times New Roman"/>
        </w:rPr>
        <w:t xml:space="preserve">lause </w:t>
      </w:r>
      <w:r w:rsidR="00196CB1">
        <w:rPr>
          <w:rFonts w:ascii="Times New Roman" w:eastAsia="標楷體" w:hAnsi="Times New Roman" w:cs="Times New Roman"/>
        </w:rPr>
        <w:t>D.7</w:t>
      </w:r>
      <w:r w:rsidRPr="0069274C">
        <w:rPr>
          <w:rFonts w:ascii="Times New Roman" w:eastAsia="標楷體" w:hAnsi="Times New Roman" w:cs="Times New Roman"/>
        </w:rPr>
        <w:t xml:space="preserve"> of the Trust Deed and was not an expense or outgoing of the Taxpayer incurred in production of its chargeable profits and thus did not qualify as deduction under section 16(1). </w:t>
      </w:r>
    </w:p>
    <w:p w:rsidR="00EC4B71" w:rsidRPr="0069274C" w:rsidRDefault="00EC4B71" w:rsidP="00156E21">
      <w:pPr>
        <w:overflowPunct w:val="0"/>
        <w:autoSpaceDE w:val="0"/>
        <w:autoSpaceDN w:val="0"/>
        <w:jc w:val="both"/>
        <w:rPr>
          <w:rFonts w:ascii="Times New Roman" w:eastAsia="標楷體" w:hAnsi="Times New Roman" w:cs="Times New Roman"/>
        </w:rPr>
      </w:pPr>
    </w:p>
    <w:p w:rsidR="004E5B39" w:rsidRPr="0069274C" w:rsidRDefault="00EC4B71"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The </w:t>
      </w:r>
      <w:r w:rsidR="00F62FDC" w:rsidRPr="0069274C">
        <w:rPr>
          <w:rFonts w:ascii="Times New Roman" w:eastAsia="標楷體" w:hAnsi="Times New Roman" w:cs="Times New Roman"/>
        </w:rPr>
        <w:t xml:space="preserve">Deputy Commissioner </w:t>
      </w:r>
      <w:r w:rsidR="00E558E7" w:rsidRPr="0069274C">
        <w:rPr>
          <w:rFonts w:ascii="Times New Roman" w:eastAsia="標楷體" w:hAnsi="Times New Roman" w:cs="Times New Roman"/>
        </w:rPr>
        <w:t>endorsed the</w:t>
      </w:r>
      <w:r w:rsidR="00F069BC" w:rsidRPr="0069274C">
        <w:rPr>
          <w:rFonts w:ascii="Times New Roman" w:eastAsia="標楷體" w:hAnsi="Times New Roman" w:cs="Times New Roman"/>
        </w:rPr>
        <w:t xml:space="preserve"> revised</w:t>
      </w:r>
      <w:r w:rsidR="00E558E7" w:rsidRPr="0069274C">
        <w:rPr>
          <w:rFonts w:ascii="Times New Roman" w:eastAsia="標楷體" w:hAnsi="Times New Roman" w:cs="Times New Roman"/>
        </w:rPr>
        <w:t xml:space="preserve"> tax computation put forward by the Assessor of the Revenue, which allowed </w:t>
      </w:r>
      <w:r w:rsidR="00F069BC" w:rsidRPr="0069274C">
        <w:rPr>
          <w:rFonts w:ascii="Times New Roman" w:eastAsia="標楷體" w:hAnsi="Times New Roman" w:cs="Times New Roman"/>
        </w:rPr>
        <w:t>the deduction of the Property Manager’s Fees</w:t>
      </w:r>
      <w:r w:rsidR="00574720" w:rsidRPr="0069274C">
        <w:rPr>
          <w:rFonts w:ascii="Times New Roman" w:eastAsia="標楷體" w:hAnsi="Times New Roman" w:cs="Times New Roman"/>
        </w:rPr>
        <w:t>.</w:t>
      </w:r>
      <w:r w:rsidR="00E558E7" w:rsidRPr="0069274C">
        <w:rPr>
          <w:rFonts w:ascii="Times New Roman" w:eastAsia="標楷體" w:hAnsi="Times New Roman" w:cs="Times New Roman"/>
        </w:rPr>
        <w:t xml:space="preserve"> </w:t>
      </w:r>
      <w:r w:rsidR="00EC2D80" w:rsidRPr="0069274C">
        <w:rPr>
          <w:rFonts w:ascii="Times New Roman" w:eastAsia="標楷體" w:hAnsi="Times New Roman" w:cs="Times New Roman"/>
        </w:rPr>
        <w:t xml:space="preserve"> </w:t>
      </w:r>
    </w:p>
    <w:p w:rsidR="004E5B39" w:rsidRPr="0069274C" w:rsidRDefault="004E5B39" w:rsidP="00156E21">
      <w:pPr>
        <w:pStyle w:val="a3"/>
        <w:overflowPunct w:val="0"/>
        <w:autoSpaceDE w:val="0"/>
        <w:autoSpaceDN w:val="0"/>
        <w:ind w:left="0"/>
        <w:jc w:val="both"/>
        <w:rPr>
          <w:rFonts w:ascii="Times New Roman" w:eastAsia="標楷體" w:hAnsi="Times New Roman" w:cs="Times New Roman"/>
        </w:rPr>
      </w:pPr>
    </w:p>
    <w:p w:rsidR="002844E1" w:rsidRPr="0069274C" w:rsidRDefault="00105A81"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The Deputy Commissioner </w:t>
      </w:r>
      <w:r w:rsidR="00E558E7" w:rsidRPr="0069274C">
        <w:rPr>
          <w:rFonts w:ascii="Times New Roman" w:eastAsia="標楷體" w:hAnsi="Times New Roman" w:cs="Times New Roman"/>
        </w:rPr>
        <w:t xml:space="preserve">therefore rejected the Taxpayer’s objection and revised the </w:t>
      </w:r>
      <w:r w:rsidR="00F069BC" w:rsidRPr="0069274C">
        <w:rPr>
          <w:rFonts w:ascii="Times New Roman" w:eastAsia="標楷體" w:hAnsi="Times New Roman" w:cs="Times New Roman"/>
        </w:rPr>
        <w:t>Additional Profits</w:t>
      </w:r>
      <w:r w:rsidR="00E558E7" w:rsidRPr="0069274C">
        <w:rPr>
          <w:rFonts w:ascii="Times New Roman" w:eastAsia="標楷體" w:hAnsi="Times New Roman" w:cs="Times New Roman"/>
        </w:rPr>
        <w:t xml:space="preserve"> Tax </w:t>
      </w:r>
      <w:r w:rsidR="004012A2">
        <w:rPr>
          <w:rFonts w:ascii="Times New Roman" w:eastAsia="標楷體" w:hAnsi="Times New Roman" w:cs="Times New Roman"/>
        </w:rPr>
        <w:t>A</w:t>
      </w:r>
      <w:r w:rsidR="00E558E7" w:rsidRPr="0069274C">
        <w:rPr>
          <w:rFonts w:ascii="Times New Roman" w:eastAsia="標楷體" w:hAnsi="Times New Roman" w:cs="Times New Roman"/>
        </w:rPr>
        <w:t>ssessment for the year</w:t>
      </w:r>
      <w:r w:rsidR="00F069BC" w:rsidRPr="0069274C">
        <w:rPr>
          <w:rFonts w:ascii="Times New Roman" w:eastAsia="標楷體" w:hAnsi="Times New Roman" w:cs="Times New Roman"/>
        </w:rPr>
        <w:t>s</w:t>
      </w:r>
      <w:r w:rsidR="00E558E7" w:rsidRPr="0069274C">
        <w:rPr>
          <w:rFonts w:ascii="Times New Roman" w:eastAsia="標楷體" w:hAnsi="Times New Roman" w:cs="Times New Roman"/>
        </w:rPr>
        <w:t xml:space="preserve"> of assessment 201</w:t>
      </w:r>
      <w:r w:rsidR="00F069BC" w:rsidRPr="0069274C">
        <w:rPr>
          <w:rFonts w:ascii="Times New Roman" w:eastAsia="標楷體" w:hAnsi="Times New Roman" w:cs="Times New Roman"/>
        </w:rPr>
        <w:t>7</w:t>
      </w:r>
      <w:r w:rsidR="0047095C" w:rsidRPr="0069274C">
        <w:rPr>
          <w:rFonts w:ascii="Times New Roman" w:eastAsia="標楷體" w:hAnsi="Times New Roman" w:cs="Times New Roman"/>
        </w:rPr>
        <w:t>/</w:t>
      </w:r>
      <w:r w:rsidR="00F069BC" w:rsidRPr="0069274C">
        <w:rPr>
          <w:rFonts w:ascii="Times New Roman" w:eastAsia="標楷體" w:hAnsi="Times New Roman" w:cs="Times New Roman"/>
        </w:rPr>
        <w:t xml:space="preserve">08 to 2012/13 and the Profits Tax </w:t>
      </w:r>
      <w:r w:rsidR="004012A2">
        <w:rPr>
          <w:rFonts w:ascii="Times New Roman" w:eastAsia="標楷體" w:hAnsi="Times New Roman" w:cs="Times New Roman"/>
        </w:rPr>
        <w:t>A</w:t>
      </w:r>
      <w:r w:rsidR="00F069BC" w:rsidRPr="0069274C">
        <w:rPr>
          <w:rFonts w:ascii="Times New Roman" w:eastAsia="標楷體" w:hAnsi="Times New Roman" w:cs="Times New Roman"/>
        </w:rPr>
        <w:t>ssessment for the years of assessment 2013/14 to 2015/16</w:t>
      </w:r>
      <w:r w:rsidR="0047095C" w:rsidRPr="0069274C">
        <w:rPr>
          <w:rFonts w:ascii="Times New Roman" w:eastAsia="標楷體" w:hAnsi="Times New Roman" w:cs="Times New Roman"/>
        </w:rPr>
        <w:t xml:space="preserve"> </w:t>
      </w:r>
      <w:r w:rsidR="00F069BC" w:rsidRPr="0069274C">
        <w:rPr>
          <w:rFonts w:ascii="Times New Roman" w:eastAsia="標楷體" w:hAnsi="Times New Roman" w:cs="Times New Roman"/>
        </w:rPr>
        <w:t>in the manner put forward by the assessor of the Revenue stated in paragraph 25 above</w:t>
      </w:r>
      <w:r w:rsidR="00337CDA" w:rsidRPr="0069274C">
        <w:rPr>
          <w:rFonts w:ascii="Times New Roman" w:eastAsia="標楷體" w:hAnsi="Times New Roman" w:cs="Times New Roman"/>
        </w:rPr>
        <w:t>.</w:t>
      </w:r>
    </w:p>
    <w:p w:rsidR="009C3EB3" w:rsidRDefault="009C3EB3" w:rsidP="00156E21">
      <w:pPr>
        <w:pStyle w:val="a3"/>
        <w:overflowPunct w:val="0"/>
        <w:autoSpaceDE w:val="0"/>
        <w:autoSpaceDN w:val="0"/>
        <w:ind w:left="0"/>
        <w:rPr>
          <w:rFonts w:ascii="Times New Roman" w:eastAsia="標楷體" w:hAnsi="Times New Roman" w:cs="Times New Roman"/>
          <w:lang w:eastAsia="zh-TW"/>
        </w:rPr>
      </w:pPr>
    </w:p>
    <w:p w:rsidR="00B53D6E" w:rsidRDefault="00B53D6E" w:rsidP="00156E21">
      <w:pPr>
        <w:pStyle w:val="a3"/>
        <w:overflowPunct w:val="0"/>
        <w:autoSpaceDE w:val="0"/>
        <w:autoSpaceDN w:val="0"/>
        <w:ind w:left="0"/>
        <w:rPr>
          <w:rFonts w:ascii="Times New Roman" w:eastAsia="標楷體" w:hAnsi="Times New Roman" w:cs="Times New Roman"/>
          <w:lang w:eastAsia="zh-TW"/>
        </w:rPr>
      </w:pPr>
    </w:p>
    <w:p w:rsidR="00B53D6E" w:rsidRPr="0069274C" w:rsidRDefault="00B53D6E" w:rsidP="00156E21">
      <w:pPr>
        <w:pStyle w:val="a3"/>
        <w:overflowPunct w:val="0"/>
        <w:autoSpaceDE w:val="0"/>
        <w:autoSpaceDN w:val="0"/>
        <w:ind w:left="0"/>
        <w:rPr>
          <w:rFonts w:ascii="Times New Roman" w:eastAsia="標楷體" w:hAnsi="Times New Roman" w:cs="Times New Roman"/>
          <w:lang w:eastAsia="zh-TW"/>
        </w:rPr>
      </w:pPr>
    </w:p>
    <w:p w:rsidR="003A58DA" w:rsidRPr="00B33666" w:rsidRDefault="003A58DA" w:rsidP="00156E21">
      <w:pPr>
        <w:pStyle w:val="a3"/>
        <w:overflowPunct w:val="0"/>
        <w:autoSpaceDE w:val="0"/>
        <w:autoSpaceDN w:val="0"/>
        <w:ind w:left="0"/>
        <w:rPr>
          <w:rFonts w:ascii="Times New Roman" w:eastAsia="標楷體" w:hAnsi="Times New Roman" w:cs="Times New Roman"/>
          <w:b/>
        </w:rPr>
      </w:pPr>
      <w:r w:rsidRPr="00B33666">
        <w:rPr>
          <w:rFonts w:ascii="Times New Roman" w:eastAsia="標楷體" w:hAnsi="Times New Roman" w:cs="Times New Roman"/>
          <w:b/>
        </w:rPr>
        <w:lastRenderedPageBreak/>
        <w:t>The Testimon</w:t>
      </w:r>
      <w:r w:rsidR="0047095C" w:rsidRPr="00B33666">
        <w:rPr>
          <w:rFonts w:ascii="Times New Roman" w:eastAsia="標楷體" w:hAnsi="Times New Roman" w:cs="Times New Roman"/>
          <w:b/>
        </w:rPr>
        <w:t xml:space="preserve">ies </w:t>
      </w:r>
      <w:r w:rsidR="003127F3" w:rsidRPr="00B33666">
        <w:rPr>
          <w:rFonts w:ascii="Times New Roman" w:eastAsia="標楷體" w:hAnsi="Times New Roman" w:cs="Times New Roman"/>
          <w:b/>
        </w:rPr>
        <w:t>on behalf of</w:t>
      </w:r>
      <w:r w:rsidR="0047095C" w:rsidRPr="00B33666">
        <w:rPr>
          <w:rFonts w:ascii="Times New Roman" w:eastAsia="標楷體" w:hAnsi="Times New Roman" w:cs="Times New Roman"/>
          <w:b/>
        </w:rPr>
        <w:t xml:space="preserve"> the Taxpayer</w:t>
      </w:r>
    </w:p>
    <w:p w:rsidR="003A58DA" w:rsidRPr="0069274C" w:rsidRDefault="003A58DA" w:rsidP="00156E21">
      <w:pPr>
        <w:pStyle w:val="a3"/>
        <w:overflowPunct w:val="0"/>
        <w:autoSpaceDE w:val="0"/>
        <w:autoSpaceDN w:val="0"/>
        <w:ind w:left="0"/>
        <w:rPr>
          <w:rFonts w:ascii="Times New Roman" w:eastAsia="標楷體" w:hAnsi="Times New Roman" w:cs="Times New Roman"/>
        </w:rPr>
      </w:pPr>
    </w:p>
    <w:p w:rsidR="003A58DA" w:rsidRPr="0069274C" w:rsidRDefault="008B138D"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The Taxpayer</w:t>
      </w:r>
      <w:r w:rsidR="003127F3" w:rsidRPr="0069274C">
        <w:rPr>
          <w:rFonts w:ascii="Times New Roman" w:eastAsia="標楷體" w:hAnsi="Times New Roman" w:cs="Times New Roman"/>
        </w:rPr>
        <w:t>’s case is that the</w:t>
      </w:r>
      <w:r w:rsidR="00097ACF" w:rsidRPr="0069274C">
        <w:rPr>
          <w:rFonts w:ascii="Times New Roman" w:eastAsia="標楷體" w:hAnsi="Times New Roman" w:cs="Times New Roman"/>
        </w:rPr>
        <w:t xml:space="preserve"> Taxpayer</w:t>
      </w:r>
      <w:r w:rsidR="00D86EEF" w:rsidRPr="0069274C">
        <w:rPr>
          <w:rFonts w:ascii="Times New Roman" w:eastAsia="標楷體" w:hAnsi="Times New Roman" w:cs="Times New Roman"/>
        </w:rPr>
        <w:t xml:space="preserve"> was and is a commercial landlord. The Taxpayer had no staff. All of the Taxpayer’s operations conducted to earn its profits, on which it paid Profits Tax in each of the relevant years of assessment, were run by, among others, the Manager. The Taxpayer</w:t>
      </w:r>
      <w:r w:rsidR="00097ACF" w:rsidRPr="0069274C">
        <w:rPr>
          <w:rFonts w:ascii="Times New Roman" w:eastAsia="標楷體" w:hAnsi="Times New Roman" w:cs="Times New Roman"/>
        </w:rPr>
        <w:t xml:space="preserve"> actually paid the</w:t>
      </w:r>
      <w:r w:rsidR="003127F3" w:rsidRPr="0069274C">
        <w:rPr>
          <w:rFonts w:ascii="Times New Roman" w:eastAsia="標楷體" w:hAnsi="Times New Roman" w:cs="Times New Roman"/>
        </w:rPr>
        <w:t xml:space="preserve"> Manager’s Fees </w:t>
      </w:r>
      <w:r w:rsidR="00097ACF" w:rsidRPr="0069274C">
        <w:rPr>
          <w:rFonts w:ascii="Times New Roman" w:eastAsia="標楷體" w:hAnsi="Times New Roman" w:cs="Times New Roman"/>
        </w:rPr>
        <w:t>(both the Base Fee and the Variable Fee) in the relevant basis periods</w:t>
      </w:r>
      <w:r w:rsidR="00781EEB" w:rsidRPr="0069274C">
        <w:rPr>
          <w:rFonts w:ascii="Times New Roman" w:eastAsia="標楷體" w:hAnsi="Times New Roman" w:cs="Times New Roman"/>
        </w:rPr>
        <w:t>.</w:t>
      </w:r>
      <w:r w:rsidR="003127F3" w:rsidRPr="0069274C">
        <w:rPr>
          <w:rFonts w:ascii="Times New Roman" w:eastAsia="標楷體" w:hAnsi="Times New Roman" w:cs="Times New Roman"/>
        </w:rPr>
        <w:t xml:space="preserve"> The Taxpayer made the payments out of the rental receipts that </w:t>
      </w:r>
      <w:r w:rsidR="00B33666">
        <w:rPr>
          <w:rFonts w:ascii="Times New Roman" w:eastAsia="標楷體" w:hAnsi="Times New Roman" w:cs="Times New Roman"/>
        </w:rPr>
        <w:t>Company N</w:t>
      </w:r>
      <w:r w:rsidR="003127F3" w:rsidRPr="0069274C">
        <w:rPr>
          <w:rFonts w:ascii="Times New Roman" w:eastAsia="標楷體" w:hAnsi="Times New Roman" w:cs="Times New Roman"/>
        </w:rPr>
        <w:t xml:space="preserve"> held on the Taxpayer’s behalf. They were not paid by the Trustee out of dividends</w:t>
      </w:r>
      <w:r w:rsidR="00097ACF" w:rsidRPr="0069274C">
        <w:rPr>
          <w:rFonts w:ascii="Times New Roman" w:eastAsia="標楷體" w:hAnsi="Times New Roman" w:cs="Times New Roman"/>
        </w:rPr>
        <w:t xml:space="preserve"> declared and paid over by the Taxpayer and its holding companies</w:t>
      </w:r>
      <w:r w:rsidR="003127F3" w:rsidRPr="0069274C">
        <w:rPr>
          <w:rFonts w:ascii="Times New Roman" w:eastAsia="標楷體" w:hAnsi="Times New Roman" w:cs="Times New Roman"/>
        </w:rPr>
        <w:t>. They were in substance and reality paid by the Taxpayer and not paid by the Trustee on its own account.</w:t>
      </w:r>
      <w:r w:rsidR="00D86EEF" w:rsidRPr="0069274C">
        <w:rPr>
          <w:rFonts w:ascii="Times New Roman" w:eastAsia="標楷體" w:hAnsi="Times New Roman" w:cs="Times New Roman"/>
        </w:rPr>
        <w:t xml:space="preserve"> The Man</w:t>
      </w:r>
      <w:r w:rsidR="005113A1" w:rsidRPr="0069274C">
        <w:rPr>
          <w:rFonts w:ascii="Times New Roman" w:eastAsia="標楷體" w:hAnsi="Times New Roman" w:cs="Times New Roman"/>
        </w:rPr>
        <w:t>a</w:t>
      </w:r>
      <w:r w:rsidR="00D86EEF" w:rsidRPr="0069274C">
        <w:rPr>
          <w:rFonts w:ascii="Times New Roman" w:eastAsia="標楷體" w:hAnsi="Times New Roman" w:cs="Times New Roman"/>
        </w:rPr>
        <w:t>ger’s Fees payments were made for the services the Manager rendered to its business and were incurred in the production of and for the purpose of producing the Taxpayer’s profits.</w:t>
      </w:r>
      <w:r w:rsidR="003127F3" w:rsidRPr="0069274C">
        <w:rPr>
          <w:rFonts w:ascii="Times New Roman" w:eastAsia="標楷體" w:hAnsi="Times New Roman" w:cs="Times New Roman"/>
        </w:rPr>
        <w:t xml:space="preserve"> </w:t>
      </w:r>
      <w:r w:rsidR="0014404D" w:rsidRPr="0069274C">
        <w:rPr>
          <w:rFonts w:ascii="Times New Roman" w:eastAsia="標楷體" w:hAnsi="Times New Roman" w:cs="Times New Roman"/>
        </w:rPr>
        <w:t xml:space="preserve">The Taxpayer’s Amended Grounds of Appeal will be discussed below. </w:t>
      </w:r>
    </w:p>
    <w:p w:rsidR="007C31EB" w:rsidRPr="0069274C" w:rsidRDefault="007C31EB" w:rsidP="00156E21">
      <w:pPr>
        <w:overflowPunct w:val="0"/>
        <w:autoSpaceDE w:val="0"/>
        <w:autoSpaceDN w:val="0"/>
        <w:jc w:val="both"/>
        <w:rPr>
          <w:rFonts w:ascii="Times New Roman" w:eastAsia="標楷體" w:hAnsi="Times New Roman" w:cs="Times New Roman"/>
        </w:rPr>
      </w:pPr>
    </w:p>
    <w:p w:rsidR="007C31EB" w:rsidRPr="0069274C" w:rsidRDefault="007C31EB"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The Taxpayer</w:t>
      </w:r>
      <w:r w:rsidR="00B15CC6" w:rsidRPr="0069274C">
        <w:rPr>
          <w:rFonts w:ascii="Times New Roman" w:eastAsia="標楷體" w:hAnsi="Times New Roman" w:cs="Times New Roman"/>
        </w:rPr>
        <w:t xml:space="preserve"> called Mr </w:t>
      </w:r>
      <w:r w:rsidR="00B33666">
        <w:rPr>
          <w:rFonts w:ascii="Times New Roman" w:eastAsia="標楷體" w:hAnsi="Times New Roman" w:cs="Times New Roman"/>
        </w:rPr>
        <w:t>P</w:t>
      </w:r>
      <w:r w:rsidR="00B15CC6" w:rsidRPr="0069274C">
        <w:rPr>
          <w:rFonts w:ascii="Times New Roman" w:eastAsia="標楷體" w:hAnsi="Times New Roman" w:cs="Times New Roman"/>
        </w:rPr>
        <w:t>,</w:t>
      </w:r>
      <w:r w:rsidR="0009319D" w:rsidRPr="0069274C">
        <w:rPr>
          <w:rFonts w:ascii="Times New Roman" w:eastAsia="標楷體" w:hAnsi="Times New Roman" w:cs="Times New Roman"/>
        </w:rPr>
        <w:t xml:space="preserve"> </w:t>
      </w:r>
      <w:r w:rsidR="00B15CC6" w:rsidRPr="0069274C">
        <w:rPr>
          <w:rFonts w:ascii="Times New Roman" w:eastAsia="標楷體" w:hAnsi="Times New Roman" w:cs="Times New Roman"/>
        </w:rPr>
        <w:t xml:space="preserve">Ms </w:t>
      </w:r>
      <w:r w:rsidR="00B33666">
        <w:rPr>
          <w:rFonts w:ascii="Times New Roman" w:eastAsia="標楷體" w:hAnsi="Times New Roman" w:cs="Times New Roman"/>
        </w:rPr>
        <w:t>Q</w:t>
      </w:r>
      <w:r w:rsidR="00B15CC6" w:rsidRPr="0069274C">
        <w:rPr>
          <w:rFonts w:ascii="Times New Roman" w:eastAsia="標楷體" w:hAnsi="Times New Roman" w:cs="Times New Roman"/>
        </w:rPr>
        <w:t xml:space="preserve"> </w:t>
      </w:r>
      <w:r w:rsidR="008D584E" w:rsidRPr="0069274C">
        <w:rPr>
          <w:rFonts w:ascii="Times New Roman" w:eastAsia="標楷體" w:hAnsi="Times New Roman" w:cs="Times New Roman"/>
        </w:rPr>
        <w:t xml:space="preserve">and Mr </w:t>
      </w:r>
      <w:r w:rsidR="00B33666">
        <w:rPr>
          <w:rFonts w:ascii="Times New Roman" w:eastAsia="標楷體" w:hAnsi="Times New Roman" w:cs="Times New Roman"/>
        </w:rPr>
        <w:t>R</w:t>
      </w:r>
      <w:r w:rsidR="008D584E" w:rsidRPr="0069274C">
        <w:rPr>
          <w:rFonts w:ascii="Times New Roman" w:eastAsia="標楷體" w:hAnsi="Times New Roman" w:cs="Times New Roman"/>
        </w:rPr>
        <w:t xml:space="preserve"> </w:t>
      </w:r>
      <w:r w:rsidR="00B15CC6" w:rsidRPr="0069274C">
        <w:rPr>
          <w:rFonts w:ascii="Times New Roman" w:eastAsia="標楷體" w:hAnsi="Times New Roman" w:cs="Times New Roman"/>
        </w:rPr>
        <w:t>to explain the services the Manager rendered to the Taxpayer</w:t>
      </w:r>
      <w:r w:rsidR="0009319D" w:rsidRPr="0069274C">
        <w:rPr>
          <w:rFonts w:ascii="Times New Roman" w:eastAsia="標楷體" w:hAnsi="Times New Roman" w:cs="Times New Roman"/>
        </w:rPr>
        <w:t>.</w:t>
      </w:r>
      <w:r w:rsidR="00B15CC6" w:rsidRPr="0069274C">
        <w:rPr>
          <w:rFonts w:ascii="Times New Roman" w:eastAsia="標楷體" w:hAnsi="Times New Roman" w:cs="Times New Roman"/>
        </w:rPr>
        <w:t xml:space="preserve"> Ms </w:t>
      </w:r>
      <w:r w:rsidR="00B33666">
        <w:rPr>
          <w:rFonts w:ascii="Times New Roman" w:eastAsia="標楷體" w:hAnsi="Times New Roman" w:cs="Times New Roman"/>
        </w:rPr>
        <w:t>Q</w:t>
      </w:r>
      <w:r w:rsidR="00B15CC6" w:rsidRPr="0069274C">
        <w:rPr>
          <w:rFonts w:ascii="Times New Roman" w:eastAsia="標楷體" w:hAnsi="Times New Roman" w:cs="Times New Roman"/>
        </w:rPr>
        <w:t>,</w:t>
      </w:r>
      <w:r w:rsidR="00373BFB" w:rsidRPr="0069274C">
        <w:rPr>
          <w:rFonts w:ascii="Times New Roman" w:eastAsia="標楷體" w:hAnsi="Times New Roman" w:cs="Times New Roman"/>
        </w:rPr>
        <w:t xml:space="preserve"> particularly, explained</w:t>
      </w:r>
      <w:r w:rsidR="00B15CC6" w:rsidRPr="0069274C">
        <w:rPr>
          <w:rFonts w:ascii="Times New Roman" w:eastAsia="標楷體" w:hAnsi="Times New Roman" w:cs="Times New Roman"/>
        </w:rPr>
        <w:t xml:space="preserve"> the mechanism of the payment of the Manager’s Fees</w:t>
      </w:r>
      <w:r w:rsidR="00E9698E" w:rsidRPr="0069274C">
        <w:rPr>
          <w:rFonts w:ascii="Times New Roman" w:eastAsia="標楷體" w:hAnsi="Times New Roman" w:cs="Times New Roman"/>
        </w:rPr>
        <w:t xml:space="preserve">. </w:t>
      </w:r>
    </w:p>
    <w:p w:rsidR="0040288E" w:rsidRPr="0069274C" w:rsidRDefault="0040288E" w:rsidP="00156E21">
      <w:pPr>
        <w:overflowPunct w:val="0"/>
        <w:autoSpaceDE w:val="0"/>
        <w:autoSpaceDN w:val="0"/>
        <w:jc w:val="both"/>
        <w:rPr>
          <w:rFonts w:ascii="Times New Roman" w:eastAsia="標楷體" w:hAnsi="Times New Roman" w:cs="Times New Roman"/>
        </w:rPr>
      </w:pPr>
    </w:p>
    <w:p w:rsidR="0040288E" w:rsidRPr="0069274C" w:rsidRDefault="0040288E"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Mr Kwok for the Revenue indicated at the outset of the hearing before this Board that the witness statements of the Taxpayer’s witnesses should state only statements of facts which the witness was capable of giving evidence on from his own personal knowledge, and should not include hearsay, opinion (unless such opinion was relevant), arguments or submissions, but the witness statements of the Taxpayer’s witnesses contravened all of the above requirements. Mr Wong for the Taxpayer also indicated that strict rules of evidence did not apply in a hearing before this Board. Hearsay evidence was admissible even in legal proceedings; the matter was one of weight. </w:t>
      </w:r>
      <w:r w:rsidR="00B373C7" w:rsidRPr="0069274C">
        <w:rPr>
          <w:rFonts w:ascii="Times New Roman" w:eastAsia="標楷體" w:hAnsi="Times New Roman" w:cs="Times New Roman"/>
        </w:rPr>
        <w:t xml:space="preserve"> This Board recognizes Mr Kwok’s observation and agrees that the witness statements of the Taxpayer’s witnesses have included matters of opinion, argument and submission. This Board has read the witness statements </w:t>
      </w:r>
      <w:r w:rsidR="00F34EEA" w:rsidRPr="0069274C">
        <w:rPr>
          <w:rFonts w:ascii="Times New Roman" w:eastAsia="標楷體" w:hAnsi="Times New Roman" w:cs="Times New Roman"/>
        </w:rPr>
        <w:t xml:space="preserve">with the approach of identifying and considering the evidence on facts that each witness was capable of giving from his or her own personal knowledge. </w:t>
      </w:r>
    </w:p>
    <w:p w:rsidR="00E9698E" w:rsidRPr="0069274C" w:rsidRDefault="00E9698E" w:rsidP="00156E21">
      <w:pPr>
        <w:pStyle w:val="a3"/>
        <w:overflowPunct w:val="0"/>
        <w:autoSpaceDE w:val="0"/>
        <w:autoSpaceDN w:val="0"/>
        <w:ind w:leftChars="100" w:left="240"/>
        <w:rPr>
          <w:rFonts w:ascii="Times New Roman" w:eastAsia="標楷體" w:hAnsi="Times New Roman" w:cs="Times New Roman"/>
        </w:rPr>
      </w:pPr>
    </w:p>
    <w:p w:rsidR="000F4A5A" w:rsidRPr="00B33666" w:rsidRDefault="000F4A5A" w:rsidP="00156E21">
      <w:pPr>
        <w:pStyle w:val="a3"/>
        <w:overflowPunct w:val="0"/>
        <w:autoSpaceDE w:val="0"/>
        <w:autoSpaceDN w:val="0"/>
        <w:ind w:left="0"/>
        <w:rPr>
          <w:rFonts w:ascii="Times New Roman" w:eastAsia="標楷體" w:hAnsi="Times New Roman" w:cs="Times New Roman"/>
          <w:b/>
          <w:i/>
        </w:rPr>
      </w:pPr>
      <w:r w:rsidRPr="00B33666">
        <w:rPr>
          <w:rFonts w:ascii="Times New Roman" w:eastAsia="標楷體" w:hAnsi="Times New Roman" w:cs="Times New Roman"/>
          <w:b/>
          <w:i/>
        </w:rPr>
        <w:t xml:space="preserve">Mr </w:t>
      </w:r>
      <w:r w:rsidR="00B33666">
        <w:rPr>
          <w:rFonts w:ascii="Times New Roman" w:eastAsia="標楷體" w:hAnsi="Times New Roman" w:cs="Times New Roman"/>
          <w:b/>
          <w:i/>
        </w:rPr>
        <w:t>P</w:t>
      </w:r>
    </w:p>
    <w:p w:rsidR="00064D95" w:rsidRPr="0069274C" w:rsidRDefault="00064D95" w:rsidP="00156E21">
      <w:pPr>
        <w:pStyle w:val="a3"/>
        <w:overflowPunct w:val="0"/>
        <w:autoSpaceDE w:val="0"/>
        <w:autoSpaceDN w:val="0"/>
        <w:ind w:left="0"/>
        <w:rPr>
          <w:rFonts w:ascii="Times New Roman" w:eastAsia="標楷體" w:hAnsi="Times New Roman" w:cs="Times New Roman"/>
          <w:i/>
        </w:rPr>
      </w:pPr>
    </w:p>
    <w:p w:rsidR="008D406D" w:rsidRPr="0069274C" w:rsidRDefault="00672B8A"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Mr </w:t>
      </w:r>
      <w:r w:rsidR="00B33666">
        <w:rPr>
          <w:rFonts w:ascii="Times New Roman" w:eastAsia="標楷體" w:hAnsi="Times New Roman" w:cs="Times New Roman"/>
        </w:rPr>
        <w:t>P</w:t>
      </w:r>
      <w:r w:rsidRPr="0069274C">
        <w:rPr>
          <w:rFonts w:ascii="Times New Roman" w:eastAsia="標楷體" w:hAnsi="Times New Roman" w:cs="Times New Roman"/>
        </w:rPr>
        <w:t xml:space="preserve"> was </w:t>
      </w:r>
      <w:r w:rsidR="00B33666">
        <w:rPr>
          <w:rFonts w:ascii="Times New Roman" w:eastAsia="標楷體" w:hAnsi="Times New Roman" w:cs="Times New Roman"/>
        </w:rPr>
        <w:t>Position S</w:t>
      </w:r>
      <w:r w:rsidRPr="0069274C">
        <w:rPr>
          <w:rFonts w:ascii="Times New Roman" w:eastAsia="標楷體" w:hAnsi="Times New Roman" w:cs="Times New Roman"/>
        </w:rPr>
        <w:t xml:space="preserve"> of </w:t>
      </w:r>
      <w:r w:rsidR="00B33666">
        <w:rPr>
          <w:rFonts w:ascii="Times New Roman" w:eastAsia="標楷體" w:hAnsi="Times New Roman" w:cs="Times New Roman"/>
        </w:rPr>
        <w:t>Department T</w:t>
      </w:r>
      <w:r w:rsidRPr="0069274C">
        <w:rPr>
          <w:rFonts w:ascii="Times New Roman" w:eastAsia="標楷體" w:hAnsi="Times New Roman" w:cs="Times New Roman"/>
        </w:rPr>
        <w:t xml:space="preserve"> of the Manager</w:t>
      </w:r>
      <w:r w:rsidR="008D406D" w:rsidRPr="0069274C">
        <w:rPr>
          <w:rFonts w:ascii="Times New Roman" w:eastAsia="標楷體" w:hAnsi="Times New Roman" w:cs="Times New Roman"/>
        </w:rPr>
        <w:t>.</w:t>
      </w:r>
      <w:r w:rsidRPr="0069274C">
        <w:rPr>
          <w:rFonts w:ascii="Times New Roman" w:eastAsia="標楷體" w:hAnsi="Times New Roman" w:cs="Times New Roman"/>
        </w:rPr>
        <w:t xml:space="preserve"> He had over 25 years of experience in leasing and property management. Prior to joining the Manager in 2010, he was </w:t>
      </w:r>
      <w:r w:rsidR="00B33666">
        <w:rPr>
          <w:rFonts w:ascii="Times New Roman" w:eastAsia="標楷體" w:hAnsi="Times New Roman" w:cs="Times New Roman"/>
        </w:rPr>
        <w:t>Position U</w:t>
      </w:r>
      <w:r w:rsidRPr="0069274C">
        <w:rPr>
          <w:rFonts w:ascii="Times New Roman" w:eastAsia="標楷體" w:hAnsi="Times New Roman" w:cs="Times New Roman"/>
        </w:rPr>
        <w:t xml:space="preserve"> of the Property Manager. </w:t>
      </w:r>
      <w:r w:rsidR="008D406D" w:rsidRPr="0069274C">
        <w:rPr>
          <w:rFonts w:ascii="Times New Roman" w:eastAsia="標楷體" w:hAnsi="Times New Roman" w:cs="Times New Roman"/>
        </w:rPr>
        <w:t xml:space="preserve"> </w:t>
      </w:r>
    </w:p>
    <w:p w:rsidR="008D406D" w:rsidRPr="0069274C" w:rsidRDefault="008D406D" w:rsidP="00156E21">
      <w:pPr>
        <w:pStyle w:val="a3"/>
        <w:overflowPunct w:val="0"/>
        <w:autoSpaceDE w:val="0"/>
        <w:autoSpaceDN w:val="0"/>
        <w:ind w:left="0"/>
        <w:rPr>
          <w:rFonts w:ascii="Times New Roman" w:eastAsia="標楷體" w:hAnsi="Times New Roman" w:cs="Times New Roman"/>
        </w:rPr>
      </w:pPr>
    </w:p>
    <w:p w:rsidR="00E9698E" w:rsidRPr="0069274C" w:rsidRDefault="00672B8A"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Mr </w:t>
      </w:r>
      <w:r w:rsidR="00B33666">
        <w:rPr>
          <w:rFonts w:ascii="Times New Roman" w:eastAsia="標楷體" w:hAnsi="Times New Roman" w:cs="Times New Roman"/>
        </w:rPr>
        <w:t>P</w:t>
      </w:r>
      <w:r w:rsidRPr="0069274C">
        <w:rPr>
          <w:rFonts w:ascii="Times New Roman" w:eastAsia="標楷體" w:hAnsi="Times New Roman" w:cs="Times New Roman"/>
        </w:rPr>
        <w:t xml:space="preserve"> </w:t>
      </w:r>
      <w:r w:rsidR="00914DB4" w:rsidRPr="0069274C">
        <w:rPr>
          <w:rFonts w:ascii="Times New Roman" w:eastAsia="標楷體" w:hAnsi="Times New Roman" w:cs="Times New Roman"/>
        </w:rPr>
        <w:t>stated</w:t>
      </w:r>
      <w:r w:rsidRPr="0069274C">
        <w:rPr>
          <w:rFonts w:ascii="Times New Roman" w:eastAsia="標楷體" w:hAnsi="Times New Roman" w:cs="Times New Roman"/>
        </w:rPr>
        <w:t xml:space="preserve"> that </w:t>
      </w:r>
      <w:r w:rsidR="00B33666">
        <w:rPr>
          <w:rFonts w:ascii="Times New Roman" w:eastAsia="標楷體" w:hAnsi="Times New Roman" w:cs="Times New Roman"/>
        </w:rPr>
        <w:t>Department T</w:t>
      </w:r>
      <w:r w:rsidRPr="0069274C">
        <w:rPr>
          <w:rFonts w:ascii="Times New Roman" w:eastAsia="標楷體" w:hAnsi="Times New Roman" w:cs="Times New Roman"/>
        </w:rPr>
        <w:t xml:space="preserve"> was one of the 6 departments of the Manager</w:t>
      </w:r>
      <w:r w:rsidR="003F3E91" w:rsidRPr="0069274C">
        <w:rPr>
          <w:rFonts w:ascii="Times New Roman" w:eastAsia="標楷體" w:hAnsi="Times New Roman" w:cs="Times New Roman"/>
        </w:rPr>
        <w:t>.</w:t>
      </w:r>
      <w:r w:rsidRPr="0069274C">
        <w:rPr>
          <w:rFonts w:ascii="Times New Roman" w:eastAsia="標楷體" w:hAnsi="Times New Roman" w:cs="Times New Roman"/>
        </w:rPr>
        <w:t xml:space="preserve"> </w:t>
      </w:r>
      <w:r w:rsidR="004327CB" w:rsidRPr="0069274C">
        <w:rPr>
          <w:rFonts w:ascii="Times New Roman" w:eastAsia="標楷體" w:hAnsi="Times New Roman" w:cs="Times New Roman"/>
        </w:rPr>
        <w:t xml:space="preserve">He, as the head of </w:t>
      </w:r>
      <w:r w:rsidR="00B33666">
        <w:rPr>
          <w:rFonts w:ascii="Times New Roman" w:eastAsia="標楷體" w:hAnsi="Times New Roman" w:cs="Times New Roman"/>
        </w:rPr>
        <w:t>Department T</w:t>
      </w:r>
      <w:r w:rsidR="004327CB" w:rsidRPr="0069274C">
        <w:rPr>
          <w:rFonts w:ascii="Times New Roman" w:eastAsia="標楷體" w:hAnsi="Times New Roman" w:cs="Times New Roman"/>
        </w:rPr>
        <w:t xml:space="preserve">, reported directly to Mr </w:t>
      </w:r>
      <w:r w:rsidR="00B33666">
        <w:rPr>
          <w:rFonts w:ascii="Times New Roman" w:eastAsia="標楷體" w:hAnsi="Times New Roman" w:cs="Times New Roman"/>
        </w:rPr>
        <w:t>R</w:t>
      </w:r>
      <w:r w:rsidR="004327CB" w:rsidRPr="0069274C">
        <w:rPr>
          <w:rFonts w:ascii="Times New Roman" w:eastAsia="標楷體" w:hAnsi="Times New Roman" w:cs="Times New Roman"/>
        </w:rPr>
        <w:t xml:space="preserve">, </w:t>
      </w:r>
      <w:r w:rsidR="00B33666">
        <w:rPr>
          <w:rFonts w:ascii="Times New Roman" w:eastAsia="標楷體" w:hAnsi="Times New Roman" w:cs="Times New Roman"/>
        </w:rPr>
        <w:t>Position V</w:t>
      </w:r>
      <w:r w:rsidR="004327CB" w:rsidRPr="0069274C">
        <w:rPr>
          <w:rFonts w:ascii="Times New Roman" w:eastAsia="標楷體" w:hAnsi="Times New Roman" w:cs="Times New Roman"/>
        </w:rPr>
        <w:t xml:space="preserve"> of the Manager. </w:t>
      </w:r>
      <w:r w:rsidR="003F3E91" w:rsidRPr="0069274C">
        <w:rPr>
          <w:rFonts w:ascii="Times New Roman" w:eastAsia="標楷體" w:hAnsi="Times New Roman" w:cs="Times New Roman"/>
        </w:rPr>
        <w:t xml:space="preserve"> </w:t>
      </w:r>
    </w:p>
    <w:p w:rsidR="00F076FC" w:rsidRPr="0069274C" w:rsidRDefault="00F076FC" w:rsidP="00156E21">
      <w:pPr>
        <w:overflowPunct w:val="0"/>
        <w:autoSpaceDE w:val="0"/>
        <w:autoSpaceDN w:val="0"/>
        <w:jc w:val="both"/>
        <w:rPr>
          <w:rFonts w:ascii="Times New Roman" w:eastAsia="標楷體" w:hAnsi="Times New Roman" w:cs="Times New Roman"/>
        </w:rPr>
      </w:pPr>
    </w:p>
    <w:p w:rsidR="00B12AB2" w:rsidRPr="0069274C" w:rsidRDefault="004327CB"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Mr </w:t>
      </w:r>
      <w:r w:rsidR="00B33666">
        <w:rPr>
          <w:rFonts w:ascii="Times New Roman" w:eastAsia="標楷體" w:hAnsi="Times New Roman" w:cs="Times New Roman"/>
        </w:rPr>
        <w:t>P</w:t>
      </w:r>
      <w:r w:rsidRPr="0069274C">
        <w:rPr>
          <w:rFonts w:ascii="Times New Roman" w:eastAsia="標楷體" w:hAnsi="Times New Roman" w:cs="Times New Roman"/>
        </w:rPr>
        <w:t xml:space="preserve"> </w:t>
      </w:r>
      <w:r w:rsidR="00914DB4" w:rsidRPr="0069274C">
        <w:rPr>
          <w:rFonts w:ascii="Times New Roman" w:eastAsia="標楷體" w:hAnsi="Times New Roman" w:cs="Times New Roman"/>
        </w:rPr>
        <w:t xml:space="preserve">stated that as </w:t>
      </w:r>
      <w:r w:rsidR="00B33666">
        <w:rPr>
          <w:rFonts w:ascii="Times New Roman" w:eastAsia="標楷體" w:hAnsi="Times New Roman" w:cs="Times New Roman"/>
        </w:rPr>
        <w:t>Position S</w:t>
      </w:r>
      <w:r w:rsidR="00914DB4" w:rsidRPr="0069274C">
        <w:rPr>
          <w:rFonts w:ascii="Times New Roman" w:eastAsia="標楷體" w:hAnsi="Times New Roman" w:cs="Times New Roman"/>
        </w:rPr>
        <w:t xml:space="preserve"> of </w:t>
      </w:r>
      <w:r w:rsidR="00B33666">
        <w:rPr>
          <w:rFonts w:ascii="Times New Roman" w:eastAsia="標楷體" w:hAnsi="Times New Roman" w:cs="Times New Roman"/>
        </w:rPr>
        <w:t>Department T</w:t>
      </w:r>
      <w:r w:rsidR="00914DB4" w:rsidRPr="0069274C">
        <w:rPr>
          <w:rFonts w:ascii="Times New Roman" w:eastAsia="標楷體" w:hAnsi="Times New Roman" w:cs="Times New Roman"/>
        </w:rPr>
        <w:t>, he was broadly responsible for:</w:t>
      </w:r>
    </w:p>
    <w:p w:rsidR="00B02FB8" w:rsidRPr="0069274C" w:rsidRDefault="00B02FB8" w:rsidP="00156E21">
      <w:pPr>
        <w:overflowPunct w:val="0"/>
        <w:autoSpaceDE w:val="0"/>
        <w:autoSpaceDN w:val="0"/>
        <w:jc w:val="both"/>
        <w:rPr>
          <w:rFonts w:ascii="Times New Roman" w:eastAsia="標楷體" w:hAnsi="Times New Roman" w:cs="Times New Roman"/>
        </w:rPr>
      </w:pPr>
    </w:p>
    <w:p w:rsidR="00914DB4" w:rsidRPr="0069274C" w:rsidRDefault="00914DB4"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(1)</w:t>
      </w:r>
      <w:r w:rsidR="00064D95">
        <w:rPr>
          <w:rFonts w:ascii="Times New Roman" w:eastAsia="標楷體" w:hAnsi="Times New Roman" w:cs="Times New Roman"/>
        </w:rPr>
        <w:tab/>
      </w:r>
      <w:r w:rsidRPr="0069274C">
        <w:rPr>
          <w:rFonts w:ascii="Times New Roman" w:eastAsia="標楷體" w:hAnsi="Times New Roman" w:cs="Times New Roman"/>
        </w:rPr>
        <w:t>Managerial decision making to maximize the operating performance of the properties in REIT</w:t>
      </w:r>
      <w:r w:rsidR="00B33666">
        <w:rPr>
          <w:rFonts w:ascii="Times New Roman" w:eastAsia="標楷體" w:hAnsi="Times New Roman" w:cs="Times New Roman"/>
        </w:rPr>
        <w:t xml:space="preserve"> K</w:t>
      </w:r>
      <w:r w:rsidRPr="0069274C">
        <w:rPr>
          <w:rFonts w:ascii="Times New Roman" w:eastAsia="標楷體" w:hAnsi="Times New Roman" w:cs="Times New Roman"/>
        </w:rPr>
        <w:t xml:space="preserve">, held through SPVs such as the Taxpayer, and the properties included the Property. </w:t>
      </w:r>
    </w:p>
    <w:p w:rsidR="00914DB4" w:rsidRPr="0069274C" w:rsidRDefault="00914DB4" w:rsidP="00156E21">
      <w:pPr>
        <w:overflowPunct w:val="0"/>
        <w:autoSpaceDE w:val="0"/>
        <w:autoSpaceDN w:val="0"/>
        <w:ind w:leftChars="500" w:left="1200"/>
        <w:jc w:val="both"/>
        <w:rPr>
          <w:rFonts w:ascii="Times New Roman" w:eastAsia="標楷體" w:hAnsi="Times New Roman" w:cs="Times New Roman"/>
          <w:lang w:val="en-HK"/>
        </w:rPr>
      </w:pPr>
    </w:p>
    <w:p w:rsidR="00914DB4" w:rsidRPr="0069274C" w:rsidRDefault="00914DB4"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lang w:val="en-HK"/>
        </w:rPr>
      </w:pPr>
      <w:r w:rsidRPr="0069274C">
        <w:rPr>
          <w:rFonts w:ascii="Times New Roman" w:eastAsia="標楷體" w:hAnsi="Times New Roman" w:cs="Times New Roman"/>
          <w:lang w:val="en-HK"/>
        </w:rPr>
        <w:t>(2)</w:t>
      </w:r>
      <w:r w:rsidR="00064D95">
        <w:rPr>
          <w:rFonts w:ascii="Times New Roman" w:eastAsia="標楷體" w:hAnsi="Times New Roman" w:cs="Times New Roman"/>
          <w:lang w:val="en-HK"/>
        </w:rPr>
        <w:tab/>
      </w:r>
      <w:r w:rsidRPr="0069274C">
        <w:rPr>
          <w:rFonts w:ascii="Times New Roman" w:eastAsia="標楷體" w:hAnsi="Times New Roman" w:cs="Times New Roman"/>
          <w:lang w:val="en-HK"/>
        </w:rPr>
        <w:t xml:space="preserve">Overseeing the operational aspects of the properties in </w:t>
      </w:r>
      <w:r w:rsidR="00B33666" w:rsidRPr="0069274C">
        <w:rPr>
          <w:rFonts w:ascii="Times New Roman" w:eastAsia="標楷體" w:hAnsi="Times New Roman" w:cs="Times New Roman"/>
        </w:rPr>
        <w:t>REIT</w:t>
      </w:r>
      <w:r w:rsidR="00B33666">
        <w:rPr>
          <w:rFonts w:ascii="Times New Roman" w:eastAsia="標楷體" w:hAnsi="Times New Roman" w:cs="Times New Roman"/>
        </w:rPr>
        <w:t xml:space="preserve"> K</w:t>
      </w:r>
      <w:r w:rsidRPr="0069274C">
        <w:rPr>
          <w:rFonts w:ascii="Times New Roman" w:eastAsia="標楷體" w:hAnsi="Times New Roman" w:cs="Times New Roman"/>
          <w:lang w:val="en-HK"/>
        </w:rPr>
        <w:t>, including strategic asset planning, marketing, leasing and tenancy management, property maintenance and oversight of delegates; and</w:t>
      </w:r>
    </w:p>
    <w:p w:rsidR="00914DB4" w:rsidRPr="0069274C" w:rsidRDefault="00914DB4" w:rsidP="00156E21">
      <w:pPr>
        <w:overflowPunct w:val="0"/>
        <w:autoSpaceDE w:val="0"/>
        <w:autoSpaceDN w:val="0"/>
        <w:ind w:leftChars="500" w:left="1200"/>
        <w:jc w:val="both"/>
        <w:rPr>
          <w:rFonts w:ascii="Times New Roman" w:eastAsia="標楷體" w:hAnsi="Times New Roman" w:cs="Times New Roman"/>
          <w:lang w:val="en-HK"/>
        </w:rPr>
      </w:pPr>
    </w:p>
    <w:p w:rsidR="00914DB4" w:rsidRPr="0069274C" w:rsidRDefault="00914DB4"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lang w:val="en-HK"/>
        </w:rPr>
      </w:pPr>
      <w:r w:rsidRPr="0069274C">
        <w:rPr>
          <w:rFonts w:ascii="Times New Roman" w:eastAsia="標楷體" w:hAnsi="Times New Roman" w:cs="Times New Roman"/>
          <w:lang w:val="en-HK"/>
        </w:rPr>
        <w:t>(3)</w:t>
      </w:r>
      <w:r w:rsidR="00064D95">
        <w:rPr>
          <w:rFonts w:ascii="Times New Roman" w:eastAsia="標楷體" w:hAnsi="Times New Roman" w:cs="Times New Roman"/>
          <w:lang w:val="en-HK"/>
        </w:rPr>
        <w:tab/>
      </w:r>
      <w:r w:rsidRPr="0069274C">
        <w:rPr>
          <w:rFonts w:ascii="Times New Roman" w:eastAsia="標楷體" w:hAnsi="Times New Roman" w:cs="Times New Roman"/>
          <w:lang w:val="en-HK"/>
        </w:rPr>
        <w:t xml:space="preserve">Developing and executing asset improvement aspects of the properties in </w:t>
      </w:r>
      <w:r w:rsidR="00B33666" w:rsidRPr="0069274C">
        <w:rPr>
          <w:rFonts w:ascii="Times New Roman" w:eastAsia="標楷體" w:hAnsi="Times New Roman" w:cs="Times New Roman"/>
        </w:rPr>
        <w:t>REIT</w:t>
      </w:r>
      <w:r w:rsidR="00B33666">
        <w:rPr>
          <w:rFonts w:ascii="Times New Roman" w:eastAsia="標楷體" w:hAnsi="Times New Roman" w:cs="Times New Roman"/>
        </w:rPr>
        <w:t xml:space="preserve"> K</w:t>
      </w:r>
      <w:r w:rsidRPr="0069274C">
        <w:rPr>
          <w:rFonts w:ascii="Times New Roman" w:eastAsia="標楷體" w:hAnsi="Times New Roman" w:cs="Times New Roman"/>
          <w:lang w:val="en-HK"/>
        </w:rPr>
        <w:t xml:space="preserve">. </w:t>
      </w:r>
    </w:p>
    <w:p w:rsidR="00914DB4" w:rsidRPr="0069274C" w:rsidRDefault="00914DB4" w:rsidP="00156E21">
      <w:pPr>
        <w:overflowPunct w:val="0"/>
        <w:autoSpaceDE w:val="0"/>
        <w:autoSpaceDN w:val="0"/>
        <w:jc w:val="both"/>
        <w:rPr>
          <w:rFonts w:ascii="Times New Roman" w:eastAsia="標楷體" w:hAnsi="Times New Roman" w:cs="Times New Roman"/>
        </w:rPr>
      </w:pPr>
    </w:p>
    <w:p w:rsidR="00914DB4" w:rsidRPr="0069274C" w:rsidRDefault="00914DB4"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Mr </w:t>
      </w:r>
      <w:r w:rsidR="00B33666">
        <w:rPr>
          <w:rFonts w:ascii="Times New Roman" w:eastAsia="標楷體" w:hAnsi="Times New Roman" w:cs="Times New Roman"/>
        </w:rPr>
        <w:t>P</w:t>
      </w:r>
      <w:r w:rsidRPr="0069274C">
        <w:rPr>
          <w:rFonts w:ascii="Times New Roman" w:eastAsia="標楷體" w:hAnsi="Times New Roman" w:cs="Times New Roman"/>
        </w:rPr>
        <w:t xml:space="preserve"> stated that</w:t>
      </w:r>
      <w:r w:rsidR="00B33666" w:rsidRPr="00B33666">
        <w:rPr>
          <w:rFonts w:ascii="Times New Roman" w:eastAsia="標楷體" w:hAnsi="Times New Roman" w:cs="Times New Roman"/>
        </w:rPr>
        <w:t xml:space="preserve"> </w:t>
      </w:r>
      <w:r w:rsidR="00B33666">
        <w:rPr>
          <w:rFonts w:ascii="Times New Roman" w:eastAsia="標楷體" w:hAnsi="Times New Roman" w:cs="Times New Roman"/>
        </w:rPr>
        <w:t>Department T</w:t>
      </w:r>
      <w:r w:rsidRPr="0069274C">
        <w:rPr>
          <w:rFonts w:ascii="Times New Roman" w:eastAsia="標楷體" w:hAnsi="Times New Roman" w:cs="Times New Roman"/>
        </w:rPr>
        <w:t xml:space="preserve"> had at the relevant time 3 managers and 1 officer and their major responsibilities were:</w:t>
      </w:r>
    </w:p>
    <w:p w:rsidR="00914DB4" w:rsidRPr="0069274C" w:rsidRDefault="00914DB4" w:rsidP="00156E21">
      <w:pPr>
        <w:overflowPunct w:val="0"/>
        <w:autoSpaceDE w:val="0"/>
        <w:autoSpaceDN w:val="0"/>
        <w:jc w:val="both"/>
        <w:rPr>
          <w:rFonts w:ascii="Times New Roman" w:eastAsia="標楷體" w:hAnsi="Times New Roman" w:cs="Times New Roman"/>
        </w:rPr>
      </w:pPr>
    </w:p>
    <w:p w:rsidR="00914DB4" w:rsidRPr="0069274C" w:rsidRDefault="00914DB4"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(1)</w:t>
      </w:r>
      <w:r w:rsidR="00064D95">
        <w:rPr>
          <w:rFonts w:ascii="Times New Roman" w:eastAsia="標楷體" w:hAnsi="Times New Roman" w:cs="Times New Roman"/>
        </w:rPr>
        <w:tab/>
      </w:r>
      <w:r w:rsidRPr="0069274C">
        <w:rPr>
          <w:rFonts w:ascii="Times New Roman" w:eastAsia="標楷體" w:hAnsi="Times New Roman" w:cs="Times New Roman"/>
        </w:rPr>
        <w:t xml:space="preserve">Asset management: monitoring leasing performance, preparing and executing asset enhancement proposals, coordinating marketing and promotional matters of the properties, as well as participating in acquisition and disposal of properties. </w:t>
      </w:r>
    </w:p>
    <w:p w:rsidR="00914DB4" w:rsidRPr="0069274C" w:rsidRDefault="00914DB4" w:rsidP="00156E21">
      <w:pPr>
        <w:overflowPunct w:val="0"/>
        <w:autoSpaceDE w:val="0"/>
        <w:autoSpaceDN w:val="0"/>
        <w:ind w:leftChars="500" w:left="1200"/>
        <w:jc w:val="both"/>
        <w:rPr>
          <w:rFonts w:ascii="Times New Roman" w:eastAsia="標楷體" w:hAnsi="Times New Roman" w:cs="Times New Roman"/>
        </w:rPr>
      </w:pPr>
    </w:p>
    <w:p w:rsidR="00914DB4" w:rsidRPr="0069274C" w:rsidRDefault="00914DB4"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(2)</w:t>
      </w:r>
      <w:r w:rsidR="00064D95">
        <w:rPr>
          <w:rFonts w:ascii="Times New Roman" w:eastAsia="標楷體" w:hAnsi="Times New Roman" w:cs="Times New Roman"/>
        </w:rPr>
        <w:tab/>
      </w:r>
      <w:r w:rsidRPr="0069274C">
        <w:rPr>
          <w:rFonts w:ascii="Times New Roman" w:eastAsia="標楷體" w:hAnsi="Times New Roman" w:cs="Times New Roman"/>
        </w:rPr>
        <w:t xml:space="preserve">Project management: coordinating and overseeing asset enhancement projects, and monitoring technical services provided to the properties. </w:t>
      </w:r>
    </w:p>
    <w:p w:rsidR="00914DB4" w:rsidRPr="0069274C" w:rsidRDefault="00914DB4" w:rsidP="00156E21">
      <w:pPr>
        <w:overflowPunct w:val="0"/>
        <w:autoSpaceDE w:val="0"/>
        <w:autoSpaceDN w:val="0"/>
        <w:ind w:leftChars="500" w:left="1200"/>
        <w:jc w:val="both"/>
        <w:rPr>
          <w:rFonts w:ascii="Times New Roman" w:eastAsia="標楷體" w:hAnsi="Times New Roman" w:cs="Times New Roman"/>
        </w:rPr>
      </w:pPr>
    </w:p>
    <w:p w:rsidR="00914DB4" w:rsidRPr="0069274C" w:rsidRDefault="00064D95"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Pr>
          <w:rFonts w:ascii="Times New Roman" w:eastAsia="標楷體" w:hAnsi="Times New Roman" w:cs="Times New Roman"/>
        </w:rPr>
        <w:t>(3)</w:t>
      </w:r>
      <w:r>
        <w:rPr>
          <w:rFonts w:ascii="Times New Roman" w:eastAsia="標楷體" w:hAnsi="Times New Roman" w:cs="Times New Roman"/>
        </w:rPr>
        <w:tab/>
      </w:r>
      <w:r w:rsidR="00914DB4" w:rsidRPr="0069274C">
        <w:rPr>
          <w:rFonts w:ascii="Times New Roman" w:eastAsia="標楷體" w:hAnsi="Times New Roman" w:cs="Times New Roman"/>
        </w:rPr>
        <w:t xml:space="preserve">Property management: monitoring property management aspects, including cost control, of each property. </w:t>
      </w:r>
    </w:p>
    <w:p w:rsidR="00914DB4" w:rsidRPr="0069274C" w:rsidRDefault="00914DB4" w:rsidP="00156E21">
      <w:pPr>
        <w:overflowPunct w:val="0"/>
        <w:autoSpaceDE w:val="0"/>
        <w:autoSpaceDN w:val="0"/>
        <w:ind w:leftChars="500" w:left="1200"/>
        <w:jc w:val="both"/>
        <w:rPr>
          <w:rFonts w:ascii="Times New Roman" w:eastAsia="標楷體" w:hAnsi="Times New Roman" w:cs="Times New Roman"/>
        </w:rPr>
      </w:pPr>
    </w:p>
    <w:p w:rsidR="00B02FB8" w:rsidRPr="0069274C" w:rsidRDefault="00914DB4"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(4)</w:t>
      </w:r>
      <w:r w:rsidR="00064D95">
        <w:rPr>
          <w:rFonts w:ascii="Times New Roman" w:eastAsia="標楷體" w:hAnsi="Times New Roman" w:cs="Times New Roman"/>
        </w:rPr>
        <w:tab/>
      </w:r>
      <w:r w:rsidRPr="0069274C">
        <w:rPr>
          <w:rFonts w:ascii="Times New Roman" w:eastAsia="標楷體" w:hAnsi="Times New Roman" w:cs="Times New Roman"/>
        </w:rPr>
        <w:t>Legal administration: monitoring tenancy administration for each property and handling of legal actions with tenants on behalf of property owners.</w:t>
      </w:r>
      <w:r w:rsidR="007A10DA" w:rsidRPr="0069274C">
        <w:rPr>
          <w:rFonts w:ascii="Times New Roman" w:eastAsia="標楷體" w:hAnsi="Times New Roman" w:cs="Times New Roman"/>
        </w:rPr>
        <w:t xml:space="preserve"> </w:t>
      </w:r>
    </w:p>
    <w:p w:rsidR="007A10DA" w:rsidRPr="0069274C" w:rsidRDefault="007A10DA" w:rsidP="00156E21">
      <w:pPr>
        <w:pStyle w:val="a3"/>
        <w:overflowPunct w:val="0"/>
        <w:autoSpaceDE w:val="0"/>
        <w:autoSpaceDN w:val="0"/>
        <w:rPr>
          <w:rFonts w:ascii="Times New Roman" w:eastAsia="標楷體" w:hAnsi="Times New Roman" w:cs="Times New Roman"/>
        </w:rPr>
      </w:pPr>
    </w:p>
    <w:p w:rsidR="007A10DA" w:rsidRPr="0069274C" w:rsidRDefault="00537A8D"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Mr </w:t>
      </w:r>
      <w:r w:rsidR="00B33666">
        <w:rPr>
          <w:rFonts w:ascii="Times New Roman" w:eastAsia="標楷體" w:hAnsi="Times New Roman" w:cs="Times New Roman"/>
        </w:rPr>
        <w:t>P</w:t>
      </w:r>
      <w:r w:rsidRPr="0069274C">
        <w:rPr>
          <w:rFonts w:ascii="Times New Roman" w:eastAsia="標楷體" w:hAnsi="Times New Roman" w:cs="Times New Roman"/>
        </w:rPr>
        <w:t xml:space="preserve"> described the services that the Taxpayer required as a commercial landlord of the Property</w:t>
      </w:r>
      <w:r w:rsidR="009B78EA" w:rsidRPr="0069274C">
        <w:rPr>
          <w:rFonts w:ascii="Times New Roman" w:eastAsia="標楷體" w:hAnsi="Times New Roman" w:cs="Times New Roman"/>
        </w:rPr>
        <w:t>.</w:t>
      </w:r>
      <w:r w:rsidRPr="0069274C">
        <w:rPr>
          <w:rFonts w:ascii="Times New Roman" w:eastAsia="標楷體" w:hAnsi="Times New Roman" w:cs="Times New Roman"/>
        </w:rPr>
        <w:t xml:space="preserve"> He stated that like other commercial landlords in Hong Kong, there were two aspects of work necessary for the Taxpayer to carry on its business, so that it could earn and produce rental income. The first aspect involved ground-level operations including day-to-day works such as building management, repairs and maintenance, lease negotiations, rental collection and other routine administration works. The second aspect </w:t>
      </w:r>
      <w:r w:rsidR="00C655C0" w:rsidRPr="0069274C">
        <w:rPr>
          <w:rFonts w:ascii="Times New Roman" w:eastAsia="標楷體" w:hAnsi="Times New Roman" w:cs="Times New Roman"/>
        </w:rPr>
        <w:t>wa</w:t>
      </w:r>
      <w:r w:rsidRPr="0069274C">
        <w:rPr>
          <w:rFonts w:ascii="Times New Roman" w:eastAsia="標楷體" w:hAnsi="Times New Roman" w:cs="Times New Roman"/>
        </w:rPr>
        <w:t xml:space="preserve">s comprised of the business management services including (but not limited to): (1) </w:t>
      </w:r>
      <w:r w:rsidR="002151EC" w:rsidRPr="0069274C">
        <w:rPr>
          <w:rFonts w:ascii="Times New Roman" w:eastAsia="標楷體" w:hAnsi="Times New Roman" w:cs="Times New Roman"/>
        </w:rPr>
        <w:t xml:space="preserve">Decision-making on core activities of the property including formulation of leasing strategies for the Property, determination of rental pricing, approval on each leasing transaction, development of asset enhancement plans and major management matters; (2) Driving the financial performance and asset value of the Property; (3) Supervising delegates (including the Property Manager and other contractors or consultants) to ensure satisfactory performance of all ground level operations. </w:t>
      </w:r>
      <w:r w:rsidR="0033436F" w:rsidRPr="0069274C">
        <w:rPr>
          <w:rFonts w:ascii="Times New Roman" w:eastAsia="標楷體" w:hAnsi="Times New Roman" w:cs="Times New Roman"/>
        </w:rPr>
        <w:t xml:space="preserve">Mr </w:t>
      </w:r>
      <w:r w:rsidR="00B33666">
        <w:rPr>
          <w:rFonts w:ascii="Times New Roman" w:eastAsia="標楷體" w:hAnsi="Times New Roman" w:cs="Times New Roman"/>
        </w:rPr>
        <w:t>P</w:t>
      </w:r>
      <w:r w:rsidR="0033436F" w:rsidRPr="0069274C">
        <w:rPr>
          <w:rFonts w:ascii="Times New Roman" w:eastAsia="標楷體" w:hAnsi="Times New Roman" w:cs="Times New Roman"/>
        </w:rPr>
        <w:t xml:space="preserve"> stated that from his experience and long career with commercial landlords, both aspects were necessary for the business operations of a commercial landlord. Usually a commercial landlord would undertake the second aspect of work by its senior management and the first aspect of work could be handled by </w:t>
      </w:r>
      <w:r w:rsidR="00C01143" w:rsidRPr="0069274C">
        <w:rPr>
          <w:rFonts w:ascii="Times New Roman" w:eastAsia="標楷體" w:hAnsi="Times New Roman" w:cs="Times New Roman"/>
        </w:rPr>
        <w:t xml:space="preserve">their own employees or outsourced to a delegate. </w:t>
      </w:r>
      <w:r w:rsidR="00C34933" w:rsidRPr="0069274C">
        <w:rPr>
          <w:rFonts w:ascii="Times New Roman" w:eastAsia="標楷體" w:hAnsi="Times New Roman" w:cs="Times New Roman"/>
        </w:rPr>
        <w:t xml:space="preserve">Under either arrangement, the first aspect of the work would still be under close supervision of the senior management of the commercial landlord, and the senior management would always be the key decision-makers. </w:t>
      </w:r>
    </w:p>
    <w:p w:rsidR="004048E3" w:rsidRPr="0069274C" w:rsidRDefault="004048E3" w:rsidP="00156E21">
      <w:pPr>
        <w:overflowPunct w:val="0"/>
        <w:autoSpaceDE w:val="0"/>
        <w:autoSpaceDN w:val="0"/>
        <w:jc w:val="both"/>
        <w:rPr>
          <w:rFonts w:ascii="Times New Roman" w:eastAsia="標楷體" w:hAnsi="Times New Roman" w:cs="Times New Roman"/>
        </w:rPr>
      </w:pPr>
    </w:p>
    <w:p w:rsidR="00C34933" w:rsidRPr="0069274C" w:rsidRDefault="0033436F"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lastRenderedPageBreak/>
        <w:t xml:space="preserve">Mr </w:t>
      </w:r>
      <w:r w:rsidR="00B33666">
        <w:rPr>
          <w:rFonts w:ascii="Times New Roman" w:eastAsia="標楷體" w:hAnsi="Times New Roman" w:cs="Times New Roman"/>
        </w:rPr>
        <w:t>P</w:t>
      </w:r>
      <w:r w:rsidRPr="0069274C">
        <w:rPr>
          <w:rFonts w:ascii="Times New Roman" w:eastAsia="標楷體" w:hAnsi="Times New Roman" w:cs="Times New Roman"/>
        </w:rPr>
        <w:t xml:space="preserve"> then explained that</w:t>
      </w:r>
      <w:r w:rsidR="00C34933" w:rsidRPr="0069274C">
        <w:rPr>
          <w:rFonts w:ascii="Times New Roman" w:eastAsia="標楷體" w:hAnsi="Times New Roman" w:cs="Times New Roman"/>
        </w:rPr>
        <w:t xml:space="preserve"> since the Taxpayer itself (like other SPVs in REIT</w:t>
      </w:r>
      <w:r w:rsidR="00156E21">
        <w:rPr>
          <w:rFonts w:ascii="Times New Roman" w:eastAsia="標楷體" w:hAnsi="Times New Roman" w:cs="Times New Roman"/>
        </w:rPr>
        <w:t xml:space="preserve"> K</w:t>
      </w:r>
      <w:r w:rsidR="00C34933" w:rsidRPr="0069274C">
        <w:rPr>
          <w:rFonts w:ascii="Times New Roman" w:eastAsia="標楷體" w:hAnsi="Times New Roman" w:cs="Times New Roman"/>
        </w:rPr>
        <w:t>) had no employees, the two aspects of work necessary for the Taxpayer to carry on its business were performed by third party service providers on behalf of the Taxpayer via the two-tier management structure (i</w:t>
      </w:r>
      <w:r w:rsidR="00260FEE">
        <w:rPr>
          <w:rFonts w:ascii="Times New Roman" w:eastAsia="標楷體" w:hAnsi="Times New Roman" w:cs="Times New Roman"/>
        </w:rPr>
        <w:t>.</w:t>
      </w:r>
      <w:r w:rsidR="00C34933" w:rsidRPr="0069274C">
        <w:rPr>
          <w:rFonts w:ascii="Times New Roman" w:eastAsia="標楷體" w:hAnsi="Times New Roman" w:cs="Times New Roman"/>
        </w:rPr>
        <w:t>e</w:t>
      </w:r>
      <w:r w:rsidR="00260FEE">
        <w:rPr>
          <w:rFonts w:ascii="Times New Roman" w:eastAsia="標楷體" w:hAnsi="Times New Roman" w:cs="Times New Roman"/>
        </w:rPr>
        <w:t>.</w:t>
      </w:r>
      <w:r w:rsidR="00C34933" w:rsidRPr="0069274C">
        <w:rPr>
          <w:rFonts w:ascii="Times New Roman" w:eastAsia="標楷體" w:hAnsi="Times New Roman" w:cs="Times New Roman"/>
        </w:rPr>
        <w:t xml:space="preserve"> by the Manager and the Property Manager). The ground level operations were outsourced to the Property Manager, which had its own office and separate operation teams. The Manager, on the other hand, carried out the business management, decision-making and supervision of delegates including the Property Manager. </w:t>
      </w:r>
    </w:p>
    <w:p w:rsidR="00C34933" w:rsidRPr="0069274C" w:rsidRDefault="00C34933" w:rsidP="00156E21">
      <w:pPr>
        <w:overflowPunct w:val="0"/>
        <w:autoSpaceDE w:val="0"/>
        <w:autoSpaceDN w:val="0"/>
        <w:jc w:val="both"/>
        <w:rPr>
          <w:rFonts w:ascii="Times New Roman" w:eastAsia="標楷體" w:hAnsi="Times New Roman" w:cs="Times New Roman"/>
        </w:rPr>
      </w:pPr>
    </w:p>
    <w:p w:rsidR="00FB25EC" w:rsidRPr="0069274C" w:rsidRDefault="00C34933"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Mr </w:t>
      </w:r>
      <w:r w:rsidR="00156E21">
        <w:rPr>
          <w:rFonts w:ascii="Times New Roman" w:eastAsia="標楷體" w:hAnsi="Times New Roman" w:cs="Times New Roman"/>
        </w:rPr>
        <w:t>P</w:t>
      </w:r>
      <w:r w:rsidRPr="0069274C">
        <w:rPr>
          <w:rFonts w:ascii="Times New Roman" w:eastAsia="標楷體" w:hAnsi="Times New Roman" w:cs="Times New Roman"/>
        </w:rPr>
        <w:t xml:space="preserve"> further explained the relationship between the Manager and the Property Manager.</w:t>
      </w:r>
      <w:r w:rsidR="00FB25EC" w:rsidRPr="0069274C">
        <w:rPr>
          <w:rFonts w:ascii="Times New Roman" w:eastAsia="標楷體" w:hAnsi="Times New Roman" w:cs="Times New Roman"/>
        </w:rPr>
        <w:t xml:space="preserve"> The Manager delegated the ground level operations to the Property Manager under clause </w:t>
      </w:r>
      <w:r w:rsidR="00196CB1">
        <w:rPr>
          <w:rFonts w:ascii="Times New Roman" w:eastAsia="標楷體" w:hAnsi="Times New Roman" w:cs="Times New Roman"/>
        </w:rPr>
        <w:t>A</w:t>
      </w:r>
      <w:r w:rsidR="00FB25EC" w:rsidRPr="0069274C">
        <w:rPr>
          <w:rFonts w:ascii="Times New Roman" w:eastAsia="標楷體" w:hAnsi="Times New Roman" w:cs="Times New Roman"/>
        </w:rPr>
        <w:t xml:space="preserve">.7 of the Trust Deed. There was also a property management agreement made between the Manager and the Property Manager under which the Manager appointed the Property Manager to operate, maintain, manage and market all the properties owned by REIT </w:t>
      </w:r>
      <w:r w:rsidR="00156E21">
        <w:rPr>
          <w:rFonts w:ascii="Times New Roman" w:eastAsia="標楷體" w:hAnsi="Times New Roman" w:cs="Times New Roman"/>
        </w:rPr>
        <w:t xml:space="preserve">K </w:t>
      </w:r>
      <w:r w:rsidR="00FB25EC" w:rsidRPr="0069274C">
        <w:rPr>
          <w:rFonts w:ascii="Times New Roman" w:eastAsia="標楷體" w:hAnsi="Times New Roman" w:cs="Times New Roman"/>
        </w:rPr>
        <w:t>solely and exclusively subject to the overall management and supervision of the Manager and upon the terms and conditions contained in that agreement. The Property Manager provided its services to the Taxpayer through two of its department</w:t>
      </w:r>
      <w:r w:rsidR="00C655C0" w:rsidRPr="0069274C">
        <w:rPr>
          <w:rFonts w:ascii="Times New Roman" w:eastAsia="標楷體" w:hAnsi="Times New Roman" w:cs="Times New Roman"/>
        </w:rPr>
        <w:t>s</w:t>
      </w:r>
      <w:r w:rsidR="00FB25EC" w:rsidRPr="0069274C">
        <w:rPr>
          <w:rFonts w:ascii="Times New Roman" w:eastAsia="標楷體" w:hAnsi="Times New Roman" w:cs="Times New Roman"/>
        </w:rPr>
        <w:t xml:space="preserve">, one concerning leasing services and the other concerning the provision of building management and maintenance services, including monitoring the manager under the Deed of Mutual Covenant. </w:t>
      </w:r>
      <w:r w:rsidR="008809F5" w:rsidRPr="0069274C">
        <w:rPr>
          <w:rFonts w:ascii="Times New Roman" w:eastAsia="標楷體" w:hAnsi="Times New Roman" w:cs="Times New Roman"/>
        </w:rPr>
        <w:t xml:space="preserve">Mr </w:t>
      </w:r>
      <w:r w:rsidR="00156E21">
        <w:rPr>
          <w:rFonts w:ascii="Times New Roman" w:eastAsia="標楷體" w:hAnsi="Times New Roman" w:cs="Times New Roman"/>
        </w:rPr>
        <w:t>P</w:t>
      </w:r>
      <w:r w:rsidR="008809F5" w:rsidRPr="0069274C">
        <w:rPr>
          <w:rFonts w:ascii="Times New Roman" w:eastAsia="標楷體" w:hAnsi="Times New Roman" w:cs="Times New Roman"/>
        </w:rPr>
        <w:t xml:space="preserve"> </w:t>
      </w:r>
      <w:r w:rsidR="0040288E" w:rsidRPr="0069274C">
        <w:rPr>
          <w:rFonts w:ascii="Times New Roman" w:eastAsia="標楷體" w:hAnsi="Times New Roman" w:cs="Times New Roman"/>
        </w:rPr>
        <w:t>stressed</w:t>
      </w:r>
      <w:r w:rsidR="008809F5" w:rsidRPr="0069274C">
        <w:rPr>
          <w:rFonts w:ascii="Times New Roman" w:eastAsia="標楷體" w:hAnsi="Times New Roman" w:cs="Times New Roman"/>
        </w:rPr>
        <w:t xml:space="preserve"> that without the decisions made and work done by the Manager in supervising and directing the Property Manager, the Property Manager would not be able to provide and implement the ground level leasing and property management services to the Property, and the production of the Taxpayer’s profits would be critically affected. </w:t>
      </w:r>
    </w:p>
    <w:p w:rsidR="00FB25EC" w:rsidRPr="0069274C" w:rsidRDefault="00FB25EC" w:rsidP="00156E21">
      <w:pPr>
        <w:overflowPunct w:val="0"/>
        <w:autoSpaceDE w:val="0"/>
        <w:autoSpaceDN w:val="0"/>
        <w:jc w:val="both"/>
        <w:rPr>
          <w:rFonts w:ascii="Times New Roman" w:eastAsia="標楷體" w:hAnsi="Times New Roman" w:cs="Times New Roman"/>
        </w:rPr>
      </w:pPr>
    </w:p>
    <w:p w:rsidR="008809F5" w:rsidRPr="0069274C" w:rsidRDefault="00FB25EC"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Mr </w:t>
      </w:r>
      <w:r w:rsidR="00156E21">
        <w:rPr>
          <w:rFonts w:ascii="Times New Roman" w:eastAsia="標楷體" w:hAnsi="Times New Roman" w:cs="Times New Roman"/>
        </w:rPr>
        <w:t>P</w:t>
      </w:r>
      <w:r w:rsidRPr="0069274C">
        <w:rPr>
          <w:rFonts w:ascii="Times New Roman" w:eastAsia="標楷體" w:hAnsi="Times New Roman" w:cs="Times New Roman"/>
        </w:rPr>
        <w:t xml:space="preserve"> furthermore explained </w:t>
      </w:r>
      <w:r w:rsidR="00EA5924" w:rsidRPr="0069274C">
        <w:rPr>
          <w:rFonts w:ascii="Times New Roman" w:eastAsia="標楷體" w:hAnsi="Times New Roman" w:cs="Times New Roman"/>
        </w:rPr>
        <w:t xml:space="preserve">the services rendered by </w:t>
      </w:r>
      <w:r w:rsidR="00156E21">
        <w:rPr>
          <w:rFonts w:ascii="Times New Roman" w:eastAsia="標楷體" w:hAnsi="Times New Roman" w:cs="Times New Roman"/>
        </w:rPr>
        <w:t>Department T</w:t>
      </w:r>
      <w:r w:rsidR="00EA5924" w:rsidRPr="0069274C">
        <w:rPr>
          <w:rFonts w:ascii="Times New Roman" w:eastAsia="標楷體" w:hAnsi="Times New Roman" w:cs="Times New Roman"/>
        </w:rPr>
        <w:t xml:space="preserve"> of the Manager to the Taxpayer and the Property. The Manager was responsible for making </w:t>
      </w:r>
      <w:r w:rsidR="00E242A5" w:rsidRPr="0069274C">
        <w:rPr>
          <w:rFonts w:ascii="Times New Roman" w:eastAsia="標楷體" w:hAnsi="Times New Roman" w:cs="Times New Roman"/>
        </w:rPr>
        <w:t xml:space="preserve">all business decisions on behalf of the Taxpayer in the business management and formulation of its operational strategies; this was said to be reflected in the annual business plan and budget setting out the parameters of its operations for an upcoming financial year, the managing of the leasing activities and marketing of the Property including the reviewing and approval of rental terms for every leasing application submitted by the Property Manager, and ensuring that the Property was adequately insured. The Manager was also responsible for driving the financial performance of the Taxpayer including the asset value of the Property. The Manager was also responsible for supervising and monitoring the delegates including the Property Manager. </w:t>
      </w:r>
      <w:r w:rsidR="00C34933" w:rsidRPr="0069274C">
        <w:rPr>
          <w:rFonts w:ascii="Times New Roman" w:eastAsia="標楷體" w:hAnsi="Times New Roman" w:cs="Times New Roman"/>
        </w:rPr>
        <w:t xml:space="preserve"> </w:t>
      </w:r>
      <w:r w:rsidR="008809F5" w:rsidRPr="0069274C">
        <w:rPr>
          <w:rFonts w:ascii="Times New Roman" w:eastAsia="標楷體" w:hAnsi="Times New Roman" w:cs="Times New Roman"/>
        </w:rPr>
        <w:t xml:space="preserve">Mr </w:t>
      </w:r>
      <w:r w:rsidR="00156E21">
        <w:rPr>
          <w:rFonts w:ascii="Times New Roman" w:eastAsia="標楷體" w:hAnsi="Times New Roman" w:cs="Times New Roman"/>
        </w:rPr>
        <w:t>P</w:t>
      </w:r>
      <w:r w:rsidR="008809F5" w:rsidRPr="0069274C">
        <w:rPr>
          <w:rFonts w:ascii="Times New Roman" w:eastAsia="標楷體" w:hAnsi="Times New Roman" w:cs="Times New Roman"/>
        </w:rPr>
        <w:t xml:space="preserve"> underlined that on the basis of his knowledge and experience, there were distinct services rendered by the Manager and the Property Manager without any duplication or overlap of duties and responsibilities. </w:t>
      </w:r>
    </w:p>
    <w:p w:rsidR="002F3122" w:rsidRPr="0069274C" w:rsidRDefault="002F3122" w:rsidP="00156E21">
      <w:pPr>
        <w:overflowPunct w:val="0"/>
        <w:autoSpaceDE w:val="0"/>
        <w:autoSpaceDN w:val="0"/>
        <w:jc w:val="both"/>
        <w:rPr>
          <w:rFonts w:ascii="Times New Roman" w:eastAsia="標楷體" w:hAnsi="Times New Roman" w:cs="Times New Roman"/>
        </w:rPr>
      </w:pPr>
    </w:p>
    <w:p w:rsidR="0033436F" w:rsidRPr="0069274C" w:rsidRDefault="002F3122"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lastRenderedPageBreak/>
        <w:t xml:space="preserve">The Revenue cross-examined Mr </w:t>
      </w:r>
      <w:r w:rsidR="00156E21">
        <w:rPr>
          <w:rFonts w:ascii="Times New Roman" w:eastAsia="標楷體" w:hAnsi="Times New Roman" w:cs="Times New Roman"/>
        </w:rPr>
        <w:t>P</w:t>
      </w:r>
      <w:r w:rsidRPr="0069274C">
        <w:rPr>
          <w:rFonts w:ascii="Times New Roman" w:eastAsia="標楷體" w:hAnsi="Times New Roman" w:cs="Times New Roman"/>
        </w:rPr>
        <w:t>.</w:t>
      </w:r>
      <w:r w:rsidR="00C21471" w:rsidRPr="0069274C">
        <w:rPr>
          <w:rStyle w:val="ab"/>
          <w:rFonts w:ascii="Times New Roman" w:eastAsia="標楷體" w:hAnsi="Times New Roman" w:cs="Times New Roman"/>
        </w:rPr>
        <w:footnoteReference w:id="1"/>
      </w:r>
      <w:r w:rsidRPr="0069274C">
        <w:rPr>
          <w:rFonts w:ascii="Times New Roman" w:eastAsia="標楷體" w:hAnsi="Times New Roman" w:cs="Times New Roman"/>
        </w:rPr>
        <w:t xml:space="preserve"> </w:t>
      </w:r>
      <w:r w:rsidR="00C21471" w:rsidRPr="0069274C">
        <w:rPr>
          <w:rFonts w:ascii="Times New Roman" w:eastAsia="標楷體" w:hAnsi="Times New Roman" w:cs="Times New Roman"/>
        </w:rPr>
        <w:t>In response to</w:t>
      </w:r>
      <w:r w:rsidR="008809F5" w:rsidRPr="0069274C">
        <w:rPr>
          <w:rFonts w:ascii="Times New Roman" w:eastAsia="標楷體" w:hAnsi="Times New Roman" w:cs="Times New Roman"/>
        </w:rPr>
        <w:t xml:space="preserve"> cross-examination, Mr </w:t>
      </w:r>
      <w:r w:rsidR="00156E21">
        <w:rPr>
          <w:rFonts w:ascii="Times New Roman" w:eastAsia="標楷體" w:hAnsi="Times New Roman" w:cs="Times New Roman"/>
        </w:rPr>
        <w:t>P</w:t>
      </w:r>
      <w:r w:rsidR="008D584E" w:rsidRPr="0069274C">
        <w:rPr>
          <w:rFonts w:ascii="Times New Roman" w:eastAsia="標楷體" w:hAnsi="Times New Roman" w:cs="Times New Roman"/>
        </w:rPr>
        <w:t xml:space="preserve"> stated that his place of work was at </w:t>
      </w:r>
      <w:r w:rsidR="00156E21">
        <w:rPr>
          <w:rFonts w:ascii="Times New Roman" w:eastAsia="標楷體" w:hAnsi="Times New Roman" w:cs="Times New Roman"/>
        </w:rPr>
        <w:t>Address W</w:t>
      </w:r>
      <w:r w:rsidR="008D584E" w:rsidRPr="0069274C">
        <w:rPr>
          <w:rFonts w:ascii="Times New Roman" w:eastAsia="標楷體" w:hAnsi="Times New Roman" w:cs="Times New Roman"/>
        </w:rPr>
        <w:t xml:space="preserve"> and </w:t>
      </w:r>
      <w:r w:rsidR="00156E21">
        <w:rPr>
          <w:rFonts w:ascii="Times New Roman" w:eastAsia="標楷體" w:hAnsi="Times New Roman" w:cs="Times New Roman"/>
        </w:rPr>
        <w:t>Company X</w:t>
      </w:r>
      <w:r w:rsidR="008D584E" w:rsidRPr="0069274C">
        <w:rPr>
          <w:rFonts w:ascii="Times New Roman" w:eastAsia="標楷體" w:hAnsi="Times New Roman" w:cs="Times New Roman"/>
        </w:rPr>
        <w:t xml:space="preserve"> occupied the whole of that floor. The Pro</w:t>
      </w:r>
      <w:r w:rsidR="00CC4C2A">
        <w:rPr>
          <w:rFonts w:ascii="Times New Roman" w:eastAsia="標楷體" w:hAnsi="Times New Roman" w:cs="Times New Roman"/>
        </w:rPr>
        <w:t xml:space="preserve">perty Manager occupied part of </w:t>
      </w:r>
      <w:r w:rsidR="00941D66">
        <w:rPr>
          <w:rFonts w:ascii="Times New Roman" w:eastAsia="標楷體" w:hAnsi="Times New Roman" w:cs="Times New Roman"/>
        </w:rPr>
        <w:t xml:space="preserve">one floor </w:t>
      </w:r>
      <w:r w:rsidR="008D584E" w:rsidRPr="0069274C">
        <w:rPr>
          <w:rFonts w:ascii="Times New Roman" w:eastAsia="標楷體" w:hAnsi="Times New Roman" w:cs="Times New Roman"/>
        </w:rPr>
        <w:t>of the same building.</w:t>
      </w:r>
    </w:p>
    <w:p w:rsidR="009B78EA" w:rsidRPr="0069274C" w:rsidRDefault="009B78EA" w:rsidP="00156E21">
      <w:pPr>
        <w:overflowPunct w:val="0"/>
        <w:autoSpaceDE w:val="0"/>
        <w:autoSpaceDN w:val="0"/>
        <w:jc w:val="both"/>
        <w:rPr>
          <w:rFonts w:ascii="Times New Roman" w:eastAsia="標楷體" w:hAnsi="Times New Roman" w:cs="Times New Roman"/>
        </w:rPr>
      </w:pPr>
    </w:p>
    <w:p w:rsidR="008D584E" w:rsidRPr="00156E21" w:rsidRDefault="008D584E" w:rsidP="00156E21">
      <w:pPr>
        <w:overflowPunct w:val="0"/>
        <w:autoSpaceDE w:val="0"/>
        <w:autoSpaceDN w:val="0"/>
        <w:jc w:val="both"/>
        <w:rPr>
          <w:rFonts w:ascii="Times New Roman" w:eastAsia="標楷體" w:hAnsi="Times New Roman" w:cs="Times New Roman"/>
          <w:b/>
          <w:i/>
        </w:rPr>
      </w:pPr>
      <w:r w:rsidRPr="00156E21">
        <w:rPr>
          <w:rFonts w:ascii="Times New Roman" w:eastAsia="標楷體" w:hAnsi="Times New Roman" w:cs="Times New Roman"/>
          <w:b/>
          <w:i/>
        </w:rPr>
        <w:t xml:space="preserve">Ms </w:t>
      </w:r>
      <w:r w:rsidR="003A6BA1">
        <w:rPr>
          <w:rFonts w:ascii="Times New Roman" w:eastAsia="標楷體" w:hAnsi="Times New Roman" w:cs="Times New Roman"/>
          <w:b/>
          <w:i/>
        </w:rPr>
        <w:t>Q</w:t>
      </w:r>
    </w:p>
    <w:p w:rsidR="00064D95" w:rsidRPr="0069274C" w:rsidRDefault="00064D95" w:rsidP="00156E21">
      <w:pPr>
        <w:overflowPunct w:val="0"/>
        <w:autoSpaceDE w:val="0"/>
        <w:autoSpaceDN w:val="0"/>
        <w:jc w:val="both"/>
        <w:rPr>
          <w:rFonts w:ascii="Times New Roman" w:eastAsia="標楷體" w:hAnsi="Times New Roman" w:cs="Times New Roman"/>
          <w:i/>
        </w:rPr>
      </w:pPr>
    </w:p>
    <w:p w:rsidR="009B78EA" w:rsidRPr="0069274C" w:rsidRDefault="008D584E"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Ms </w:t>
      </w:r>
      <w:r w:rsidR="00156E21">
        <w:rPr>
          <w:rFonts w:ascii="Times New Roman" w:eastAsia="標楷體" w:hAnsi="Times New Roman" w:cs="Times New Roman"/>
        </w:rPr>
        <w:t>Q</w:t>
      </w:r>
      <w:r w:rsidRPr="0069274C">
        <w:rPr>
          <w:rFonts w:ascii="Times New Roman" w:eastAsia="標楷體" w:hAnsi="Times New Roman" w:cs="Times New Roman"/>
        </w:rPr>
        <w:t xml:space="preserve"> was </w:t>
      </w:r>
      <w:r w:rsidR="00156E21">
        <w:rPr>
          <w:rFonts w:ascii="Times New Roman" w:eastAsia="標楷體" w:hAnsi="Times New Roman" w:cs="Times New Roman"/>
        </w:rPr>
        <w:t>Position Y</w:t>
      </w:r>
      <w:r w:rsidRPr="0069274C">
        <w:rPr>
          <w:rFonts w:ascii="Times New Roman" w:eastAsia="標楷體" w:hAnsi="Times New Roman" w:cs="Times New Roman"/>
        </w:rPr>
        <w:t xml:space="preserve"> of the Manager</w:t>
      </w:r>
      <w:r w:rsidR="00A7063C" w:rsidRPr="0069274C">
        <w:rPr>
          <w:rFonts w:ascii="Times New Roman" w:eastAsia="標楷體" w:hAnsi="Times New Roman" w:cs="Times New Roman"/>
        </w:rPr>
        <w:t>.</w:t>
      </w:r>
      <w:r w:rsidR="00834D78" w:rsidRPr="0069274C">
        <w:rPr>
          <w:rFonts w:ascii="Times New Roman" w:eastAsia="標楷體" w:hAnsi="Times New Roman" w:cs="Times New Roman"/>
        </w:rPr>
        <w:t xml:space="preserve"> She led Department</w:t>
      </w:r>
      <w:r w:rsidR="00156E21">
        <w:rPr>
          <w:rFonts w:ascii="Times New Roman" w:eastAsia="標楷體" w:hAnsi="Times New Roman" w:cs="Times New Roman"/>
        </w:rPr>
        <w:t xml:space="preserve"> </w:t>
      </w:r>
      <w:r w:rsidR="00156E21">
        <w:rPr>
          <w:rFonts w:ascii="Times New Roman" w:eastAsia="標楷體" w:hAnsi="Times New Roman" w:cs="Times New Roman" w:hint="eastAsia"/>
          <w:lang w:eastAsia="zh-TW"/>
        </w:rPr>
        <w:t>Z</w:t>
      </w:r>
      <w:r w:rsidR="00834D78" w:rsidRPr="0069274C">
        <w:rPr>
          <w:rFonts w:ascii="Times New Roman" w:eastAsia="標楷體" w:hAnsi="Times New Roman" w:cs="Times New Roman"/>
        </w:rPr>
        <w:t xml:space="preserve"> of the Manager. She reported directly to Mr </w:t>
      </w:r>
      <w:r w:rsidR="00156E21">
        <w:rPr>
          <w:rFonts w:ascii="Times New Roman" w:eastAsia="標楷體" w:hAnsi="Times New Roman" w:cs="Times New Roman"/>
        </w:rPr>
        <w:t>R</w:t>
      </w:r>
      <w:r w:rsidR="00834D78" w:rsidRPr="0069274C">
        <w:rPr>
          <w:rFonts w:ascii="Times New Roman" w:eastAsia="標楷體" w:hAnsi="Times New Roman" w:cs="Times New Roman"/>
        </w:rPr>
        <w:t xml:space="preserve">. She was the most senior person who managed the financial and accounting affairs of the Taxpayer, as well as the financial affairs and accounting matters of </w:t>
      </w:r>
      <w:r w:rsidR="00156E21">
        <w:rPr>
          <w:rFonts w:ascii="Times New Roman" w:eastAsia="標楷體" w:hAnsi="Times New Roman" w:cs="Times New Roman"/>
        </w:rPr>
        <w:t>Company N</w:t>
      </w:r>
      <w:r w:rsidR="00834D78" w:rsidRPr="0069274C">
        <w:rPr>
          <w:rFonts w:ascii="Times New Roman" w:eastAsia="標楷體" w:hAnsi="Times New Roman" w:cs="Times New Roman"/>
        </w:rPr>
        <w:t>, a company set up to perform centralized treasury functions for REIT</w:t>
      </w:r>
      <w:r w:rsidR="00156E21">
        <w:rPr>
          <w:rFonts w:ascii="Times New Roman" w:eastAsia="標楷體" w:hAnsi="Times New Roman" w:cs="Times New Roman"/>
        </w:rPr>
        <w:t xml:space="preserve"> K</w:t>
      </w:r>
      <w:r w:rsidR="00834D78" w:rsidRPr="0069274C">
        <w:rPr>
          <w:rFonts w:ascii="Times New Roman" w:eastAsia="標楷體" w:hAnsi="Times New Roman" w:cs="Times New Roman"/>
        </w:rPr>
        <w:t xml:space="preserve">. </w:t>
      </w:r>
    </w:p>
    <w:p w:rsidR="009B78EA" w:rsidRPr="0069274C" w:rsidRDefault="009B78EA" w:rsidP="00156E21">
      <w:pPr>
        <w:pStyle w:val="a3"/>
        <w:overflowPunct w:val="0"/>
        <w:autoSpaceDE w:val="0"/>
        <w:autoSpaceDN w:val="0"/>
        <w:rPr>
          <w:rFonts w:ascii="Times New Roman" w:eastAsia="標楷體" w:hAnsi="Times New Roman" w:cs="Times New Roman"/>
        </w:rPr>
      </w:pPr>
    </w:p>
    <w:p w:rsidR="009B78EA" w:rsidRPr="0069274C" w:rsidRDefault="00834D78"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Ms </w:t>
      </w:r>
      <w:r w:rsidR="00156E21">
        <w:rPr>
          <w:rFonts w:ascii="Times New Roman" w:eastAsia="標楷體" w:hAnsi="Times New Roman" w:cs="Times New Roman"/>
        </w:rPr>
        <w:t>Q</w:t>
      </w:r>
      <w:r w:rsidRPr="0069274C">
        <w:rPr>
          <w:rFonts w:ascii="Times New Roman" w:eastAsia="標楷體" w:hAnsi="Times New Roman" w:cs="Times New Roman"/>
        </w:rPr>
        <w:t xml:space="preserve"> was responsible for supervising the overall financial and accounting management of </w:t>
      </w:r>
      <w:r w:rsidR="00156E21" w:rsidRPr="0069274C">
        <w:rPr>
          <w:rFonts w:ascii="Times New Roman" w:eastAsia="標楷體" w:hAnsi="Times New Roman" w:cs="Times New Roman"/>
        </w:rPr>
        <w:t>REIT</w:t>
      </w:r>
      <w:r w:rsidR="00156E21">
        <w:rPr>
          <w:rFonts w:ascii="Times New Roman" w:eastAsia="標楷體" w:hAnsi="Times New Roman" w:cs="Times New Roman"/>
        </w:rPr>
        <w:t xml:space="preserve"> K</w:t>
      </w:r>
      <w:r w:rsidRPr="0069274C">
        <w:rPr>
          <w:rFonts w:ascii="Times New Roman" w:eastAsia="標楷體" w:hAnsi="Times New Roman" w:cs="Times New Roman"/>
        </w:rPr>
        <w:t xml:space="preserve">, </w:t>
      </w:r>
      <w:r w:rsidR="00156E21">
        <w:rPr>
          <w:rFonts w:ascii="Times New Roman" w:eastAsia="標楷體" w:hAnsi="Times New Roman" w:cs="Times New Roman"/>
        </w:rPr>
        <w:t>Company N</w:t>
      </w:r>
      <w:r w:rsidRPr="0069274C">
        <w:rPr>
          <w:rFonts w:ascii="Times New Roman" w:eastAsia="標楷體" w:hAnsi="Times New Roman" w:cs="Times New Roman"/>
        </w:rPr>
        <w:t xml:space="preserve">, companies providing financial services to and holding domain names of </w:t>
      </w:r>
      <w:r w:rsidR="00156E21" w:rsidRPr="0069274C">
        <w:rPr>
          <w:rFonts w:ascii="Times New Roman" w:eastAsia="標楷體" w:hAnsi="Times New Roman" w:cs="Times New Roman"/>
        </w:rPr>
        <w:t>REIT</w:t>
      </w:r>
      <w:r w:rsidR="00156E21">
        <w:rPr>
          <w:rFonts w:ascii="Times New Roman" w:eastAsia="標楷體" w:hAnsi="Times New Roman" w:cs="Times New Roman"/>
        </w:rPr>
        <w:t xml:space="preserve"> K</w:t>
      </w:r>
      <w:r w:rsidRPr="0069274C">
        <w:rPr>
          <w:rFonts w:ascii="Times New Roman" w:eastAsia="標楷體" w:hAnsi="Times New Roman" w:cs="Times New Roman"/>
        </w:rPr>
        <w:t>, intermediate holdings companies as well as each of the property holding SPVs, including but not limited to financial reporting, taxation and cash flow management, monitoring of capital expenditure, reviewing of and making recommendation on financing matters and budget preparation</w:t>
      </w:r>
      <w:r w:rsidR="00062225" w:rsidRPr="0069274C">
        <w:rPr>
          <w:rFonts w:ascii="Times New Roman" w:eastAsia="標楷體" w:hAnsi="Times New Roman" w:cs="Times New Roman"/>
        </w:rPr>
        <w:t>.</w:t>
      </w:r>
    </w:p>
    <w:p w:rsidR="00E97772" w:rsidRPr="0069274C" w:rsidRDefault="00E97772" w:rsidP="00156E21">
      <w:pPr>
        <w:pStyle w:val="a3"/>
        <w:overflowPunct w:val="0"/>
        <w:autoSpaceDE w:val="0"/>
        <w:autoSpaceDN w:val="0"/>
        <w:rPr>
          <w:rFonts w:ascii="Times New Roman" w:eastAsia="標楷體" w:hAnsi="Times New Roman" w:cs="Times New Roman"/>
        </w:rPr>
      </w:pPr>
    </w:p>
    <w:p w:rsidR="00E97772" w:rsidRPr="0069274C" w:rsidRDefault="00834D78"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Ms </w:t>
      </w:r>
      <w:r w:rsidR="00156E21">
        <w:rPr>
          <w:rFonts w:ascii="Times New Roman" w:eastAsia="標楷體" w:hAnsi="Times New Roman" w:cs="Times New Roman"/>
        </w:rPr>
        <w:t>Q</w:t>
      </w:r>
      <w:r w:rsidRPr="0069274C">
        <w:rPr>
          <w:rFonts w:ascii="Times New Roman" w:eastAsia="標楷體" w:hAnsi="Times New Roman" w:cs="Times New Roman"/>
        </w:rPr>
        <w:t xml:space="preserve"> sought to explain three matters in her evidence</w:t>
      </w:r>
      <w:r w:rsidR="00480479" w:rsidRPr="0069274C">
        <w:rPr>
          <w:rFonts w:ascii="Times New Roman" w:eastAsia="標楷體" w:hAnsi="Times New Roman" w:cs="Times New Roman"/>
        </w:rPr>
        <w:t>.</w:t>
      </w:r>
      <w:r w:rsidRPr="0069274C">
        <w:rPr>
          <w:rFonts w:ascii="Times New Roman" w:eastAsia="標楷體" w:hAnsi="Times New Roman" w:cs="Times New Roman"/>
        </w:rPr>
        <w:t xml:space="preserve"> The first was the work that </w:t>
      </w:r>
      <w:r w:rsidR="00156E21" w:rsidRPr="0069274C">
        <w:rPr>
          <w:rFonts w:ascii="Times New Roman" w:eastAsia="標楷體" w:hAnsi="Times New Roman" w:cs="Times New Roman"/>
        </w:rPr>
        <w:t>Department</w:t>
      </w:r>
      <w:r w:rsidR="00156E21">
        <w:rPr>
          <w:rFonts w:ascii="Times New Roman" w:eastAsia="標楷體" w:hAnsi="Times New Roman" w:cs="Times New Roman"/>
        </w:rPr>
        <w:t xml:space="preserve"> </w:t>
      </w:r>
      <w:r w:rsidR="00156E21">
        <w:rPr>
          <w:rFonts w:ascii="Times New Roman" w:eastAsia="標楷體" w:hAnsi="Times New Roman" w:cs="Times New Roman" w:hint="eastAsia"/>
          <w:lang w:eastAsia="zh-TW"/>
        </w:rPr>
        <w:t>Z</w:t>
      </w:r>
      <w:r w:rsidRPr="0069274C">
        <w:rPr>
          <w:rFonts w:ascii="Times New Roman" w:eastAsia="標楷體" w:hAnsi="Times New Roman" w:cs="Times New Roman"/>
        </w:rPr>
        <w:t xml:space="preserve"> of the Manager and she performed in relation to the Taxpayer, one of the SPVs. The second was the payment mechanism of the Manager’s Fees from the Taxpayer to the Manager, via </w:t>
      </w:r>
      <w:r w:rsidR="00156E21">
        <w:rPr>
          <w:rFonts w:ascii="Times New Roman" w:eastAsia="標楷體" w:hAnsi="Times New Roman" w:cs="Times New Roman"/>
        </w:rPr>
        <w:t>Company N</w:t>
      </w:r>
      <w:r w:rsidRPr="0069274C">
        <w:rPr>
          <w:rFonts w:ascii="Times New Roman" w:eastAsia="標楷體" w:hAnsi="Times New Roman" w:cs="Times New Roman"/>
        </w:rPr>
        <w:t xml:space="preserve">, for the services rendered to the Taxpayer by the Manager. The third was the flow of funds from the Taxpayer by way of dividend for onward distribution to the unit holders. </w:t>
      </w:r>
      <w:r w:rsidR="00480479" w:rsidRPr="0069274C">
        <w:rPr>
          <w:rFonts w:ascii="Times New Roman" w:eastAsia="標楷體" w:hAnsi="Times New Roman" w:cs="Times New Roman"/>
        </w:rPr>
        <w:t xml:space="preserve"> </w:t>
      </w:r>
    </w:p>
    <w:p w:rsidR="00834D78" w:rsidRPr="0069274C" w:rsidRDefault="00834D78" w:rsidP="00156E21">
      <w:pPr>
        <w:overflowPunct w:val="0"/>
        <w:autoSpaceDE w:val="0"/>
        <w:autoSpaceDN w:val="0"/>
        <w:jc w:val="both"/>
        <w:rPr>
          <w:rFonts w:ascii="Times New Roman" w:eastAsia="標楷體" w:hAnsi="Times New Roman" w:cs="Times New Roman"/>
        </w:rPr>
      </w:pPr>
    </w:p>
    <w:p w:rsidR="00834D78" w:rsidRPr="0069274C" w:rsidRDefault="00834D78"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Ms </w:t>
      </w:r>
      <w:r w:rsidR="00156E21">
        <w:rPr>
          <w:rFonts w:ascii="Times New Roman" w:eastAsia="標楷體" w:hAnsi="Times New Roman" w:cs="Times New Roman"/>
        </w:rPr>
        <w:t>Q</w:t>
      </w:r>
      <w:r w:rsidRPr="0069274C">
        <w:rPr>
          <w:rFonts w:ascii="Times New Roman" w:eastAsia="標楷體" w:hAnsi="Times New Roman" w:cs="Times New Roman"/>
        </w:rPr>
        <w:t xml:space="preserve"> stated that since none of the SPVs had any employees and staff, the Department </w:t>
      </w:r>
      <w:r w:rsidR="00156E21">
        <w:rPr>
          <w:rFonts w:ascii="Times New Roman" w:eastAsia="標楷體" w:hAnsi="Times New Roman" w:cs="Times New Roman"/>
        </w:rPr>
        <w:t xml:space="preserve">Z </w:t>
      </w:r>
      <w:r w:rsidRPr="0069274C">
        <w:rPr>
          <w:rFonts w:ascii="Times New Roman" w:eastAsia="標楷體" w:hAnsi="Times New Roman" w:cs="Times New Roman"/>
        </w:rPr>
        <w:t xml:space="preserve">of the Manager </w:t>
      </w:r>
      <w:r w:rsidR="00814C2A" w:rsidRPr="0069274C">
        <w:rPr>
          <w:rFonts w:ascii="Times New Roman" w:eastAsia="標楷體" w:hAnsi="Times New Roman" w:cs="Times New Roman"/>
        </w:rPr>
        <w:t xml:space="preserve">handled all their financial and accounting affairs under the ultimate supervision of </w:t>
      </w:r>
      <w:r w:rsidR="00156E21">
        <w:rPr>
          <w:rFonts w:ascii="Times New Roman" w:eastAsia="標楷體" w:hAnsi="Times New Roman" w:cs="Times New Roman"/>
        </w:rPr>
        <w:t>Position V</w:t>
      </w:r>
      <w:r w:rsidR="00814C2A" w:rsidRPr="0069274C">
        <w:rPr>
          <w:rFonts w:ascii="Times New Roman" w:eastAsia="標楷體" w:hAnsi="Times New Roman" w:cs="Times New Roman"/>
        </w:rPr>
        <w:t xml:space="preserve"> of the Manager, Mr </w:t>
      </w:r>
      <w:r w:rsidR="00156E21">
        <w:rPr>
          <w:rFonts w:ascii="Times New Roman" w:eastAsia="標楷體" w:hAnsi="Times New Roman" w:cs="Times New Roman"/>
        </w:rPr>
        <w:t>R</w:t>
      </w:r>
      <w:r w:rsidR="00814C2A" w:rsidRPr="0069274C">
        <w:rPr>
          <w:rFonts w:ascii="Times New Roman" w:eastAsia="標楷體" w:hAnsi="Times New Roman" w:cs="Times New Roman"/>
        </w:rPr>
        <w:t xml:space="preserve">. The key services </w:t>
      </w:r>
      <w:r w:rsidR="00156E21" w:rsidRPr="0069274C">
        <w:rPr>
          <w:rFonts w:ascii="Times New Roman" w:eastAsia="標楷體" w:hAnsi="Times New Roman" w:cs="Times New Roman"/>
        </w:rPr>
        <w:t xml:space="preserve">Department </w:t>
      </w:r>
      <w:r w:rsidR="00156E21">
        <w:rPr>
          <w:rFonts w:ascii="Times New Roman" w:eastAsia="標楷體" w:hAnsi="Times New Roman" w:cs="Times New Roman"/>
        </w:rPr>
        <w:t>Z</w:t>
      </w:r>
      <w:r w:rsidR="00814C2A" w:rsidRPr="0069274C">
        <w:rPr>
          <w:rFonts w:ascii="Times New Roman" w:eastAsia="標楷體" w:hAnsi="Times New Roman" w:cs="Times New Roman"/>
        </w:rPr>
        <w:t xml:space="preserve"> provided to the Taxpayer related to all aspects of the management of its financial and accounting affairs</w:t>
      </w:r>
      <w:r w:rsidR="00FC08EF" w:rsidRPr="0069274C">
        <w:rPr>
          <w:rFonts w:ascii="Times New Roman" w:eastAsia="標楷體" w:hAnsi="Times New Roman" w:cs="Times New Roman"/>
        </w:rPr>
        <w:t xml:space="preserve"> as a commercial landlord</w:t>
      </w:r>
      <w:r w:rsidR="00814C2A" w:rsidRPr="0069274C">
        <w:rPr>
          <w:rFonts w:ascii="Times New Roman" w:eastAsia="標楷體" w:hAnsi="Times New Roman" w:cs="Times New Roman"/>
        </w:rPr>
        <w:t xml:space="preserve">, with the key services including financial and management accounting, preparation and filing of all tax returns and other tax related matters for the Taxpayer, credit risk management, cash flow management, and monitoring payment of expenditures of the Taxpayer. </w:t>
      </w:r>
    </w:p>
    <w:p w:rsidR="00814C2A" w:rsidRPr="0069274C" w:rsidRDefault="00814C2A" w:rsidP="00156E21">
      <w:pPr>
        <w:overflowPunct w:val="0"/>
        <w:autoSpaceDE w:val="0"/>
        <w:autoSpaceDN w:val="0"/>
        <w:jc w:val="both"/>
        <w:rPr>
          <w:rFonts w:ascii="Times New Roman" w:eastAsia="標楷體" w:hAnsi="Times New Roman" w:cs="Times New Roman"/>
        </w:rPr>
      </w:pPr>
    </w:p>
    <w:p w:rsidR="00814C2A" w:rsidRPr="0069274C" w:rsidRDefault="00814C2A"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Ms </w:t>
      </w:r>
      <w:r w:rsidR="00156E21">
        <w:rPr>
          <w:rFonts w:ascii="Times New Roman" w:eastAsia="標楷體" w:hAnsi="Times New Roman" w:cs="Times New Roman"/>
        </w:rPr>
        <w:t>Q</w:t>
      </w:r>
      <w:r w:rsidRPr="0069274C">
        <w:rPr>
          <w:rFonts w:ascii="Times New Roman" w:eastAsia="標楷體" w:hAnsi="Times New Roman" w:cs="Times New Roman"/>
        </w:rPr>
        <w:t xml:space="preserve"> stated that </w:t>
      </w:r>
      <w:r w:rsidR="00156E21">
        <w:rPr>
          <w:rFonts w:ascii="Times New Roman" w:eastAsia="標楷體" w:hAnsi="Times New Roman" w:cs="Times New Roman"/>
        </w:rPr>
        <w:t>Company N</w:t>
      </w:r>
      <w:r w:rsidRPr="0069274C">
        <w:rPr>
          <w:rFonts w:ascii="Times New Roman" w:eastAsia="標楷體" w:hAnsi="Times New Roman" w:cs="Times New Roman"/>
        </w:rPr>
        <w:t xml:space="preserve"> </w:t>
      </w:r>
      <w:r w:rsidR="00F61622" w:rsidRPr="0069274C">
        <w:rPr>
          <w:rFonts w:ascii="Times New Roman" w:eastAsia="標楷體" w:hAnsi="Times New Roman" w:cs="Times New Roman"/>
        </w:rPr>
        <w:t>acted as the group treasurer and performed all the treasury functions for REIT</w:t>
      </w:r>
      <w:r w:rsidR="00156E21">
        <w:rPr>
          <w:rFonts w:ascii="Times New Roman" w:eastAsia="標楷體" w:hAnsi="Times New Roman" w:cs="Times New Roman"/>
        </w:rPr>
        <w:t xml:space="preserve"> K</w:t>
      </w:r>
      <w:r w:rsidR="00F61622" w:rsidRPr="0069274C">
        <w:rPr>
          <w:rFonts w:ascii="Times New Roman" w:eastAsia="標楷體" w:hAnsi="Times New Roman" w:cs="Times New Roman"/>
        </w:rPr>
        <w:t xml:space="preserve">, including the Taxpayer and all other SPVs. This </w:t>
      </w:r>
      <w:r w:rsidR="00156E21">
        <w:rPr>
          <w:rFonts w:ascii="Times New Roman" w:eastAsia="標楷體" w:hAnsi="Times New Roman" w:cs="Times New Roman"/>
        </w:rPr>
        <w:lastRenderedPageBreak/>
        <w:t>‘</w:t>
      </w:r>
      <w:r w:rsidR="00F61622" w:rsidRPr="0069274C">
        <w:rPr>
          <w:rFonts w:ascii="Times New Roman" w:eastAsia="標楷體" w:hAnsi="Times New Roman" w:cs="Times New Roman"/>
        </w:rPr>
        <w:t>centralized treasury arrangement</w:t>
      </w:r>
      <w:r w:rsidR="00156E21">
        <w:rPr>
          <w:rFonts w:ascii="Times New Roman" w:eastAsia="標楷體" w:hAnsi="Times New Roman" w:cs="Times New Roman"/>
        </w:rPr>
        <w:t>’</w:t>
      </w:r>
      <w:r w:rsidR="00F61622" w:rsidRPr="0069274C">
        <w:rPr>
          <w:rFonts w:ascii="Times New Roman" w:eastAsia="標楷體" w:hAnsi="Times New Roman" w:cs="Times New Roman"/>
        </w:rPr>
        <w:t xml:space="preserve"> meant that </w:t>
      </w:r>
      <w:r w:rsidR="00156E21">
        <w:rPr>
          <w:rFonts w:ascii="Times New Roman" w:eastAsia="標楷體" w:hAnsi="Times New Roman" w:cs="Times New Roman"/>
        </w:rPr>
        <w:t>Company N</w:t>
      </w:r>
      <w:r w:rsidR="00F61622" w:rsidRPr="0069274C">
        <w:rPr>
          <w:rFonts w:ascii="Times New Roman" w:eastAsia="標楷體" w:hAnsi="Times New Roman" w:cs="Times New Roman"/>
        </w:rPr>
        <w:t xml:space="preserve"> effect</w:t>
      </w:r>
      <w:r w:rsidR="00F23963" w:rsidRPr="0069274C">
        <w:rPr>
          <w:rFonts w:ascii="Times New Roman" w:eastAsia="標楷體" w:hAnsi="Times New Roman" w:cs="Times New Roman"/>
        </w:rPr>
        <w:t>ively</w:t>
      </w:r>
      <w:r w:rsidR="00F61622" w:rsidRPr="0069274C">
        <w:rPr>
          <w:rFonts w:ascii="Times New Roman" w:eastAsia="標楷體" w:hAnsi="Times New Roman" w:cs="Times New Roman"/>
        </w:rPr>
        <w:t xml:space="preserve"> acted as the </w:t>
      </w:r>
      <w:r w:rsidR="00156E21">
        <w:rPr>
          <w:rFonts w:ascii="Times New Roman" w:eastAsia="標楷體" w:hAnsi="Times New Roman" w:cs="Times New Roman"/>
        </w:rPr>
        <w:t>‘</w:t>
      </w:r>
      <w:r w:rsidR="00F61622" w:rsidRPr="0069274C">
        <w:rPr>
          <w:rFonts w:ascii="Times New Roman" w:eastAsia="標楷體" w:hAnsi="Times New Roman" w:cs="Times New Roman"/>
        </w:rPr>
        <w:t>bank</w:t>
      </w:r>
      <w:r w:rsidR="00156E21">
        <w:rPr>
          <w:rFonts w:ascii="Times New Roman" w:eastAsia="標楷體" w:hAnsi="Times New Roman" w:cs="Times New Roman"/>
        </w:rPr>
        <w:t>’</w:t>
      </w:r>
      <w:r w:rsidR="00F61622" w:rsidRPr="0069274C">
        <w:rPr>
          <w:rFonts w:ascii="Times New Roman" w:eastAsia="標楷體" w:hAnsi="Times New Roman" w:cs="Times New Roman"/>
        </w:rPr>
        <w:t xml:space="preserve"> of all the SPVs comprising </w:t>
      </w:r>
      <w:r w:rsidR="00156E21" w:rsidRPr="0069274C">
        <w:rPr>
          <w:rFonts w:ascii="Times New Roman" w:eastAsia="標楷體" w:hAnsi="Times New Roman" w:cs="Times New Roman"/>
        </w:rPr>
        <w:t>REIT</w:t>
      </w:r>
      <w:r w:rsidR="00156E21">
        <w:rPr>
          <w:rFonts w:ascii="Times New Roman" w:eastAsia="標楷體" w:hAnsi="Times New Roman" w:cs="Times New Roman"/>
        </w:rPr>
        <w:t xml:space="preserve"> K</w:t>
      </w:r>
      <w:r w:rsidR="0003460E" w:rsidRPr="0069274C">
        <w:rPr>
          <w:rFonts w:ascii="Times New Roman" w:eastAsia="標楷體" w:hAnsi="Times New Roman" w:cs="Times New Roman"/>
        </w:rPr>
        <w:t xml:space="preserve">. </w:t>
      </w:r>
      <w:r w:rsidR="00156E21">
        <w:rPr>
          <w:rFonts w:ascii="Times New Roman" w:eastAsia="標楷體" w:hAnsi="Times New Roman" w:cs="Times New Roman"/>
        </w:rPr>
        <w:t>Company N</w:t>
      </w:r>
      <w:r w:rsidR="0003460E" w:rsidRPr="0069274C">
        <w:rPr>
          <w:rFonts w:ascii="Times New Roman" w:eastAsia="標楷體" w:hAnsi="Times New Roman" w:cs="Times New Roman"/>
        </w:rPr>
        <w:t xml:space="preserve"> maintained a current account for each group company, which was analogous to that company’s </w:t>
      </w:r>
      <w:r w:rsidR="00156E21">
        <w:rPr>
          <w:rFonts w:ascii="Times New Roman" w:eastAsia="標楷體" w:hAnsi="Times New Roman" w:cs="Times New Roman"/>
        </w:rPr>
        <w:t>‘</w:t>
      </w:r>
      <w:r w:rsidR="0003460E" w:rsidRPr="0069274C">
        <w:rPr>
          <w:rFonts w:ascii="Times New Roman" w:eastAsia="標楷體" w:hAnsi="Times New Roman" w:cs="Times New Roman"/>
        </w:rPr>
        <w:t>bank account</w:t>
      </w:r>
      <w:r w:rsidR="00156E21">
        <w:rPr>
          <w:rFonts w:ascii="Times New Roman" w:eastAsia="標楷體" w:hAnsi="Times New Roman" w:cs="Times New Roman"/>
        </w:rPr>
        <w:t>’</w:t>
      </w:r>
      <w:r w:rsidR="0003460E" w:rsidRPr="0069274C">
        <w:rPr>
          <w:rFonts w:ascii="Times New Roman" w:eastAsia="標楷體" w:hAnsi="Times New Roman" w:cs="Times New Roman"/>
        </w:rPr>
        <w:t xml:space="preserve"> at </w:t>
      </w:r>
      <w:r w:rsidR="00156E21">
        <w:rPr>
          <w:rFonts w:ascii="Times New Roman" w:eastAsia="標楷體" w:hAnsi="Times New Roman" w:cs="Times New Roman"/>
        </w:rPr>
        <w:t>Company N</w:t>
      </w:r>
      <w:r w:rsidR="0003460E" w:rsidRPr="0069274C">
        <w:rPr>
          <w:rFonts w:ascii="Times New Roman" w:eastAsia="標楷體" w:hAnsi="Times New Roman" w:cs="Times New Roman"/>
        </w:rPr>
        <w:t xml:space="preserve">. Thus a positive balance in </w:t>
      </w:r>
      <w:r w:rsidR="00156E21">
        <w:rPr>
          <w:rFonts w:ascii="Times New Roman" w:eastAsia="標楷體" w:hAnsi="Times New Roman" w:cs="Times New Roman"/>
        </w:rPr>
        <w:t>Company N</w:t>
      </w:r>
      <w:r w:rsidR="0003460E" w:rsidRPr="0069274C">
        <w:rPr>
          <w:rFonts w:ascii="Times New Roman" w:eastAsia="標楷體" w:hAnsi="Times New Roman" w:cs="Times New Roman"/>
        </w:rPr>
        <w:t xml:space="preserve">’s current account with the SPV represented a debt owed by </w:t>
      </w:r>
      <w:r w:rsidR="00156E21">
        <w:rPr>
          <w:rFonts w:ascii="Times New Roman" w:eastAsia="標楷體" w:hAnsi="Times New Roman" w:cs="Times New Roman"/>
        </w:rPr>
        <w:t>Company N</w:t>
      </w:r>
      <w:r w:rsidR="0003460E" w:rsidRPr="0069274C">
        <w:rPr>
          <w:rFonts w:ascii="Times New Roman" w:eastAsia="標楷體" w:hAnsi="Times New Roman" w:cs="Times New Roman"/>
        </w:rPr>
        <w:t xml:space="preserve"> to that SPV. Any intra-group transfers of money would be recorded in the current accounts of the transferor and transferee with </w:t>
      </w:r>
      <w:r w:rsidR="00156E21">
        <w:rPr>
          <w:rFonts w:ascii="Times New Roman" w:eastAsia="標楷體" w:hAnsi="Times New Roman" w:cs="Times New Roman"/>
        </w:rPr>
        <w:t>Company N</w:t>
      </w:r>
      <w:r w:rsidR="0062245D" w:rsidRPr="0069274C">
        <w:rPr>
          <w:rFonts w:ascii="Times New Roman" w:eastAsia="標楷體" w:hAnsi="Times New Roman" w:cs="Times New Roman"/>
        </w:rPr>
        <w:t xml:space="preserve"> and vice versa (i</w:t>
      </w:r>
      <w:r w:rsidR="00156E21">
        <w:rPr>
          <w:rFonts w:ascii="Times New Roman" w:eastAsia="標楷體" w:hAnsi="Times New Roman" w:cs="Times New Roman"/>
        </w:rPr>
        <w:t>.</w:t>
      </w:r>
      <w:r w:rsidR="0062245D" w:rsidRPr="0069274C">
        <w:rPr>
          <w:rFonts w:ascii="Times New Roman" w:eastAsia="標楷體" w:hAnsi="Times New Roman" w:cs="Times New Roman"/>
        </w:rPr>
        <w:t>e</w:t>
      </w:r>
      <w:r w:rsidR="00156E21">
        <w:rPr>
          <w:rFonts w:ascii="Times New Roman" w:eastAsia="標楷體" w:hAnsi="Times New Roman" w:cs="Times New Roman"/>
        </w:rPr>
        <w:t>.</w:t>
      </w:r>
      <w:r w:rsidR="0062245D" w:rsidRPr="0069274C">
        <w:rPr>
          <w:rFonts w:ascii="Times New Roman" w:eastAsia="標楷體" w:hAnsi="Times New Roman" w:cs="Times New Roman"/>
        </w:rPr>
        <w:t xml:space="preserve"> </w:t>
      </w:r>
      <w:r w:rsidR="00156E21">
        <w:rPr>
          <w:rFonts w:ascii="Times New Roman" w:eastAsia="標楷體" w:hAnsi="Times New Roman" w:cs="Times New Roman"/>
        </w:rPr>
        <w:t>Company N</w:t>
      </w:r>
      <w:r w:rsidR="0062245D" w:rsidRPr="0069274C">
        <w:rPr>
          <w:rFonts w:ascii="Times New Roman" w:eastAsia="標楷體" w:hAnsi="Times New Roman" w:cs="Times New Roman"/>
        </w:rPr>
        <w:t xml:space="preserve">’s current accounts with the transferor and </w:t>
      </w:r>
      <w:r w:rsidR="00F23963" w:rsidRPr="0069274C">
        <w:rPr>
          <w:rFonts w:ascii="Times New Roman" w:eastAsia="標楷體" w:hAnsi="Times New Roman" w:cs="Times New Roman"/>
        </w:rPr>
        <w:t xml:space="preserve">the </w:t>
      </w:r>
      <w:r w:rsidR="0062245D" w:rsidRPr="0069274C">
        <w:rPr>
          <w:rFonts w:ascii="Times New Roman" w:eastAsia="標楷體" w:hAnsi="Times New Roman" w:cs="Times New Roman"/>
        </w:rPr>
        <w:t>transferee, and</w:t>
      </w:r>
      <w:r w:rsidR="00F23963" w:rsidRPr="0069274C">
        <w:rPr>
          <w:rFonts w:ascii="Times New Roman" w:eastAsia="標楷體" w:hAnsi="Times New Roman" w:cs="Times New Roman"/>
        </w:rPr>
        <w:t xml:space="preserve"> the</w:t>
      </w:r>
      <w:r w:rsidR="0062245D" w:rsidRPr="0069274C">
        <w:rPr>
          <w:rFonts w:ascii="Times New Roman" w:eastAsia="標楷體" w:hAnsi="Times New Roman" w:cs="Times New Roman"/>
        </w:rPr>
        <w:t xml:space="preserve"> transferor’s and </w:t>
      </w:r>
      <w:r w:rsidR="00F23963" w:rsidRPr="0069274C">
        <w:rPr>
          <w:rFonts w:ascii="Times New Roman" w:eastAsia="標楷體" w:hAnsi="Times New Roman" w:cs="Times New Roman"/>
        </w:rPr>
        <w:t xml:space="preserve">the </w:t>
      </w:r>
      <w:r w:rsidR="0062245D" w:rsidRPr="0069274C">
        <w:rPr>
          <w:rFonts w:ascii="Times New Roman" w:eastAsia="標楷體" w:hAnsi="Times New Roman" w:cs="Times New Roman"/>
        </w:rPr>
        <w:t xml:space="preserve">transferee’s current accounts with </w:t>
      </w:r>
      <w:r w:rsidR="00156E21">
        <w:rPr>
          <w:rFonts w:ascii="Times New Roman" w:eastAsia="標楷體" w:hAnsi="Times New Roman" w:cs="Times New Roman"/>
        </w:rPr>
        <w:t>Company N</w:t>
      </w:r>
      <w:r w:rsidR="0062245D" w:rsidRPr="0069274C">
        <w:rPr>
          <w:rFonts w:ascii="Times New Roman" w:eastAsia="標楷體" w:hAnsi="Times New Roman" w:cs="Times New Roman"/>
        </w:rPr>
        <w:t>, respectively) by making the necessary accounting entries (i</w:t>
      </w:r>
      <w:r w:rsidR="00156E21">
        <w:rPr>
          <w:rFonts w:ascii="Times New Roman" w:eastAsia="標楷體" w:hAnsi="Times New Roman" w:cs="Times New Roman"/>
        </w:rPr>
        <w:t>.</w:t>
      </w:r>
      <w:r w:rsidR="0062245D" w:rsidRPr="0069274C">
        <w:rPr>
          <w:rFonts w:ascii="Times New Roman" w:eastAsia="標楷體" w:hAnsi="Times New Roman" w:cs="Times New Roman"/>
        </w:rPr>
        <w:t>e</w:t>
      </w:r>
      <w:r w:rsidR="00156E21">
        <w:rPr>
          <w:rFonts w:ascii="Times New Roman" w:eastAsia="標楷體" w:hAnsi="Times New Roman" w:cs="Times New Roman"/>
        </w:rPr>
        <w:t>.</w:t>
      </w:r>
      <w:r w:rsidR="0062245D" w:rsidRPr="0069274C">
        <w:rPr>
          <w:rFonts w:ascii="Times New Roman" w:eastAsia="標楷體" w:hAnsi="Times New Roman" w:cs="Times New Roman"/>
        </w:rPr>
        <w:t xml:space="preserve"> an adjustment in the balances of </w:t>
      </w:r>
      <w:r w:rsidR="00156E21">
        <w:rPr>
          <w:rFonts w:ascii="Times New Roman" w:eastAsia="標楷體" w:hAnsi="Times New Roman" w:cs="Times New Roman"/>
        </w:rPr>
        <w:t>Company N</w:t>
      </w:r>
      <w:r w:rsidR="0062245D" w:rsidRPr="0069274C">
        <w:rPr>
          <w:rFonts w:ascii="Times New Roman" w:eastAsia="標楷體" w:hAnsi="Times New Roman" w:cs="Times New Roman"/>
        </w:rPr>
        <w:t xml:space="preserve">’s current accounts with the transferor and </w:t>
      </w:r>
      <w:r w:rsidR="00F23963" w:rsidRPr="0069274C">
        <w:rPr>
          <w:rFonts w:ascii="Times New Roman" w:eastAsia="標楷體" w:hAnsi="Times New Roman" w:cs="Times New Roman"/>
        </w:rPr>
        <w:t xml:space="preserve">the </w:t>
      </w:r>
      <w:r w:rsidR="0062245D" w:rsidRPr="0069274C">
        <w:rPr>
          <w:rFonts w:ascii="Times New Roman" w:eastAsia="標楷體" w:hAnsi="Times New Roman" w:cs="Times New Roman"/>
        </w:rPr>
        <w:t xml:space="preserve">transferee) but no cash actually held in the bank would be transferred. Ms </w:t>
      </w:r>
      <w:r w:rsidR="00156E21">
        <w:rPr>
          <w:rFonts w:ascii="Times New Roman" w:eastAsia="標楷體" w:hAnsi="Times New Roman" w:cs="Times New Roman"/>
        </w:rPr>
        <w:t>Q</w:t>
      </w:r>
      <w:r w:rsidR="0062245D" w:rsidRPr="0069274C">
        <w:rPr>
          <w:rFonts w:ascii="Times New Roman" w:eastAsia="標楷體" w:hAnsi="Times New Roman" w:cs="Times New Roman"/>
        </w:rPr>
        <w:t xml:space="preserve"> further stated that under this arrangement, none of the SPVs, including the Taxpayer, had any accounts with banks in Hong Kong. </w:t>
      </w:r>
      <w:r w:rsidR="00156E21">
        <w:rPr>
          <w:rFonts w:ascii="Times New Roman" w:eastAsia="標楷體" w:hAnsi="Times New Roman" w:cs="Times New Roman"/>
        </w:rPr>
        <w:t>Company N</w:t>
      </w:r>
      <w:r w:rsidR="0062245D" w:rsidRPr="0069274C">
        <w:rPr>
          <w:rFonts w:ascii="Times New Roman" w:eastAsia="標楷體" w:hAnsi="Times New Roman" w:cs="Times New Roman"/>
        </w:rPr>
        <w:t xml:space="preserve"> itself held accounts with various banks in Hong Kong and these accounts </w:t>
      </w:r>
      <w:r w:rsidR="00156E21">
        <w:rPr>
          <w:rFonts w:ascii="Times New Roman" w:eastAsia="標楷體" w:hAnsi="Times New Roman" w:cs="Times New Roman"/>
        </w:rPr>
        <w:t>‘</w:t>
      </w:r>
      <w:r w:rsidR="0062245D" w:rsidRPr="0069274C">
        <w:rPr>
          <w:rFonts w:ascii="Times New Roman" w:eastAsia="標楷體" w:hAnsi="Times New Roman" w:cs="Times New Roman"/>
        </w:rPr>
        <w:t>physically</w:t>
      </w:r>
      <w:r w:rsidR="00156E21">
        <w:rPr>
          <w:rFonts w:ascii="Times New Roman" w:eastAsia="標楷體" w:hAnsi="Times New Roman" w:cs="Times New Roman"/>
        </w:rPr>
        <w:t>’</w:t>
      </w:r>
      <w:r w:rsidR="0062245D" w:rsidRPr="0069274C">
        <w:rPr>
          <w:rFonts w:ascii="Times New Roman" w:eastAsia="標楷體" w:hAnsi="Times New Roman" w:cs="Times New Roman"/>
        </w:rPr>
        <w:t xml:space="preserve"> contained all the cash earned by the SPVs. </w:t>
      </w:r>
      <w:r w:rsidR="006C0714" w:rsidRPr="0069274C">
        <w:rPr>
          <w:rFonts w:ascii="Times New Roman" w:eastAsia="標楷體" w:hAnsi="Times New Roman" w:cs="Times New Roman"/>
        </w:rPr>
        <w:t xml:space="preserve">The bank accounts </w:t>
      </w:r>
      <w:r w:rsidR="00003AEF">
        <w:rPr>
          <w:rFonts w:ascii="Times New Roman" w:eastAsia="標楷體" w:hAnsi="Times New Roman" w:cs="Times New Roman"/>
        </w:rPr>
        <w:t>Company N</w:t>
      </w:r>
      <w:r w:rsidR="006C0714" w:rsidRPr="0069274C">
        <w:rPr>
          <w:rFonts w:ascii="Times New Roman" w:eastAsia="標楷體" w:hAnsi="Times New Roman" w:cs="Times New Roman"/>
        </w:rPr>
        <w:t xml:space="preserve"> itself held were of two types: (i) collection accounts (for collection of rental income and deposits from tenants) and (ii) operating accounts (for payment of day to day </w:t>
      </w:r>
      <w:r w:rsidR="00156E21">
        <w:rPr>
          <w:rFonts w:ascii="Times New Roman" w:eastAsia="標楷體" w:hAnsi="Times New Roman" w:cs="Times New Roman"/>
        </w:rPr>
        <w:t>‘</w:t>
      </w:r>
      <w:r w:rsidR="006C0714" w:rsidRPr="0069274C">
        <w:rPr>
          <w:rFonts w:ascii="Times New Roman" w:eastAsia="標楷體" w:hAnsi="Times New Roman" w:cs="Times New Roman"/>
        </w:rPr>
        <w:t>property operating expenses</w:t>
      </w:r>
      <w:r w:rsidR="00156E21">
        <w:rPr>
          <w:rFonts w:ascii="Times New Roman" w:eastAsia="標楷體" w:hAnsi="Times New Roman" w:cs="Times New Roman"/>
        </w:rPr>
        <w:t>’</w:t>
      </w:r>
      <w:r w:rsidR="006C0714" w:rsidRPr="0069274C">
        <w:rPr>
          <w:rFonts w:ascii="Times New Roman" w:eastAsia="標楷體" w:hAnsi="Times New Roman" w:cs="Times New Roman"/>
        </w:rPr>
        <w:t xml:space="preserve">). </w:t>
      </w:r>
      <w:r w:rsidR="00E64428" w:rsidRPr="0069274C">
        <w:rPr>
          <w:rFonts w:ascii="Times New Roman" w:eastAsia="標楷體" w:hAnsi="Times New Roman" w:cs="Times New Roman"/>
          <w:lang w:eastAsia="zh-TW"/>
        </w:rPr>
        <w:t>The signatories of the collection accounts are officers of the Trustee. The signatories of the operating accounts are various officers and staff of the Manager. Separately, the Trustee holds a bank account in its name but in the capacity as trustee of REIT</w:t>
      </w:r>
      <w:r w:rsidR="00156E21">
        <w:rPr>
          <w:rFonts w:ascii="Times New Roman" w:eastAsia="標楷體" w:hAnsi="Times New Roman" w:cs="Times New Roman"/>
          <w:lang w:eastAsia="zh-TW"/>
        </w:rPr>
        <w:t xml:space="preserve"> K</w:t>
      </w:r>
      <w:r w:rsidR="00E64428" w:rsidRPr="0069274C">
        <w:rPr>
          <w:rFonts w:ascii="Times New Roman" w:eastAsia="標楷體" w:hAnsi="Times New Roman" w:cs="Times New Roman"/>
          <w:lang w:eastAsia="zh-TW"/>
        </w:rPr>
        <w:t xml:space="preserve">. </w:t>
      </w:r>
    </w:p>
    <w:p w:rsidR="00E64428" w:rsidRPr="0069274C" w:rsidRDefault="00E64428" w:rsidP="00156E21">
      <w:pPr>
        <w:overflowPunct w:val="0"/>
        <w:autoSpaceDE w:val="0"/>
        <w:autoSpaceDN w:val="0"/>
        <w:jc w:val="both"/>
        <w:rPr>
          <w:rFonts w:ascii="Times New Roman" w:eastAsia="標楷體" w:hAnsi="Times New Roman" w:cs="Times New Roman"/>
        </w:rPr>
      </w:pPr>
    </w:p>
    <w:p w:rsidR="00E64428" w:rsidRPr="0069274C" w:rsidRDefault="00E64428"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Ms </w:t>
      </w:r>
      <w:r w:rsidR="00003AEF">
        <w:rPr>
          <w:rFonts w:ascii="Times New Roman" w:eastAsia="標楷體" w:hAnsi="Times New Roman" w:cs="Times New Roman"/>
        </w:rPr>
        <w:t>Q</w:t>
      </w:r>
      <w:r w:rsidRPr="0069274C">
        <w:rPr>
          <w:rFonts w:ascii="Times New Roman" w:eastAsia="標楷體" w:hAnsi="Times New Roman" w:cs="Times New Roman"/>
        </w:rPr>
        <w:t xml:space="preserve"> stated that </w:t>
      </w:r>
      <w:r w:rsidR="00F449A9" w:rsidRPr="0069274C">
        <w:rPr>
          <w:rFonts w:ascii="Times New Roman" w:eastAsia="標楷體" w:hAnsi="Times New Roman" w:cs="Times New Roman"/>
        </w:rPr>
        <w:t xml:space="preserve">with respect to the payment of expenditures, as requested by the Trustee, payments must be made from the Trust’s bank account to the payee (with funds to be transferred from the collection accounts). No funds were paid directly from the collection accounts. However, for </w:t>
      </w:r>
      <w:r w:rsidR="00B922B5" w:rsidRPr="0069274C">
        <w:rPr>
          <w:rFonts w:ascii="Times New Roman" w:eastAsia="標楷體" w:hAnsi="Times New Roman" w:cs="Times New Roman"/>
        </w:rPr>
        <w:t xml:space="preserve">the convenience of day to day administration, with the consent of the Trustee, operating accounts were set up for the payment of property operating expenses and Ms </w:t>
      </w:r>
      <w:r w:rsidR="00003AEF">
        <w:rPr>
          <w:rFonts w:ascii="Times New Roman" w:eastAsia="標楷體" w:hAnsi="Times New Roman" w:cs="Times New Roman"/>
        </w:rPr>
        <w:t>Q</w:t>
      </w:r>
      <w:r w:rsidR="00B922B5" w:rsidRPr="0069274C">
        <w:rPr>
          <w:rFonts w:ascii="Times New Roman" w:eastAsia="標楷體" w:hAnsi="Times New Roman" w:cs="Times New Roman"/>
        </w:rPr>
        <w:t xml:space="preserve"> described them as the equivalent of petty cash accounts. The Manager informed the Trustee of its projected expenses for each quarter (based on the annual budget of REIT</w:t>
      </w:r>
      <w:r w:rsidR="00003AEF">
        <w:rPr>
          <w:rFonts w:ascii="Times New Roman" w:eastAsia="標楷體" w:hAnsi="Times New Roman" w:cs="Times New Roman"/>
        </w:rPr>
        <w:t xml:space="preserve"> K</w:t>
      </w:r>
      <w:r w:rsidR="00B922B5" w:rsidRPr="0069274C">
        <w:rPr>
          <w:rFonts w:ascii="Times New Roman" w:eastAsia="標楷體" w:hAnsi="Times New Roman" w:cs="Times New Roman"/>
        </w:rPr>
        <w:t xml:space="preserve">) and requested a transfer of the necessary funds from the collection accounts to the operating accounts. Ms </w:t>
      </w:r>
      <w:r w:rsidR="00003AEF">
        <w:rPr>
          <w:rFonts w:ascii="Times New Roman" w:eastAsia="標楷體" w:hAnsi="Times New Roman" w:cs="Times New Roman"/>
        </w:rPr>
        <w:t>Q</w:t>
      </w:r>
      <w:r w:rsidR="00B922B5" w:rsidRPr="0069274C">
        <w:rPr>
          <w:rFonts w:ascii="Times New Roman" w:eastAsia="標楷體" w:hAnsi="Times New Roman" w:cs="Times New Roman"/>
        </w:rPr>
        <w:t xml:space="preserve"> stated that maintaining a separate bank account for the property operating expenses also made it easier for the Manager and the Trustee to monitor fund flows. Expenses not paid via the operating accounts included the Manager’s Fees, Trustee fee, filing fees for annual returns, property valuation fees, taxation service fees, audit fees, legal fees, business registration fees and profit tax, etc. </w:t>
      </w:r>
    </w:p>
    <w:p w:rsidR="00B922B5" w:rsidRPr="0069274C" w:rsidRDefault="00B922B5" w:rsidP="00156E21">
      <w:pPr>
        <w:overflowPunct w:val="0"/>
        <w:autoSpaceDE w:val="0"/>
        <w:autoSpaceDN w:val="0"/>
        <w:jc w:val="both"/>
        <w:rPr>
          <w:rFonts w:ascii="Times New Roman" w:eastAsia="標楷體" w:hAnsi="Times New Roman" w:cs="Times New Roman"/>
        </w:rPr>
      </w:pPr>
    </w:p>
    <w:p w:rsidR="00B922B5" w:rsidRPr="0069274C" w:rsidRDefault="00B922B5"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Ms </w:t>
      </w:r>
      <w:r w:rsidR="00003AEF">
        <w:rPr>
          <w:rFonts w:ascii="Times New Roman" w:eastAsia="標楷體" w:hAnsi="Times New Roman" w:cs="Times New Roman"/>
        </w:rPr>
        <w:t>Q</w:t>
      </w:r>
      <w:r w:rsidRPr="0069274C">
        <w:rPr>
          <w:rFonts w:ascii="Times New Roman" w:eastAsia="標楷體" w:hAnsi="Times New Roman" w:cs="Times New Roman"/>
        </w:rPr>
        <w:t xml:space="preserve"> stated that in relation to the Taxpayer, the rentals payable by the tenants of the Taxpayer’s Property were deposited into </w:t>
      </w:r>
      <w:r w:rsidR="00003AEF">
        <w:rPr>
          <w:rFonts w:ascii="Times New Roman" w:eastAsia="標楷體" w:hAnsi="Times New Roman" w:cs="Times New Roman"/>
        </w:rPr>
        <w:t>Company N</w:t>
      </w:r>
      <w:r w:rsidRPr="0069274C">
        <w:rPr>
          <w:rFonts w:ascii="Times New Roman" w:eastAsia="標楷體" w:hAnsi="Times New Roman" w:cs="Times New Roman"/>
        </w:rPr>
        <w:t xml:space="preserve">’s collection accounts on behalf of the Taxpayer. The Taxpayer’s expenses were paid via </w:t>
      </w:r>
      <w:r w:rsidR="00003AEF">
        <w:rPr>
          <w:rFonts w:ascii="Times New Roman" w:eastAsia="標楷體" w:hAnsi="Times New Roman" w:cs="Times New Roman"/>
        </w:rPr>
        <w:t>Company N</w:t>
      </w:r>
      <w:r w:rsidRPr="0069274C">
        <w:rPr>
          <w:rFonts w:ascii="Times New Roman" w:eastAsia="標楷體" w:hAnsi="Times New Roman" w:cs="Times New Roman"/>
        </w:rPr>
        <w:t xml:space="preserve">. Corresponding account entries were recorded in both the accounting ledgers of the Taxpayer and </w:t>
      </w:r>
      <w:r w:rsidR="00003AEF">
        <w:rPr>
          <w:rFonts w:ascii="Times New Roman" w:eastAsia="標楷體" w:hAnsi="Times New Roman" w:cs="Times New Roman"/>
        </w:rPr>
        <w:t>Company N</w:t>
      </w:r>
      <w:r w:rsidRPr="0069274C">
        <w:rPr>
          <w:rFonts w:ascii="Times New Roman" w:eastAsia="標楷體" w:hAnsi="Times New Roman" w:cs="Times New Roman"/>
        </w:rPr>
        <w:t xml:space="preserve"> to reflect the transactions. </w:t>
      </w:r>
    </w:p>
    <w:p w:rsidR="00B922B5" w:rsidRPr="0069274C" w:rsidRDefault="00B922B5" w:rsidP="00156E21">
      <w:pPr>
        <w:overflowPunct w:val="0"/>
        <w:autoSpaceDE w:val="0"/>
        <w:autoSpaceDN w:val="0"/>
        <w:jc w:val="both"/>
        <w:rPr>
          <w:rFonts w:ascii="Times New Roman" w:eastAsia="標楷體" w:hAnsi="Times New Roman" w:cs="Times New Roman"/>
        </w:rPr>
      </w:pPr>
    </w:p>
    <w:p w:rsidR="00B922B5" w:rsidRPr="0069274C" w:rsidRDefault="00B922B5"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Ms </w:t>
      </w:r>
      <w:r w:rsidR="00003AEF">
        <w:rPr>
          <w:rFonts w:ascii="Times New Roman" w:eastAsia="標楷體" w:hAnsi="Times New Roman" w:cs="Times New Roman"/>
        </w:rPr>
        <w:t>Q</w:t>
      </w:r>
      <w:r w:rsidRPr="0069274C">
        <w:rPr>
          <w:rFonts w:ascii="Times New Roman" w:eastAsia="標楷體" w:hAnsi="Times New Roman" w:cs="Times New Roman"/>
        </w:rPr>
        <w:t xml:space="preserve"> sought to outline how the Taxpayer’s share of the Manager’s Fees were paid by the Taxpayer by reference to the Taxpayer’s accounting records and cash movement. </w:t>
      </w:r>
      <w:r w:rsidR="00BB2058" w:rsidRPr="0069274C">
        <w:rPr>
          <w:rFonts w:ascii="Times New Roman" w:eastAsia="標楷體" w:hAnsi="Times New Roman" w:cs="Times New Roman"/>
        </w:rPr>
        <w:t xml:space="preserve">Ms </w:t>
      </w:r>
      <w:r w:rsidR="00003AEF">
        <w:rPr>
          <w:rFonts w:ascii="Times New Roman" w:eastAsia="標楷體" w:hAnsi="Times New Roman" w:cs="Times New Roman"/>
        </w:rPr>
        <w:t>Q</w:t>
      </w:r>
      <w:r w:rsidR="00BB2058" w:rsidRPr="0069274C">
        <w:rPr>
          <w:rFonts w:ascii="Times New Roman" w:eastAsia="標楷體" w:hAnsi="Times New Roman" w:cs="Times New Roman"/>
        </w:rPr>
        <w:t xml:space="preserve"> stated that payment by the Taxpayer of its share of the Manager’s Fees was made by way of a transfer of funds from the Taxpayer’s current account with </w:t>
      </w:r>
      <w:r w:rsidR="00003AEF">
        <w:rPr>
          <w:rFonts w:ascii="Times New Roman" w:eastAsia="標楷體" w:hAnsi="Times New Roman" w:cs="Times New Roman"/>
        </w:rPr>
        <w:t>Company N</w:t>
      </w:r>
      <w:r w:rsidR="00BB2058" w:rsidRPr="0069274C">
        <w:rPr>
          <w:rFonts w:ascii="Times New Roman" w:eastAsia="標楷體" w:hAnsi="Times New Roman" w:cs="Times New Roman"/>
        </w:rPr>
        <w:t xml:space="preserve"> to REIT</w:t>
      </w:r>
      <w:r w:rsidR="00003AEF">
        <w:rPr>
          <w:rFonts w:ascii="Times New Roman" w:eastAsia="標楷體" w:hAnsi="Times New Roman" w:cs="Times New Roman"/>
        </w:rPr>
        <w:t xml:space="preserve"> K</w:t>
      </w:r>
      <w:r w:rsidR="00BB2058" w:rsidRPr="0069274C">
        <w:rPr>
          <w:rFonts w:ascii="Times New Roman" w:eastAsia="標楷體" w:hAnsi="Times New Roman" w:cs="Times New Roman"/>
        </w:rPr>
        <w:t xml:space="preserve">’s current account with </w:t>
      </w:r>
      <w:r w:rsidR="00003AEF">
        <w:rPr>
          <w:rFonts w:ascii="Times New Roman" w:eastAsia="標楷體" w:hAnsi="Times New Roman" w:cs="Times New Roman"/>
        </w:rPr>
        <w:t>Company N</w:t>
      </w:r>
      <w:r w:rsidR="00BB2058" w:rsidRPr="0069274C">
        <w:rPr>
          <w:rFonts w:ascii="Times New Roman" w:eastAsia="標楷體" w:hAnsi="Times New Roman" w:cs="Times New Roman"/>
        </w:rPr>
        <w:t>. This was</w:t>
      </w:r>
      <w:r w:rsidR="00B373C7" w:rsidRPr="0069274C">
        <w:rPr>
          <w:rFonts w:ascii="Times New Roman" w:eastAsia="標楷體" w:hAnsi="Times New Roman" w:cs="Times New Roman"/>
        </w:rPr>
        <w:t xml:space="preserve"> recognized at the end of each month and then settled through</w:t>
      </w:r>
      <w:r w:rsidR="00BB2058" w:rsidRPr="0069274C">
        <w:rPr>
          <w:rFonts w:ascii="Times New Roman" w:eastAsia="標楷體" w:hAnsi="Times New Roman" w:cs="Times New Roman"/>
        </w:rPr>
        <w:t xml:space="preserve"> a transfer on paper by way of effecting journal entries on the accounting records. There was no movement of cash in the bank at this stage. Then, for </w:t>
      </w:r>
      <w:r w:rsidR="00BB2058" w:rsidRPr="0069274C">
        <w:rPr>
          <w:rFonts w:ascii="Times New Roman" w:eastAsia="標楷體" w:hAnsi="Times New Roman" w:cs="Times New Roman"/>
        </w:rPr>
        <w:lastRenderedPageBreak/>
        <w:t xml:space="preserve">the part of the Manager’s Fees that the Manager elected to receive in cash, </w:t>
      </w:r>
      <w:r w:rsidR="00003AEF">
        <w:rPr>
          <w:rFonts w:ascii="Times New Roman" w:eastAsia="標楷體" w:hAnsi="Times New Roman" w:cs="Times New Roman"/>
        </w:rPr>
        <w:t>Company N</w:t>
      </w:r>
      <w:r w:rsidR="00BB2058" w:rsidRPr="0069274C">
        <w:rPr>
          <w:rFonts w:ascii="Times New Roman" w:eastAsia="標楷體" w:hAnsi="Times New Roman" w:cs="Times New Roman"/>
        </w:rPr>
        <w:t xml:space="preserve"> would effect the payment on behalf of the Taxpayer by transferring the cash from the collection accounts to the trust account and afterwards, the Trustee acting as </w:t>
      </w:r>
      <w:r w:rsidR="00942DE8" w:rsidRPr="0069274C">
        <w:rPr>
          <w:rFonts w:ascii="Times New Roman" w:eastAsia="標楷體" w:hAnsi="Times New Roman" w:cs="Times New Roman"/>
        </w:rPr>
        <w:t xml:space="preserve">the </w:t>
      </w:r>
      <w:r w:rsidR="00BB2058" w:rsidRPr="0069274C">
        <w:rPr>
          <w:rFonts w:ascii="Times New Roman" w:eastAsia="標楷體" w:hAnsi="Times New Roman" w:cs="Times New Roman"/>
        </w:rPr>
        <w:t>trust</w:t>
      </w:r>
      <w:r w:rsidR="00942DE8" w:rsidRPr="0069274C">
        <w:rPr>
          <w:rFonts w:ascii="Times New Roman" w:eastAsia="標楷體" w:hAnsi="Times New Roman" w:cs="Times New Roman"/>
        </w:rPr>
        <w:t>ee</w:t>
      </w:r>
      <w:r w:rsidR="00BB2058" w:rsidRPr="0069274C">
        <w:rPr>
          <w:rFonts w:ascii="Times New Roman" w:eastAsia="標楷體" w:hAnsi="Times New Roman" w:cs="Times New Roman"/>
        </w:rPr>
        <w:t xml:space="preserve"> of REIT </w:t>
      </w:r>
      <w:r w:rsidR="00003AEF">
        <w:rPr>
          <w:rFonts w:ascii="Times New Roman" w:eastAsia="標楷體" w:hAnsi="Times New Roman" w:cs="Times New Roman"/>
        </w:rPr>
        <w:t xml:space="preserve">K </w:t>
      </w:r>
      <w:r w:rsidR="00BB2058" w:rsidRPr="0069274C">
        <w:rPr>
          <w:rFonts w:ascii="Times New Roman" w:eastAsia="標楷體" w:hAnsi="Times New Roman" w:cs="Times New Roman"/>
        </w:rPr>
        <w:t xml:space="preserve">would transfer the Manager’s Fees to the Manager from the trust account by issuing a cheque. And, for the part of the Manager’s Fees that the Manager elected to receive in units, after the payment was made by the Taxpayer by transfer of funds from the Taxpayer’s current account with </w:t>
      </w:r>
      <w:r w:rsidR="00003AEF">
        <w:rPr>
          <w:rFonts w:ascii="Times New Roman" w:eastAsia="標楷體" w:hAnsi="Times New Roman" w:cs="Times New Roman"/>
        </w:rPr>
        <w:t>Company N</w:t>
      </w:r>
      <w:r w:rsidR="00BB2058" w:rsidRPr="0069274C">
        <w:rPr>
          <w:rFonts w:ascii="Times New Roman" w:eastAsia="標楷體" w:hAnsi="Times New Roman" w:cs="Times New Roman"/>
        </w:rPr>
        <w:t xml:space="preserve"> to REIT</w:t>
      </w:r>
      <w:r w:rsidR="00003AEF">
        <w:rPr>
          <w:rFonts w:ascii="Times New Roman" w:eastAsia="標楷體" w:hAnsi="Times New Roman" w:cs="Times New Roman"/>
        </w:rPr>
        <w:t xml:space="preserve"> K</w:t>
      </w:r>
      <w:r w:rsidR="00BB2058" w:rsidRPr="0069274C">
        <w:rPr>
          <w:rFonts w:ascii="Times New Roman" w:eastAsia="標楷體" w:hAnsi="Times New Roman" w:cs="Times New Roman"/>
        </w:rPr>
        <w:t xml:space="preserve">’s current account with </w:t>
      </w:r>
      <w:r w:rsidR="00003AEF">
        <w:rPr>
          <w:rFonts w:ascii="Times New Roman" w:eastAsia="標楷體" w:hAnsi="Times New Roman" w:cs="Times New Roman"/>
        </w:rPr>
        <w:t>Company N</w:t>
      </w:r>
      <w:r w:rsidR="00BB2058" w:rsidRPr="0069274C">
        <w:rPr>
          <w:rFonts w:ascii="Times New Roman" w:eastAsia="標楷體" w:hAnsi="Times New Roman" w:cs="Times New Roman"/>
        </w:rPr>
        <w:t xml:space="preserve">, the Trustee, on behalf of </w:t>
      </w:r>
      <w:r w:rsidR="00003AEF" w:rsidRPr="0069274C">
        <w:rPr>
          <w:rFonts w:ascii="Times New Roman" w:eastAsia="標楷體" w:hAnsi="Times New Roman" w:cs="Times New Roman"/>
        </w:rPr>
        <w:t>REIT</w:t>
      </w:r>
      <w:r w:rsidR="00003AEF">
        <w:rPr>
          <w:rFonts w:ascii="Times New Roman" w:eastAsia="標楷體" w:hAnsi="Times New Roman" w:cs="Times New Roman"/>
        </w:rPr>
        <w:t xml:space="preserve"> K</w:t>
      </w:r>
      <w:r w:rsidR="00BB2058" w:rsidRPr="0069274C">
        <w:rPr>
          <w:rFonts w:ascii="Times New Roman" w:eastAsia="標楷體" w:hAnsi="Times New Roman" w:cs="Times New Roman"/>
        </w:rPr>
        <w:t xml:space="preserve">, would issue the relevant number of units to the Manager. </w:t>
      </w:r>
      <w:r w:rsidR="00B373C7" w:rsidRPr="0069274C">
        <w:rPr>
          <w:rFonts w:ascii="Times New Roman" w:eastAsia="標楷體" w:hAnsi="Times New Roman" w:cs="Times New Roman"/>
        </w:rPr>
        <w:t>Actual payment to the Manager took place every quarter (in cash) or semi-annually (in units).</w:t>
      </w:r>
    </w:p>
    <w:p w:rsidR="00B922B5" w:rsidRPr="0069274C" w:rsidRDefault="00B922B5" w:rsidP="00156E21">
      <w:pPr>
        <w:overflowPunct w:val="0"/>
        <w:autoSpaceDE w:val="0"/>
        <w:autoSpaceDN w:val="0"/>
        <w:jc w:val="both"/>
        <w:rPr>
          <w:rFonts w:ascii="Times New Roman" w:eastAsia="標楷體" w:hAnsi="Times New Roman" w:cs="Times New Roman"/>
        </w:rPr>
      </w:pPr>
    </w:p>
    <w:p w:rsidR="00B922B5" w:rsidRPr="0069274C" w:rsidRDefault="00B922B5"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Ms </w:t>
      </w:r>
      <w:r w:rsidR="00003AEF">
        <w:rPr>
          <w:rFonts w:ascii="Times New Roman" w:eastAsia="標楷體" w:hAnsi="Times New Roman" w:cs="Times New Roman"/>
        </w:rPr>
        <w:t>Q</w:t>
      </w:r>
      <w:r w:rsidRPr="0069274C">
        <w:rPr>
          <w:rFonts w:ascii="Times New Roman" w:eastAsia="標楷體" w:hAnsi="Times New Roman" w:cs="Times New Roman"/>
        </w:rPr>
        <w:t xml:space="preserve"> also sought to </w:t>
      </w:r>
      <w:r w:rsidR="00BB2058" w:rsidRPr="0069274C">
        <w:rPr>
          <w:rFonts w:ascii="Times New Roman" w:eastAsia="標楷體" w:hAnsi="Times New Roman" w:cs="Times New Roman"/>
        </w:rPr>
        <w:t xml:space="preserve">set out why and how two-thirds of the Base Fee and all of the Variable Fee of the Manager’s Fees were paid by the Taxpayer on its own account. </w:t>
      </w:r>
      <w:r w:rsidR="00FC08EF" w:rsidRPr="0069274C">
        <w:rPr>
          <w:rFonts w:ascii="Times New Roman" w:eastAsia="標楷體" w:hAnsi="Times New Roman" w:cs="Times New Roman"/>
        </w:rPr>
        <w:t xml:space="preserve">Ms </w:t>
      </w:r>
      <w:r w:rsidR="00003AEF">
        <w:rPr>
          <w:rFonts w:ascii="Times New Roman" w:eastAsia="標楷體" w:hAnsi="Times New Roman" w:cs="Times New Roman"/>
        </w:rPr>
        <w:t>Q</w:t>
      </w:r>
      <w:r w:rsidR="00FC08EF" w:rsidRPr="0069274C">
        <w:rPr>
          <w:rFonts w:ascii="Times New Roman" w:eastAsia="標楷體" w:hAnsi="Times New Roman" w:cs="Times New Roman"/>
        </w:rPr>
        <w:t xml:space="preserve"> claimed that while the majority of the work done by the Manager was rendered for the specific and direct benefit of each of the SPVs concerned, there was a part of the Manager’s work which related to the maintaining and promoting of </w:t>
      </w:r>
      <w:r w:rsidR="00003AEF" w:rsidRPr="0069274C">
        <w:rPr>
          <w:rFonts w:ascii="Times New Roman" w:eastAsia="標楷體" w:hAnsi="Times New Roman" w:cs="Times New Roman"/>
        </w:rPr>
        <w:t>REIT</w:t>
      </w:r>
      <w:r w:rsidR="00003AEF">
        <w:rPr>
          <w:rFonts w:ascii="Times New Roman" w:eastAsia="標楷體" w:hAnsi="Times New Roman" w:cs="Times New Roman"/>
        </w:rPr>
        <w:t xml:space="preserve"> K</w:t>
      </w:r>
      <w:r w:rsidR="00FC08EF" w:rsidRPr="0069274C">
        <w:rPr>
          <w:rFonts w:ascii="Times New Roman" w:eastAsia="標楷體" w:hAnsi="Times New Roman" w:cs="Times New Roman"/>
        </w:rPr>
        <w:t xml:space="preserve"> as a whole. The expenses of the latter part of the Manager’s work were not specifically attributable to the operations of the SPVs and should not be borne by the SPVs; they were paid by </w:t>
      </w:r>
      <w:r w:rsidR="00003AEF" w:rsidRPr="0069274C">
        <w:rPr>
          <w:rFonts w:ascii="Times New Roman" w:eastAsia="標楷體" w:hAnsi="Times New Roman" w:cs="Times New Roman"/>
        </w:rPr>
        <w:t>REIT</w:t>
      </w:r>
      <w:r w:rsidR="00003AEF">
        <w:rPr>
          <w:rFonts w:ascii="Times New Roman" w:eastAsia="標楷體" w:hAnsi="Times New Roman" w:cs="Times New Roman"/>
        </w:rPr>
        <w:t xml:space="preserve"> K</w:t>
      </w:r>
      <w:r w:rsidR="00FC08EF" w:rsidRPr="0069274C">
        <w:rPr>
          <w:rFonts w:ascii="Times New Roman" w:eastAsia="標楷體" w:hAnsi="Times New Roman" w:cs="Times New Roman"/>
        </w:rPr>
        <w:t xml:space="preserve"> out of the dividends from the SPVs. Hence there was the sharing of the Manager’s Base Fee between the SPVs (including the Taxpayer) and </w:t>
      </w:r>
      <w:r w:rsidR="00003AEF" w:rsidRPr="0069274C">
        <w:rPr>
          <w:rFonts w:ascii="Times New Roman" w:eastAsia="標楷體" w:hAnsi="Times New Roman" w:cs="Times New Roman"/>
        </w:rPr>
        <w:t>REIT</w:t>
      </w:r>
      <w:r w:rsidR="00003AEF">
        <w:rPr>
          <w:rFonts w:ascii="Times New Roman" w:eastAsia="標楷體" w:hAnsi="Times New Roman" w:cs="Times New Roman"/>
        </w:rPr>
        <w:t xml:space="preserve"> K</w:t>
      </w:r>
      <w:r w:rsidR="00FC08EF" w:rsidRPr="0069274C">
        <w:rPr>
          <w:rFonts w:ascii="Times New Roman" w:eastAsia="標楷體" w:hAnsi="Times New Roman" w:cs="Times New Roman"/>
        </w:rPr>
        <w:t>. On the other hand, the Variable Fee was an additional fee payable to the Manager based on the performance of the properties, and as such, the Variable Fee would be entirely attributable to the efforts of the Manager in providing services to the SPVs (including the Taxpayer) specifically, and so the Variable Fee was borne solely by the SPVs (including the Taxpayer).</w:t>
      </w:r>
    </w:p>
    <w:p w:rsidR="00BB2058" w:rsidRPr="0069274C" w:rsidRDefault="00BB2058" w:rsidP="00156E21">
      <w:pPr>
        <w:overflowPunct w:val="0"/>
        <w:autoSpaceDE w:val="0"/>
        <w:autoSpaceDN w:val="0"/>
        <w:jc w:val="both"/>
        <w:rPr>
          <w:rFonts w:ascii="Times New Roman" w:eastAsia="標楷體" w:hAnsi="Times New Roman" w:cs="Times New Roman"/>
        </w:rPr>
      </w:pPr>
    </w:p>
    <w:p w:rsidR="00BB2058" w:rsidRPr="0069274C" w:rsidRDefault="00BB2058"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Ms </w:t>
      </w:r>
      <w:r w:rsidR="00003AEF">
        <w:rPr>
          <w:rFonts w:ascii="Times New Roman" w:eastAsia="標楷體" w:hAnsi="Times New Roman" w:cs="Times New Roman"/>
        </w:rPr>
        <w:t>Q</w:t>
      </w:r>
      <w:r w:rsidRPr="0069274C">
        <w:rPr>
          <w:rFonts w:ascii="Times New Roman" w:eastAsia="標楷體" w:hAnsi="Times New Roman" w:cs="Times New Roman"/>
        </w:rPr>
        <w:t xml:space="preserve"> therefore claimed that her illustration of the cash movement and transaction flow showed that notwithstanding that the physical payments to the Manager were effected by the Trustee on behalf of </w:t>
      </w:r>
      <w:r w:rsidR="00003AEF" w:rsidRPr="0069274C">
        <w:rPr>
          <w:rFonts w:ascii="Times New Roman" w:eastAsia="標楷體" w:hAnsi="Times New Roman" w:cs="Times New Roman"/>
        </w:rPr>
        <w:t>REIT</w:t>
      </w:r>
      <w:r w:rsidR="00003AEF">
        <w:rPr>
          <w:rFonts w:ascii="Times New Roman" w:eastAsia="標楷體" w:hAnsi="Times New Roman" w:cs="Times New Roman"/>
        </w:rPr>
        <w:t xml:space="preserve"> K</w:t>
      </w:r>
      <w:r w:rsidRPr="0069274C">
        <w:rPr>
          <w:rFonts w:ascii="Times New Roman" w:eastAsia="標楷體" w:hAnsi="Times New Roman" w:cs="Times New Roman"/>
        </w:rPr>
        <w:t xml:space="preserve">, the ultimate source of the Taxpayer’s share of the Manager’s Fees was and had always been the Taxpayer from the rental receipts </w:t>
      </w:r>
      <w:r w:rsidR="00003AEF">
        <w:rPr>
          <w:rFonts w:ascii="Times New Roman" w:eastAsia="標楷體" w:hAnsi="Times New Roman" w:cs="Times New Roman"/>
        </w:rPr>
        <w:t>Company N</w:t>
      </w:r>
      <w:r w:rsidRPr="0069274C">
        <w:rPr>
          <w:rFonts w:ascii="Times New Roman" w:eastAsia="標楷體" w:hAnsi="Times New Roman" w:cs="Times New Roman"/>
        </w:rPr>
        <w:t xml:space="preserve"> held on its behalf. This was also recognized and recorded as such in the Taxpayer’s (and all relevant entities’) accounts, before the Taxpayer proceeded to declare dividends to its own immediate holding company</w:t>
      </w:r>
      <w:r w:rsidR="00B373C7" w:rsidRPr="0069274C">
        <w:rPr>
          <w:rFonts w:ascii="Times New Roman" w:eastAsia="標楷體" w:hAnsi="Times New Roman" w:cs="Times New Roman"/>
        </w:rPr>
        <w:t xml:space="preserve">, which was settled within the entities’ current accounts with </w:t>
      </w:r>
      <w:r w:rsidR="00003AEF">
        <w:rPr>
          <w:rFonts w:ascii="Times New Roman" w:eastAsia="標楷體" w:hAnsi="Times New Roman" w:cs="Times New Roman"/>
        </w:rPr>
        <w:t>Company N</w:t>
      </w:r>
      <w:r w:rsidRPr="0069274C">
        <w:rPr>
          <w:rFonts w:ascii="Times New Roman" w:eastAsia="標楷體" w:hAnsi="Times New Roman" w:cs="Times New Roman"/>
        </w:rPr>
        <w:t xml:space="preserve">. </w:t>
      </w:r>
    </w:p>
    <w:p w:rsidR="00B373C7" w:rsidRPr="0069274C" w:rsidRDefault="00B373C7" w:rsidP="00156E21">
      <w:pPr>
        <w:overflowPunct w:val="0"/>
        <w:autoSpaceDE w:val="0"/>
        <w:autoSpaceDN w:val="0"/>
        <w:jc w:val="both"/>
        <w:rPr>
          <w:rFonts w:ascii="Times New Roman" w:eastAsia="標楷體" w:hAnsi="Times New Roman" w:cs="Times New Roman"/>
        </w:rPr>
      </w:pPr>
    </w:p>
    <w:p w:rsidR="00B373C7" w:rsidRPr="0069274C" w:rsidRDefault="00B373C7"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Ms </w:t>
      </w:r>
      <w:r w:rsidR="00003AEF">
        <w:rPr>
          <w:rFonts w:ascii="Times New Roman" w:eastAsia="標楷體" w:hAnsi="Times New Roman" w:cs="Times New Roman"/>
        </w:rPr>
        <w:t>Q</w:t>
      </w:r>
      <w:r w:rsidRPr="0069274C">
        <w:rPr>
          <w:rFonts w:ascii="Times New Roman" w:eastAsia="標楷體" w:hAnsi="Times New Roman" w:cs="Times New Roman"/>
        </w:rPr>
        <w:t xml:space="preserve"> was cross-examined. </w:t>
      </w:r>
      <w:r w:rsidR="00AD71D7" w:rsidRPr="0069274C">
        <w:rPr>
          <w:rFonts w:ascii="Times New Roman" w:eastAsia="標楷體" w:hAnsi="Times New Roman" w:cs="Times New Roman"/>
        </w:rPr>
        <w:t xml:space="preserve">Ms </w:t>
      </w:r>
      <w:r w:rsidR="00003AEF">
        <w:rPr>
          <w:rFonts w:ascii="Times New Roman" w:eastAsia="標楷體" w:hAnsi="Times New Roman" w:cs="Times New Roman"/>
        </w:rPr>
        <w:t>Q</w:t>
      </w:r>
      <w:r w:rsidR="00AD71D7" w:rsidRPr="0069274C">
        <w:rPr>
          <w:rFonts w:ascii="Times New Roman" w:eastAsia="標楷體" w:hAnsi="Times New Roman" w:cs="Times New Roman"/>
        </w:rPr>
        <w:t xml:space="preserve"> was first asked about the </w:t>
      </w:r>
      <w:r w:rsidR="0001115B" w:rsidRPr="0069274C">
        <w:rPr>
          <w:rFonts w:ascii="Times New Roman" w:eastAsia="標楷體" w:hAnsi="Times New Roman" w:cs="Times New Roman"/>
        </w:rPr>
        <w:t xml:space="preserve">apportionment of the Base Fee and she replied that </w:t>
      </w:r>
      <w:r w:rsidR="00CC395F" w:rsidRPr="0069274C">
        <w:rPr>
          <w:rFonts w:ascii="Times New Roman" w:eastAsia="標楷體" w:hAnsi="Times New Roman" w:cs="Times New Roman"/>
        </w:rPr>
        <w:t xml:space="preserve">while </w:t>
      </w:r>
      <w:r w:rsidR="0001115B" w:rsidRPr="0069274C">
        <w:rPr>
          <w:rFonts w:ascii="Times New Roman" w:eastAsia="標楷體" w:hAnsi="Times New Roman" w:cs="Times New Roman"/>
        </w:rPr>
        <w:t xml:space="preserve">the Trust Deed does not </w:t>
      </w:r>
      <w:r w:rsidR="00CC395F" w:rsidRPr="0069274C">
        <w:rPr>
          <w:rFonts w:ascii="Times New Roman" w:eastAsia="標楷體" w:hAnsi="Times New Roman" w:cs="Times New Roman"/>
        </w:rPr>
        <w:t>specify</w:t>
      </w:r>
      <w:r w:rsidR="0001115B" w:rsidRPr="0069274C">
        <w:rPr>
          <w:rFonts w:ascii="Times New Roman" w:eastAsia="標楷體" w:hAnsi="Times New Roman" w:cs="Times New Roman"/>
        </w:rPr>
        <w:t xml:space="preserve"> the proportion of the apportionment</w:t>
      </w:r>
      <w:r w:rsidR="00CC395F" w:rsidRPr="0069274C">
        <w:rPr>
          <w:rFonts w:ascii="Times New Roman" w:eastAsia="標楷體" w:hAnsi="Times New Roman" w:cs="Times New Roman"/>
        </w:rPr>
        <w:t xml:space="preserve">, it allows for one portion of the Base Fee to be allocated to the SPVs. She considered that the allocation of a portion of the Base Fee to the SPVs, using a </w:t>
      </w:r>
      <w:r w:rsidR="00306886">
        <w:rPr>
          <w:rFonts w:ascii="Times New Roman" w:eastAsia="標楷體" w:hAnsi="Times New Roman" w:cs="Times New Roman"/>
        </w:rPr>
        <w:t>‘</w:t>
      </w:r>
      <w:r w:rsidR="00CC395F" w:rsidRPr="0069274C">
        <w:rPr>
          <w:rFonts w:ascii="Times New Roman" w:eastAsia="標楷體" w:hAnsi="Times New Roman" w:cs="Times New Roman"/>
        </w:rPr>
        <w:t>he who uses it pays for it</w:t>
      </w:r>
      <w:r w:rsidR="00306886">
        <w:rPr>
          <w:rFonts w:ascii="Times New Roman" w:eastAsia="標楷體" w:hAnsi="Times New Roman" w:cs="Times New Roman"/>
        </w:rPr>
        <w:t>’</w:t>
      </w:r>
      <w:r w:rsidR="00CC395F" w:rsidRPr="0069274C">
        <w:rPr>
          <w:rFonts w:ascii="Times New Roman" w:eastAsia="標楷體" w:hAnsi="Times New Roman" w:cs="Times New Roman"/>
        </w:rPr>
        <w:t xml:space="preserve"> approach, did not conflict with the spirit of the Trust Deed.</w:t>
      </w:r>
      <w:r w:rsidR="0001115B" w:rsidRPr="0069274C">
        <w:rPr>
          <w:rFonts w:ascii="Times New Roman" w:eastAsia="標楷體" w:hAnsi="Times New Roman" w:cs="Times New Roman"/>
        </w:rPr>
        <w:t xml:space="preserve"> </w:t>
      </w:r>
      <w:r w:rsidR="00CC395F" w:rsidRPr="0069274C">
        <w:rPr>
          <w:rFonts w:ascii="Times New Roman" w:eastAsia="標楷體" w:hAnsi="Times New Roman" w:cs="Times New Roman"/>
        </w:rPr>
        <w:t>T</w:t>
      </w:r>
      <w:r w:rsidR="0001115B" w:rsidRPr="0069274C">
        <w:rPr>
          <w:rFonts w:ascii="Times New Roman" w:eastAsia="標楷體" w:hAnsi="Times New Roman" w:cs="Times New Roman"/>
        </w:rPr>
        <w:t xml:space="preserve">he final decision on apportionment was made by Mr </w:t>
      </w:r>
      <w:r w:rsidR="00306886">
        <w:rPr>
          <w:rFonts w:ascii="Times New Roman" w:eastAsia="標楷體" w:hAnsi="Times New Roman" w:cs="Times New Roman"/>
        </w:rPr>
        <w:t>R</w:t>
      </w:r>
      <w:r w:rsidR="0001115B" w:rsidRPr="0069274C">
        <w:rPr>
          <w:rFonts w:ascii="Times New Roman" w:eastAsia="標楷體" w:hAnsi="Times New Roman" w:cs="Times New Roman"/>
        </w:rPr>
        <w:t xml:space="preserve">, </w:t>
      </w:r>
      <w:r w:rsidR="00306886">
        <w:rPr>
          <w:rFonts w:ascii="Times New Roman" w:eastAsia="標楷體" w:hAnsi="Times New Roman" w:cs="Times New Roman"/>
        </w:rPr>
        <w:t>Position V</w:t>
      </w:r>
      <w:r w:rsidR="0001115B" w:rsidRPr="0069274C">
        <w:rPr>
          <w:rFonts w:ascii="Times New Roman" w:eastAsia="標楷體" w:hAnsi="Times New Roman" w:cs="Times New Roman"/>
        </w:rPr>
        <w:t xml:space="preserve"> of the Manager, in the first quarter of 2008. The apportionment was based on a time allocation basis of different departments of the Manager and how each department allocated the time spent on each property holding SPV. There was a review of the ratio in 2013. Ms </w:t>
      </w:r>
      <w:r w:rsidR="00306886">
        <w:rPr>
          <w:rFonts w:ascii="Times New Roman" w:eastAsia="標楷體" w:hAnsi="Times New Roman" w:cs="Times New Roman"/>
        </w:rPr>
        <w:t>Q</w:t>
      </w:r>
      <w:r w:rsidR="0001115B" w:rsidRPr="0069274C">
        <w:rPr>
          <w:rFonts w:ascii="Times New Roman" w:eastAsia="標楷體" w:hAnsi="Times New Roman" w:cs="Times New Roman"/>
        </w:rPr>
        <w:t xml:space="preserve"> accepted that she was unable to produce documents supporting her testimony that there was a 2008 review and that there was a 2013 review. Ms </w:t>
      </w:r>
      <w:r w:rsidR="00306886">
        <w:rPr>
          <w:rFonts w:ascii="Times New Roman" w:eastAsia="標楷體" w:hAnsi="Times New Roman" w:cs="Times New Roman"/>
        </w:rPr>
        <w:t>Q</w:t>
      </w:r>
      <w:r w:rsidR="0001115B" w:rsidRPr="0069274C">
        <w:rPr>
          <w:rFonts w:ascii="Times New Roman" w:eastAsia="標楷體" w:hAnsi="Times New Roman" w:cs="Times New Roman"/>
        </w:rPr>
        <w:t xml:space="preserve"> also accepted that in the first year of the years of assessment in question, namely 21 December 2006 to 30 June 2007, there was no agreed ratio yet for the apportionment of the Base Fee, but REIT </w:t>
      </w:r>
      <w:r w:rsidR="00306886">
        <w:rPr>
          <w:rFonts w:ascii="Times New Roman" w:eastAsia="標楷體" w:hAnsi="Times New Roman" w:cs="Times New Roman"/>
        </w:rPr>
        <w:t xml:space="preserve">K </w:t>
      </w:r>
      <w:r w:rsidR="00CC395F" w:rsidRPr="0069274C">
        <w:rPr>
          <w:rFonts w:ascii="Times New Roman" w:eastAsia="標楷體" w:hAnsi="Times New Roman" w:cs="Times New Roman"/>
        </w:rPr>
        <w:t xml:space="preserve">absorbed </w:t>
      </w:r>
      <w:r w:rsidR="0001115B" w:rsidRPr="0069274C">
        <w:rPr>
          <w:rFonts w:ascii="Times New Roman" w:eastAsia="標楷體" w:hAnsi="Times New Roman" w:cs="Times New Roman"/>
        </w:rPr>
        <w:t>the</w:t>
      </w:r>
      <w:r w:rsidR="00CC395F" w:rsidRPr="0069274C">
        <w:rPr>
          <w:rFonts w:ascii="Times New Roman" w:eastAsia="標楷體" w:hAnsi="Times New Roman" w:cs="Times New Roman"/>
        </w:rPr>
        <w:t xml:space="preserve"> whole of</w:t>
      </w:r>
      <w:r w:rsidR="0001115B" w:rsidRPr="0069274C">
        <w:rPr>
          <w:rFonts w:ascii="Times New Roman" w:eastAsia="標楷體" w:hAnsi="Times New Roman" w:cs="Times New Roman"/>
        </w:rPr>
        <w:t xml:space="preserve"> Base Fee, and no part of </w:t>
      </w:r>
      <w:r w:rsidR="0001115B" w:rsidRPr="0069274C">
        <w:rPr>
          <w:rFonts w:ascii="Times New Roman" w:eastAsia="標楷體" w:hAnsi="Times New Roman" w:cs="Times New Roman"/>
        </w:rPr>
        <w:lastRenderedPageBreak/>
        <w:t xml:space="preserve">the Base Fee was charged to any of the SPVs. Ms </w:t>
      </w:r>
      <w:r w:rsidR="00306886">
        <w:rPr>
          <w:rFonts w:ascii="Times New Roman" w:eastAsia="標楷體" w:hAnsi="Times New Roman" w:cs="Times New Roman"/>
        </w:rPr>
        <w:t>Q</w:t>
      </w:r>
      <w:r w:rsidR="0001115B" w:rsidRPr="0069274C">
        <w:rPr>
          <w:rFonts w:ascii="Times New Roman" w:eastAsia="標楷體" w:hAnsi="Times New Roman" w:cs="Times New Roman"/>
        </w:rPr>
        <w:t xml:space="preserve"> further accepted </w:t>
      </w:r>
      <w:r w:rsidR="00C333EE" w:rsidRPr="0069274C">
        <w:rPr>
          <w:rFonts w:ascii="Times New Roman" w:eastAsia="標楷體" w:hAnsi="Times New Roman" w:cs="Times New Roman"/>
          <w:lang w:eastAsia="zh-TW"/>
        </w:rPr>
        <w:t xml:space="preserve">she did not know how the accounts was drawn up in the first years as she did not join </w:t>
      </w:r>
      <w:r w:rsidR="00306886" w:rsidRPr="0069274C">
        <w:rPr>
          <w:rFonts w:ascii="Times New Roman" w:eastAsia="標楷體" w:hAnsi="Times New Roman" w:cs="Times New Roman"/>
        </w:rPr>
        <w:t xml:space="preserve">REIT </w:t>
      </w:r>
      <w:r w:rsidR="00306886">
        <w:rPr>
          <w:rFonts w:ascii="Times New Roman" w:eastAsia="標楷體" w:hAnsi="Times New Roman" w:cs="Times New Roman"/>
        </w:rPr>
        <w:t>K</w:t>
      </w:r>
      <w:r w:rsidR="00C333EE" w:rsidRPr="0069274C">
        <w:rPr>
          <w:rFonts w:ascii="Times New Roman" w:eastAsia="標楷體" w:hAnsi="Times New Roman" w:cs="Times New Roman"/>
          <w:lang w:eastAsia="zh-TW"/>
        </w:rPr>
        <w:t xml:space="preserve"> until 2007.</w:t>
      </w:r>
      <w:r w:rsidR="00D164B0" w:rsidRPr="0069274C">
        <w:rPr>
          <w:rFonts w:ascii="Times New Roman" w:eastAsia="標楷體" w:hAnsi="Times New Roman" w:cs="Times New Roman"/>
          <w:lang w:eastAsia="zh-TW"/>
        </w:rPr>
        <w:t xml:space="preserve"> Ms </w:t>
      </w:r>
      <w:r w:rsidR="00306886">
        <w:rPr>
          <w:rFonts w:ascii="Times New Roman" w:eastAsia="標楷體" w:hAnsi="Times New Roman" w:cs="Times New Roman"/>
          <w:lang w:eastAsia="zh-TW"/>
        </w:rPr>
        <w:t>Q</w:t>
      </w:r>
      <w:r w:rsidR="00D164B0" w:rsidRPr="0069274C">
        <w:rPr>
          <w:rFonts w:ascii="Times New Roman" w:eastAsia="標楷體" w:hAnsi="Times New Roman" w:cs="Times New Roman"/>
          <w:lang w:eastAsia="zh-TW"/>
        </w:rPr>
        <w:t xml:space="preserve"> furthermore stated that if one stood from September 2008, the relevant portion of the Base Fee for the first year had been rectified or corrected in the second year. Following that, the first year’s Base Fee were charged on the SPVs. </w:t>
      </w:r>
    </w:p>
    <w:p w:rsidR="0001115B" w:rsidRPr="0069274C" w:rsidRDefault="0001115B" w:rsidP="00156E21">
      <w:pPr>
        <w:overflowPunct w:val="0"/>
        <w:autoSpaceDE w:val="0"/>
        <w:autoSpaceDN w:val="0"/>
        <w:jc w:val="both"/>
        <w:rPr>
          <w:rFonts w:ascii="Times New Roman" w:eastAsia="標楷體" w:hAnsi="Times New Roman" w:cs="Times New Roman"/>
        </w:rPr>
      </w:pPr>
    </w:p>
    <w:p w:rsidR="0001115B" w:rsidRPr="0069274C" w:rsidRDefault="00C333EE"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Ms </w:t>
      </w:r>
      <w:r w:rsidR="00306886">
        <w:rPr>
          <w:rFonts w:ascii="Times New Roman" w:eastAsia="標楷體" w:hAnsi="Times New Roman" w:cs="Times New Roman"/>
        </w:rPr>
        <w:t>Q</w:t>
      </w:r>
      <w:r w:rsidRPr="0069274C">
        <w:rPr>
          <w:rFonts w:ascii="Times New Roman" w:eastAsia="標楷體" w:hAnsi="Times New Roman" w:cs="Times New Roman"/>
        </w:rPr>
        <w:t xml:space="preserve"> was asked about the 2008 review to fix the ratio of the apportionment of the Base Fee. Ms </w:t>
      </w:r>
      <w:r w:rsidR="00306886">
        <w:rPr>
          <w:rFonts w:ascii="Times New Roman" w:eastAsia="標楷體" w:hAnsi="Times New Roman" w:cs="Times New Roman"/>
        </w:rPr>
        <w:t>Q</w:t>
      </w:r>
      <w:r w:rsidRPr="0069274C">
        <w:rPr>
          <w:rFonts w:ascii="Times New Roman" w:eastAsia="標楷體" w:hAnsi="Times New Roman" w:cs="Times New Roman"/>
        </w:rPr>
        <w:t xml:space="preserve"> described that, after consulting with </w:t>
      </w:r>
      <w:r w:rsidR="00306886">
        <w:rPr>
          <w:rFonts w:ascii="Times New Roman" w:eastAsia="標楷體" w:hAnsi="Times New Roman" w:cs="Times New Roman"/>
        </w:rPr>
        <w:t>Position V</w:t>
      </w:r>
      <w:r w:rsidRPr="0069274C">
        <w:rPr>
          <w:rFonts w:ascii="Times New Roman" w:eastAsia="標楷體" w:hAnsi="Times New Roman" w:cs="Times New Roman"/>
        </w:rPr>
        <w:t xml:space="preserve"> of the Manager, she talked to the heads of the departments of the Manager in order to understand that, on a time-sharing basis, how much time was spent on the property holding companies and the properties. She did not consult anybody in the Taxpayer as there was nobody in the Taxpayer to consult. Ms </w:t>
      </w:r>
      <w:r w:rsidR="00306886">
        <w:rPr>
          <w:rFonts w:ascii="Times New Roman" w:eastAsia="標楷體" w:hAnsi="Times New Roman" w:cs="Times New Roman"/>
        </w:rPr>
        <w:t>Q</w:t>
      </w:r>
      <w:r w:rsidRPr="0069274C">
        <w:rPr>
          <w:rFonts w:ascii="Times New Roman" w:eastAsia="標楷體" w:hAnsi="Times New Roman" w:cs="Times New Roman"/>
        </w:rPr>
        <w:t xml:space="preserve"> stated that after the consultation, colleagues in her department prepared a computation, but because of the change in the computer system in 2012, that computation could not be found. </w:t>
      </w:r>
    </w:p>
    <w:p w:rsidR="00C333EE" w:rsidRPr="0069274C" w:rsidRDefault="00C333EE" w:rsidP="00156E21">
      <w:pPr>
        <w:overflowPunct w:val="0"/>
        <w:autoSpaceDE w:val="0"/>
        <w:autoSpaceDN w:val="0"/>
        <w:jc w:val="both"/>
        <w:rPr>
          <w:rFonts w:ascii="Times New Roman" w:eastAsia="標楷體" w:hAnsi="Times New Roman" w:cs="Times New Roman"/>
        </w:rPr>
      </w:pPr>
    </w:p>
    <w:p w:rsidR="00C333EE" w:rsidRPr="0069274C" w:rsidRDefault="00C9157D"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Ms </w:t>
      </w:r>
      <w:r w:rsidR="00306886">
        <w:rPr>
          <w:rFonts w:ascii="Times New Roman" w:eastAsia="標楷體" w:hAnsi="Times New Roman" w:cs="Times New Roman"/>
        </w:rPr>
        <w:t>Q</w:t>
      </w:r>
      <w:r w:rsidRPr="0069274C">
        <w:rPr>
          <w:rFonts w:ascii="Times New Roman" w:eastAsia="標楷體" w:hAnsi="Times New Roman" w:cs="Times New Roman"/>
        </w:rPr>
        <w:t xml:space="preserve"> was asked about payment of the Base Fee in cash. The payments in cash had to go through REIT </w:t>
      </w:r>
      <w:r w:rsidR="00306886">
        <w:rPr>
          <w:rFonts w:ascii="Times New Roman" w:eastAsia="標楷體" w:hAnsi="Times New Roman" w:cs="Times New Roman"/>
        </w:rPr>
        <w:t xml:space="preserve">K </w:t>
      </w:r>
      <w:r w:rsidRPr="0069274C">
        <w:rPr>
          <w:rFonts w:ascii="Times New Roman" w:eastAsia="標楷體" w:hAnsi="Times New Roman" w:cs="Times New Roman"/>
        </w:rPr>
        <w:t xml:space="preserve">first because all the money for the Taxpayer was first put into </w:t>
      </w:r>
      <w:r w:rsidR="00306886">
        <w:rPr>
          <w:rFonts w:ascii="Times New Roman" w:eastAsia="標楷體" w:hAnsi="Times New Roman" w:cs="Times New Roman"/>
        </w:rPr>
        <w:t>Company N</w:t>
      </w:r>
      <w:r w:rsidRPr="0069274C">
        <w:rPr>
          <w:rFonts w:ascii="Times New Roman" w:eastAsia="標楷體" w:hAnsi="Times New Roman" w:cs="Times New Roman"/>
        </w:rPr>
        <w:t xml:space="preserve">, which was like an in-house bank. </w:t>
      </w:r>
      <w:r w:rsidR="006E2C88" w:rsidRPr="0069274C">
        <w:rPr>
          <w:rFonts w:ascii="Times New Roman" w:eastAsia="標楷體" w:hAnsi="Times New Roman" w:cs="Times New Roman"/>
        </w:rPr>
        <w:t xml:space="preserve">As the Taxpayer only paid for a portion of the Base Fee with the remainder absorbed by </w:t>
      </w:r>
      <w:r w:rsidR="00306886" w:rsidRPr="0069274C">
        <w:rPr>
          <w:rFonts w:ascii="Times New Roman" w:eastAsia="標楷體" w:hAnsi="Times New Roman" w:cs="Times New Roman"/>
        </w:rPr>
        <w:t xml:space="preserve">REIT </w:t>
      </w:r>
      <w:r w:rsidR="00306886">
        <w:rPr>
          <w:rFonts w:ascii="Times New Roman" w:eastAsia="標楷體" w:hAnsi="Times New Roman" w:cs="Times New Roman"/>
        </w:rPr>
        <w:t>K</w:t>
      </w:r>
      <w:r w:rsidR="006E2C88" w:rsidRPr="0069274C">
        <w:rPr>
          <w:rFonts w:ascii="Times New Roman" w:eastAsia="標楷體" w:hAnsi="Times New Roman" w:cs="Times New Roman"/>
        </w:rPr>
        <w:t xml:space="preserve">, these two portions were combined together and paid in one go to the Manager. </w:t>
      </w:r>
    </w:p>
    <w:p w:rsidR="006E2C88" w:rsidRPr="0069274C" w:rsidRDefault="006E2C88" w:rsidP="00156E21">
      <w:pPr>
        <w:overflowPunct w:val="0"/>
        <w:autoSpaceDE w:val="0"/>
        <w:autoSpaceDN w:val="0"/>
        <w:jc w:val="both"/>
        <w:rPr>
          <w:rFonts w:ascii="Times New Roman" w:eastAsia="標楷體" w:hAnsi="Times New Roman" w:cs="Times New Roman"/>
        </w:rPr>
      </w:pPr>
    </w:p>
    <w:p w:rsidR="006E2C88" w:rsidRPr="0069274C" w:rsidRDefault="006E2C88"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Ms </w:t>
      </w:r>
      <w:r w:rsidR="00306886">
        <w:rPr>
          <w:rFonts w:ascii="Times New Roman" w:eastAsia="標楷體" w:hAnsi="Times New Roman" w:cs="Times New Roman"/>
        </w:rPr>
        <w:t>Q</w:t>
      </w:r>
      <w:r w:rsidRPr="0069274C">
        <w:rPr>
          <w:rFonts w:ascii="Times New Roman" w:eastAsia="標楷體" w:hAnsi="Times New Roman" w:cs="Times New Roman"/>
        </w:rPr>
        <w:t xml:space="preserve"> was asked about the 2013 review of the ratio of the apportionment of the Base Fee. Ms </w:t>
      </w:r>
      <w:r w:rsidR="00306886">
        <w:rPr>
          <w:rFonts w:ascii="Times New Roman" w:eastAsia="標楷體" w:hAnsi="Times New Roman" w:cs="Times New Roman"/>
        </w:rPr>
        <w:t>Q</w:t>
      </w:r>
      <w:r w:rsidRPr="0069274C">
        <w:rPr>
          <w:rFonts w:ascii="Times New Roman" w:eastAsia="標楷體" w:hAnsi="Times New Roman" w:cs="Times New Roman"/>
        </w:rPr>
        <w:t xml:space="preserve"> answered that this was initiated during a monthly meeting of </w:t>
      </w:r>
      <w:r w:rsidR="00F563C0">
        <w:rPr>
          <w:rFonts w:ascii="Times New Roman" w:eastAsia="標楷體" w:hAnsi="Times New Roman" w:cs="Times New Roman"/>
        </w:rPr>
        <w:t>Position V</w:t>
      </w:r>
      <w:r w:rsidRPr="0069274C">
        <w:rPr>
          <w:rFonts w:ascii="Times New Roman" w:eastAsia="標楷體" w:hAnsi="Times New Roman" w:cs="Times New Roman"/>
        </w:rPr>
        <w:t xml:space="preserve"> and all the heads of the departments of the Manager, including herself. There was nobody from the Taxpayer. </w:t>
      </w:r>
    </w:p>
    <w:p w:rsidR="006E2C88" w:rsidRPr="0069274C" w:rsidRDefault="006E2C88" w:rsidP="00156E21">
      <w:pPr>
        <w:overflowPunct w:val="0"/>
        <w:autoSpaceDE w:val="0"/>
        <w:autoSpaceDN w:val="0"/>
        <w:jc w:val="both"/>
        <w:rPr>
          <w:rFonts w:ascii="Times New Roman" w:eastAsia="標楷體" w:hAnsi="Times New Roman" w:cs="Times New Roman"/>
        </w:rPr>
      </w:pPr>
    </w:p>
    <w:p w:rsidR="006E2C88" w:rsidRPr="0069274C" w:rsidRDefault="006E2C88"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Ms </w:t>
      </w:r>
      <w:r w:rsidR="00F563C0">
        <w:rPr>
          <w:rFonts w:ascii="Times New Roman" w:eastAsia="標楷體" w:hAnsi="Times New Roman" w:cs="Times New Roman"/>
        </w:rPr>
        <w:t>Q</w:t>
      </w:r>
      <w:r w:rsidRPr="0069274C">
        <w:rPr>
          <w:rFonts w:ascii="Times New Roman" w:eastAsia="標楷體" w:hAnsi="Times New Roman" w:cs="Times New Roman"/>
        </w:rPr>
        <w:t xml:space="preserve"> was asked about the debit note </w:t>
      </w:r>
      <w:r w:rsidR="00AB203E" w:rsidRPr="0069274C">
        <w:rPr>
          <w:rFonts w:ascii="Times New Roman" w:eastAsia="標楷體" w:hAnsi="Times New Roman" w:cs="Times New Roman"/>
        </w:rPr>
        <w:t>the Manager issued to REIT</w:t>
      </w:r>
      <w:r w:rsidR="00F563C0">
        <w:rPr>
          <w:rFonts w:ascii="Times New Roman" w:eastAsia="標楷體" w:hAnsi="Times New Roman" w:cs="Times New Roman"/>
        </w:rPr>
        <w:t xml:space="preserve"> K</w:t>
      </w:r>
      <w:r w:rsidR="00E4054E" w:rsidRPr="0069274C">
        <w:rPr>
          <w:rFonts w:ascii="Times New Roman" w:eastAsia="標楷體" w:hAnsi="Times New Roman" w:cs="Times New Roman"/>
        </w:rPr>
        <w:t xml:space="preserve">. Ms </w:t>
      </w:r>
      <w:r w:rsidR="00F563C0">
        <w:rPr>
          <w:rFonts w:ascii="Times New Roman" w:eastAsia="標楷體" w:hAnsi="Times New Roman" w:cs="Times New Roman"/>
        </w:rPr>
        <w:t>Q</w:t>
      </w:r>
      <w:r w:rsidR="00E4054E" w:rsidRPr="0069274C">
        <w:rPr>
          <w:rFonts w:ascii="Times New Roman" w:eastAsia="標楷體" w:hAnsi="Times New Roman" w:cs="Times New Roman"/>
        </w:rPr>
        <w:t xml:space="preserve"> stated that the cash payment was made by cheque issued by the Trustee to the Manager. The debit note </w:t>
      </w:r>
      <w:r w:rsidR="00942DE8" w:rsidRPr="0069274C">
        <w:rPr>
          <w:rFonts w:ascii="Times New Roman" w:eastAsia="標楷體" w:hAnsi="Times New Roman" w:cs="Times New Roman"/>
        </w:rPr>
        <w:t xml:space="preserve">was </w:t>
      </w:r>
      <w:r w:rsidR="00E4054E" w:rsidRPr="0069274C">
        <w:rPr>
          <w:rFonts w:ascii="Times New Roman" w:eastAsia="標楷體" w:hAnsi="Times New Roman" w:cs="Times New Roman"/>
        </w:rPr>
        <w:t xml:space="preserve">made to the Trustee </w:t>
      </w:r>
      <w:r w:rsidR="00CC395F" w:rsidRPr="0069274C">
        <w:rPr>
          <w:rFonts w:ascii="Times New Roman" w:eastAsia="標楷體" w:hAnsi="Times New Roman" w:cs="Times New Roman"/>
        </w:rPr>
        <w:t xml:space="preserve">because the Manager provided services to </w:t>
      </w:r>
      <w:r w:rsidR="00F563C0" w:rsidRPr="0069274C">
        <w:rPr>
          <w:rFonts w:ascii="Times New Roman" w:eastAsia="標楷體" w:hAnsi="Times New Roman" w:cs="Times New Roman"/>
        </w:rPr>
        <w:t>REIT</w:t>
      </w:r>
      <w:r w:rsidR="00F563C0">
        <w:rPr>
          <w:rFonts w:ascii="Times New Roman" w:eastAsia="標楷體" w:hAnsi="Times New Roman" w:cs="Times New Roman"/>
        </w:rPr>
        <w:t xml:space="preserve"> K</w:t>
      </w:r>
      <w:r w:rsidR="00CC395F" w:rsidRPr="0069274C">
        <w:rPr>
          <w:rFonts w:ascii="Times New Roman" w:eastAsia="標楷體" w:hAnsi="Times New Roman" w:cs="Times New Roman"/>
        </w:rPr>
        <w:t xml:space="preserve"> and its relevant assets and the Trustee was the custodian of </w:t>
      </w:r>
      <w:r w:rsidR="00F563C0" w:rsidRPr="0069274C">
        <w:rPr>
          <w:rFonts w:ascii="Times New Roman" w:eastAsia="標楷體" w:hAnsi="Times New Roman" w:cs="Times New Roman"/>
        </w:rPr>
        <w:t>REIT</w:t>
      </w:r>
      <w:r w:rsidR="00F563C0">
        <w:rPr>
          <w:rFonts w:ascii="Times New Roman" w:eastAsia="標楷體" w:hAnsi="Times New Roman" w:cs="Times New Roman"/>
        </w:rPr>
        <w:t xml:space="preserve"> K</w:t>
      </w:r>
      <w:r w:rsidR="00CC395F" w:rsidRPr="0069274C">
        <w:rPr>
          <w:rFonts w:ascii="Times New Roman" w:eastAsia="標楷體" w:hAnsi="Times New Roman" w:cs="Times New Roman"/>
        </w:rPr>
        <w:t xml:space="preserve"> or of its assets. The Trustee was not only the trustee but also the custodian; it operated all bank accounts, apart from the operating accounts. Thus the debit note was issued to the Trustee for it to handle on behalf of </w:t>
      </w:r>
      <w:r w:rsidR="00F563C0" w:rsidRPr="0069274C">
        <w:rPr>
          <w:rFonts w:ascii="Times New Roman" w:eastAsia="標楷體" w:hAnsi="Times New Roman" w:cs="Times New Roman"/>
        </w:rPr>
        <w:t>REIT</w:t>
      </w:r>
      <w:r w:rsidR="00F563C0">
        <w:rPr>
          <w:rFonts w:ascii="Times New Roman" w:eastAsia="標楷體" w:hAnsi="Times New Roman" w:cs="Times New Roman"/>
        </w:rPr>
        <w:t xml:space="preserve"> K</w:t>
      </w:r>
      <w:r w:rsidR="00CC395F" w:rsidRPr="0069274C">
        <w:rPr>
          <w:rFonts w:ascii="Times New Roman" w:eastAsia="標楷體" w:hAnsi="Times New Roman" w:cs="Times New Roman"/>
        </w:rPr>
        <w:t xml:space="preserve">. </w:t>
      </w:r>
    </w:p>
    <w:p w:rsidR="00F563C0" w:rsidRPr="0069274C" w:rsidRDefault="00F563C0" w:rsidP="00156E21">
      <w:pPr>
        <w:overflowPunct w:val="0"/>
        <w:autoSpaceDE w:val="0"/>
        <w:autoSpaceDN w:val="0"/>
        <w:jc w:val="both"/>
        <w:rPr>
          <w:rFonts w:ascii="Times New Roman" w:eastAsia="標楷體" w:hAnsi="Times New Roman" w:cs="Times New Roman"/>
        </w:rPr>
      </w:pPr>
    </w:p>
    <w:p w:rsidR="00D164B0" w:rsidRPr="00F563C0" w:rsidRDefault="00D164B0" w:rsidP="00156E21">
      <w:pPr>
        <w:overflowPunct w:val="0"/>
        <w:autoSpaceDE w:val="0"/>
        <w:autoSpaceDN w:val="0"/>
        <w:jc w:val="both"/>
        <w:rPr>
          <w:rFonts w:ascii="Times New Roman" w:eastAsia="標楷體" w:hAnsi="Times New Roman" w:cs="Times New Roman"/>
          <w:b/>
          <w:i/>
        </w:rPr>
      </w:pPr>
      <w:r w:rsidRPr="00F563C0">
        <w:rPr>
          <w:rFonts w:ascii="Times New Roman" w:eastAsia="標楷體" w:hAnsi="Times New Roman" w:cs="Times New Roman"/>
          <w:b/>
          <w:i/>
        </w:rPr>
        <w:t xml:space="preserve">Mr </w:t>
      </w:r>
      <w:r w:rsidR="00F563C0" w:rsidRPr="00F563C0">
        <w:rPr>
          <w:rFonts w:ascii="Times New Roman" w:eastAsia="標楷體" w:hAnsi="Times New Roman" w:cs="Times New Roman"/>
          <w:b/>
          <w:i/>
        </w:rPr>
        <w:t>R</w:t>
      </w:r>
    </w:p>
    <w:p w:rsidR="00064D95" w:rsidRPr="0069274C" w:rsidRDefault="00064D95" w:rsidP="00156E21">
      <w:pPr>
        <w:overflowPunct w:val="0"/>
        <w:autoSpaceDE w:val="0"/>
        <w:autoSpaceDN w:val="0"/>
        <w:jc w:val="both"/>
        <w:rPr>
          <w:rFonts w:ascii="Times New Roman" w:eastAsia="標楷體" w:hAnsi="Times New Roman" w:cs="Times New Roman"/>
          <w:i/>
        </w:rPr>
      </w:pPr>
    </w:p>
    <w:p w:rsidR="00CC395F" w:rsidRPr="0069274C" w:rsidRDefault="00D164B0"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Mr </w:t>
      </w:r>
      <w:r w:rsidR="00F563C0">
        <w:rPr>
          <w:rFonts w:ascii="Times New Roman" w:eastAsia="標楷體" w:hAnsi="Times New Roman" w:cs="Times New Roman"/>
        </w:rPr>
        <w:t>R</w:t>
      </w:r>
      <w:r w:rsidRPr="0069274C">
        <w:rPr>
          <w:rFonts w:ascii="Times New Roman" w:eastAsia="標楷體" w:hAnsi="Times New Roman" w:cs="Times New Roman"/>
        </w:rPr>
        <w:t xml:space="preserve"> had been </w:t>
      </w:r>
      <w:r w:rsidR="00F563C0">
        <w:rPr>
          <w:rFonts w:ascii="Times New Roman" w:eastAsia="標楷體" w:hAnsi="Times New Roman" w:cs="Times New Roman"/>
        </w:rPr>
        <w:t>Position V</w:t>
      </w:r>
      <w:r w:rsidRPr="0069274C">
        <w:rPr>
          <w:rFonts w:ascii="Times New Roman" w:eastAsia="標楷體" w:hAnsi="Times New Roman" w:cs="Times New Roman"/>
        </w:rPr>
        <w:t xml:space="preserve"> and </w:t>
      </w:r>
      <w:r w:rsidR="00F563C0">
        <w:rPr>
          <w:rFonts w:ascii="Times New Roman" w:eastAsia="標楷體" w:hAnsi="Times New Roman" w:cs="Times New Roman"/>
        </w:rPr>
        <w:t>Position AA</w:t>
      </w:r>
      <w:r w:rsidRPr="0069274C">
        <w:rPr>
          <w:rFonts w:ascii="Times New Roman" w:eastAsia="標楷體" w:hAnsi="Times New Roman" w:cs="Times New Roman"/>
        </w:rPr>
        <w:t xml:space="preserve"> of the Manager since the </w:t>
      </w:r>
      <w:r w:rsidR="00FA0DFF" w:rsidRPr="0069274C">
        <w:rPr>
          <w:rFonts w:ascii="Times New Roman" w:eastAsia="標楷體" w:hAnsi="Times New Roman" w:cs="Times New Roman"/>
        </w:rPr>
        <w:t xml:space="preserve">inception of </w:t>
      </w:r>
      <w:r w:rsidR="00F563C0" w:rsidRPr="0069274C">
        <w:rPr>
          <w:rFonts w:ascii="Times New Roman" w:eastAsia="標楷體" w:hAnsi="Times New Roman" w:cs="Times New Roman"/>
        </w:rPr>
        <w:t>REIT</w:t>
      </w:r>
      <w:r w:rsidR="00F563C0">
        <w:rPr>
          <w:rFonts w:ascii="Times New Roman" w:eastAsia="標楷體" w:hAnsi="Times New Roman" w:cs="Times New Roman"/>
        </w:rPr>
        <w:t xml:space="preserve"> K</w:t>
      </w:r>
      <w:r w:rsidR="00FA0DFF" w:rsidRPr="0069274C">
        <w:rPr>
          <w:rFonts w:ascii="Times New Roman" w:eastAsia="標楷體" w:hAnsi="Times New Roman" w:cs="Times New Roman"/>
        </w:rPr>
        <w:t xml:space="preserve">. He was in charge of the day-to-day operations and management of </w:t>
      </w:r>
      <w:r w:rsidR="00F563C0" w:rsidRPr="0069274C">
        <w:rPr>
          <w:rFonts w:ascii="Times New Roman" w:eastAsia="標楷體" w:hAnsi="Times New Roman" w:cs="Times New Roman"/>
        </w:rPr>
        <w:t>REIT</w:t>
      </w:r>
      <w:r w:rsidR="00F563C0">
        <w:rPr>
          <w:rFonts w:ascii="Times New Roman" w:eastAsia="標楷體" w:hAnsi="Times New Roman" w:cs="Times New Roman"/>
        </w:rPr>
        <w:t xml:space="preserve"> K</w:t>
      </w:r>
      <w:r w:rsidR="00FA0DFF" w:rsidRPr="0069274C">
        <w:rPr>
          <w:rFonts w:ascii="Times New Roman" w:eastAsia="標楷體" w:hAnsi="Times New Roman" w:cs="Times New Roman"/>
        </w:rPr>
        <w:t xml:space="preserve"> in these capacities. Prior to that, he was involved in the planning of the formation, holding and management structure, application for approval and listing of </w:t>
      </w:r>
      <w:r w:rsidR="00F563C0" w:rsidRPr="0069274C">
        <w:rPr>
          <w:rFonts w:ascii="Times New Roman" w:eastAsia="標楷體" w:hAnsi="Times New Roman" w:cs="Times New Roman"/>
        </w:rPr>
        <w:t>REIT</w:t>
      </w:r>
      <w:r w:rsidR="00F563C0">
        <w:rPr>
          <w:rFonts w:ascii="Times New Roman" w:eastAsia="標楷體" w:hAnsi="Times New Roman" w:cs="Times New Roman"/>
        </w:rPr>
        <w:t xml:space="preserve"> K</w:t>
      </w:r>
      <w:r w:rsidR="00FA0DFF" w:rsidRPr="0069274C">
        <w:rPr>
          <w:rFonts w:ascii="Times New Roman" w:eastAsia="標楷體" w:hAnsi="Times New Roman" w:cs="Times New Roman"/>
        </w:rPr>
        <w:t xml:space="preserve">. </w:t>
      </w:r>
    </w:p>
    <w:p w:rsidR="00FA0DFF" w:rsidRPr="0069274C" w:rsidRDefault="00FA0DFF" w:rsidP="00156E21">
      <w:pPr>
        <w:overflowPunct w:val="0"/>
        <w:autoSpaceDE w:val="0"/>
        <w:autoSpaceDN w:val="0"/>
        <w:jc w:val="both"/>
        <w:rPr>
          <w:rFonts w:ascii="Times New Roman" w:eastAsia="標楷體" w:hAnsi="Times New Roman" w:cs="Times New Roman"/>
        </w:rPr>
      </w:pPr>
    </w:p>
    <w:p w:rsidR="00FA0DFF" w:rsidRPr="0069274C" w:rsidRDefault="00FA0DFF"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Mr </w:t>
      </w:r>
      <w:r w:rsidR="00F563C0">
        <w:rPr>
          <w:rFonts w:ascii="Times New Roman" w:eastAsia="標楷體" w:hAnsi="Times New Roman" w:cs="Times New Roman"/>
        </w:rPr>
        <w:t>R</w:t>
      </w:r>
      <w:r w:rsidRPr="0069274C">
        <w:rPr>
          <w:rFonts w:ascii="Times New Roman" w:eastAsia="標楷體" w:hAnsi="Times New Roman" w:cs="Times New Roman"/>
        </w:rPr>
        <w:t xml:space="preserve"> had been a director of the Taxpayer since </w:t>
      </w:r>
      <w:r w:rsidR="0081623D">
        <w:rPr>
          <w:rFonts w:ascii="Times New Roman" w:eastAsia="標楷體" w:hAnsi="Times New Roman" w:cs="Times New Roman"/>
        </w:rPr>
        <w:t xml:space="preserve">the time </w:t>
      </w:r>
      <w:r w:rsidRPr="0069274C">
        <w:rPr>
          <w:rFonts w:ascii="Times New Roman" w:eastAsia="標楷體" w:hAnsi="Times New Roman" w:cs="Times New Roman"/>
        </w:rPr>
        <w:t>when the Taxpayer was injected into, and became one of the assets comprising REIT</w:t>
      </w:r>
      <w:r w:rsidR="003A6BA1">
        <w:rPr>
          <w:rFonts w:ascii="Times New Roman" w:eastAsia="標楷體" w:hAnsi="Times New Roman" w:cs="Times New Roman"/>
        </w:rPr>
        <w:t xml:space="preserve"> K</w:t>
      </w:r>
      <w:r w:rsidRPr="0069274C">
        <w:rPr>
          <w:rFonts w:ascii="Times New Roman" w:eastAsia="標楷體" w:hAnsi="Times New Roman" w:cs="Times New Roman"/>
        </w:rPr>
        <w:t xml:space="preserve">. </w:t>
      </w:r>
    </w:p>
    <w:p w:rsidR="00FA0DFF" w:rsidRPr="0069274C" w:rsidRDefault="00FA0DFF" w:rsidP="00156E21">
      <w:pPr>
        <w:overflowPunct w:val="0"/>
        <w:autoSpaceDE w:val="0"/>
        <w:autoSpaceDN w:val="0"/>
        <w:jc w:val="both"/>
        <w:rPr>
          <w:rFonts w:ascii="Times New Roman" w:eastAsia="標楷體" w:hAnsi="Times New Roman" w:cs="Times New Roman"/>
        </w:rPr>
      </w:pPr>
    </w:p>
    <w:p w:rsidR="00FA0DFF" w:rsidRPr="0069274C" w:rsidRDefault="00FA0DFF"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Mr </w:t>
      </w:r>
      <w:r w:rsidR="00F563C0">
        <w:rPr>
          <w:rFonts w:ascii="Times New Roman" w:eastAsia="標楷體" w:hAnsi="Times New Roman" w:cs="Times New Roman"/>
        </w:rPr>
        <w:t>R</w:t>
      </w:r>
      <w:r w:rsidRPr="0069274C">
        <w:rPr>
          <w:rFonts w:ascii="Times New Roman" w:eastAsia="標楷體" w:hAnsi="Times New Roman" w:cs="Times New Roman"/>
        </w:rPr>
        <w:t xml:space="preserve"> explained in his evidence the constitution of </w:t>
      </w:r>
      <w:r w:rsidR="00F563C0" w:rsidRPr="0069274C">
        <w:rPr>
          <w:rFonts w:ascii="Times New Roman" w:eastAsia="標楷體" w:hAnsi="Times New Roman" w:cs="Times New Roman"/>
        </w:rPr>
        <w:t>REIT</w:t>
      </w:r>
      <w:r w:rsidR="00F563C0">
        <w:rPr>
          <w:rFonts w:ascii="Times New Roman" w:eastAsia="標楷體" w:hAnsi="Times New Roman" w:cs="Times New Roman"/>
        </w:rPr>
        <w:t xml:space="preserve"> K</w:t>
      </w:r>
      <w:r w:rsidRPr="0069274C">
        <w:rPr>
          <w:rFonts w:ascii="Times New Roman" w:eastAsia="標楷體" w:hAnsi="Times New Roman" w:cs="Times New Roman"/>
        </w:rPr>
        <w:t xml:space="preserve"> as a real estate investment trust authorized by the Securities and Futures Commission as a collective investment scheme. </w:t>
      </w:r>
      <w:r w:rsidR="00F563C0" w:rsidRPr="0069274C">
        <w:rPr>
          <w:rFonts w:ascii="Times New Roman" w:eastAsia="標楷體" w:hAnsi="Times New Roman" w:cs="Times New Roman"/>
        </w:rPr>
        <w:t>REIT</w:t>
      </w:r>
      <w:r w:rsidR="00F563C0">
        <w:rPr>
          <w:rFonts w:ascii="Times New Roman" w:eastAsia="標楷體" w:hAnsi="Times New Roman" w:cs="Times New Roman"/>
        </w:rPr>
        <w:t xml:space="preserve"> K</w:t>
      </w:r>
      <w:r w:rsidRPr="0069274C">
        <w:rPr>
          <w:rFonts w:ascii="Times New Roman" w:eastAsia="標楷體" w:hAnsi="Times New Roman" w:cs="Times New Roman"/>
        </w:rPr>
        <w:t xml:space="preserve"> was the name of a portfolio of properties held by the Trustee </w:t>
      </w:r>
      <w:r w:rsidRPr="0069274C">
        <w:rPr>
          <w:rFonts w:ascii="Times New Roman" w:eastAsia="標楷體" w:hAnsi="Times New Roman" w:cs="Times New Roman"/>
        </w:rPr>
        <w:lastRenderedPageBreak/>
        <w:t>on trust</w:t>
      </w:r>
      <w:r w:rsidR="00942DE8" w:rsidRPr="0069274C">
        <w:rPr>
          <w:rFonts w:ascii="Times New Roman" w:eastAsia="標楷體" w:hAnsi="Times New Roman" w:cs="Times New Roman"/>
        </w:rPr>
        <w:t>.</w:t>
      </w:r>
      <w:r w:rsidRPr="0069274C">
        <w:rPr>
          <w:rFonts w:ascii="Times New Roman" w:eastAsia="標楷體" w:hAnsi="Times New Roman" w:cs="Times New Roman"/>
        </w:rPr>
        <w:t xml:space="preserve"> </w:t>
      </w:r>
      <w:r w:rsidR="00F563C0" w:rsidRPr="0069274C">
        <w:rPr>
          <w:rFonts w:ascii="Times New Roman" w:eastAsia="標楷體" w:hAnsi="Times New Roman" w:cs="Times New Roman"/>
        </w:rPr>
        <w:t>REIT</w:t>
      </w:r>
      <w:r w:rsidR="00F563C0">
        <w:rPr>
          <w:rFonts w:ascii="Times New Roman" w:eastAsia="標楷體" w:hAnsi="Times New Roman" w:cs="Times New Roman"/>
        </w:rPr>
        <w:t xml:space="preserve"> K</w:t>
      </w:r>
      <w:r w:rsidRPr="0069274C">
        <w:rPr>
          <w:rFonts w:ascii="Times New Roman" w:eastAsia="標楷體" w:hAnsi="Times New Roman" w:cs="Times New Roman"/>
        </w:rPr>
        <w:t xml:space="preserve">’s business was to invest in real estate and lease them to generate recurrent rental income, and to acquire and dispose of real estate for such investment purposes. </w:t>
      </w:r>
      <w:r w:rsidR="00F563C0" w:rsidRPr="0069274C">
        <w:rPr>
          <w:rFonts w:ascii="Times New Roman" w:eastAsia="標楷體" w:hAnsi="Times New Roman" w:cs="Times New Roman"/>
        </w:rPr>
        <w:t>REIT</w:t>
      </w:r>
      <w:r w:rsidR="00F563C0">
        <w:rPr>
          <w:rFonts w:ascii="Times New Roman" w:eastAsia="標楷體" w:hAnsi="Times New Roman" w:cs="Times New Roman"/>
        </w:rPr>
        <w:t xml:space="preserve"> K</w:t>
      </w:r>
      <w:r w:rsidR="00613997" w:rsidRPr="0069274C">
        <w:rPr>
          <w:rFonts w:ascii="Times New Roman" w:eastAsia="標楷體" w:hAnsi="Times New Roman" w:cs="Times New Roman"/>
        </w:rPr>
        <w:t>, the Manager and the SPVs were principally regulated by the Trust Deed, the Securities and Futures Ordinance (C</w:t>
      </w:r>
      <w:r w:rsidR="00F563C0">
        <w:rPr>
          <w:rFonts w:ascii="Times New Roman" w:eastAsia="標楷體" w:hAnsi="Times New Roman" w:cs="Times New Roman"/>
        </w:rPr>
        <w:t>h</w:t>
      </w:r>
      <w:r w:rsidR="00613997" w:rsidRPr="0069274C">
        <w:rPr>
          <w:rFonts w:ascii="Times New Roman" w:eastAsia="標楷體" w:hAnsi="Times New Roman" w:cs="Times New Roman"/>
        </w:rPr>
        <w:t>ap</w:t>
      </w:r>
      <w:r w:rsidR="00F563C0">
        <w:rPr>
          <w:rFonts w:ascii="Times New Roman" w:eastAsia="標楷體" w:hAnsi="Times New Roman" w:cs="Times New Roman"/>
        </w:rPr>
        <w:t>ter</w:t>
      </w:r>
      <w:r w:rsidR="00613997" w:rsidRPr="0069274C">
        <w:rPr>
          <w:rFonts w:ascii="Times New Roman" w:eastAsia="標楷體" w:hAnsi="Times New Roman" w:cs="Times New Roman"/>
        </w:rPr>
        <w:t xml:space="preserve"> 577), the REIT Code, the applicable provisions of the Listing Rules of the Stock Exchange, the applicable provisions of the Takeovers Code, </w:t>
      </w:r>
      <w:r w:rsidR="000752FC" w:rsidRPr="0069274C">
        <w:rPr>
          <w:rFonts w:ascii="Times New Roman" w:eastAsia="標楷體" w:hAnsi="Times New Roman" w:cs="Times New Roman"/>
        </w:rPr>
        <w:t xml:space="preserve">the compliance manual adopted by the Manager pursuant to the requirements under the REIT Code and the articles of association of the Manager and the companies owned and controlled by </w:t>
      </w:r>
      <w:r w:rsidR="00F563C0" w:rsidRPr="0069274C">
        <w:rPr>
          <w:rFonts w:ascii="Times New Roman" w:eastAsia="標楷體" w:hAnsi="Times New Roman" w:cs="Times New Roman"/>
        </w:rPr>
        <w:t>REIT</w:t>
      </w:r>
      <w:r w:rsidR="00F563C0">
        <w:rPr>
          <w:rFonts w:ascii="Times New Roman" w:eastAsia="標楷體" w:hAnsi="Times New Roman" w:cs="Times New Roman"/>
        </w:rPr>
        <w:t xml:space="preserve"> K</w:t>
      </w:r>
      <w:r w:rsidR="000752FC" w:rsidRPr="0069274C">
        <w:rPr>
          <w:rFonts w:ascii="Times New Roman" w:eastAsia="標楷體" w:hAnsi="Times New Roman" w:cs="Times New Roman"/>
        </w:rPr>
        <w:t xml:space="preserve">. </w:t>
      </w:r>
    </w:p>
    <w:p w:rsidR="00480479" w:rsidRPr="0069274C" w:rsidRDefault="00480479" w:rsidP="00156E21">
      <w:pPr>
        <w:pStyle w:val="a3"/>
        <w:overflowPunct w:val="0"/>
        <w:autoSpaceDE w:val="0"/>
        <w:autoSpaceDN w:val="0"/>
        <w:rPr>
          <w:rFonts w:ascii="Times New Roman" w:eastAsia="標楷體" w:hAnsi="Times New Roman" w:cs="Times New Roman"/>
        </w:rPr>
      </w:pPr>
    </w:p>
    <w:p w:rsidR="000752FC" w:rsidRPr="0069274C" w:rsidRDefault="000752FC"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Mr </w:t>
      </w:r>
      <w:r w:rsidR="00F563C0">
        <w:rPr>
          <w:rFonts w:ascii="Times New Roman" w:eastAsia="標楷體" w:hAnsi="Times New Roman" w:cs="Times New Roman"/>
        </w:rPr>
        <w:t>R</w:t>
      </w:r>
      <w:r w:rsidRPr="0069274C">
        <w:rPr>
          <w:rFonts w:ascii="Times New Roman" w:eastAsia="標楷體" w:hAnsi="Times New Roman" w:cs="Times New Roman"/>
        </w:rPr>
        <w:t xml:space="preserve"> stated that the Taxpayer was one of </w:t>
      </w:r>
      <w:r w:rsidR="00F563C0" w:rsidRPr="0069274C">
        <w:rPr>
          <w:rFonts w:ascii="Times New Roman" w:eastAsia="標楷體" w:hAnsi="Times New Roman" w:cs="Times New Roman"/>
        </w:rPr>
        <w:t>REIT</w:t>
      </w:r>
      <w:r w:rsidR="00F563C0">
        <w:rPr>
          <w:rFonts w:ascii="Times New Roman" w:eastAsia="標楷體" w:hAnsi="Times New Roman" w:cs="Times New Roman"/>
        </w:rPr>
        <w:t xml:space="preserve"> K</w:t>
      </w:r>
      <w:r w:rsidRPr="0069274C">
        <w:rPr>
          <w:rFonts w:ascii="Times New Roman" w:eastAsia="標楷體" w:hAnsi="Times New Roman" w:cs="Times New Roman"/>
        </w:rPr>
        <w:t>’s property holding SPVs</w:t>
      </w:r>
      <w:r w:rsidR="00C626A7" w:rsidRPr="0069274C">
        <w:rPr>
          <w:rFonts w:ascii="Times New Roman" w:eastAsia="標楷體" w:hAnsi="Times New Roman" w:cs="Times New Roman"/>
        </w:rPr>
        <w:t>.</w:t>
      </w:r>
      <w:r w:rsidRPr="0069274C">
        <w:rPr>
          <w:rFonts w:ascii="Times New Roman" w:eastAsia="標楷體" w:hAnsi="Times New Roman" w:cs="Times New Roman"/>
        </w:rPr>
        <w:t xml:space="preserve"> The Taxpayer at all material times owned the Property. </w:t>
      </w:r>
      <w:r w:rsidR="00F7593B" w:rsidRPr="0069274C">
        <w:rPr>
          <w:rFonts w:ascii="Times New Roman" w:eastAsia="標楷體" w:hAnsi="Times New Roman" w:cs="Times New Roman"/>
        </w:rPr>
        <w:t xml:space="preserve">The Taxpayer described its principal activity as property investment in its Profits Tax </w:t>
      </w:r>
      <w:r w:rsidR="004012A2">
        <w:rPr>
          <w:rFonts w:ascii="Times New Roman" w:eastAsia="標楷體" w:hAnsi="Times New Roman" w:cs="Times New Roman"/>
        </w:rPr>
        <w:t>R</w:t>
      </w:r>
      <w:r w:rsidR="00F7593B" w:rsidRPr="0069274C">
        <w:rPr>
          <w:rFonts w:ascii="Times New Roman" w:eastAsia="標楷體" w:hAnsi="Times New Roman" w:cs="Times New Roman"/>
        </w:rPr>
        <w:t xml:space="preserve">eturns for the years of assessment that are the subject of this Appeal and the audited financial statements for the years ended 30 June 2007 to 30 June 2015, and this continued to be the case. </w:t>
      </w:r>
    </w:p>
    <w:p w:rsidR="000752FC" w:rsidRPr="0069274C" w:rsidRDefault="000752FC" w:rsidP="00156E21">
      <w:pPr>
        <w:overflowPunct w:val="0"/>
        <w:autoSpaceDE w:val="0"/>
        <w:autoSpaceDN w:val="0"/>
        <w:jc w:val="both"/>
        <w:rPr>
          <w:rFonts w:ascii="Times New Roman" w:eastAsia="標楷體" w:hAnsi="Times New Roman" w:cs="Times New Roman"/>
        </w:rPr>
      </w:pPr>
    </w:p>
    <w:p w:rsidR="00480479" w:rsidRPr="0069274C" w:rsidRDefault="000752FC"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Mr </w:t>
      </w:r>
      <w:r w:rsidR="00F563C0">
        <w:rPr>
          <w:rFonts w:ascii="Times New Roman" w:eastAsia="標楷體" w:hAnsi="Times New Roman" w:cs="Times New Roman"/>
        </w:rPr>
        <w:t>R</w:t>
      </w:r>
      <w:r w:rsidRPr="0069274C">
        <w:rPr>
          <w:rFonts w:ascii="Times New Roman" w:eastAsia="標楷體" w:hAnsi="Times New Roman" w:cs="Times New Roman"/>
        </w:rPr>
        <w:t xml:space="preserve"> stated that in accordance with the purpose of establishing </w:t>
      </w:r>
      <w:r w:rsidR="00F563C0" w:rsidRPr="0069274C">
        <w:rPr>
          <w:rFonts w:ascii="Times New Roman" w:eastAsia="標楷體" w:hAnsi="Times New Roman" w:cs="Times New Roman"/>
        </w:rPr>
        <w:t>REIT</w:t>
      </w:r>
      <w:r w:rsidR="00F563C0">
        <w:rPr>
          <w:rFonts w:ascii="Times New Roman" w:eastAsia="標楷體" w:hAnsi="Times New Roman" w:cs="Times New Roman"/>
        </w:rPr>
        <w:t xml:space="preserve"> K</w:t>
      </w:r>
      <w:r w:rsidRPr="0069274C">
        <w:rPr>
          <w:rFonts w:ascii="Times New Roman" w:eastAsia="標楷體" w:hAnsi="Times New Roman" w:cs="Times New Roman"/>
        </w:rPr>
        <w:t xml:space="preserve">, all of the SPVs that held properties, including the Taxpayer, held the properties on a long term basis to earn and produce rental income. </w:t>
      </w:r>
    </w:p>
    <w:p w:rsidR="00662975" w:rsidRPr="0069274C" w:rsidRDefault="00662975" w:rsidP="00156E21">
      <w:pPr>
        <w:pStyle w:val="a3"/>
        <w:overflowPunct w:val="0"/>
        <w:autoSpaceDE w:val="0"/>
        <w:autoSpaceDN w:val="0"/>
        <w:ind w:left="0"/>
        <w:rPr>
          <w:rFonts w:ascii="Times New Roman" w:eastAsia="標楷體" w:hAnsi="Times New Roman" w:cs="Times New Roman"/>
        </w:rPr>
      </w:pPr>
    </w:p>
    <w:p w:rsidR="00662975" w:rsidRPr="0069274C" w:rsidRDefault="00662975"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Mr </w:t>
      </w:r>
      <w:r w:rsidR="00F563C0">
        <w:rPr>
          <w:rFonts w:ascii="Times New Roman" w:eastAsia="標楷體" w:hAnsi="Times New Roman" w:cs="Times New Roman"/>
        </w:rPr>
        <w:t>R</w:t>
      </w:r>
      <w:r w:rsidRPr="0069274C">
        <w:rPr>
          <w:rFonts w:ascii="Times New Roman" w:eastAsia="標楷體" w:hAnsi="Times New Roman" w:cs="Times New Roman"/>
        </w:rPr>
        <w:t xml:space="preserve"> stated that the income generating real assets held by the SPVs predominantly made up the </w:t>
      </w:r>
      <w:r w:rsidR="00F563C0">
        <w:rPr>
          <w:rFonts w:ascii="Times New Roman" w:eastAsia="標楷體" w:hAnsi="Times New Roman" w:cs="Times New Roman"/>
        </w:rPr>
        <w:t>‘</w:t>
      </w:r>
      <w:r w:rsidRPr="0069274C">
        <w:rPr>
          <w:rFonts w:ascii="Times New Roman" w:eastAsia="標楷體" w:hAnsi="Times New Roman" w:cs="Times New Roman"/>
        </w:rPr>
        <w:t>Deposited Property</w:t>
      </w:r>
      <w:r w:rsidR="00F563C0">
        <w:rPr>
          <w:rFonts w:ascii="Times New Roman" w:eastAsia="標楷體" w:hAnsi="Times New Roman" w:cs="Times New Roman"/>
        </w:rPr>
        <w:t>’</w:t>
      </w:r>
      <w:r w:rsidRPr="0069274C">
        <w:rPr>
          <w:rFonts w:ascii="Times New Roman" w:eastAsia="標楷體" w:hAnsi="Times New Roman" w:cs="Times New Roman"/>
        </w:rPr>
        <w:t xml:space="preserve"> referred to in the Offering Circular and the Trust Deed. Mr </w:t>
      </w:r>
      <w:r w:rsidR="00F563C0">
        <w:rPr>
          <w:rFonts w:ascii="Times New Roman" w:eastAsia="標楷體" w:hAnsi="Times New Roman" w:cs="Times New Roman"/>
        </w:rPr>
        <w:t>R</w:t>
      </w:r>
      <w:r w:rsidRPr="0069274C">
        <w:rPr>
          <w:rFonts w:ascii="Times New Roman" w:eastAsia="標楷體" w:hAnsi="Times New Roman" w:cs="Times New Roman"/>
        </w:rPr>
        <w:t xml:space="preserve">, relying on the definition of </w:t>
      </w:r>
      <w:r w:rsidR="00F563C0">
        <w:rPr>
          <w:rFonts w:ascii="Times New Roman" w:eastAsia="標楷體" w:hAnsi="Times New Roman" w:cs="Times New Roman"/>
        </w:rPr>
        <w:t>‘</w:t>
      </w:r>
      <w:r w:rsidRPr="0069274C">
        <w:rPr>
          <w:rFonts w:ascii="Times New Roman" w:eastAsia="標楷體" w:hAnsi="Times New Roman" w:cs="Times New Roman"/>
        </w:rPr>
        <w:t>Deposited Property</w:t>
      </w:r>
      <w:r w:rsidR="00F563C0">
        <w:rPr>
          <w:rFonts w:ascii="Times New Roman" w:eastAsia="標楷體" w:hAnsi="Times New Roman" w:cs="Times New Roman"/>
        </w:rPr>
        <w:t>’</w:t>
      </w:r>
      <w:r w:rsidRPr="0069274C">
        <w:rPr>
          <w:rFonts w:ascii="Times New Roman" w:eastAsia="標楷體" w:hAnsi="Times New Roman" w:cs="Times New Roman"/>
        </w:rPr>
        <w:t xml:space="preserve"> in the Trust Deed, stated that both the Taxpayer and the Property are each a </w:t>
      </w:r>
      <w:r w:rsidR="00F563C0">
        <w:rPr>
          <w:rFonts w:ascii="Times New Roman" w:eastAsia="標楷體" w:hAnsi="Times New Roman" w:cs="Times New Roman"/>
        </w:rPr>
        <w:t>‘</w:t>
      </w:r>
      <w:r w:rsidRPr="0069274C">
        <w:rPr>
          <w:rFonts w:ascii="Times New Roman" w:eastAsia="標楷體" w:hAnsi="Times New Roman" w:cs="Times New Roman"/>
        </w:rPr>
        <w:t>Deposited Property</w:t>
      </w:r>
      <w:r w:rsidR="00F563C0">
        <w:rPr>
          <w:rFonts w:ascii="Times New Roman" w:eastAsia="標楷體" w:hAnsi="Times New Roman" w:cs="Times New Roman"/>
        </w:rPr>
        <w:t>’</w:t>
      </w:r>
      <w:r w:rsidRPr="0069274C">
        <w:rPr>
          <w:rFonts w:ascii="Times New Roman" w:eastAsia="標楷體" w:hAnsi="Times New Roman" w:cs="Times New Roman"/>
        </w:rPr>
        <w:t>.</w:t>
      </w:r>
    </w:p>
    <w:p w:rsidR="00662975" w:rsidRPr="0069274C" w:rsidRDefault="00662975" w:rsidP="00156E21">
      <w:pPr>
        <w:pStyle w:val="a3"/>
        <w:overflowPunct w:val="0"/>
        <w:autoSpaceDE w:val="0"/>
        <w:autoSpaceDN w:val="0"/>
        <w:ind w:left="0"/>
        <w:rPr>
          <w:rFonts w:ascii="Times New Roman" w:eastAsia="標楷體" w:hAnsi="Times New Roman" w:cs="Times New Roman"/>
        </w:rPr>
      </w:pPr>
    </w:p>
    <w:p w:rsidR="00662975" w:rsidRPr="0069274C" w:rsidRDefault="00662975"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Mr </w:t>
      </w:r>
      <w:r w:rsidR="00F563C0">
        <w:rPr>
          <w:rFonts w:ascii="Times New Roman" w:eastAsia="標楷體" w:hAnsi="Times New Roman" w:cs="Times New Roman"/>
        </w:rPr>
        <w:t>R</w:t>
      </w:r>
      <w:r w:rsidRPr="0069274C">
        <w:rPr>
          <w:rFonts w:ascii="Times New Roman" w:eastAsia="標楷體" w:hAnsi="Times New Roman" w:cs="Times New Roman"/>
        </w:rPr>
        <w:t xml:space="preserve"> stated that </w:t>
      </w:r>
      <w:r w:rsidR="00F563C0" w:rsidRPr="0069274C">
        <w:rPr>
          <w:rFonts w:ascii="Times New Roman" w:eastAsia="標楷體" w:hAnsi="Times New Roman" w:cs="Times New Roman"/>
        </w:rPr>
        <w:t>REIT</w:t>
      </w:r>
      <w:r w:rsidR="00F563C0">
        <w:rPr>
          <w:rFonts w:ascii="Times New Roman" w:eastAsia="標楷體" w:hAnsi="Times New Roman" w:cs="Times New Roman"/>
        </w:rPr>
        <w:t xml:space="preserve"> K</w:t>
      </w:r>
      <w:r w:rsidRPr="0069274C">
        <w:rPr>
          <w:rFonts w:ascii="Times New Roman" w:eastAsia="標楷體" w:hAnsi="Times New Roman" w:cs="Times New Roman"/>
        </w:rPr>
        <w:t xml:space="preserve"> had a </w:t>
      </w:r>
      <w:r w:rsidR="00F563C0">
        <w:rPr>
          <w:rFonts w:ascii="Times New Roman" w:eastAsia="標楷體" w:hAnsi="Times New Roman" w:cs="Times New Roman"/>
        </w:rPr>
        <w:t>‘</w:t>
      </w:r>
      <w:r w:rsidRPr="0069274C">
        <w:rPr>
          <w:rFonts w:ascii="Times New Roman" w:eastAsia="標楷體" w:hAnsi="Times New Roman" w:cs="Times New Roman"/>
        </w:rPr>
        <w:t>two-tier management structure</w:t>
      </w:r>
      <w:r w:rsidR="00F563C0">
        <w:rPr>
          <w:rFonts w:ascii="Times New Roman" w:eastAsia="標楷體" w:hAnsi="Times New Roman" w:cs="Times New Roman"/>
        </w:rPr>
        <w:t>’</w:t>
      </w:r>
      <w:r w:rsidRPr="0069274C">
        <w:rPr>
          <w:rFonts w:ascii="Times New Roman" w:eastAsia="標楷體" w:hAnsi="Times New Roman" w:cs="Times New Roman"/>
        </w:rPr>
        <w:t xml:space="preserve"> comprising the Manager at one level and the Property Manager at the other level. This was disclosed in the Offering Circular and approved by the SFC when </w:t>
      </w:r>
      <w:r w:rsidR="00F563C0" w:rsidRPr="0069274C">
        <w:rPr>
          <w:rFonts w:ascii="Times New Roman" w:eastAsia="標楷體" w:hAnsi="Times New Roman" w:cs="Times New Roman"/>
        </w:rPr>
        <w:t>REIT</w:t>
      </w:r>
      <w:r w:rsidR="00F563C0">
        <w:rPr>
          <w:rFonts w:ascii="Times New Roman" w:eastAsia="標楷體" w:hAnsi="Times New Roman" w:cs="Times New Roman"/>
        </w:rPr>
        <w:t xml:space="preserve"> K</w:t>
      </w:r>
      <w:r w:rsidRPr="0069274C">
        <w:rPr>
          <w:rFonts w:ascii="Times New Roman" w:eastAsia="標楷體" w:hAnsi="Times New Roman" w:cs="Times New Roman"/>
        </w:rPr>
        <w:t xml:space="preserve"> was listed. In broad terms, the </w:t>
      </w:r>
      <w:r w:rsidR="00F563C0">
        <w:rPr>
          <w:rFonts w:ascii="Times New Roman" w:eastAsia="標楷體" w:hAnsi="Times New Roman" w:cs="Times New Roman"/>
        </w:rPr>
        <w:t>‘</w:t>
      </w:r>
      <w:r w:rsidRPr="0069274C">
        <w:rPr>
          <w:rFonts w:ascii="Times New Roman" w:eastAsia="標楷體" w:hAnsi="Times New Roman" w:cs="Times New Roman"/>
        </w:rPr>
        <w:t>two-tier management structure</w:t>
      </w:r>
      <w:r w:rsidR="00F563C0">
        <w:rPr>
          <w:rFonts w:ascii="Times New Roman" w:eastAsia="標楷體" w:hAnsi="Times New Roman" w:cs="Times New Roman"/>
        </w:rPr>
        <w:t>’</w:t>
      </w:r>
      <w:r w:rsidRPr="0069274C">
        <w:rPr>
          <w:rFonts w:ascii="Times New Roman" w:eastAsia="標楷體" w:hAnsi="Times New Roman" w:cs="Times New Roman"/>
        </w:rPr>
        <w:t xml:space="preserve"> separated </w:t>
      </w:r>
      <w:r w:rsidR="002B6B69" w:rsidRPr="0069274C">
        <w:rPr>
          <w:rFonts w:ascii="Times New Roman" w:eastAsia="標楷體" w:hAnsi="Times New Roman" w:cs="Times New Roman"/>
        </w:rPr>
        <w:t xml:space="preserve">the ground-level work </w:t>
      </w:r>
      <w:r w:rsidR="00533E3D" w:rsidRPr="0069274C">
        <w:rPr>
          <w:rFonts w:ascii="Times New Roman" w:eastAsia="標楷體" w:hAnsi="Times New Roman" w:cs="Times New Roman"/>
        </w:rPr>
        <w:t xml:space="preserve">necessary for the Taxpayer’s operations (which was delegated by the Manager to the Property Manager) and the business management services necessary for the Taxpayer’s operations (which was provided by the Manager). Mr </w:t>
      </w:r>
      <w:r w:rsidR="00F563C0">
        <w:rPr>
          <w:rFonts w:ascii="Times New Roman" w:eastAsia="標楷體" w:hAnsi="Times New Roman" w:cs="Times New Roman"/>
        </w:rPr>
        <w:t>R</w:t>
      </w:r>
      <w:r w:rsidR="00533E3D" w:rsidRPr="0069274C">
        <w:rPr>
          <w:rFonts w:ascii="Times New Roman" w:eastAsia="標楷體" w:hAnsi="Times New Roman" w:cs="Times New Roman"/>
        </w:rPr>
        <w:t xml:space="preserve"> also stated that this </w:t>
      </w:r>
      <w:r w:rsidR="00F563C0">
        <w:rPr>
          <w:rFonts w:ascii="Times New Roman" w:eastAsia="標楷體" w:hAnsi="Times New Roman" w:cs="Times New Roman"/>
        </w:rPr>
        <w:t>‘</w:t>
      </w:r>
      <w:r w:rsidR="00533E3D" w:rsidRPr="0069274C">
        <w:rPr>
          <w:rFonts w:ascii="Times New Roman" w:eastAsia="標楷體" w:hAnsi="Times New Roman" w:cs="Times New Roman"/>
        </w:rPr>
        <w:t>two-tier management structure</w:t>
      </w:r>
      <w:r w:rsidR="00F563C0">
        <w:rPr>
          <w:rFonts w:ascii="Times New Roman" w:eastAsia="標楷體" w:hAnsi="Times New Roman" w:cs="Times New Roman"/>
        </w:rPr>
        <w:t>’</w:t>
      </w:r>
      <w:r w:rsidR="00533E3D" w:rsidRPr="0069274C">
        <w:rPr>
          <w:rFonts w:ascii="Times New Roman" w:eastAsia="標楷體" w:hAnsi="Times New Roman" w:cs="Times New Roman"/>
        </w:rPr>
        <w:t xml:space="preserve"> was not a unique feature of </w:t>
      </w:r>
      <w:r w:rsidR="00F563C0" w:rsidRPr="0069274C">
        <w:rPr>
          <w:rFonts w:ascii="Times New Roman" w:eastAsia="標楷體" w:hAnsi="Times New Roman" w:cs="Times New Roman"/>
        </w:rPr>
        <w:t>REIT</w:t>
      </w:r>
      <w:r w:rsidR="00F563C0">
        <w:rPr>
          <w:rFonts w:ascii="Times New Roman" w:eastAsia="標楷體" w:hAnsi="Times New Roman" w:cs="Times New Roman"/>
        </w:rPr>
        <w:t xml:space="preserve"> K</w:t>
      </w:r>
      <w:r w:rsidR="00533E3D" w:rsidRPr="0069274C">
        <w:rPr>
          <w:rFonts w:ascii="Times New Roman" w:eastAsia="標楷體" w:hAnsi="Times New Roman" w:cs="Times New Roman"/>
        </w:rPr>
        <w:t xml:space="preserve"> and </w:t>
      </w:r>
      <w:r w:rsidR="00D42FDC">
        <w:rPr>
          <w:rFonts w:ascii="Times New Roman" w:eastAsia="標楷體" w:hAnsi="Times New Roman" w:cs="Times New Roman"/>
        </w:rPr>
        <w:t xml:space="preserve">some other </w:t>
      </w:r>
      <w:r w:rsidR="00533E3D" w:rsidRPr="0069274C">
        <w:rPr>
          <w:rFonts w:ascii="Times New Roman" w:eastAsia="標楷體" w:hAnsi="Times New Roman" w:cs="Times New Roman"/>
        </w:rPr>
        <w:t xml:space="preserve">REITs listed on the Stock Exchange prior to the initial public offering of </w:t>
      </w:r>
      <w:r w:rsidR="00F563C0" w:rsidRPr="0069274C">
        <w:rPr>
          <w:rFonts w:ascii="Times New Roman" w:eastAsia="標楷體" w:hAnsi="Times New Roman" w:cs="Times New Roman"/>
        </w:rPr>
        <w:t>REIT</w:t>
      </w:r>
      <w:r w:rsidR="00F563C0">
        <w:rPr>
          <w:rFonts w:ascii="Times New Roman" w:eastAsia="標楷體" w:hAnsi="Times New Roman" w:cs="Times New Roman"/>
        </w:rPr>
        <w:t xml:space="preserve"> K</w:t>
      </w:r>
      <w:r w:rsidR="00533E3D" w:rsidRPr="0069274C">
        <w:rPr>
          <w:rFonts w:ascii="Times New Roman" w:eastAsia="標楷體" w:hAnsi="Times New Roman" w:cs="Times New Roman"/>
        </w:rPr>
        <w:t xml:space="preserve"> had a structure substantially the same as that of </w:t>
      </w:r>
      <w:r w:rsidR="00F563C0" w:rsidRPr="0069274C">
        <w:rPr>
          <w:rFonts w:ascii="Times New Roman" w:eastAsia="標楷體" w:hAnsi="Times New Roman" w:cs="Times New Roman"/>
        </w:rPr>
        <w:t>REIT</w:t>
      </w:r>
      <w:r w:rsidR="00F563C0">
        <w:rPr>
          <w:rFonts w:ascii="Times New Roman" w:eastAsia="標楷體" w:hAnsi="Times New Roman" w:cs="Times New Roman"/>
        </w:rPr>
        <w:t xml:space="preserve"> K</w:t>
      </w:r>
      <w:r w:rsidR="00533E3D" w:rsidRPr="0069274C">
        <w:rPr>
          <w:rFonts w:ascii="Times New Roman" w:eastAsia="標楷體" w:hAnsi="Times New Roman" w:cs="Times New Roman"/>
        </w:rPr>
        <w:t xml:space="preserve">. </w:t>
      </w:r>
      <w:r w:rsidR="00F7593B" w:rsidRPr="0069274C">
        <w:rPr>
          <w:rFonts w:ascii="Times New Roman" w:eastAsia="標楷體" w:hAnsi="Times New Roman" w:cs="Times New Roman"/>
        </w:rPr>
        <w:t xml:space="preserve">The services provided by the Manager and the Property Manager did not cover the common areas and facilities of </w:t>
      </w:r>
      <w:r w:rsidR="00F563C0">
        <w:rPr>
          <w:rFonts w:ascii="Times New Roman" w:eastAsia="標楷體" w:hAnsi="Times New Roman" w:cs="Times New Roman"/>
        </w:rPr>
        <w:t>Building E</w:t>
      </w:r>
      <w:r w:rsidR="00F7593B" w:rsidRPr="0069274C">
        <w:rPr>
          <w:rFonts w:ascii="Times New Roman" w:eastAsia="標楷體" w:hAnsi="Times New Roman" w:cs="Times New Roman"/>
        </w:rPr>
        <w:t xml:space="preserve"> but were related to the specific units held by the Taxpayer, i</w:t>
      </w:r>
      <w:r w:rsidR="00F563C0">
        <w:rPr>
          <w:rFonts w:ascii="Times New Roman" w:eastAsia="標楷體" w:hAnsi="Times New Roman" w:cs="Times New Roman"/>
        </w:rPr>
        <w:t>.</w:t>
      </w:r>
      <w:r w:rsidR="00F7593B" w:rsidRPr="0069274C">
        <w:rPr>
          <w:rFonts w:ascii="Times New Roman" w:eastAsia="標楷體" w:hAnsi="Times New Roman" w:cs="Times New Roman"/>
        </w:rPr>
        <w:t>e</w:t>
      </w:r>
      <w:r w:rsidR="00F563C0">
        <w:rPr>
          <w:rFonts w:ascii="Times New Roman" w:eastAsia="標楷體" w:hAnsi="Times New Roman" w:cs="Times New Roman"/>
        </w:rPr>
        <w:t>.</w:t>
      </w:r>
      <w:r w:rsidR="00F7593B" w:rsidRPr="0069274C">
        <w:rPr>
          <w:rFonts w:ascii="Times New Roman" w:eastAsia="標楷體" w:hAnsi="Times New Roman" w:cs="Times New Roman"/>
        </w:rPr>
        <w:t xml:space="preserve"> the Property. </w:t>
      </w:r>
      <w:r w:rsidR="006072AA" w:rsidRPr="0069274C">
        <w:rPr>
          <w:rFonts w:ascii="Times New Roman" w:eastAsia="標楷體" w:hAnsi="Times New Roman" w:cs="Times New Roman"/>
        </w:rPr>
        <w:t xml:space="preserve">The Manager also provided services rendered to </w:t>
      </w:r>
      <w:r w:rsidR="00F563C0" w:rsidRPr="0069274C">
        <w:rPr>
          <w:rFonts w:ascii="Times New Roman" w:eastAsia="標楷體" w:hAnsi="Times New Roman" w:cs="Times New Roman"/>
        </w:rPr>
        <w:t>REIT</w:t>
      </w:r>
      <w:r w:rsidR="00F563C0">
        <w:rPr>
          <w:rFonts w:ascii="Times New Roman" w:eastAsia="標楷體" w:hAnsi="Times New Roman" w:cs="Times New Roman"/>
        </w:rPr>
        <w:t xml:space="preserve"> K</w:t>
      </w:r>
      <w:r w:rsidR="006072AA" w:rsidRPr="0069274C">
        <w:rPr>
          <w:rFonts w:ascii="Times New Roman" w:eastAsia="標楷體" w:hAnsi="Times New Roman" w:cs="Times New Roman"/>
        </w:rPr>
        <w:t xml:space="preserve"> as a whole. </w:t>
      </w:r>
    </w:p>
    <w:p w:rsidR="001A5A70" w:rsidRPr="0069274C" w:rsidRDefault="001A5A70" w:rsidP="00156E21">
      <w:pPr>
        <w:overflowPunct w:val="0"/>
        <w:autoSpaceDE w:val="0"/>
        <w:autoSpaceDN w:val="0"/>
        <w:jc w:val="both"/>
        <w:rPr>
          <w:rFonts w:ascii="Times New Roman" w:eastAsia="標楷體" w:hAnsi="Times New Roman" w:cs="Times New Roman"/>
        </w:rPr>
      </w:pPr>
    </w:p>
    <w:p w:rsidR="001A5A70" w:rsidRPr="0069274C" w:rsidRDefault="001A5A70"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Mr </w:t>
      </w:r>
      <w:r w:rsidR="00F563C0">
        <w:rPr>
          <w:rFonts w:ascii="Times New Roman" w:eastAsia="標楷體" w:hAnsi="Times New Roman" w:cs="Times New Roman"/>
        </w:rPr>
        <w:t>R</w:t>
      </w:r>
      <w:r w:rsidRPr="0069274C">
        <w:rPr>
          <w:rFonts w:ascii="Times New Roman" w:eastAsia="標楷體" w:hAnsi="Times New Roman" w:cs="Times New Roman"/>
        </w:rPr>
        <w:t xml:space="preserve"> stated that the Taxpayer did not have, and had never had, any employees. For the </w:t>
      </w:r>
      <w:r w:rsidR="00313698" w:rsidRPr="0069274C">
        <w:rPr>
          <w:rFonts w:ascii="Times New Roman" w:eastAsia="標楷體" w:hAnsi="Times New Roman" w:cs="Times New Roman"/>
        </w:rPr>
        <w:t xml:space="preserve">Taxpayer to hold, manage and operate the Property as commercial units to generate rental income, to service the shop and office tenants, and to sustain the growth in rental income, the Taxpayer required a wide range of services to be performed for its benefit. These services were provided by the Manager and the Property Manager. For the services rendered by the Manager for the benefit of the Taxpayer – which were required by the Taxpayer to earn and produce its profits and, indeed, to have any operations at all – the Taxpayer paid its share of the Manager’s Fees. The Taxpayer’s payment of its share of the Manager’s Fees was approved by the directors of the Taxpayer and evidenced by the </w:t>
      </w:r>
      <w:r w:rsidR="00313698" w:rsidRPr="0069274C">
        <w:rPr>
          <w:rFonts w:ascii="Times New Roman" w:eastAsia="標楷體" w:hAnsi="Times New Roman" w:cs="Times New Roman"/>
        </w:rPr>
        <w:lastRenderedPageBreak/>
        <w:t xml:space="preserve">minutes of its board meetings. Mr </w:t>
      </w:r>
      <w:r w:rsidR="00F563C0">
        <w:rPr>
          <w:rFonts w:ascii="Times New Roman" w:eastAsia="標楷體" w:hAnsi="Times New Roman" w:cs="Times New Roman"/>
        </w:rPr>
        <w:t>R</w:t>
      </w:r>
      <w:r w:rsidR="00313698" w:rsidRPr="0069274C">
        <w:rPr>
          <w:rFonts w:ascii="Times New Roman" w:eastAsia="標楷體" w:hAnsi="Times New Roman" w:cs="Times New Roman"/>
        </w:rPr>
        <w:t xml:space="preserve"> exhibited copies of those minutes, and also minutes of the board meetings approving the audited financial statements for the year ended 30 June 2007 together with the relevant audited financial statements, which recorded the share of the Manager’s Fees as a </w:t>
      </w:r>
      <w:r w:rsidR="00F563C0">
        <w:rPr>
          <w:rFonts w:ascii="Times New Roman" w:eastAsia="標楷體" w:hAnsi="Times New Roman" w:cs="Times New Roman"/>
        </w:rPr>
        <w:t>‘</w:t>
      </w:r>
      <w:r w:rsidR="00313698" w:rsidRPr="0069274C">
        <w:rPr>
          <w:rFonts w:ascii="Times New Roman" w:eastAsia="標楷體" w:hAnsi="Times New Roman" w:cs="Times New Roman"/>
        </w:rPr>
        <w:t>related party transaction</w:t>
      </w:r>
      <w:r w:rsidR="00F563C0">
        <w:rPr>
          <w:rFonts w:ascii="Times New Roman" w:eastAsia="標楷體" w:hAnsi="Times New Roman" w:cs="Times New Roman"/>
        </w:rPr>
        <w:t>’</w:t>
      </w:r>
      <w:r w:rsidR="00313698" w:rsidRPr="0069274C">
        <w:rPr>
          <w:rFonts w:ascii="Times New Roman" w:eastAsia="標楷體" w:hAnsi="Times New Roman" w:cs="Times New Roman"/>
        </w:rPr>
        <w:t xml:space="preserve">. </w:t>
      </w:r>
    </w:p>
    <w:p w:rsidR="00A10411" w:rsidRPr="0069274C" w:rsidRDefault="00A10411" w:rsidP="00156E21">
      <w:pPr>
        <w:overflowPunct w:val="0"/>
        <w:autoSpaceDE w:val="0"/>
        <w:autoSpaceDN w:val="0"/>
        <w:jc w:val="both"/>
        <w:rPr>
          <w:rFonts w:ascii="Times New Roman" w:eastAsia="標楷體" w:hAnsi="Times New Roman" w:cs="Times New Roman"/>
        </w:rPr>
      </w:pPr>
    </w:p>
    <w:p w:rsidR="00A10411" w:rsidRPr="0069274C" w:rsidRDefault="00A10411"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Mr </w:t>
      </w:r>
      <w:r w:rsidR="00F563C0">
        <w:rPr>
          <w:rFonts w:ascii="Times New Roman" w:eastAsia="標楷體" w:hAnsi="Times New Roman" w:cs="Times New Roman"/>
        </w:rPr>
        <w:t>R</w:t>
      </w:r>
      <w:r w:rsidRPr="0069274C">
        <w:rPr>
          <w:rFonts w:ascii="Times New Roman" w:eastAsia="標楷體" w:hAnsi="Times New Roman" w:cs="Times New Roman"/>
        </w:rPr>
        <w:t xml:space="preserve"> referred to the Offering Circular, the REIT Code and the Trust Deed to state the responsibilities of the Manager in relation to </w:t>
      </w:r>
      <w:r w:rsidR="00F563C0" w:rsidRPr="0069274C">
        <w:rPr>
          <w:rFonts w:ascii="Times New Roman" w:eastAsia="標楷體" w:hAnsi="Times New Roman" w:cs="Times New Roman"/>
        </w:rPr>
        <w:t>REIT</w:t>
      </w:r>
      <w:r w:rsidR="00F563C0">
        <w:rPr>
          <w:rFonts w:ascii="Times New Roman" w:eastAsia="標楷體" w:hAnsi="Times New Roman" w:cs="Times New Roman"/>
        </w:rPr>
        <w:t xml:space="preserve"> K</w:t>
      </w:r>
      <w:r w:rsidRPr="0069274C">
        <w:rPr>
          <w:rFonts w:ascii="Times New Roman" w:eastAsia="標楷體" w:hAnsi="Times New Roman" w:cs="Times New Roman"/>
        </w:rPr>
        <w:t xml:space="preserve"> to state that a significant part of the responsibilities of the Manager were comprised of work rendered directly for the benefit of the SPVs, including the Taxpayer. The Manager’s functions were carried out by its six departments: (i) the Asset Management Department; (ii) the Financial and Accounting Department; (iii) the Investment and Investor Relations Department; (iv) the Corporate Services Department; (v) the Internal Audit Department; and (vi) the Compliance Department. Each department was headed by an executive officer who reported to Mr </w:t>
      </w:r>
      <w:r w:rsidR="00F563C0">
        <w:rPr>
          <w:rFonts w:ascii="Times New Roman" w:eastAsia="標楷體" w:hAnsi="Times New Roman" w:cs="Times New Roman"/>
        </w:rPr>
        <w:t>R</w:t>
      </w:r>
      <w:r w:rsidRPr="0069274C">
        <w:rPr>
          <w:rFonts w:ascii="Times New Roman" w:eastAsia="標楷體" w:hAnsi="Times New Roman" w:cs="Times New Roman"/>
        </w:rPr>
        <w:t xml:space="preserve">. The departments were assigned with different functions, each providing distinct services to and for the benefit of </w:t>
      </w:r>
      <w:r w:rsidR="00F563C0" w:rsidRPr="0069274C">
        <w:rPr>
          <w:rFonts w:ascii="Times New Roman" w:eastAsia="標楷體" w:hAnsi="Times New Roman" w:cs="Times New Roman"/>
        </w:rPr>
        <w:t>REIT</w:t>
      </w:r>
      <w:r w:rsidR="00F563C0">
        <w:rPr>
          <w:rFonts w:ascii="Times New Roman" w:eastAsia="標楷體" w:hAnsi="Times New Roman" w:cs="Times New Roman"/>
        </w:rPr>
        <w:t xml:space="preserve"> K</w:t>
      </w:r>
      <w:r w:rsidRPr="0069274C">
        <w:rPr>
          <w:rFonts w:ascii="Times New Roman" w:eastAsia="標楷體" w:hAnsi="Times New Roman" w:cs="Times New Roman"/>
        </w:rPr>
        <w:t xml:space="preserve"> and to each property holding SPV (including the Taxpayer) and its respective properties. Mr </w:t>
      </w:r>
      <w:r w:rsidR="00F563C0">
        <w:rPr>
          <w:rFonts w:ascii="Times New Roman" w:eastAsia="標楷體" w:hAnsi="Times New Roman" w:cs="Times New Roman"/>
        </w:rPr>
        <w:t>R</w:t>
      </w:r>
      <w:r w:rsidRPr="0069274C">
        <w:rPr>
          <w:rFonts w:ascii="Times New Roman" w:eastAsia="標楷體" w:hAnsi="Times New Roman" w:cs="Times New Roman"/>
        </w:rPr>
        <w:t xml:space="preserve"> provided a description of the departments. </w:t>
      </w:r>
    </w:p>
    <w:p w:rsidR="00A10411" w:rsidRPr="0069274C" w:rsidRDefault="00A10411" w:rsidP="00156E21">
      <w:pPr>
        <w:overflowPunct w:val="0"/>
        <w:autoSpaceDE w:val="0"/>
        <w:autoSpaceDN w:val="0"/>
        <w:jc w:val="both"/>
        <w:rPr>
          <w:rFonts w:ascii="Times New Roman" w:eastAsia="標楷體" w:hAnsi="Times New Roman" w:cs="Times New Roman"/>
        </w:rPr>
      </w:pPr>
    </w:p>
    <w:p w:rsidR="00A10411" w:rsidRPr="0069274C" w:rsidRDefault="00A10411"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Mr </w:t>
      </w:r>
      <w:r w:rsidR="00F563C0">
        <w:rPr>
          <w:rFonts w:ascii="Times New Roman" w:eastAsia="標楷體" w:hAnsi="Times New Roman" w:cs="Times New Roman"/>
        </w:rPr>
        <w:t>R</w:t>
      </w:r>
      <w:r w:rsidRPr="0069274C">
        <w:rPr>
          <w:rFonts w:ascii="Times New Roman" w:eastAsia="標楷體" w:hAnsi="Times New Roman" w:cs="Times New Roman"/>
        </w:rPr>
        <w:t xml:space="preserve"> stated that apart from the services provided by the various departments of the Manager, the Taxpayer also received company secretarial services from the relevant executive officer who assumed the role of Company Secretary of the Manager at that time. </w:t>
      </w:r>
      <w:r w:rsidR="006072AA" w:rsidRPr="0069274C">
        <w:rPr>
          <w:rFonts w:ascii="Times New Roman" w:eastAsia="標楷體" w:hAnsi="Times New Roman" w:cs="Times New Roman"/>
        </w:rPr>
        <w:t xml:space="preserve">Mr </w:t>
      </w:r>
      <w:r w:rsidR="00F563C0">
        <w:rPr>
          <w:rFonts w:ascii="Times New Roman" w:eastAsia="標楷體" w:hAnsi="Times New Roman" w:cs="Times New Roman"/>
        </w:rPr>
        <w:t>R</w:t>
      </w:r>
      <w:r w:rsidR="006072AA" w:rsidRPr="0069274C">
        <w:rPr>
          <w:rFonts w:ascii="Times New Roman" w:eastAsia="標楷體" w:hAnsi="Times New Roman" w:cs="Times New Roman"/>
        </w:rPr>
        <w:t xml:space="preserve"> also stated that the Taxpayer benefited from his services rendered directly without support from the department heads, and he gave the example of the assistance given to the Taxpayer in relation to an attempt to acquire </w:t>
      </w:r>
      <w:r w:rsidR="002F7553" w:rsidRPr="0069274C">
        <w:rPr>
          <w:rFonts w:ascii="Times New Roman" w:eastAsia="標楷體" w:hAnsi="Times New Roman" w:cs="Times New Roman"/>
        </w:rPr>
        <w:t xml:space="preserve">the </w:t>
      </w:r>
      <w:r w:rsidR="006072AA" w:rsidRPr="0069274C">
        <w:rPr>
          <w:rFonts w:ascii="Times New Roman" w:eastAsia="標楷體" w:hAnsi="Times New Roman" w:cs="Times New Roman"/>
        </w:rPr>
        <w:t xml:space="preserve">remaining part of </w:t>
      </w:r>
      <w:r w:rsidR="00F563C0">
        <w:rPr>
          <w:rFonts w:ascii="Times New Roman" w:eastAsia="標楷體" w:hAnsi="Times New Roman" w:cs="Times New Roman"/>
        </w:rPr>
        <w:t>Building E</w:t>
      </w:r>
      <w:r w:rsidR="006072AA" w:rsidRPr="0069274C">
        <w:rPr>
          <w:rFonts w:ascii="Times New Roman" w:eastAsia="標楷體" w:hAnsi="Times New Roman" w:cs="Times New Roman"/>
        </w:rPr>
        <w:t xml:space="preserve"> from the other single owner in order to unify the title and ownership of the building. </w:t>
      </w:r>
    </w:p>
    <w:p w:rsidR="006072AA" w:rsidRPr="0069274C" w:rsidRDefault="006072AA" w:rsidP="00156E21">
      <w:pPr>
        <w:overflowPunct w:val="0"/>
        <w:autoSpaceDE w:val="0"/>
        <w:autoSpaceDN w:val="0"/>
        <w:jc w:val="both"/>
        <w:rPr>
          <w:rFonts w:ascii="Times New Roman" w:eastAsia="標楷體" w:hAnsi="Times New Roman" w:cs="Times New Roman"/>
        </w:rPr>
      </w:pPr>
    </w:p>
    <w:p w:rsidR="00D71CF9" w:rsidRPr="0069274C" w:rsidRDefault="006072AA"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Mr </w:t>
      </w:r>
      <w:r w:rsidR="00F563C0">
        <w:rPr>
          <w:rFonts w:ascii="Times New Roman" w:eastAsia="標楷體" w:hAnsi="Times New Roman" w:cs="Times New Roman"/>
        </w:rPr>
        <w:t>R</w:t>
      </w:r>
      <w:r w:rsidRPr="0069274C">
        <w:rPr>
          <w:rFonts w:ascii="Times New Roman" w:eastAsia="標楷體" w:hAnsi="Times New Roman" w:cs="Times New Roman"/>
        </w:rPr>
        <w:t xml:space="preserve"> stated that pursuant to </w:t>
      </w:r>
      <w:r w:rsidR="00944390">
        <w:rPr>
          <w:rFonts w:ascii="Times New Roman" w:eastAsia="標楷體" w:hAnsi="Times New Roman" w:cs="Times New Roman"/>
        </w:rPr>
        <w:t>c</w:t>
      </w:r>
      <w:r w:rsidRPr="0069274C">
        <w:rPr>
          <w:rFonts w:ascii="Times New Roman" w:eastAsia="標楷體" w:hAnsi="Times New Roman" w:cs="Times New Roman"/>
        </w:rPr>
        <w:t xml:space="preserve">lause </w:t>
      </w:r>
      <w:r w:rsidR="00196CB1">
        <w:rPr>
          <w:rFonts w:ascii="Times New Roman" w:eastAsia="標楷體" w:hAnsi="Times New Roman" w:cs="Times New Roman"/>
        </w:rPr>
        <w:t>C</w:t>
      </w:r>
      <w:r w:rsidRPr="0069274C">
        <w:rPr>
          <w:rFonts w:ascii="Times New Roman" w:eastAsia="標楷體" w:hAnsi="Times New Roman" w:cs="Times New Roman"/>
        </w:rPr>
        <w:t xml:space="preserve">.1 of the Trust Deed, the </w:t>
      </w:r>
      <w:r w:rsidR="00D71CF9" w:rsidRPr="0069274C">
        <w:rPr>
          <w:rFonts w:ascii="Times New Roman" w:eastAsia="標楷體" w:hAnsi="Times New Roman" w:cs="Times New Roman"/>
        </w:rPr>
        <w:t xml:space="preserve">Manager was entitled to receive remuneration for its services, which was to be paid out of the Deposited Property. Mr </w:t>
      </w:r>
      <w:r w:rsidR="00F563C0">
        <w:rPr>
          <w:rFonts w:ascii="Times New Roman" w:eastAsia="標楷體" w:hAnsi="Times New Roman" w:cs="Times New Roman"/>
        </w:rPr>
        <w:t>R</w:t>
      </w:r>
      <w:r w:rsidR="00D71CF9" w:rsidRPr="0069274C">
        <w:rPr>
          <w:rFonts w:ascii="Times New Roman" w:eastAsia="標楷體" w:hAnsi="Times New Roman" w:cs="Times New Roman"/>
        </w:rPr>
        <w:t xml:space="preserve"> also stated that his understanding of </w:t>
      </w:r>
      <w:r w:rsidR="00944390">
        <w:rPr>
          <w:rFonts w:ascii="Times New Roman" w:eastAsia="標楷體" w:hAnsi="Times New Roman" w:cs="Times New Roman"/>
        </w:rPr>
        <w:t>c</w:t>
      </w:r>
      <w:r w:rsidR="00D71CF9" w:rsidRPr="0069274C">
        <w:rPr>
          <w:rFonts w:ascii="Times New Roman" w:eastAsia="標楷體" w:hAnsi="Times New Roman" w:cs="Times New Roman"/>
        </w:rPr>
        <w:t xml:space="preserve">lause </w:t>
      </w:r>
      <w:r w:rsidR="00196CB1">
        <w:rPr>
          <w:rFonts w:ascii="Times New Roman" w:eastAsia="標楷體" w:hAnsi="Times New Roman" w:cs="Times New Roman"/>
        </w:rPr>
        <w:t>C</w:t>
      </w:r>
      <w:r w:rsidR="00D71CF9" w:rsidRPr="0069274C">
        <w:rPr>
          <w:rFonts w:ascii="Times New Roman" w:eastAsia="標楷體" w:hAnsi="Times New Roman" w:cs="Times New Roman"/>
        </w:rPr>
        <w:t xml:space="preserve">.1 was that it was intended that payments for services rendered to a SPV or the property it owned were to be paid out by them out of their income as </w:t>
      </w:r>
      <w:r w:rsidR="00F563C0">
        <w:rPr>
          <w:rFonts w:ascii="Times New Roman" w:eastAsia="標楷體" w:hAnsi="Times New Roman" w:cs="Times New Roman"/>
        </w:rPr>
        <w:t>‘</w:t>
      </w:r>
      <w:r w:rsidR="00D71CF9" w:rsidRPr="0069274C">
        <w:rPr>
          <w:rFonts w:ascii="Times New Roman" w:eastAsia="標楷體" w:hAnsi="Times New Roman" w:cs="Times New Roman"/>
        </w:rPr>
        <w:t>Deposited Property</w:t>
      </w:r>
      <w:r w:rsidR="00F563C0">
        <w:rPr>
          <w:rFonts w:ascii="Times New Roman" w:eastAsia="標楷體" w:hAnsi="Times New Roman" w:cs="Times New Roman"/>
        </w:rPr>
        <w:t>’</w:t>
      </w:r>
      <w:r w:rsidR="00D71CF9" w:rsidRPr="0069274C">
        <w:rPr>
          <w:rFonts w:ascii="Times New Roman" w:eastAsia="標楷體" w:hAnsi="Times New Roman" w:cs="Times New Roman"/>
        </w:rPr>
        <w:t xml:space="preserve">. Mr </w:t>
      </w:r>
      <w:r w:rsidR="00F563C0">
        <w:rPr>
          <w:rFonts w:ascii="Times New Roman" w:eastAsia="標楷體" w:hAnsi="Times New Roman" w:cs="Times New Roman"/>
        </w:rPr>
        <w:t>R</w:t>
      </w:r>
      <w:r w:rsidR="00D71CF9" w:rsidRPr="0069274C">
        <w:rPr>
          <w:rFonts w:ascii="Times New Roman" w:eastAsia="標楷體" w:hAnsi="Times New Roman" w:cs="Times New Roman"/>
        </w:rPr>
        <w:t xml:space="preserve"> further stated that it was the intention and understanding of both the Manager and the Taxpayer (the directors of both knew of </w:t>
      </w:r>
      <w:r w:rsidR="00944390">
        <w:rPr>
          <w:rFonts w:ascii="Times New Roman" w:eastAsia="標楷體" w:hAnsi="Times New Roman" w:cs="Times New Roman"/>
        </w:rPr>
        <w:t>c</w:t>
      </w:r>
      <w:r w:rsidR="00D71CF9" w:rsidRPr="0069274C">
        <w:rPr>
          <w:rFonts w:ascii="Times New Roman" w:eastAsia="標楷體" w:hAnsi="Times New Roman" w:cs="Times New Roman"/>
        </w:rPr>
        <w:t xml:space="preserve">lause </w:t>
      </w:r>
      <w:r w:rsidR="00196CB1">
        <w:rPr>
          <w:rFonts w:ascii="Times New Roman" w:eastAsia="標楷體" w:hAnsi="Times New Roman" w:cs="Times New Roman"/>
        </w:rPr>
        <w:t>C</w:t>
      </w:r>
      <w:r w:rsidR="00D71CF9" w:rsidRPr="0069274C">
        <w:rPr>
          <w:rFonts w:ascii="Times New Roman" w:eastAsia="標楷體" w:hAnsi="Times New Roman" w:cs="Times New Roman"/>
        </w:rPr>
        <w:t>.1 at all times) that when the Taxpayer received the services rendered by the Manager for it to operate and earn and produce its rental income, the Taxpayer would pay fees for such services, i</w:t>
      </w:r>
      <w:r w:rsidR="00F61E78">
        <w:rPr>
          <w:rFonts w:ascii="Times New Roman" w:eastAsia="標楷體" w:hAnsi="Times New Roman" w:cs="Times New Roman"/>
        </w:rPr>
        <w:t>.</w:t>
      </w:r>
      <w:r w:rsidR="00D71CF9" w:rsidRPr="0069274C">
        <w:rPr>
          <w:rFonts w:ascii="Times New Roman" w:eastAsia="標楷體" w:hAnsi="Times New Roman" w:cs="Times New Roman"/>
        </w:rPr>
        <w:t>e</w:t>
      </w:r>
      <w:r w:rsidR="00F61E78">
        <w:rPr>
          <w:rFonts w:ascii="Times New Roman" w:eastAsia="標楷體" w:hAnsi="Times New Roman" w:cs="Times New Roman"/>
        </w:rPr>
        <w:t>.</w:t>
      </w:r>
      <w:r w:rsidR="00D71CF9" w:rsidRPr="0069274C">
        <w:rPr>
          <w:rFonts w:ascii="Times New Roman" w:eastAsia="標楷體" w:hAnsi="Times New Roman" w:cs="Times New Roman"/>
        </w:rPr>
        <w:t xml:space="preserve"> its share of the Manager’s Fees, out of its own income. The Manager did so charge, and the directors of the Taxpayer did so approve, the payment for the services. </w:t>
      </w:r>
    </w:p>
    <w:p w:rsidR="00D71CF9" w:rsidRPr="0069274C" w:rsidRDefault="00D71CF9" w:rsidP="00156E21">
      <w:pPr>
        <w:overflowPunct w:val="0"/>
        <w:autoSpaceDE w:val="0"/>
        <w:autoSpaceDN w:val="0"/>
        <w:jc w:val="both"/>
        <w:rPr>
          <w:rFonts w:ascii="Times New Roman" w:eastAsia="標楷體" w:hAnsi="Times New Roman" w:cs="Times New Roman"/>
        </w:rPr>
      </w:pPr>
    </w:p>
    <w:p w:rsidR="006072AA" w:rsidRPr="0069274C" w:rsidRDefault="00D71CF9"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The two components of the Manager’s Fees in dispute in this Appeal were the Base Fee and the Variable Fee. Mr </w:t>
      </w:r>
      <w:r w:rsidR="00F563C0">
        <w:rPr>
          <w:rFonts w:ascii="Times New Roman" w:eastAsia="標楷體" w:hAnsi="Times New Roman" w:cs="Times New Roman"/>
        </w:rPr>
        <w:t>R</w:t>
      </w:r>
      <w:r w:rsidRPr="0069274C">
        <w:rPr>
          <w:rFonts w:ascii="Times New Roman" w:eastAsia="標楷體" w:hAnsi="Times New Roman" w:cs="Times New Roman"/>
        </w:rPr>
        <w:t xml:space="preserve"> stated that </w:t>
      </w:r>
      <w:r w:rsidR="00D05467" w:rsidRPr="0069274C">
        <w:rPr>
          <w:rFonts w:ascii="Times New Roman" w:eastAsia="標楷體" w:hAnsi="Times New Roman" w:cs="Times New Roman"/>
        </w:rPr>
        <w:t xml:space="preserve">the Manager’s Base Fee and Variable Fee were disclosed in the Offering Circular which the SFC had approved. Mr </w:t>
      </w:r>
      <w:r w:rsidR="00F563C0">
        <w:rPr>
          <w:rFonts w:ascii="Times New Roman" w:eastAsia="標楷體" w:hAnsi="Times New Roman" w:cs="Times New Roman"/>
        </w:rPr>
        <w:t>R</w:t>
      </w:r>
      <w:r w:rsidR="00D05467" w:rsidRPr="0069274C">
        <w:rPr>
          <w:rFonts w:ascii="Times New Roman" w:eastAsia="標楷體" w:hAnsi="Times New Roman" w:cs="Times New Roman"/>
        </w:rPr>
        <w:t xml:space="preserve"> also </w:t>
      </w:r>
      <w:r w:rsidR="00816C7A" w:rsidRPr="0069274C">
        <w:rPr>
          <w:rFonts w:ascii="Times New Roman" w:eastAsia="標楷體" w:hAnsi="Times New Roman" w:cs="Times New Roman"/>
        </w:rPr>
        <w:t xml:space="preserve">stated that the Manager’s Base Fee referable to the Property was shared between </w:t>
      </w:r>
      <w:r w:rsidR="00F563C0" w:rsidRPr="0069274C">
        <w:rPr>
          <w:rFonts w:ascii="Times New Roman" w:eastAsia="標楷體" w:hAnsi="Times New Roman" w:cs="Times New Roman"/>
        </w:rPr>
        <w:t>REIT</w:t>
      </w:r>
      <w:r w:rsidR="00F563C0">
        <w:rPr>
          <w:rFonts w:ascii="Times New Roman" w:eastAsia="標楷體" w:hAnsi="Times New Roman" w:cs="Times New Roman"/>
        </w:rPr>
        <w:t xml:space="preserve"> K</w:t>
      </w:r>
      <w:r w:rsidR="00816C7A" w:rsidRPr="0069274C">
        <w:rPr>
          <w:rFonts w:ascii="Times New Roman" w:eastAsia="標楷體" w:hAnsi="Times New Roman" w:cs="Times New Roman"/>
        </w:rPr>
        <w:t xml:space="preserve"> and the Taxpayer. The sharing basis was 1/3 borne by </w:t>
      </w:r>
      <w:r w:rsidR="00F563C0" w:rsidRPr="0069274C">
        <w:rPr>
          <w:rFonts w:ascii="Times New Roman" w:eastAsia="標楷體" w:hAnsi="Times New Roman" w:cs="Times New Roman"/>
        </w:rPr>
        <w:t>REIT</w:t>
      </w:r>
      <w:r w:rsidR="00F563C0">
        <w:rPr>
          <w:rFonts w:ascii="Times New Roman" w:eastAsia="標楷體" w:hAnsi="Times New Roman" w:cs="Times New Roman"/>
        </w:rPr>
        <w:t xml:space="preserve"> K</w:t>
      </w:r>
      <w:r w:rsidR="00816C7A" w:rsidRPr="0069274C">
        <w:rPr>
          <w:rFonts w:ascii="Times New Roman" w:eastAsia="標楷體" w:hAnsi="Times New Roman" w:cs="Times New Roman"/>
        </w:rPr>
        <w:t xml:space="preserve"> out of the dividends from the SPVs and 2/3 borne by the Taxpayer out of its own income. The Manager’s Variable Fee was an additional fee payable to the Manager. </w:t>
      </w:r>
      <w:r w:rsidR="004C0B5A" w:rsidRPr="0069274C">
        <w:rPr>
          <w:rFonts w:ascii="Times New Roman" w:eastAsia="標楷體" w:hAnsi="Times New Roman" w:cs="Times New Roman"/>
        </w:rPr>
        <w:t>The Manager’s Variable Fee was based</w:t>
      </w:r>
      <w:r w:rsidR="00816C7A" w:rsidRPr="0069274C">
        <w:rPr>
          <w:rFonts w:ascii="Times New Roman" w:eastAsia="標楷體" w:hAnsi="Times New Roman" w:cs="Times New Roman"/>
        </w:rPr>
        <w:t xml:space="preserve"> on the performance of the Property and was therefore entirely attributable to the efforts of the Manager in providing services to the Taxpayer specifically in respect of the Property, and </w:t>
      </w:r>
      <w:r w:rsidR="004C0B5A" w:rsidRPr="0069274C">
        <w:rPr>
          <w:rFonts w:ascii="Times New Roman" w:eastAsia="標楷體" w:hAnsi="Times New Roman" w:cs="Times New Roman"/>
        </w:rPr>
        <w:t>so</w:t>
      </w:r>
      <w:r w:rsidR="00816C7A" w:rsidRPr="0069274C">
        <w:rPr>
          <w:rFonts w:ascii="Times New Roman" w:eastAsia="標楷體" w:hAnsi="Times New Roman" w:cs="Times New Roman"/>
        </w:rPr>
        <w:t xml:space="preserve"> </w:t>
      </w:r>
      <w:r w:rsidR="004C0B5A" w:rsidRPr="0069274C">
        <w:rPr>
          <w:rFonts w:ascii="Times New Roman" w:eastAsia="標楷體" w:hAnsi="Times New Roman" w:cs="Times New Roman"/>
        </w:rPr>
        <w:t>this fee</w:t>
      </w:r>
      <w:r w:rsidR="00816C7A" w:rsidRPr="0069274C">
        <w:rPr>
          <w:rFonts w:ascii="Times New Roman" w:eastAsia="標楷體" w:hAnsi="Times New Roman" w:cs="Times New Roman"/>
        </w:rPr>
        <w:t xml:space="preserve"> was borne solely by the Taxpayer out of its own income.</w:t>
      </w:r>
      <w:r w:rsidR="00D05467" w:rsidRPr="0069274C">
        <w:rPr>
          <w:rFonts w:ascii="Times New Roman" w:eastAsia="標楷體" w:hAnsi="Times New Roman" w:cs="Times New Roman"/>
        </w:rPr>
        <w:t xml:space="preserve">  </w:t>
      </w:r>
    </w:p>
    <w:p w:rsidR="00816C7A" w:rsidRPr="0069274C" w:rsidRDefault="00816C7A" w:rsidP="00156E21">
      <w:pPr>
        <w:overflowPunct w:val="0"/>
        <w:autoSpaceDE w:val="0"/>
        <w:autoSpaceDN w:val="0"/>
        <w:jc w:val="both"/>
        <w:rPr>
          <w:rFonts w:ascii="Times New Roman" w:eastAsia="標楷體" w:hAnsi="Times New Roman" w:cs="Times New Roman"/>
        </w:rPr>
      </w:pPr>
    </w:p>
    <w:p w:rsidR="00816C7A" w:rsidRPr="0069274C" w:rsidRDefault="00816C7A"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Mr </w:t>
      </w:r>
      <w:r w:rsidR="00F563C0">
        <w:rPr>
          <w:rFonts w:ascii="Times New Roman" w:eastAsia="標楷體" w:hAnsi="Times New Roman" w:cs="Times New Roman"/>
        </w:rPr>
        <w:t>R</w:t>
      </w:r>
      <w:r w:rsidRPr="0069274C">
        <w:rPr>
          <w:rFonts w:ascii="Times New Roman" w:eastAsia="標楷體" w:hAnsi="Times New Roman" w:cs="Times New Roman"/>
        </w:rPr>
        <w:t xml:space="preserve"> stated that</w:t>
      </w:r>
      <w:r w:rsidR="00141CFF" w:rsidRPr="0069274C">
        <w:rPr>
          <w:rFonts w:ascii="Times New Roman" w:eastAsia="標楷體" w:hAnsi="Times New Roman" w:cs="Times New Roman"/>
        </w:rPr>
        <w:t xml:space="preserve"> the Trustee did not manage </w:t>
      </w:r>
      <w:r w:rsidR="00F563C0" w:rsidRPr="0069274C">
        <w:rPr>
          <w:rFonts w:ascii="Times New Roman" w:eastAsia="標楷體" w:hAnsi="Times New Roman" w:cs="Times New Roman"/>
        </w:rPr>
        <w:t>REIT</w:t>
      </w:r>
      <w:r w:rsidR="00F563C0">
        <w:rPr>
          <w:rFonts w:ascii="Times New Roman" w:eastAsia="標楷體" w:hAnsi="Times New Roman" w:cs="Times New Roman"/>
        </w:rPr>
        <w:t xml:space="preserve"> K</w:t>
      </w:r>
      <w:r w:rsidR="00141CFF" w:rsidRPr="0069274C">
        <w:rPr>
          <w:rFonts w:ascii="Times New Roman" w:eastAsia="標楷體" w:hAnsi="Times New Roman" w:cs="Times New Roman"/>
        </w:rPr>
        <w:t xml:space="preserve"> or the Deposited Property; it acted as the custodian of </w:t>
      </w:r>
      <w:r w:rsidR="00F563C0" w:rsidRPr="0069274C">
        <w:rPr>
          <w:rFonts w:ascii="Times New Roman" w:eastAsia="標楷體" w:hAnsi="Times New Roman" w:cs="Times New Roman"/>
        </w:rPr>
        <w:t>REIT</w:t>
      </w:r>
      <w:r w:rsidR="00F563C0">
        <w:rPr>
          <w:rFonts w:ascii="Times New Roman" w:eastAsia="標楷體" w:hAnsi="Times New Roman" w:cs="Times New Roman"/>
        </w:rPr>
        <w:t xml:space="preserve"> K</w:t>
      </w:r>
      <w:r w:rsidR="00141CFF" w:rsidRPr="0069274C">
        <w:rPr>
          <w:rFonts w:ascii="Times New Roman" w:eastAsia="標楷體" w:hAnsi="Times New Roman" w:cs="Times New Roman"/>
        </w:rPr>
        <w:t>. The Manager’s services rendered directly and specifically for the benefit of the Taxpayer were not and had never been rendered to or for the benefit of the Trustee. The Trustee had no obligation, whether under the Trust Deed or otherwise, to pay the Manager for those services rendered directly to, and for the benefit of, the Taxpayer.</w:t>
      </w:r>
      <w:r w:rsidRPr="0069274C">
        <w:rPr>
          <w:rFonts w:ascii="Times New Roman" w:eastAsia="標楷體" w:hAnsi="Times New Roman" w:cs="Times New Roman"/>
        </w:rPr>
        <w:t xml:space="preserve"> </w:t>
      </w:r>
      <w:r w:rsidR="004C0B5A" w:rsidRPr="0069274C">
        <w:rPr>
          <w:rFonts w:ascii="Times New Roman" w:eastAsia="標楷體" w:hAnsi="Times New Roman" w:cs="Times New Roman"/>
        </w:rPr>
        <w:t>Although</w:t>
      </w:r>
      <w:r w:rsidR="00141CFF" w:rsidRPr="0069274C">
        <w:rPr>
          <w:rFonts w:ascii="Times New Roman" w:eastAsia="標楷體" w:hAnsi="Times New Roman" w:cs="Times New Roman"/>
        </w:rPr>
        <w:t xml:space="preserve"> the Trustee as trustee of </w:t>
      </w:r>
      <w:r w:rsidR="006A5FFF" w:rsidRPr="0069274C">
        <w:rPr>
          <w:rFonts w:ascii="Times New Roman" w:eastAsia="標楷體" w:hAnsi="Times New Roman" w:cs="Times New Roman"/>
        </w:rPr>
        <w:t>REIT</w:t>
      </w:r>
      <w:r w:rsidR="006A5FFF">
        <w:rPr>
          <w:rFonts w:ascii="Times New Roman" w:eastAsia="標楷體" w:hAnsi="Times New Roman" w:cs="Times New Roman"/>
        </w:rPr>
        <w:t xml:space="preserve"> K</w:t>
      </w:r>
      <w:r w:rsidR="00141CFF" w:rsidRPr="0069274C">
        <w:rPr>
          <w:rFonts w:ascii="Times New Roman" w:eastAsia="標楷體" w:hAnsi="Times New Roman" w:cs="Times New Roman"/>
        </w:rPr>
        <w:t xml:space="preserve"> facilitated the payment to the Manager, this did not mean that it paid the Manager for the services the Manager rendered to the SPV and its properties on the Trustee’s own account. Instead, all payments from the Trust Account and units issued to the Manager were made by the Trustee as trustee of </w:t>
      </w:r>
      <w:r w:rsidR="006A5FFF" w:rsidRPr="0069274C">
        <w:rPr>
          <w:rFonts w:ascii="Times New Roman" w:eastAsia="標楷體" w:hAnsi="Times New Roman" w:cs="Times New Roman"/>
        </w:rPr>
        <w:t>REIT</w:t>
      </w:r>
      <w:r w:rsidR="006A5FFF">
        <w:rPr>
          <w:rFonts w:ascii="Times New Roman" w:eastAsia="標楷體" w:hAnsi="Times New Roman" w:cs="Times New Roman"/>
        </w:rPr>
        <w:t xml:space="preserve"> K</w:t>
      </w:r>
      <w:r w:rsidR="00141CFF" w:rsidRPr="0069274C">
        <w:rPr>
          <w:rFonts w:ascii="Times New Roman" w:eastAsia="標楷體" w:hAnsi="Times New Roman" w:cs="Times New Roman"/>
        </w:rPr>
        <w:t xml:space="preserve">, and on behalf of </w:t>
      </w:r>
      <w:r w:rsidR="006A5FFF" w:rsidRPr="0069274C">
        <w:rPr>
          <w:rFonts w:ascii="Times New Roman" w:eastAsia="標楷體" w:hAnsi="Times New Roman" w:cs="Times New Roman"/>
        </w:rPr>
        <w:t>REIT</w:t>
      </w:r>
      <w:r w:rsidR="006A5FFF">
        <w:rPr>
          <w:rFonts w:ascii="Times New Roman" w:eastAsia="標楷體" w:hAnsi="Times New Roman" w:cs="Times New Roman"/>
        </w:rPr>
        <w:t xml:space="preserve"> K</w:t>
      </w:r>
      <w:r w:rsidR="00141CFF" w:rsidRPr="0069274C">
        <w:rPr>
          <w:rFonts w:ascii="Times New Roman" w:eastAsia="標楷體" w:hAnsi="Times New Roman" w:cs="Times New Roman"/>
        </w:rPr>
        <w:t xml:space="preserve"> and the SPVs. The funds for settlement of the Taxpayer’s share of the Manager’s Fees came from the Taxpayer via </w:t>
      </w:r>
      <w:r w:rsidR="006A5FFF">
        <w:rPr>
          <w:rFonts w:ascii="Times New Roman" w:eastAsia="標楷體" w:hAnsi="Times New Roman" w:cs="Times New Roman"/>
        </w:rPr>
        <w:t>Company N</w:t>
      </w:r>
      <w:r w:rsidR="00141CFF" w:rsidRPr="0069274C">
        <w:rPr>
          <w:rFonts w:ascii="Times New Roman" w:eastAsia="標楷體" w:hAnsi="Times New Roman" w:cs="Times New Roman"/>
        </w:rPr>
        <w:t xml:space="preserve"> out of its own revenues, and not by way of distribution of dividends or loan. </w:t>
      </w:r>
    </w:p>
    <w:p w:rsidR="00141CFF" w:rsidRPr="0069274C" w:rsidRDefault="00141CFF" w:rsidP="00156E21">
      <w:pPr>
        <w:overflowPunct w:val="0"/>
        <w:autoSpaceDE w:val="0"/>
        <w:autoSpaceDN w:val="0"/>
        <w:jc w:val="both"/>
        <w:rPr>
          <w:rFonts w:ascii="Times New Roman" w:eastAsia="標楷體" w:hAnsi="Times New Roman" w:cs="Times New Roman"/>
        </w:rPr>
      </w:pPr>
    </w:p>
    <w:p w:rsidR="00141CFF" w:rsidRPr="0069274C" w:rsidRDefault="00141CFF"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Mr </w:t>
      </w:r>
      <w:r w:rsidR="006A5FFF">
        <w:rPr>
          <w:rFonts w:ascii="Times New Roman" w:eastAsia="標楷體" w:hAnsi="Times New Roman" w:cs="Times New Roman"/>
        </w:rPr>
        <w:t>R</w:t>
      </w:r>
      <w:r w:rsidRPr="0069274C">
        <w:rPr>
          <w:rFonts w:ascii="Times New Roman" w:eastAsia="標楷體" w:hAnsi="Times New Roman" w:cs="Times New Roman"/>
        </w:rPr>
        <w:t xml:space="preserve"> stated the Taxpayer’s stance: The Manager’s Fees were incurred by the Taxpayer in the production of its chargeable profits and therefore deductible for Profits Tax purposes. The Taxpayer understood and intended that, when receiving the services, it had to and would pay for them. </w:t>
      </w:r>
    </w:p>
    <w:p w:rsidR="00A211AD" w:rsidRPr="0069274C" w:rsidRDefault="00A211AD" w:rsidP="00156E21">
      <w:pPr>
        <w:overflowPunct w:val="0"/>
        <w:autoSpaceDE w:val="0"/>
        <w:autoSpaceDN w:val="0"/>
        <w:jc w:val="both"/>
        <w:rPr>
          <w:rFonts w:ascii="Times New Roman" w:eastAsia="標楷體" w:hAnsi="Times New Roman" w:cs="Times New Roman"/>
        </w:rPr>
      </w:pPr>
    </w:p>
    <w:p w:rsidR="00A211AD" w:rsidRPr="0069274C" w:rsidRDefault="00A211AD"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Mr </w:t>
      </w:r>
      <w:r w:rsidR="006A5FFF">
        <w:rPr>
          <w:rFonts w:ascii="Times New Roman" w:eastAsia="標楷體" w:hAnsi="Times New Roman" w:cs="Times New Roman"/>
        </w:rPr>
        <w:t>R</w:t>
      </w:r>
      <w:r w:rsidRPr="0069274C">
        <w:rPr>
          <w:rFonts w:ascii="Times New Roman" w:eastAsia="標楷體" w:hAnsi="Times New Roman" w:cs="Times New Roman"/>
        </w:rPr>
        <w:t xml:space="preserve"> explained that in the first year of the years of assessment in question, namely 21 December 2006 to 30 June 2007, there was no Base Fee being charged to individual property companies including the Taxpayer. Later, in the first quarter of 2008, a manpower allocation was conducted</w:t>
      </w:r>
      <w:r w:rsidR="00C21471" w:rsidRPr="0069274C">
        <w:rPr>
          <w:rFonts w:ascii="Times New Roman" w:eastAsia="標楷體" w:hAnsi="Times New Roman" w:cs="Times New Roman"/>
        </w:rPr>
        <w:t xml:space="preserve"> to ascertain the allocation between the kinds of responsibilities of the Manager (namely those related to </w:t>
      </w:r>
      <w:r w:rsidR="006A5FFF" w:rsidRPr="0069274C">
        <w:rPr>
          <w:rFonts w:ascii="Times New Roman" w:eastAsia="標楷體" w:hAnsi="Times New Roman" w:cs="Times New Roman"/>
        </w:rPr>
        <w:t>REIT</w:t>
      </w:r>
      <w:r w:rsidR="006A5FFF">
        <w:rPr>
          <w:rFonts w:ascii="Times New Roman" w:eastAsia="標楷體" w:hAnsi="Times New Roman" w:cs="Times New Roman"/>
        </w:rPr>
        <w:t xml:space="preserve"> K</w:t>
      </w:r>
      <w:r w:rsidR="00C21471" w:rsidRPr="0069274C">
        <w:rPr>
          <w:rFonts w:ascii="Times New Roman" w:eastAsia="標楷體" w:hAnsi="Times New Roman" w:cs="Times New Roman"/>
        </w:rPr>
        <w:t xml:space="preserve"> and those related to activities and operations to services rendered to the property companies)</w:t>
      </w:r>
      <w:r w:rsidRPr="0069274C">
        <w:rPr>
          <w:rFonts w:ascii="Times New Roman" w:eastAsia="標楷體" w:hAnsi="Times New Roman" w:cs="Times New Roman"/>
        </w:rPr>
        <w:t xml:space="preserve">, which led to the adjustment splitting the Base Fee into 1/3 charged to </w:t>
      </w:r>
      <w:r w:rsidR="006A5FFF" w:rsidRPr="0069274C">
        <w:rPr>
          <w:rFonts w:ascii="Times New Roman" w:eastAsia="標楷體" w:hAnsi="Times New Roman" w:cs="Times New Roman"/>
        </w:rPr>
        <w:t>REIT</w:t>
      </w:r>
      <w:r w:rsidR="006A5FFF">
        <w:rPr>
          <w:rFonts w:ascii="Times New Roman" w:eastAsia="標楷體" w:hAnsi="Times New Roman" w:cs="Times New Roman"/>
        </w:rPr>
        <w:t xml:space="preserve"> K</w:t>
      </w:r>
      <w:r w:rsidRPr="0069274C">
        <w:rPr>
          <w:rFonts w:ascii="Times New Roman" w:eastAsia="標楷體" w:hAnsi="Times New Roman" w:cs="Times New Roman"/>
        </w:rPr>
        <w:t xml:space="preserve"> direct and 2/3 charged to individual property companies including the Taxpayer. The audited financial statements for the year ended 30 June 2008 thus had an item of reimbursement of the Manager’s Fee to </w:t>
      </w:r>
      <w:r w:rsidR="006A5FFF" w:rsidRPr="0069274C">
        <w:rPr>
          <w:rFonts w:ascii="Times New Roman" w:eastAsia="標楷體" w:hAnsi="Times New Roman" w:cs="Times New Roman"/>
        </w:rPr>
        <w:t>REIT</w:t>
      </w:r>
      <w:r w:rsidR="006A5FFF">
        <w:rPr>
          <w:rFonts w:ascii="Times New Roman" w:eastAsia="標楷體" w:hAnsi="Times New Roman" w:cs="Times New Roman"/>
        </w:rPr>
        <w:t xml:space="preserve"> K</w:t>
      </w:r>
      <w:r w:rsidRPr="0069274C">
        <w:rPr>
          <w:rFonts w:ascii="Times New Roman" w:eastAsia="標楷體" w:hAnsi="Times New Roman" w:cs="Times New Roman"/>
        </w:rPr>
        <w:t xml:space="preserve"> representing the Base Fee that was not charged in the previous financial year. </w:t>
      </w:r>
      <w:r w:rsidR="00C21471" w:rsidRPr="0069274C">
        <w:rPr>
          <w:rFonts w:ascii="Times New Roman" w:eastAsia="標楷體" w:hAnsi="Times New Roman" w:cs="Times New Roman"/>
        </w:rPr>
        <w:t xml:space="preserve">Mr </w:t>
      </w:r>
      <w:r w:rsidR="006A5FFF">
        <w:rPr>
          <w:rFonts w:ascii="Times New Roman" w:eastAsia="標楷體" w:hAnsi="Times New Roman" w:cs="Times New Roman"/>
        </w:rPr>
        <w:t>R</w:t>
      </w:r>
      <w:r w:rsidR="00C21471" w:rsidRPr="0069274C">
        <w:rPr>
          <w:rFonts w:ascii="Times New Roman" w:eastAsia="標楷體" w:hAnsi="Times New Roman" w:cs="Times New Roman"/>
        </w:rPr>
        <w:t xml:space="preserve"> also produced a set of manpower allocation sheets </w:t>
      </w:r>
      <w:r w:rsidR="007C1807" w:rsidRPr="0069274C">
        <w:rPr>
          <w:rFonts w:ascii="Times New Roman" w:eastAsia="標楷體" w:hAnsi="Times New Roman" w:cs="Times New Roman"/>
        </w:rPr>
        <w:t xml:space="preserve">created in 2013 to study the manpower allocation between REIT and property and this led to the decision that the one-third/two-thirds split of manpower allocation was fair and reasonable. </w:t>
      </w:r>
    </w:p>
    <w:p w:rsidR="00D164B0" w:rsidRPr="0069274C" w:rsidRDefault="00D164B0" w:rsidP="00156E21">
      <w:pPr>
        <w:overflowPunct w:val="0"/>
        <w:autoSpaceDE w:val="0"/>
        <w:autoSpaceDN w:val="0"/>
        <w:jc w:val="both"/>
        <w:rPr>
          <w:rFonts w:ascii="Times New Roman" w:eastAsia="標楷體" w:hAnsi="Times New Roman" w:cs="Times New Roman"/>
        </w:rPr>
      </w:pPr>
    </w:p>
    <w:p w:rsidR="00D164B0" w:rsidRPr="0069274C" w:rsidRDefault="00D164B0"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Mr </w:t>
      </w:r>
      <w:r w:rsidR="006A5FFF">
        <w:rPr>
          <w:rFonts w:ascii="Times New Roman" w:eastAsia="標楷體" w:hAnsi="Times New Roman" w:cs="Times New Roman"/>
        </w:rPr>
        <w:t>R</w:t>
      </w:r>
      <w:r w:rsidRPr="0069274C">
        <w:rPr>
          <w:rFonts w:ascii="Times New Roman" w:eastAsia="標楷體" w:hAnsi="Times New Roman" w:cs="Times New Roman"/>
        </w:rPr>
        <w:t xml:space="preserve"> was not cross-examined. </w:t>
      </w:r>
    </w:p>
    <w:p w:rsidR="000F0C91" w:rsidRPr="0069274C" w:rsidRDefault="000F0C91" w:rsidP="00156E21">
      <w:pPr>
        <w:overflowPunct w:val="0"/>
        <w:autoSpaceDE w:val="0"/>
        <w:autoSpaceDN w:val="0"/>
        <w:jc w:val="both"/>
        <w:rPr>
          <w:rFonts w:ascii="Times New Roman" w:eastAsia="標楷體" w:hAnsi="Times New Roman" w:cs="Times New Roman"/>
        </w:rPr>
      </w:pPr>
    </w:p>
    <w:p w:rsidR="00196A6C" w:rsidRPr="006A5FFF" w:rsidRDefault="00196A6C" w:rsidP="00156E21">
      <w:pPr>
        <w:overflowPunct w:val="0"/>
        <w:autoSpaceDE w:val="0"/>
        <w:autoSpaceDN w:val="0"/>
        <w:jc w:val="both"/>
        <w:rPr>
          <w:rFonts w:ascii="Times New Roman" w:eastAsia="標楷體" w:hAnsi="Times New Roman" w:cs="Times New Roman"/>
          <w:b/>
        </w:rPr>
      </w:pPr>
      <w:r w:rsidRPr="006A5FFF">
        <w:rPr>
          <w:rFonts w:ascii="Times New Roman" w:eastAsia="標楷體" w:hAnsi="Times New Roman" w:cs="Times New Roman"/>
          <w:b/>
        </w:rPr>
        <w:t xml:space="preserve">The </w:t>
      </w:r>
      <w:r w:rsidR="008B138D" w:rsidRPr="006A5FFF">
        <w:rPr>
          <w:rFonts w:ascii="Times New Roman" w:eastAsia="標楷體" w:hAnsi="Times New Roman" w:cs="Times New Roman"/>
          <w:b/>
        </w:rPr>
        <w:t>Relevant Provisions</w:t>
      </w:r>
      <w:r w:rsidR="00502AC2" w:rsidRPr="006A5FFF">
        <w:rPr>
          <w:rFonts w:ascii="Times New Roman" w:eastAsia="標楷體" w:hAnsi="Times New Roman" w:cs="Times New Roman"/>
          <w:b/>
        </w:rPr>
        <w:t xml:space="preserve"> of the IRO</w:t>
      </w:r>
    </w:p>
    <w:p w:rsidR="00196A6C" w:rsidRPr="0069274C" w:rsidRDefault="00196A6C" w:rsidP="00156E21">
      <w:pPr>
        <w:overflowPunct w:val="0"/>
        <w:autoSpaceDE w:val="0"/>
        <w:autoSpaceDN w:val="0"/>
        <w:jc w:val="both"/>
        <w:rPr>
          <w:rFonts w:ascii="Times New Roman" w:eastAsia="標楷體" w:hAnsi="Times New Roman" w:cs="Times New Roman"/>
        </w:rPr>
      </w:pPr>
    </w:p>
    <w:p w:rsidR="00FE2D1C" w:rsidRPr="0069274C" w:rsidRDefault="00FE2D1C"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Section </w:t>
      </w:r>
      <w:r w:rsidR="00097ACF" w:rsidRPr="0069274C">
        <w:rPr>
          <w:rFonts w:ascii="Times New Roman" w:eastAsia="標楷體" w:hAnsi="Times New Roman" w:cs="Times New Roman"/>
        </w:rPr>
        <w:t>16</w:t>
      </w:r>
      <w:r w:rsidRPr="0069274C">
        <w:rPr>
          <w:rFonts w:ascii="Times New Roman" w:eastAsia="標楷體" w:hAnsi="Times New Roman" w:cs="Times New Roman"/>
        </w:rPr>
        <w:t>(1) of the</w:t>
      </w:r>
      <w:r w:rsidR="00E65A91">
        <w:rPr>
          <w:rFonts w:ascii="Times New Roman" w:eastAsia="標楷體" w:hAnsi="Times New Roman" w:cs="Times New Roman"/>
        </w:rPr>
        <w:t xml:space="preserve"> IRO</w:t>
      </w:r>
      <w:r w:rsidRPr="0069274C">
        <w:rPr>
          <w:rFonts w:ascii="Times New Roman" w:eastAsia="標楷體" w:hAnsi="Times New Roman" w:cs="Times New Roman"/>
        </w:rPr>
        <w:t xml:space="preserve"> provides that: </w:t>
      </w:r>
    </w:p>
    <w:p w:rsidR="00FE2D1C" w:rsidRPr="0069274C" w:rsidRDefault="00FE2D1C" w:rsidP="00156E21">
      <w:pPr>
        <w:overflowPunct w:val="0"/>
        <w:autoSpaceDE w:val="0"/>
        <w:autoSpaceDN w:val="0"/>
        <w:jc w:val="both"/>
        <w:rPr>
          <w:rFonts w:ascii="Times New Roman" w:eastAsia="標楷體" w:hAnsi="Times New Roman" w:cs="Times New Roman"/>
        </w:rPr>
      </w:pPr>
    </w:p>
    <w:p w:rsidR="00FE2D1C" w:rsidRPr="006A5FFF" w:rsidRDefault="006A5FFF"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i/>
        </w:rPr>
      </w:pPr>
      <w:r>
        <w:rPr>
          <w:rFonts w:ascii="Times New Roman" w:eastAsia="標楷體" w:hAnsi="Times New Roman" w:cs="Times New Roman"/>
        </w:rPr>
        <w:t>‘</w:t>
      </w:r>
      <w:r w:rsidR="00FE2D1C" w:rsidRPr="006A5FFF">
        <w:rPr>
          <w:rFonts w:ascii="Times New Roman" w:eastAsia="標楷體" w:hAnsi="Times New Roman" w:cs="Times New Roman"/>
          <w:i/>
        </w:rPr>
        <w:t>(1)</w:t>
      </w:r>
      <w:r w:rsidR="00064D95" w:rsidRPr="006A5FFF">
        <w:rPr>
          <w:rFonts w:ascii="Times New Roman" w:eastAsia="標楷體" w:hAnsi="Times New Roman" w:cs="Times New Roman"/>
          <w:i/>
        </w:rPr>
        <w:tab/>
      </w:r>
      <w:r w:rsidR="00502AC2" w:rsidRPr="006A5FFF">
        <w:rPr>
          <w:rFonts w:ascii="Times New Roman" w:eastAsia="標楷體" w:hAnsi="Times New Roman" w:cs="Times New Roman"/>
          <w:i/>
        </w:rPr>
        <w:t xml:space="preserve">In ascertaining the profits in respect of which a person is chargeable to tax under this Part for any year of assessment there shall be deducted all outgoings and expenses to the extent to which they are incurred during the basis period for that year of assessment by such person in the production of profits in respect of which he is chargeable to tax under this Part for any period, including - </w:t>
      </w:r>
      <w:r w:rsidR="00FE2D1C" w:rsidRPr="006A5FFF">
        <w:rPr>
          <w:rFonts w:ascii="Times New Roman" w:eastAsia="標楷體" w:hAnsi="Times New Roman" w:cs="Times New Roman"/>
          <w:i/>
        </w:rPr>
        <w:t xml:space="preserve"> </w:t>
      </w:r>
    </w:p>
    <w:p w:rsidR="00064D95" w:rsidRPr="006A5FFF" w:rsidRDefault="00064D95" w:rsidP="00156E21">
      <w:pPr>
        <w:overflowPunct w:val="0"/>
        <w:autoSpaceDE w:val="0"/>
        <w:autoSpaceDN w:val="0"/>
        <w:ind w:left="1080"/>
        <w:jc w:val="both"/>
        <w:rPr>
          <w:rFonts w:ascii="Times New Roman" w:eastAsia="標楷體" w:hAnsi="Times New Roman" w:cs="Times New Roman"/>
          <w:i/>
        </w:rPr>
      </w:pPr>
    </w:p>
    <w:p w:rsidR="00FE2D1C" w:rsidRPr="0069274C" w:rsidRDefault="00FE2D1C" w:rsidP="00156E21">
      <w:pPr>
        <w:tabs>
          <w:tab w:val="left" w:pos="2683"/>
        </w:tabs>
        <w:overflowPunct w:val="0"/>
        <w:autoSpaceDE w:val="0"/>
        <w:autoSpaceDN w:val="0"/>
        <w:ind w:leftChars="878" w:left="2683" w:hangingChars="240" w:hanging="576"/>
        <w:jc w:val="both"/>
        <w:rPr>
          <w:rFonts w:ascii="Times New Roman" w:eastAsia="標楷體" w:hAnsi="Times New Roman" w:cs="Times New Roman"/>
        </w:rPr>
      </w:pPr>
      <w:r w:rsidRPr="006A5FFF">
        <w:rPr>
          <w:rFonts w:ascii="Times New Roman" w:eastAsia="標楷體" w:hAnsi="Times New Roman" w:cs="Times New Roman"/>
          <w:i/>
        </w:rPr>
        <w:t>(a)</w:t>
      </w:r>
      <w:r w:rsidR="00064D95" w:rsidRPr="006A5FFF">
        <w:rPr>
          <w:rFonts w:ascii="Times New Roman" w:eastAsia="標楷體" w:hAnsi="Times New Roman" w:cs="Times New Roman"/>
          <w:i/>
        </w:rPr>
        <w:tab/>
      </w:r>
      <w:r w:rsidRPr="006A5FFF">
        <w:rPr>
          <w:rFonts w:ascii="Times New Roman" w:eastAsia="標楷體" w:hAnsi="Times New Roman" w:cs="Times New Roman"/>
          <w:i/>
        </w:rPr>
        <w:t>…</w:t>
      </w:r>
      <w:r w:rsidR="006A5FFF">
        <w:rPr>
          <w:rFonts w:ascii="Times New Roman" w:eastAsia="標楷體" w:hAnsi="Times New Roman" w:cs="Times New Roman"/>
        </w:rPr>
        <w:t>’</w:t>
      </w:r>
      <w:r w:rsidRPr="0069274C">
        <w:rPr>
          <w:rFonts w:ascii="Times New Roman" w:eastAsia="標楷體" w:hAnsi="Times New Roman" w:cs="Times New Roman"/>
        </w:rPr>
        <w:t>.</w:t>
      </w:r>
    </w:p>
    <w:p w:rsidR="00FE2D1C" w:rsidRPr="0069274C" w:rsidRDefault="00FE2D1C" w:rsidP="00156E21">
      <w:pPr>
        <w:overflowPunct w:val="0"/>
        <w:autoSpaceDE w:val="0"/>
        <w:autoSpaceDN w:val="0"/>
        <w:ind w:left="1080"/>
        <w:jc w:val="both"/>
        <w:rPr>
          <w:rFonts w:ascii="Times New Roman" w:eastAsia="標楷體" w:hAnsi="Times New Roman" w:cs="Times New Roman"/>
        </w:rPr>
      </w:pPr>
    </w:p>
    <w:p w:rsidR="00FE2D1C" w:rsidRPr="0069274C" w:rsidRDefault="00FE2D1C"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 xml:space="preserve">Relevantly, section </w:t>
      </w:r>
      <w:r w:rsidR="00502AC2" w:rsidRPr="0069274C">
        <w:rPr>
          <w:rFonts w:ascii="Times New Roman" w:eastAsia="標楷體" w:hAnsi="Times New Roman" w:cs="Times New Roman"/>
        </w:rPr>
        <w:t>17</w:t>
      </w:r>
      <w:r w:rsidRPr="0069274C">
        <w:rPr>
          <w:rFonts w:ascii="Times New Roman" w:eastAsia="標楷體" w:hAnsi="Times New Roman" w:cs="Times New Roman"/>
        </w:rPr>
        <w:t>(1)(</w:t>
      </w:r>
      <w:r w:rsidR="00502AC2" w:rsidRPr="0069274C">
        <w:rPr>
          <w:rFonts w:ascii="Times New Roman" w:eastAsia="標楷體" w:hAnsi="Times New Roman" w:cs="Times New Roman"/>
        </w:rPr>
        <w:t>b</w:t>
      </w:r>
      <w:r w:rsidRPr="0069274C">
        <w:rPr>
          <w:rFonts w:ascii="Times New Roman" w:eastAsia="標楷體" w:hAnsi="Times New Roman" w:cs="Times New Roman"/>
        </w:rPr>
        <w:t xml:space="preserve">) </w:t>
      </w:r>
      <w:r w:rsidR="00502AC2" w:rsidRPr="0069274C">
        <w:rPr>
          <w:rFonts w:ascii="Times New Roman" w:eastAsia="標楷體" w:hAnsi="Times New Roman" w:cs="Times New Roman"/>
        </w:rPr>
        <w:t>provides</w:t>
      </w:r>
      <w:r w:rsidRPr="0069274C">
        <w:rPr>
          <w:rFonts w:ascii="Times New Roman" w:eastAsia="標楷體" w:hAnsi="Times New Roman" w:cs="Times New Roman"/>
        </w:rPr>
        <w:t xml:space="preserve"> that: </w:t>
      </w:r>
    </w:p>
    <w:p w:rsidR="00FE2D1C" w:rsidRPr="0069274C" w:rsidRDefault="00FE2D1C" w:rsidP="00156E21">
      <w:pPr>
        <w:overflowPunct w:val="0"/>
        <w:autoSpaceDE w:val="0"/>
        <w:autoSpaceDN w:val="0"/>
        <w:ind w:left="1080"/>
        <w:jc w:val="both"/>
        <w:rPr>
          <w:rFonts w:ascii="Times New Roman" w:eastAsia="標楷體" w:hAnsi="Times New Roman" w:cs="Times New Roman"/>
        </w:rPr>
      </w:pPr>
    </w:p>
    <w:p w:rsidR="00502AC2" w:rsidRPr="006A5FFF" w:rsidRDefault="006A5FFF"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i/>
        </w:rPr>
      </w:pPr>
      <w:r>
        <w:rPr>
          <w:rFonts w:ascii="Times New Roman" w:eastAsia="標楷體" w:hAnsi="Times New Roman" w:cs="Times New Roman"/>
        </w:rPr>
        <w:t>‘</w:t>
      </w:r>
      <w:r w:rsidR="00FE2D1C" w:rsidRPr="006A5FFF">
        <w:rPr>
          <w:rFonts w:ascii="Times New Roman" w:eastAsia="標楷體" w:hAnsi="Times New Roman" w:cs="Times New Roman"/>
          <w:i/>
        </w:rPr>
        <w:t>(1)</w:t>
      </w:r>
      <w:r w:rsidR="00064D95" w:rsidRPr="006A5FFF">
        <w:rPr>
          <w:rFonts w:ascii="Times New Roman" w:eastAsia="標楷體" w:hAnsi="Times New Roman" w:cs="Times New Roman"/>
          <w:i/>
        </w:rPr>
        <w:tab/>
      </w:r>
      <w:r w:rsidR="00502AC2" w:rsidRPr="006A5FFF">
        <w:rPr>
          <w:rFonts w:ascii="Times New Roman" w:eastAsia="標楷體" w:hAnsi="Times New Roman" w:cs="Times New Roman"/>
          <w:i/>
        </w:rPr>
        <w:t xml:space="preserve">For the purpose of ascertaining profits in respect of which a person is chargeable to tax under this Part no deduction shall be allowed in respect of - </w:t>
      </w:r>
      <w:r w:rsidR="00FE2D1C" w:rsidRPr="006A5FFF">
        <w:rPr>
          <w:rFonts w:ascii="Times New Roman" w:eastAsia="標楷體" w:hAnsi="Times New Roman" w:cs="Times New Roman"/>
          <w:i/>
        </w:rPr>
        <w:t xml:space="preserve"> </w:t>
      </w:r>
    </w:p>
    <w:p w:rsidR="00502AC2" w:rsidRPr="006A5FFF" w:rsidRDefault="00502AC2" w:rsidP="00156E21">
      <w:pPr>
        <w:overflowPunct w:val="0"/>
        <w:autoSpaceDE w:val="0"/>
        <w:autoSpaceDN w:val="0"/>
        <w:ind w:left="1080"/>
        <w:jc w:val="both"/>
        <w:rPr>
          <w:rFonts w:ascii="Times New Roman" w:eastAsia="標楷體" w:hAnsi="Times New Roman" w:cs="Times New Roman"/>
          <w:i/>
        </w:rPr>
      </w:pPr>
    </w:p>
    <w:p w:rsidR="00502AC2" w:rsidRPr="006A5FFF" w:rsidRDefault="00502AC2" w:rsidP="00156E21">
      <w:pPr>
        <w:pStyle w:val="a3"/>
        <w:numPr>
          <w:ilvl w:val="0"/>
          <w:numId w:val="22"/>
        </w:numPr>
        <w:tabs>
          <w:tab w:val="left" w:pos="2683"/>
        </w:tabs>
        <w:overflowPunct w:val="0"/>
        <w:autoSpaceDE w:val="0"/>
        <w:autoSpaceDN w:val="0"/>
        <w:ind w:leftChars="878" w:left="2683" w:hangingChars="240" w:hanging="576"/>
        <w:jc w:val="both"/>
        <w:rPr>
          <w:rFonts w:ascii="Times New Roman" w:eastAsia="標楷體" w:hAnsi="Times New Roman" w:cs="Times New Roman"/>
          <w:i/>
        </w:rPr>
      </w:pPr>
      <w:r w:rsidRPr="006A5FFF">
        <w:rPr>
          <w:rFonts w:ascii="Times New Roman" w:eastAsia="標楷體" w:hAnsi="Times New Roman" w:cs="Times New Roman"/>
          <w:i/>
        </w:rPr>
        <w:t>…</w:t>
      </w:r>
    </w:p>
    <w:p w:rsidR="00064D95" w:rsidRPr="006A5FFF" w:rsidRDefault="00064D95" w:rsidP="00156E21">
      <w:pPr>
        <w:pStyle w:val="a3"/>
        <w:tabs>
          <w:tab w:val="left" w:pos="2683"/>
        </w:tabs>
        <w:overflowPunct w:val="0"/>
        <w:autoSpaceDE w:val="0"/>
        <w:autoSpaceDN w:val="0"/>
        <w:ind w:leftChars="878" w:left="2683" w:hangingChars="240" w:hanging="576"/>
        <w:jc w:val="both"/>
        <w:rPr>
          <w:rFonts w:ascii="Times New Roman" w:eastAsia="標楷體" w:hAnsi="Times New Roman" w:cs="Times New Roman"/>
          <w:i/>
        </w:rPr>
      </w:pPr>
    </w:p>
    <w:p w:rsidR="00502AC2" w:rsidRPr="006A5FFF" w:rsidRDefault="00502AC2" w:rsidP="00156E21">
      <w:pPr>
        <w:pStyle w:val="a3"/>
        <w:numPr>
          <w:ilvl w:val="0"/>
          <w:numId w:val="22"/>
        </w:numPr>
        <w:tabs>
          <w:tab w:val="left" w:pos="2683"/>
        </w:tabs>
        <w:overflowPunct w:val="0"/>
        <w:autoSpaceDE w:val="0"/>
        <w:autoSpaceDN w:val="0"/>
        <w:ind w:leftChars="878" w:left="2683" w:hangingChars="240" w:hanging="576"/>
        <w:jc w:val="both"/>
        <w:rPr>
          <w:rFonts w:ascii="Times New Roman" w:eastAsia="標楷體" w:hAnsi="Times New Roman" w:cs="Times New Roman"/>
          <w:i/>
        </w:rPr>
      </w:pPr>
      <w:r w:rsidRPr="006A5FFF">
        <w:rPr>
          <w:rFonts w:ascii="Times New Roman" w:eastAsia="標楷體" w:hAnsi="Times New Roman" w:cs="Times New Roman"/>
          <w:i/>
        </w:rPr>
        <w:t xml:space="preserve">subject to section 16AA, any disbursements or expenses not being money expended for the purpose of producing such profits </w:t>
      </w:r>
    </w:p>
    <w:p w:rsidR="00064D95" w:rsidRPr="006A5FFF" w:rsidRDefault="00064D95" w:rsidP="00156E21">
      <w:pPr>
        <w:pStyle w:val="a3"/>
        <w:tabs>
          <w:tab w:val="left" w:pos="2683"/>
        </w:tabs>
        <w:overflowPunct w:val="0"/>
        <w:autoSpaceDE w:val="0"/>
        <w:autoSpaceDN w:val="0"/>
        <w:ind w:leftChars="878" w:left="2683" w:hangingChars="240" w:hanging="576"/>
        <w:jc w:val="both"/>
        <w:rPr>
          <w:rFonts w:ascii="Times New Roman" w:eastAsia="標楷體" w:hAnsi="Times New Roman" w:cs="Times New Roman"/>
          <w:i/>
        </w:rPr>
      </w:pPr>
    </w:p>
    <w:p w:rsidR="00E06261" w:rsidRPr="0069274C" w:rsidRDefault="00FE2D1C" w:rsidP="00156E21">
      <w:pPr>
        <w:pStyle w:val="a3"/>
        <w:overflowPunct w:val="0"/>
        <w:autoSpaceDE w:val="0"/>
        <w:autoSpaceDN w:val="0"/>
        <w:ind w:leftChars="1118" w:left="2683"/>
        <w:jc w:val="both"/>
        <w:rPr>
          <w:rFonts w:ascii="Times New Roman" w:eastAsia="標楷體" w:hAnsi="Times New Roman" w:cs="Times New Roman"/>
        </w:rPr>
      </w:pPr>
      <w:r w:rsidRPr="006A5FFF">
        <w:rPr>
          <w:rFonts w:ascii="Times New Roman" w:eastAsia="標楷體" w:hAnsi="Times New Roman" w:cs="Times New Roman"/>
          <w:i/>
        </w:rPr>
        <w:t>…</w:t>
      </w:r>
      <w:r w:rsidR="006A5FFF">
        <w:rPr>
          <w:rFonts w:ascii="Times New Roman" w:eastAsia="標楷體" w:hAnsi="Times New Roman" w:cs="Times New Roman"/>
        </w:rPr>
        <w:t>’</w:t>
      </w:r>
      <w:r w:rsidRPr="0069274C">
        <w:rPr>
          <w:rFonts w:ascii="Times New Roman" w:eastAsia="標楷體" w:hAnsi="Times New Roman" w:cs="Times New Roman"/>
        </w:rPr>
        <w:t xml:space="preserve">.  </w:t>
      </w:r>
    </w:p>
    <w:p w:rsidR="00196A6C" w:rsidRPr="0069274C" w:rsidRDefault="00196A6C" w:rsidP="00156E21">
      <w:pPr>
        <w:pStyle w:val="a3"/>
        <w:overflowPunct w:val="0"/>
        <w:autoSpaceDE w:val="0"/>
        <w:autoSpaceDN w:val="0"/>
        <w:ind w:left="1080"/>
        <w:jc w:val="both"/>
        <w:rPr>
          <w:rFonts w:ascii="Times New Roman" w:eastAsia="標楷體" w:hAnsi="Times New Roman" w:cs="Times New Roman"/>
        </w:rPr>
      </w:pPr>
    </w:p>
    <w:p w:rsidR="00E317CF" w:rsidRPr="0069274C" w:rsidRDefault="00CE5AF6"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Section 66(3) of the </w:t>
      </w:r>
      <w:r w:rsidR="00E65A91">
        <w:rPr>
          <w:rFonts w:ascii="Times New Roman" w:eastAsia="標楷體" w:hAnsi="Times New Roman" w:cs="Times New Roman"/>
        </w:rPr>
        <w:t>IRO</w:t>
      </w:r>
      <w:r w:rsidRPr="0069274C">
        <w:rPr>
          <w:rFonts w:ascii="Times New Roman" w:eastAsia="標楷體" w:hAnsi="Times New Roman" w:cs="Times New Roman"/>
        </w:rPr>
        <w:t xml:space="preserve"> provides that save with the consent of the Board of Review and on such terms as the Board of Review may determine, an appellant may not at the hearing of his appeal rely on any grounds of appeal other than the grounds contained in his statement of grounds of appeal given to the Board of Review in accordance with section 66(1). Section 68(4) of the </w:t>
      </w:r>
      <w:r w:rsidR="00FA43BF">
        <w:rPr>
          <w:rFonts w:ascii="Times New Roman" w:eastAsia="標楷體" w:hAnsi="Times New Roman" w:cs="Times New Roman"/>
        </w:rPr>
        <w:t>IRO</w:t>
      </w:r>
      <w:r w:rsidR="003A4471">
        <w:rPr>
          <w:rFonts w:ascii="Times New Roman" w:eastAsia="標楷體" w:hAnsi="Times New Roman" w:cs="Times New Roman"/>
        </w:rPr>
        <w:t xml:space="preserve"> </w:t>
      </w:r>
      <w:r w:rsidRPr="0069274C">
        <w:rPr>
          <w:rFonts w:ascii="Times New Roman" w:eastAsia="標楷體" w:hAnsi="Times New Roman" w:cs="Times New Roman"/>
        </w:rPr>
        <w:t>provides that the onus of proving that the assessment appealed against is excessive or incorrect shall be on the appellant.</w:t>
      </w:r>
      <w:r w:rsidR="00480479" w:rsidRPr="0069274C">
        <w:rPr>
          <w:rFonts w:ascii="Times New Roman" w:eastAsia="標楷體" w:hAnsi="Times New Roman" w:cs="Times New Roman"/>
        </w:rPr>
        <w:t xml:space="preserve"> </w:t>
      </w:r>
      <w:r w:rsidR="00C6411D" w:rsidRPr="0069274C">
        <w:rPr>
          <w:rFonts w:ascii="Times New Roman" w:eastAsia="標楷體" w:hAnsi="Times New Roman" w:cs="Times New Roman"/>
        </w:rPr>
        <w:t xml:space="preserve"> </w:t>
      </w:r>
      <w:r w:rsidR="002E3B15" w:rsidRPr="0069274C">
        <w:rPr>
          <w:rFonts w:ascii="Times New Roman" w:eastAsia="標楷體" w:hAnsi="Times New Roman" w:cs="Times New Roman"/>
        </w:rPr>
        <w:t xml:space="preserve"> </w:t>
      </w:r>
    </w:p>
    <w:p w:rsidR="00E317CF" w:rsidRPr="0069274C" w:rsidRDefault="00E317CF" w:rsidP="00156E21">
      <w:pPr>
        <w:overflowPunct w:val="0"/>
        <w:autoSpaceDE w:val="0"/>
        <w:autoSpaceDN w:val="0"/>
        <w:jc w:val="both"/>
        <w:rPr>
          <w:rFonts w:ascii="Times New Roman" w:eastAsia="標楷體" w:hAnsi="Times New Roman" w:cs="Times New Roman"/>
        </w:rPr>
      </w:pPr>
    </w:p>
    <w:p w:rsidR="00E317CF" w:rsidRPr="006A5FFF" w:rsidRDefault="00E317CF" w:rsidP="00156E21">
      <w:pPr>
        <w:overflowPunct w:val="0"/>
        <w:autoSpaceDE w:val="0"/>
        <w:autoSpaceDN w:val="0"/>
        <w:jc w:val="both"/>
        <w:rPr>
          <w:rFonts w:ascii="Times New Roman" w:eastAsia="標楷體" w:hAnsi="Times New Roman" w:cs="Times New Roman"/>
          <w:b/>
        </w:rPr>
      </w:pPr>
      <w:r w:rsidRPr="006A5FFF">
        <w:rPr>
          <w:rFonts w:ascii="Times New Roman" w:eastAsia="標楷體" w:hAnsi="Times New Roman" w:cs="Times New Roman"/>
          <w:b/>
        </w:rPr>
        <w:t>Discussion</w:t>
      </w:r>
    </w:p>
    <w:p w:rsidR="00E317CF" w:rsidRPr="0069274C" w:rsidRDefault="00E317CF" w:rsidP="00156E21">
      <w:pPr>
        <w:overflowPunct w:val="0"/>
        <w:autoSpaceDE w:val="0"/>
        <w:autoSpaceDN w:val="0"/>
        <w:jc w:val="both"/>
        <w:rPr>
          <w:rFonts w:ascii="Times New Roman" w:eastAsia="標楷體" w:hAnsi="Times New Roman" w:cs="Times New Roman"/>
        </w:rPr>
      </w:pPr>
    </w:p>
    <w:p w:rsidR="004445ED" w:rsidRPr="0069274C" w:rsidRDefault="00E317CF"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The</w:t>
      </w:r>
      <w:r w:rsidR="0019252D" w:rsidRPr="0069274C">
        <w:rPr>
          <w:rFonts w:ascii="Times New Roman" w:eastAsia="標楷體" w:hAnsi="Times New Roman" w:cs="Times New Roman"/>
        </w:rPr>
        <w:t xml:space="preserve"> Taxpayer</w:t>
      </w:r>
      <w:r w:rsidR="00D253EE" w:rsidRPr="0069274C">
        <w:rPr>
          <w:rFonts w:ascii="Times New Roman" w:eastAsia="標楷體" w:hAnsi="Times New Roman" w:cs="Times New Roman"/>
        </w:rPr>
        <w:t xml:space="preserve">’s </w:t>
      </w:r>
      <w:r w:rsidR="000F4A5A" w:rsidRPr="0069274C">
        <w:rPr>
          <w:rFonts w:ascii="Times New Roman" w:eastAsia="標楷體" w:hAnsi="Times New Roman" w:cs="Times New Roman"/>
        </w:rPr>
        <w:t>Amended</w:t>
      </w:r>
      <w:r w:rsidR="00D253EE" w:rsidRPr="0069274C">
        <w:rPr>
          <w:rFonts w:ascii="Times New Roman" w:eastAsia="標楷體" w:hAnsi="Times New Roman" w:cs="Times New Roman"/>
        </w:rPr>
        <w:t xml:space="preserve"> Grounds of Appeal</w:t>
      </w:r>
      <w:r w:rsidR="000F4A5A" w:rsidRPr="0069274C">
        <w:rPr>
          <w:rFonts w:ascii="Times New Roman" w:eastAsia="標楷體" w:hAnsi="Times New Roman" w:cs="Times New Roman"/>
        </w:rPr>
        <w:t xml:space="preserve">, which this Board has given permission to amend, state that: </w:t>
      </w:r>
    </w:p>
    <w:p w:rsidR="00CE5AF6" w:rsidRPr="0069274C" w:rsidRDefault="00CE5AF6" w:rsidP="00156E21">
      <w:pPr>
        <w:overflowPunct w:val="0"/>
        <w:autoSpaceDE w:val="0"/>
        <w:autoSpaceDN w:val="0"/>
        <w:jc w:val="both"/>
        <w:rPr>
          <w:rFonts w:ascii="Times New Roman" w:eastAsia="標楷體" w:hAnsi="Times New Roman" w:cs="Times New Roman"/>
        </w:rPr>
      </w:pPr>
    </w:p>
    <w:p w:rsidR="000F4A5A" w:rsidRPr="0069274C" w:rsidRDefault="000F4A5A"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(1)</w:t>
      </w:r>
      <w:r w:rsidR="00DE0A88">
        <w:rPr>
          <w:rFonts w:ascii="Times New Roman" w:eastAsia="標楷體" w:hAnsi="Times New Roman" w:cs="Times New Roman"/>
        </w:rPr>
        <w:tab/>
      </w:r>
      <w:r w:rsidRPr="0069274C">
        <w:rPr>
          <w:rFonts w:ascii="Times New Roman" w:eastAsia="標楷體" w:hAnsi="Times New Roman" w:cs="Times New Roman"/>
        </w:rPr>
        <w:t xml:space="preserve">Each of the </w:t>
      </w:r>
      <w:r w:rsidR="0014404D" w:rsidRPr="0069274C">
        <w:rPr>
          <w:rFonts w:ascii="Times New Roman" w:eastAsia="標楷體" w:hAnsi="Times New Roman" w:cs="Times New Roman"/>
        </w:rPr>
        <w:t xml:space="preserve">assessments appealed against was excessive and incorrect in so far as each of them disallowed the deduction of Manager’s Fees in ascertaining the profits in respect of which the Taxpayer was chargeable to tax under Part IV of the IRO. </w:t>
      </w:r>
    </w:p>
    <w:p w:rsidR="0014404D" w:rsidRPr="0069274C" w:rsidRDefault="0014404D"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14404D" w:rsidRPr="0069274C" w:rsidRDefault="0014404D"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(2)</w:t>
      </w:r>
      <w:r w:rsidR="00DE0A88">
        <w:rPr>
          <w:rFonts w:ascii="Times New Roman" w:eastAsia="標楷體" w:hAnsi="Times New Roman" w:cs="Times New Roman"/>
        </w:rPr>
        <w:tab/>
      </w:r>
      <w:r w:rsidRPr="0069274C">
        <w:rPr>
          <w:rFonts w:ascii="Times New Roman" w:eastAsia="標楷體" w:hAnsi="Times New Roman" w:cs="Times New Roman"/>
        </w:rPr>
        <w:t>In the basis period for each of the years of assessment in question, the Manager’s Fees were incurred by the Taxpayer for services rendered by the Manager to the Taxpayer in the production of profits in respect of which the Taxpayer was chargeable, and charged, to tax under Part IV of the IRO. As a matter of fact, it was the Taxpayer which paid the full amount of the Manager’s Fees, as payment for the services rendered by the Manager to it (and not as a loan or distribution as the Deputy Commissioner without any basis or evidence speculated), to and via the treasury of</w:t>
      </w:r>
      <w:r w:rsidR="006A5FFF" w:rsidRPr="006A5FFF">
        <w:rPr>
          <w:rFonts w:ascii="Times New Roman" w:eastAsia="標楷體" w:hAnsi="Times New Roman" w:cs="Times New Roman"/>
        </w:rPr>
        <w:t xml:space="preserve"> </w:t>
      </w:r>
      <w:r w:rsidR="006A5FFF" w:rsidRPr="0069274C">
        <w:rPr>
          <w:rFonts w:ascii="Times New Roman" w:eastAsia="標楷體" w:hAnsi="Times New Roman" w:cs="Times New Roman"/>
        </w:rPr>
        <w:t>REIT</w:t>
      </w:r>
      <w:r w:rsidR="006A5FFF">
        <w:rPr>
          <w:rFonts w:ascii="Times New Roman" w:eastAsia="標楷體" w:hAnsi="Times New Roman" w:cs="Times New Roman"/>
        </w:rPr>
        <w:t xml:space="preserve"> K</w:t>
      </w:r>
      <w:r w:rsidRPr="0069274C">
        <w:rPr>
          <w:rFonts w:ascii="Times New Roman" w:eastAsia="標楷體" w:hAnsi="Times New Roman" w:cs="Times New Roman"/>
        </w:rPr>
        <w:t>, and how the Manager, as the ultimate recipient, chose to receive the Manager’s Fees (wholly in cash or a combination of cash and Units) does not affect the fact that the Taxpayer did pay the full amount of the Manager’s Fees which were incurred in the production of its chargeable profits. The Deputy Commissioner erred in determining that the Manager’s Fees were not deductible under s</w:t>
      </w:r>
      <w:r w:rsidR="00EF3BB4">
        <w:rPr>
          <w:rFonts w:ascii="Times New Roman" w:eastAsia="標楷體" w:hAnsi="Times New Roman" w:cs="Times New Roman"/>
        </w:rPr>
        <w:t>ection</w:t>
      </w:r>
      <w:r w:rsidRPr="0069274C">
        <w:rPr>
          <w:rFonts w:ascii="Times New Roman" w:eastAsia="標楷體" w:hAnsi="Times New Roman" w:cs="Times New Roman"/>
        </w:rPr>
        <w:t xml:space="preserve"> 16(1) of the IRO in ascertaining the profits </w:t>
      </w:r>
      <w:r w:rsidRPr="0069274C">
        <w:rPr>
          <w:rFonts w:ascii="Times New Roman" w:eastAsia="標楷體" w:hAnsi="Times New Roman" w:cs="Times New Roman"/>
        </w:rPr>
        <w:lastRenderedPageBreak/>
        <w:t xml:space="preserve">in respect of which the Taxpayer was chargeable to tax under Part IV of the IRO for each of the years of assessment in question. </w:t>
      </w:r>
    </w:p>
    <w:p w:rsidR="0014404D" w:rsidRPr="0069274C" w:rsidRDefault="0014404D"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14404D" w:rsidRPr="0069274C" w:rsidRDefault="0014404D"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(3)</w:t>
      </w:r>
      <w:r w:rsidR="00DE0A88">
        <w:rPr>
          <w:rFonts w:ascii="Times New Roman" w:eastAsia="標楷體" w:hAnsi="Times New Roman" w:cs="Times New Roman"/>
        </w:rPr>
        <w:tab/>
      </w:r>
      <w:r w:rsidRPr="0069274C">
        <w:rPr>
          <w:rFonts w:ascii="Times New Roman" w:eastAsia="標楷體" w:hAnsi="Times New Roman" w:cs="Times New Roman"/>
        </w:rPr>
        <w:t xml:space="preserve">Without prejudice to the generality of (1) and/or (2) above, if and in so far as the Deputy Commissioner determined that for the Manager’s Fees to be deductible, the Taxpayer must have had a legal obligation to pay the same, then he erred as a matter of law. There was and is no such requirement as a matter of law under section 16(1) of the IRO properly construed. By reason of the matters referred to in (2) above, the Manager’s Fees fell within section 16(1) and were deductible thereunder. </w:t>
      </w:r>
    </w:p>
    <w:p w:rsidR="0014404D" w:rsidRPr="0069274C" w:rsidRDefault="0014404D"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14404D" w:rsidRPr="0069274C" w:rsidRDefault="0014404D"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(4)</w:t>
      </w:r>
      <w:r w:rsidR="00DE0A88">
        <w:rPr>
          <w:rFonts w:ascii="Times New Roman" w:eastAsia="標楷體" w:hAnsi="Times New Roman" w:cs="Times New Roman"/>
        </w:rPr>
        <w:tab/>
      </w:r>
      <w:r w:rsidRPr="0069274C">
        <w:rPr>
          <w:rFonts w:ascii="Times New Roman" w:eastAsia="標楷體" w:hAnsi="Times New Roman" w:cs="Times New Roman"/>
        </w:rPr>
        <w:t>Further or alternatively, and without prejudice to (1), (2) and/or (3) above, the Deputy Commissioner erred in determining that the Taxpayer had no legal obligation to pay the Manager’s Fees for the services rendered by the Manager to the Taxpayer. As a matter of law, by freely accepting the asset management services rendered by the Manager and knowing that the Man</w:t>
      </w:r>
      <w:r w:rsidR="004F7B1D" w:rsidRPr="0069274C">
        <w:rPr>
          <w:rFonts w:ascii="Times New Roman" w:eastAsia="標楷體" w:hAnsi="Times New Roman" w:cs="Times New Roman"/>
        </w:rPr>
        <w:t>a</w:t>
      </w:r>
      <w:r w:rsidRPr="0069274C">
        <w:rPr>
          <w:rFonts w:ascii="Times New Roman" w:eastAsia="標楷體" w:hAnsi="Times New Roman" w:cs="Times New Roman"/>
        </w:rPr>
        <w:t xml:space="preserve">ger expected to be paid for such services, and/or knowing that under the Trust Deed the Manager’s Fees were to be, and expected to be, paid by or out of the Taxpayer and the assets held by it, the Taxpayer had a legal obligation, under the law of restitution or the principles of unjust enrichment, to pay for the services rendered, because if it did not pay, </w:t>
      </w:r>
      <w:r w:rsidR="00864B2F" w:rsidRPr="0069274C">
        <w:rPr>
          <w:rFonts w:ascii="Times New Roman" w:eastAsia="標楷體" w:hAnsi="Times New Roman" w:cs="Times New Roman"/>
        </w:rPr>
        <w:t xml:space="preserve">the Court would compel it to do so on the grounds of free acceptance or failure of consideration. </w:t>
      </w:r>
    </w:p>
    <w:p w:rsidR="00864B2F" w:rsidRPr="0069274C" w:rsidRDefault="00864B2F"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864B2F" w:rsidRPr="0069274C" w:rsidRDefault="00864B2F"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(4A)</w:t>
      </w:r>
      <w:r w:rsidR="00DE0A88">
        <w:rPr>
          <w:rFonts w:ascii="Times New Roman" w:eastAsia="標楷體" w:hAnsi="Times New Roman" w:cs="Times New Roman"/>
        </w:rPr>
        <w:tab/>
      </w:r>
      <w:r w:rsidRPr="0069274C">
        <w:rPr>
          <w:rFonts w:ascii="Times New Roman" w:eastAsia="標楷體" w:hAnsi="Times New Roman" w:cs="Times New Roman"/>
        </w:rPr>
        <w:t xml:space="preserve">Further or alternatively, and without prejudice to (1), (2), (3) and/or (4) above, in the circumstances set out in (2) and/or (4) above, the Manager and the Taxpayer must have understood and intended there to be a legally binding arrangement between them that the Taxpayer would pay the Manager for the services that the Taxpayer had accepted. There was thereby an implied contract between the Taxpayer and the Manager pursuant to which the Taxpayer had a legal obligation to pay for the services rendered. </w:t>
      </w:r>
    </w:p>
    <w:p w:rsidR="00864B2F" w:rsidRPr="0069274C" w:rsidRDefault="00864B2F"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864B2F" w:rsidRPr="0069274C" w:rsidRDefault="00864B2F"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(5)</w:t>
      </w:r>
      <w:r w:rsidR="00DE0A88">
        <w:rPr>
          <w:rFonts w:ascii="Times New Roman" w:eastAsia="標楷體" w:hAnsi="Times New Roman" w:cs="Times New Roman"/>
        </w:rPr>
        <w:tab/>
      </w:r>
      <w:r w:rsidRPr="0069274C">
        <w:rPr>
          <w:rFonts w:ascii="Times New Roman" w:eastAsia="標楷體" w:hAnsi="Times New Roman" w:cs="Times New Roman"/>
        </w:rPr>
        <w:t xml:space="preserve">Further or alternatively, and without prejudice to (1), (2), (3), (4) and/or (4A) above, the Deputy Commissioner erred in determining that the Trustee had the legal obligation to pay the Manager’s Fees to the Manager under the provisions of the Trust Deed properly constructed. In any event, even if the Trustee had such an obligation, for reasons stated in (4) and/or (4A) above, the Taxpayer had a legal obligation to pay the Trustee and/or the Manager for the services rendered. </w:t>
      </w:r>
    </w:p>
    <w:p w:rsidR="004048E3" w:rsidRDefault="004048E3" w:rsidP="00156E21">
      <w:pPr>
        <w:overflowPunct w:val="0"/>
        <w:autoSpaceDE w:val="0"/>
        <w:autoSpaceDN w:val="0"/>
        <w:jc w:val="both"/>
        <w:rPr>
          <w:rFonts w:ascii="Times New Roman" w:eastAsia="標楷體" w:hAnsi="Times New Roman" w:cs="Times New Roman"/>
        </w:rPr>
      </w:pPr>
    </w:p>
    <w:p w:rsidR="006A5D31" w:rsidRDefault="006A5D31" w:rsidP="00156E21">
      <w:pPr>
        <w:overflowPunct w:val="0"/>
        <w:autoSpaceDE w:val="0"/>
        <w:autoSpaceDN w:val="0"/>
        <w:jc w:val="both"/>
        <w:rPr>
          <w:rFonts w:ascii="Times New Roman" w:eastAsia="標楷體" w:hAnsi="Times New Roman" w:cs="Times New Roman"/>
        </w:rPr>
      </w:pPr>
    </w:p>
    <w:p w:rsidR="006A5D31" w:rsidRDefault="006A5D31" w:rsidP="00156E21">
      <w:pPr>
        <w:overflowPunct w:val="0"/>
        <w:autoSpaceDE w:val="0"/>
        <w:autoSpaceDN w:val="0"/>
        <w:jc w:val="both"/>
        <w:rPr>
          <w:rFonts w:ascii="Times New Roman" w:eastAsia="標楷體" w:hAnsi="Times New Roman" w:cs="Times New Roman"/>
        </w:rPr>
      </w:pPr>
    </w:p>
    <w:p w:rsidR="006A5D31" w:rsidRPr="0069274C" w:rsidRDefault="006A5D31" w:rsidP="00156E21">
      <w:pPr>
        <w:overflowPunct w:val="0"/>
        <w:autoSpaceDE w:val="0"/>
        <w:autoSpaceDN w:val="0"/>
        <w:jc w:val="both"/>
        <w:rPr>
          <w:rFonts w:ascii="Times New Roman" w:eastAsia="標楷體" w:hAnsi="Times New Roman" w:cs="Times New Roman"/>
        </w:rPr>
      </w:pPr>
    </w:p>
    <w:p w:rsidR="003D4DED" w:rsidRPr="006A5FFF" w:rsidRDefault="003D4DED" w:rsidP="00156E21">
      <w:pPr>
        <w:overflowPunct w:val="0"/>
        <w:autoSpaceDE w:val="0"/>
        <w:autoSpaceDN w:val="0"/>
        <w:jc w:val="both"/>
        <w:rPr>
          <w:rFonts w:ascii="Times New Roman" w:eastAsia="標楷體" w:hAnsi="Times New Roman" w:cs="Times New Roman"/>
          <w:b/>
          <w:i/>
        </w:rPr>
      </w:pPr>
      <w:r w:rsidRPr="006A5FFF">
        <w:rPr>
          <w:rFonts w:ascii="Times New Roman" w:eastAsia="標楷體" w:hAnsi="Times New Roman" w:cs="Times New Roman"/>
          <w:b/>
          <w:i/>
        </w:rPr>
        <w:lastRenderedPageBreak/>
        <w:t>Submissions</w:t>
      </w:r>
    </w:p>
    <w:p w:rsidR="00DE0A88" w:rsidRPr="0069274C" w:rsidRDefault="00DE0A88" w:rsidP="00156E21">
      <w:pPr>
        <w:overflowPunct w:val="0"/>
        <w:autoSpaceDE w:val="0"/>
        <w:autoSpaceDN w:val="0"/>
        <w:jc w:val="both"/>
        <w:rPr>
          <w:rFonts w:ascii="Times New Roman" w:eastAsia="標楷體" w:hAnsi="Times New Roman" w:cs="Times New Roman"/>
          <w:i/>
        </w:rPr>
      </w:pPr>
    </w:p>
    <w:p w:rsidR="007C1807" w:rsidRPr="0069274C" w:rsidRDefault="00E43935"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Mr Wong, for the Taxpayer, outlined the Taxpayer’s case in his submissions</w:t>
      </w:r>
      <w:r w:rsidR="00332A72" w:rsidRPr="0069274C">
        <w:rPr>
          <w:rFonts w:ascii="Times New Roman" w:eastAsia="標楷體" w:hAnsi="Times New Roman" w:cs="Times New Roman"/>
        </w:rPr>
        <w:t>.</w:t>
      </w:r>
      <w:r w:rsidRPr="0069274C">
        <w:rPr>
          <w:rFonts w:ascii="Times New Roman" w:eastAsia="標楷體" w:hAnsi="Times New Roman" w:cs="Times New Roman"/>
        </w:rPr>
        <w:t xml:space="preserve"> The Taxpayer’s case can be summarized as follows: </w:t>
      </w:r>
    </w:p>
    <w:p w:rsidR="007C1807" w:rsidRPr="0069274C" w:rsidRDefault="007C1807" w:rsidP="00156E21">
      <w:pPr>
        <w:overflowPunct w:val="0"/>
        <w:autoSpaceDE w:val="0"/>
        <w:autoSpaceDN w:val="0"/>
        <w:jc w:val="both"/>
        <w:rPr>
          <w:rFonts w:ascii="Times New Roman" w:eastAsia="標楷體" w:hAnsi="Times New Roman" w:cs="Times New Roman"/>
        </w:rPr>
      </w:pPr>
    </w:p>
    <w:p w:rsidR="007C1807" w:rsidRDefault="00E43935" w:rsidP="00156E21">
      <w:pPr>
        <w:pStyle w:val="a3"/>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(1)</w:t>
      </w:r>
      <w:r w:rsidR="00DE0A88">
        <w:rPr>
          <w:rFonts w:ascii="Times New Roman" w:eastAsia="標楷體" w:hAnsi="Times New Roman" w:cs="Times New Roman"/>
        </w:rPr>
        <w:tab/>
      </w:r>
      <w:r w:rsidRPr="0069274C">
        <w:rPr>
          <w:rFonts w:ascii="Times New Roman" w:eastAsia="標楷體" w:hAnsi="Times New Roman" w:cs="Times New Roman"/>
        </w:rPr>
        <w:t>The Taxpayer was a company which is commercial landlord holding the Property</w:t>
      </w:r>
      <w:r w:rsidR="00962F95" w:rsidRPr="0069274C">
        <w:rPr>
          <w:rFonts w:ascii="Times New Roman" w:eastAsia="標楷體" w:hAnsi="Times New Roman" w:cs="Times New Roman"/>
        </w:rPr>
        <w:t>.</w:t>
      </w:r>
    </w:p>
    <w:p w:rsidR="00DE0A88" w:rsidRPr="0069274C" w:rsidRDefault="00DE0A88" w:rsidP="00156E21">
      <w:pPr>
        <w:pStyle w:val="a3"/>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7C1807" w:rsidRDefault="00E43935" w:rsidP="00156E21">
      <w:pPr>
        <w:pStyle w:val="a3"/>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(2)</w:t>
      </w:r>
      <w:r w:rsidR="00DE0A88">
        <w:rPr>
          <w:rFonts w:ascii="Times New Roman" w:eastAsia="標楷體" w:hAnsi="Times New Roman" w:cs="Times New Roman"/>
        </w:rPr>
        <w:tab/>
      </w:r>
      <w:r w:rsidRPr="0069274C">
        <w:rPr>
          <w:rFonts w:ascii="Times New Roman" w:eastAsia="標楷體" w:hAnsi="Times New Roman" w:cs="Times New Roman"/>
        </w:rPr>
        <w:t>The Manager and the Property Manager performed work for the Taxpayer and the Taxpayer paid the Manager and the Property Manager for the services provided</w:t>
      </w:r>
      <w:r w:rsidR="00962F95" w:rsidRPr="0069274C">
        <w:rPr>
          <w:rFonts w:ascii="Times New Roman" w:eastAsia="標楷體" w:hAnsi="Times New Roman" w:cs="Times New Roman"/>
        </w:rPr>
        <w:t>.</w:t>
      </w:r>
      <w:r w:rsidRPr="0069274C">
        <w:rPr>
          <w:rFonts w:ascii="Times New Roman" w:eastAsia="標楷體" w:hAnsi="Times New Roman" w:cs="Times New Roman"/>
        </w:rPr>
        <w:t xml:space="preserve"> </w:t>
      </w:r>
    </w:p>
    <w:p w:rsidR="00DE0A88" w:rsidRPr="0069274C" w:rsidRDefault="00DE0A88" w:rsidP="00156E21">
      <w:pPr>
        <w:pStyle w:val="a3"/>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7C1807" w:rsidRDefault="00E43935" w:rsidP="00156E21">
      <w:pPr>
        <w:pStyle w:val="a3"/>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(3)</w:t>
      </w:r>
      <w:r w:rsidR="00DE0A88">
        <w:rPr>
          <w:rFonts w:ascii="Times New Roman" w:eastAsia="標楷體" w:hAnsi="Times New Roman" w:cs="Times New Roman"/>
        </w:rPr>
        <w:tab/>
      </w:r>
      <w:r w:rsidR="00B8023F" w:rsidRPr="0069274C">
        <w:rPr>
          <w:rFonts w:ascii="Times New Roman" w:eastAsia="標楷體" w:hAnsi="Times New Roman" w:cs="Times New Roman"/>
        </w:rPr>
        <w:t xml:space="preserve">It </w:t>
      </w:r>
      <w:r w:rsidR="004C1F6C" w:rsidRPr="0069274C">
        <w:rPr>
          <w:rFonts w:ascii="Times New Roman" w:eastAsia="標楷體" w:hAnsi="Times New Roman" w:cs="Times New Roman"/>
        </w:rPr>
        <w:t>wa</w:t>
      </w:r>
      <w:r w:rsidR="00B8023F" w:rsidRPr="0069274C">
        <w:rPr>
          <w:rFonts w:ascii="Times New Roman" w:eastAsia="標楷體" w:hAnsi="Times New Roman" w:cs="Times New Roman"/>
        </w:rPr>
        <w:t>s commercially necessary for the Taxpayer to have the services of the Manager and the Property Manager. Without such services, the Taxpayer could not function and earn any profits</w:t>
      </w:r>
      <w:r w:rsidR="00962F95" w:rsidRPr="0069274C">
        <w:rPr>
          <w:rFonts w:ascii="Times New Roman" w:eastAsia="標楷體" w:hAnsi="Times New Roman" w:cs="Times New Roman"/>
        </w:rPr>
        <w:t>.</w:t>
      </w:r>
    </w:p>
    <w:p w:rsidR="00DE0A88" w:rsidRPr="0069274C" w:rsidRDefault="00DE0A88" w:rsidP="00156E21">
      <w:pPr>
        <w:pStyle w:val="a3"/>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7C1807" w:rsidRDefault="00B8023F" w:rsidP="00156E21">
      <w:pPr>
        <w:pStyle w:val="a3"/>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(4)</w:t>
      </w:r>
      <w:r w:rsidR="00DE0A88">
        <w:rPr>
          <w:rFonts w:ascii="Times New Roman" w:eastAsia="標楷體" w:hAnsi="Times New Roman" w:cs="Times New Roman"/>
        </w:rPr>
        <w:tab/>
      </w:r>
      <w:r w:rsidR="00E43935" w:rsidRPr="0069274C">
        <w:rPr>
          <w:rFonts w:ascii="Times New Roman" w:eastAsia="標楷體" w:hAnsi="Times New Roman" w:cs="Times New Roman"/>
        </w:rPr>
        <w:t>The Board of Directors of the Taxpayer authorized the payment of the Man</w:t>
      </w:r>
      <w:r w:rsidR="004F7B1D" w:rsidRPr="0069274C">
        <w:rPr>
          <w:rFonts w:ascii="Times New Roman" w:eastAsia="標楷體" w:hAnsi="Times New Roman" w:cs="Times New Roman"/>
        </w:rPr>
        <w:t>a</w:t>
      </w:r>
      <w:r w:rsidR="00E43935" w:rsidRPr="0069274C">
        <w:rPr>
          <w:rFonts w:ascii="Times New Roman" w:eastAsia="標楷體" w:hAnsi="Times New Roman" w:cs="Times New Roman"/>
        </w:rPr>
        <w:t xml:space="preserve">ger’s </w:t>
      </w:r>
      <w:r w:rsidR="00BA7B16" w:rsidRPr="0069274C">
        <w:rPr>
          <w:rFonts w:ascii="Times New Roman" w:eastAsia="標楷體" w:hAnsi="Times New Roman" w:cs="Times New Roman"/>
        </w:rPr>
        <w:t>F</w:t>
      </w:r>
      <w:r w:rsidR="00E43935" w:rsidRPr="0069274C">
        <w:rPr>
          <w:rFonts w:ascii="Times New Roman" w:eastAsia="標楷體" w:hAnsi="Times New Roman" w:cs="Times New Roman"/>
        </w:rPr>
        <w:t>ees</w:t>
      </w:r>
      <w:r w:rsidR="00962F95" w:rsidRPr="0069274C">
        <w:rPr>
          <w:rFonts w:ascii="Times New Roman" w:eastAsia="標楷體" w:hAnsi="Times New Roman" w:cs="Times New Roman"/>
        </w:rPr>
        <w:t>.</w:t>
      </w:r>
      <w:r w:rsidR="00E43935" w:rsidRPr="0069274C">
        <w:rPr>
          <w:rFonts w:ascii="Times New Roman" w:eastAsia="標楷體" w:hAnsi="Times New Roman" w:cs="Times New Roman"/>
        </w:rPr>
        <w:t xml:space="preserve"> </w:t>
      </w:r>
    </w:p>
    <w:p w:rsidR="00DE0A88" w:rsidRPr="0069274C" w:rsidRDefault="00DE0A88" w:rsidP="00156E21">
      <w:pPr>
        <w:pStyle w:val="a3"/>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7C1807" w:rsidRDefault="00E43935" w:rsidP="00156E21">
      <w:pPr>
        <w:pStyle w:val="a3"/>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w:t>
      </w:r>
      <w:r w:rsidR="00B8023F" w:rsidRPr="0069274C">
        <w:rPr>
          <w:rFonts w:ascii="Times New Roman" w:eastAsia="標楷體" w:hAnsi="Times New Roman" w:cs="Times New Roman"/>
        </w:rPr>
        <w:t>5</w:t>
      </w:r>
      <w:r w:rsidRPr="0069274C">
        <w:rPr>
          <w:rFonts w:ascii="Times New Roman" w:eastAsia="標楷體" w:hAnsi="Times New Roman" w:cs="Times New Roman"/>
        </w:rPr>
        <w:t>)</w:t>
      </w:r>
      <w:r w:rsidR="00DE0A88">
        <w:rPr>
          <w:rFonts w:ascii="Times New Roman" w:eastAsia="標楷體" w:hAnsi="Times New Roman" w:cs="Times New Roman"/>
        </w:rPr>
        <w:tab/>
      </w:r>
      <w:r w:rsidRPr="0069274C">
        <w:rPr>
          <w:rFonts w:ascii="Times New Roman" w:eastAsia="標楷體" w:hAnsi="Times New Roman" w:cs="Times New Roman"/>
        </w:rPr>
        <w:t>The auditor of the Taxpayer confirmed in the financial statements of the Taxpayer that those financial statements which included the income and expenditure statement as showing the true and fair view of the profits of the Taxpayer</w:t>
      </w:r>
      <w:r w:rsidR="00962F95" w:rsidRPr="0069274C">
        <w:rPr>
          <w:rFonts w:ascii="Times New Roman" w:eastAsia="標楷體" w:hAnsi="Times New Roman" w:cs="Times New Roman"/>
        </w:rPr>
        <w:t>.</w:t>
      </w:r>
      <w:r w:rsidRPr="0069274C">
        <w:rPr>
          <w:rFonts w:ascii="Times New Roman" w:eastAsia="標楷體" w:hAnsi="Times New Roman" w:cs="Times New Roman"/>
        </w:rPr>
        <w:t xml:space="preserve"> </w:t>
      </w:r>
    </w:p>
    <w:p w:rsidR="00DE0A88" w:rsidRPr="0069274C" w:rsidRDefault="00DE0A88" w:rsidP="00156E21">
      <w:pPr>
        <w:pStyle w:val="a3"/>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7C1807" w:rsidRDefault="00E43935" w:rsidP="00156E21">
      <w:pPr>
        <w:pStyle w:val="a3"/>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w:t>
      </w:r>
      <w:r w:rsidR="00B8023F" w:rsidRPr="0069274C">
        <w:rPr>
          <w:rFonts w:ascii="Times New Roman" w:eastAsia="標楷體" w:hAnsi="Times New Roman" w:cs="Times New Roman"/>
        </w:rPr>
        <w:t>6</w:t>
      </w:r>
      <w:r w:rsidRPr="0069274C">
        <w:rPr>
          <w:rFonts w:ascii="Times New Roman" w:eastAsia="標楷體" w:hAnsi="Times New Roman" w:cs="Times New Roman"/>
        </w:rPr>
        <w:t>)</w:t>
      </w:r>
      <w:r w:rsidR="00DE0A88">
        <w:rPr>
          <w:rFonts w:ascii="Times New Roman" w:eastAsia="標楷體" w:hAnsi="Times New Roman" w:cs="Times New Roman"/>
        </w:rPr>
        <w:tab/>
      </w:r>
      <w:r w:rsidR="00F02579" w:rsidRPr="0069274C">
        <w:rPr>
          <w:rFonts w:ascii="Times New Roman" w:eastAsia="標楷體" w:hAnsi="Times New Roman" w:cs="Times New Roman"/>
        </w:rPr>
        <w:t xml:space="preserve">The management accounts of the Taxpayer were </w:t>
      </w:r>
      <w:r w:rsidR="00B8023F" w:rsidRPr="0069274C">
        <w:rPr>
          <w:rFonts w:ascii="Times New Roman" w:eastAsia="標楷體" w:hAnsi="Times New Roman" w:cs="Times New Roman"/>
        </w:rPr>
        <w:t>commercially properly prepared accounts</w:t>
      </w:r>
      <w:r w:rsidR="00962F95" w:rsidRPr="0069274C">
        <w:rPr>
          <w:rFonts w:ascii="Times New Roman" w:eastAsia="標楷體" w:hAnsi="Times New Roman" w:cs="Times New Roman"/>
        </w:rPr>
        <w:t>.</w:t>
      </w:r>
      <w:r w:rsidR="00B8023F" w:rsidRPr="0069274C">
        <w:rPr>
          <w:rFonts w:ascii="Times New Roman" w:eastAsia="標楷體" w:hAnsi="Times New Roman" w:cs="Times New Roman"/>
        </w:rPr>
        <w:t xml:space="preserve"> </w:t>
      </w:r>
    </w:p>
    <w:p w:rsidR="00DE0A88" w:rsidRPr="0069274C" w:rsidRDefault="00DE0A88" w:rsidP="00156E21">
      <w:pPr>
        <w:pStyle w:val="a3"/>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7C1807" w:rsidRDefault="00B8023F" w:rsidP="00156E21">
      <w:pPr>
        <w:pStyle w:val="a3"/>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(7)</w:t>
      </w:r>
      <w:r w:rsidR="00DE0A88">
        <w:rPr>
          <w:rFonts w:ascii="Times New Roman" w:eastAsia="標楷體" w:hAnsi="Times New Roman" w:cs="Times New Roman"/>
        </w:rPr>
        <w:tab/>
      </w:r>
      <w:r w:rsidR="00571B4D" w:rsidRPr="0069274C">
        <w:rPr>
          <w:rFonts w:ascii="Times New Roman" w:eastAsia="標楷體" w:hAnsi="Times New Roman" w:cs="Times New Roman"/>
        </w:rPr>
        <w:t>The Taxpayer did pay the Manager the Manager’s Fees</w:t>
      </w:r>
      <w:r w:rsidR="00962F95" w:rsidRPr="0069274C">
        <w:rPr>
          <w:rFonts w:ascii="Times New Roman" w:eastAsia="標楷體" w:hAnsi="Times New Roman" w:cs="Times New Roman"/>
        </w:rPr>
        <w:t>.</w:t>
      </w:r>
      <w:r w:rsidR="00297C87" w:rsidRPr="0069274C">
        <w:rPr>
          <w:rFonts w:ascii="Times New Roman" w:eastAsia="標楷體" w:hAnsi="Times New Roman" w:cs="Times New Roman"/>
        </w:rPr>
        <w:t xml:space="preserve"> The evidence of Ms </w:t>
      </w:r>
      <w:r w:rsidR="006A5FFF">
        <w:rPr>
          <w:rFonts w:ascii="Times New Roman" w:eastAsia="標楷體" w:hAnsi="Times New Roman" w:cs="Times New Roman"/>
        </w:rPr>
        <w:t>Q</w:t>
      </w:r>
      <w:r w:rsidR="00297C87" w:rsidRPr="0069274C">
        <w:rPr>
          <w:rFonts w:ascii="Times New Roman" w:eastAsia="標楷體" w:hAnsi="Times New Roman" w:cs="Times New Roman"/>
        </w:rPr>
        <w:t xml:space="preserve"> </w:t>
      </w:r>
      <w:r w:rsidR="00D76BBE" w:rsidRPr="0069274C">
        <w:rPr>
          <w:rFonts w:ascii="Times New Roman" w:eastAsia="標楷體" w:hAnsi="Times New Roman" w:cs="Times New Roman"/>
        </w:rPr>
        <w:t>was that the Manager’s Fee payable by the Taxpayer to the Man</w:t>
      </w:r>
      <w:r w:rsidR="004F7B1D" w:rsidRPr="0069274C">
        <w:rPr>
          <w:rFonts w:ascii="Times New Roman" w:eastAsia="標楷體" w:hAnsi="Times New Roman" w:cs="Times New Roman"/>
        </w:rPr>
        <w:t>a</w:t>
      </w:r>
      <w:r w:rsidR="00D76BBE" w:rsidRPr="0069274C">
        <w:rPr>
          <w:rFonts w:ascii="Times New Roman" w:eastAsia="標楷體" w:hAnsi="Times New Roman" w:cs="Times New Roman"/>
        </w:rPr>
        <w:t>ger was in fact debited and therefore paid by the Taxpayer every month.</w:t>
      </w:r>
      <w:r w:rsidR="004C2A09" w:rsidRPr="0069274C">
        <w:rPr>
          <w:rFonts w:ascii="Times New Roman" w:eastAsia="標楷體" w:hAnsi="Times New Roman" w:cs="Times New Roman"/>
        </w:rPr>
        <w:t xml:space="preserve"> Her evidence has explained how the Taxpayer had in fact paid the Manager’s Fees every month for the month. The general ledger and vouchers produced are as real as the Taxpayer writing a cheque to </w:t>
      </w:r>
      <w:r w:rsidR="006A5FFF">
        <w:rPr>
          <w:rFonts w:ascii="Times New Roman" w:eastAsia="標楷體" w:hAnsi="Times New Roman" w:cs="Times New Roman"/>
        </w:rPr>
        <w:t>Company N</w:t>
      </w:r>
      <w:r w:rsidR="004C2A09" w:rsidRPr="0069274C">
        <w:rPr>
          <w:rFonts w:ascii="Times New Roman" w:eastAsia="標楷體" w:hAnsi="Times New Roman" w:cs="Times New Roman"/>
        </w:rPr>
        <w:t xml:space="preserve"> or the Manager.</w:t>
      </w:r>
      <w:r w:rsidR="00D76BBE" w:rsidRPr="0069274C">
        <w:rPr>
          <w:rFonts w:ascii="Times New Roman" w:eastAsia="標楷體" w:hAnsi="Times New Roman" w:cs="Times New Roman"/>
        </w:rPr>
        <w:t xml:space="preserve"> The Manager’s Fees were paid during the previous period and not only in the subsequent period.</w:t>
      </w:r>
      <w:r w:rsidR="00BA7B16" w:rsidRPr="0069274C">
        <w:rPr>
          <w:rFonts w:ascii="Times New Roman" w:eastAsia="標楷體" w:hAnsi="Times New Roman" w:cs="Times New Roman"/>
        </w:rPr>
        <w:t xml:space="preserve"> As the company had actually paid out these expenses in the ordinary course of business, it would have been deducted in computing its profits. It would actually be wrong and incorrect not to deduct, in the preparation of the company’s accounts, such an amount in the computation of its profits.</w:t>
      </w:r>
    </w:p>
    <w:p w:rsidR="00DE0A88" w:rsidRPr="0069274C" w:rsidRDefault="00DE0A88" w:rsidP="00156E21">
      <w:pPr>
        <w:pStyle w:val="a3"/>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8522D2" w:rsidRDefault="008522D2" w:rsidP="00156E21">
      <w:pPr>
        <w:pStyle w:val="a3"/>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(8)</w:t>
      </w:r>
      <w:r w:rsidR="00DE0A88">
        <w:rPr>
          <w:rFonts w:ascii="Times New Roman" w:eastAsia="標楷體" w:hAnsi="Times New Roman" w:cs="Times New Roman"/>
        </w:rPr>
        <w:tab/>
      </w:r>
      <w:r w:rsidRPr="0069274C">
        <w:rPr>
          <w:rFonts w:ascii="Times New Roman" w:eastAsia="標楷體" w:hAnsi="Times New Roman" w:cs="Times New Roman"/>
        </w:rPr>
        <w:t xml:space="preserve">If this Board does not accept the contemporaneous documents as proving the actual payments, this Board would be questioning, in effect, the honesty and integrity of the professionals involved in the listed trust without basis. Such a matter ought to have been put at least to Ms </w:t>
      </w:r>
      <w:r w:rsidR="006A5FFF">
        <w:rPr>
          <w:rFonts w:ascii="Times New Roman" w:eastAsia="標楷體" w:hAnsi="Times New Roman" w:cs="Times New Roman"/>
        </w:rPr>
        <w:t>Q</w:t>
      </w:r>
      <w:r w:rsidRPr="0069274C">
        <w:rPr>
          <w:rFonts w:ascii="Times New Roman" w:eastAsia="標楷體" w:hAnsi="Times New Roman" w:cs="Times New Roman"/>
        </w:rPr>
        <w:t xml:space="preserve"> or Mr </w:t>
      </w:r>
      <w:r w:rsidR="006A5FFF">
        <w:rPr>
          <w:rFonts w:ascii="Times New Roman" w:eastAsia="標楷體" w:hAnsi="Times New Roman" w:cs="Times New Roman"/>
        </w:rPr>
        <w:t>R</w:t>
      </w:r>
      <w:r w:rsidRPr="0069274C">
        <w:rPr>
          <w:rFonts w:ascii="Times New Roman" w:eastAsia="標楷體" w:hAnsi="Times New Roman" w:cs="Times New Roman"/>
        </w:rPr>
        <w:t xml:space="preserve">. </w:t>
      </w:r>
    </w:p>
    <w:p w:rsidR="00DE0A88" w:rsidRPr="0069274C" w:rsidRDefault="00DE0A88" w:rsidP="00156E21">
      <w:pPr>
        <w:pStyle w:val="a3"/>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7C1807" w:rsidRDefault="00571B4D" w:rsidP="00156E21">
      <w:pPr>
        <w:pStyle w:val="a3"/>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lastRenderedPageBreak/>
        <w:t>(</w:t>
      </w:r>
      <w:r w:rsidR="008522D2" w:rsidRPr="0069274C">
        <w:rPr>
          <w:rFonts w:ascii="Times New Roman" w:eastAsia="標楷體" w:hAnsi="Times New Roman" w:cs="Times New Roman"/>
        </w:rPr>
        <w:t>9</w:t>
      </w:r>
      <w:r w:rsidRPr="0069274C">
        <w:rPr>
          <w:rFonts w:ascii="Times New Roman" w:eastAsia="標楷體" w:hAnsi="Times New Roman" w:cs="Times New Roman"/>
        </w:rPr>
        <w:t>)</w:t>
      </w:r>
      <w:r w:rsidR="00DE0A88">
        <w:rPr>
          <w:rFonts w:ascii="Times New Roman" w:eastAsia="標楷體" w:hAnsi="Times New Roman" w:cs="Times New Roman"/>
        </w:rPr>
        <w:tab/>
      </w:r>
      <w:r w:rsidR="00E43935" w:rsidRPr="0069274C">
        <w:rPr>
          <w:rFonts w:ascii="Times New Roman" w:eastAsia="標楷體" w:hAnsi="Times New Roman" w:cs="Times New Roman"/>
        </w:rPr>
        <w:t xml:space="preserve">Under section 16 of the IRO, deductibility does not depend on whether the Taxpayer had a legal liability to pay </w:t>
      </w:r>
      <w:r w:rsidR="00461A1A" w:rsidRPr="0069274C">
        <w:rPr>
          <w:rFonts w:ascii="Times New Roman" w:eastAsia="標楷體" w:hAnsi="Times New Roman" w:cs="Times New Roman"/>
        </w:rPr>
        <w:t xml:space="preserve">for the item proposed for deduction. </w:t>
      </w:r>
      <w:r w:rsidR="00E43935" w:rsidRPr="0069274C">
        <w:rPr>
          <w:rFonts w:ascii="Times New Roman" w:eastAsia="標楷體" w:hAnsi="Times New Roman" w:cs="Times New Roman"/>
        </w:rPr>
        <w:t xml:space="preserve"> </w:t>
      </w:r>
      <w:r w:rsidR="00461A1A" w:rsidRPr="0069274C">
        <w:rPr>
          <w:rFonts w:ascii="Times New Roman" w:eastAsia="標楷體" w:hAnsi="Times New Roman" w:cs="Times New Roman"/>
        </w:rPr>
        <w:t>Deductibility also does not depend on necessity, be it logically</w:t>
      </w:r>
      <w:r w:rsidR="00B8023F" w:rsidRPr="0069274C">
        <w:rPr>
          <w:rFonts w:ascii="Times New Roman" w:eastAsia="標楷體" w:hAnsi="Times New Roman" w:cs="Times New Roman"/>
        </w:rPr>
        <w:t xml:space="preserve"> or</w:t>
      </w:r>
      <w:r w:rsidR="00461A1A" w:rsidRPr="0069274C">
        <w:rPr>
          <w:rFonts w:ascii="Times New Roman" w:eastAsia="標楷體" w:hAnsi="Times New Roman" w:cs="Times New Roman"/>
        </w:rPr>
        <w:t xml:space="preserve"> commercially</w:t>
      </w:r>
      <w:r w:rsidR="00962F95" w:rsidRPr="0069274C">
        <w:rPr>
          <w:rFonts w:ascii="Times New Roman" w:eastAsia="標楷體" w:hAnsi="Times New Roman" w:cs="Times New Roman"/>
        </w:rPr>
        <w:t>.</w:t>
      </w:r>
      <w:r w:rsidR="00461A1A" w:rsidRPr="0069274C">
        <w:rPr>
          <w:rFonts w:ascii="Times New Roman" w:eastAsia="標楷體" w:hAnsi="Times New Roman" w:cs="Times New Roman"/>
        </w:rPr>
        <w:t xml:space="preserve"> </w:t>
      </w:r>
    </w:p>
    <w:p w:rsidR="00DE0A88" w:rsidRPr="0069274C" w:rsidRDefault="00DE0A88" w:rsidP="00156E21">
      <w:pPr>
        <w:pStyle w:val="a3"/>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7C1807" w:rsidRDefault="00461A1A" w:rsidP="00156E21">
      <w:pPr>
        <w:pStyle w:val="a3"/>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w:t>
      </w:r>
      <w:r w:rsidR="008522D2" w:rsidRPr="0069274C">
        <w:rPr>
          <w:rFonts w:ascii="Times New Roman" w:eastAsia="標楷體" w:hAnsi="Times New Roman" w:cs="Times New Roman"/>
        </w:rPr>
        <w:t>10</w:t>
      </w:r>
      <w:r w:rsidRPr="0069274C">
        <w:rPr>
          <w:rFonts w:ascii="Times New Roman" w:eastAsia="標楷體" w:hAnsi="Times New Roman" w:cs="Times New Roman"/>
        </w:rPr>
        <w:t>)</w:t>
      </w:r>
      <w:r w:rsidR="00DE0A88">
        <w:rPr>
          <w:rFonts w:ascii="Times New Roman" w:eastAsia="標楷體" w:hAnsi="Times New Roman" w:cs="Times New Roman"/>
        </w:rPr>
        <w:tab/>
      </w:r>
      <w:r w:rsidR="00F02579" w:rsidRPr="0069274C">
        <w:rPr>
          <w:rFonts w:ascii="Times New Roman" w:eastAsia="標楷體" w:hAnsi="Times New Roman" w:cs="Times New Roman"/>
        </w:rPr>
        <w:t>There is no allegation of any tax motive in the Taxpayer’s case</w:t>
      </w:r>
      <w:r w:rsidR="00962F95" w:rsidRPr="0069274C">
        <w:rPr>
          <w:rFonts w:ascii="Times New Roman" w:eastAsia="標楷體" w:hAnsi="Times New Roman" w:cs="Times New Roman"/>
        </w:rPr>
        <w:t>.</w:t>
      </w:r>
      <w:r w:rsidR="00F02579" w:rsidRPr="0069274C">
        <w:rPr>
          <w:rFonts w:ascii="Times New Roman" w:eastAsia="標楷體" w:hAnsi="Times New Roman" w:cs="Times New Roman"/>
        </w:rPr>
        <w:t xml:space="preserve"> </w:t>
      </w:r>
      <w:r w:rsidR="004C1F6C" w:rsidRPr="0069274C">
        <w:rPr>
          <w:rFonts w:ascii="Times New Roman" w:eastAsia="標楷體" w:hAnsi="Times New Roman" w:cs="Times New Roman"/>
        </w:rPr>
        <w:t>No tax motive was proven in the Taxpayer’s case.</w:t>
      </w:r>
    </w:p>
    <w:p w:rsidR="00DE0A88" w:rsidRPr="0069274C" w:rsidRDefault="00DE0A88" w:rsidP="00156E21">
      <w:pPr>
        <w:pStyle w:val="a3"/>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7C1807" w:rsidRDefault="00F02579" w:rsidP="00156E21">
      <w:pPr>
        <w:pStyle w:val="a3"/>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w:t>
      </w:r>
      <w:r w:rsidR="00571B4D" w:rsidRPr="0069274C">
        <w:rPr>
          <w:rFonts w:ascii="Times New Roman" w:eastAsia="標楷體" w:hAnsi="Times New Roman" w:cs="Times New Roman"/>
        </w:rPr>
        <w:t>1</w:t>
      </w:r>
      <w:r w:rsidR="008522D2" w:rsidRPr="0069274C">
        <w:rPr>
          <w:rFonts w:ascii="Times New Roman" w:eastAsia="標楷體" w:hAnsi="Times New Roman" w:cs="Times New Roman"/>
        </w:rPr>
        <w:t>1</w:t>
      </w:r>
      <w:r w:rsidRPr="0069274C">
        <w:rPr>
          <w:rFonts w:ascii="Times New Roman" w:eastAsia="標楷體" w:hAnsi="Times New Roman" w:cs="Times New Roman"/>
        </w:rPr>
        <w:t>)</w:t>
      </w:r>
      <w:r w:rsidR="00DE0A88">
        <w:rPr>
          <w:rFonts w:ascii="Times New Roman" w:eastAsia="標楷體" w:hAnsi="Times New Roman" w:cs="Times New Roman"/>
        </w:rPr>
        <w:tab/>
      </w:r>
      <w:r w:rsidRPr="0069274C">
        <w:rPr>
          <w:rFonts w:ascii="Times New Roman" w:eastAsia="標楷體" w:hAnsi="Times New Roman" w:cs="Times New Roman"/>
        </w:rPr>
        <w:t>The Revenue has no right to disallow a deduction on the basis that it is unreasonable</w:t>
      </w:r>
      <w:r w:rsidR="00962F95" w:rsidRPr="0069274C">
        <w:rPr>
          <w:rFonts w:ascii="Times New Roman" w:eastAsia="標楷體" w:hAnsi="Times New Roman" w:cs="Times New Roman"/>
        </w:rPr>
        <w:t>.</w:t>
      </w:r>
      <w:r w:rsidRPr="0069274C">
        <w:rPr>
          <w:rFonts w:ascii="Times New Roman" w:eastAsia="標楷體" w:hAnsi="Times New Roman" w:cs="Times New Roman"/>
        </w:rPr>
        <w:t xml:space="preserve"> </w:t>
      </w:r>
    </w:p>
    <w:p w:rsidR="00DE0A88" w:rsidRPr="0069274C" w:rsidRDefault="00DE0A88" w:rsidP="00156E21">
      <w:pPr>
        <w:pStyle w:val="a3"/>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332A72" w:rsidRDefault="00F02579" w:rsidP="00156E21">
      <w:pPr>
        <w:pStyle w:val="a3"/>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w:t>
      </w:r>
      <w:r w:rsidR="00B8023F" w:rsidRPr="0069274C">
        <w:rPr>
          <w:rFonts w:ascii="Times New Roman" w:eastAsia="標楷體" w:hAnsi="Times New Roman" w:cs="Times New Roman"/>
        </w:rPr>
        <w:t>1</w:t>
      </w:r>
      <w:r w:rsidR="008522D2" w:rsidRPr="0069274C">
        <w:rPr>
          <w:rFonts w:ascii="Times New Roman" w:eastAsia="標楷體" w:hAnsi="Times New Roman" w:cs="Times New Roman"/>
        </w:rPr>
        <w:t>2</w:t>
      </w:r>
      <w:r w:rsidRPr="0069274C">
        <w:rPr>
          <w:rFonts w:ascii="Times New Roman" w:eastAsia="標楷體" w:hAnsi="Times New Roman" w:cs="Times New Roman"/>
        </w:rPr>
        <w:t>)</w:t>
      </w:r>
      <w:r w:rsidR="00DE0A88">
        <w:rPr>
          <w:rFonts w:ascii="Times New Roman" w:eastAsia="標楷體" w:hAnsi="Times New Roman" w:cs="Times New Roman"/>
        </w:rPr>
        <w:tab/>
      </w:r>
      <w:r w:rsidR="00B8023F" w:rsidRPr="0069274C">
        <w:rPr>
          <w:rFonts w:ascii="Times New Roman" w:eastAsia="標楷體" w:hAnsi="Times New Roman" w:cs="Times New Roman"/>
        </w:rPr>
        <w:t xml:space="preserve">The fact that the Taxpayer was a SPV that formed part of the structure of a trust that was </w:t>
      </w:r>
      <w:r w:rsidR="006A5FFF" w:rsidRPr="0069274C">
        <w:rPr>
          <w:rFonts w:ascii="Times New Roman" w:eastAsia="標楷體" w:hAnsi="Times New Roman" w:cs="Times New Roman"/>
        </w:rPr>
        <w:t>REIT</w:t>
      </w:r>
      <w:r w:rsidR="006A5FFF">
        <w:rPr>
          <w:rFonts w:ascii="Times New Roman" w:eastAsia="標楷體" w:hAnsi="Times New Roman" w:cs="Times New Roman"/>
        </w:rPr>
        <w:t xml:space="preserve"> K</w:t>
      </w:r>
      <w:r w:rsidR="00B8023F" w:rsidRPr="0069274C">
        <w:rPr>
          <w:rFonts w:ascii="Times New Roman" w:eastAsia="標楷體" w:hAnsi="Times New Roman" w:cs="Times New Roman"/>
        </w:rPr>
        <w:t xml:space="preserve"> </w:t>
      </w:r>
      <w:r w:rsidR="008B0634" w:rsidRPr="0069274C">
        <w:rPr>
          <w:rFonts w:ascii="Times New Roman" w:eastAsia="標楷體" w:hAnsi="Times New Roman" w:cs="Times New Roman"/>
        </w:rPr>
        <w:t>(as constituted and regulated by</w:t>
      </w:r>
      <w:r w:rsidR="00DE5001" w:rsidRPr="0069274C">
        <w:rPr>
          <w:rFonts w:ascii="Times New Roman" w:eastAsia="標楷體" w:hAnsi="Times New Roman" w:cs="Times New Roman"/>
        </w:rPr>
        <w:t xml:space="preserve"> the approval letter issued by the SFC,</w:t>
      </w:r>
      <w:r w:rsidR="008B0634" w:rsidRPr="0069274C">
        <w:rPr>
          <w:rFonts w:ascii="Times New Roman" w:eastAsia="標楷體" w:hAnsi="Times New Roman" w:cs="Times New Roman"/>
          <w:lang w:eastAsia="zh-TW"/>
        </w:rPr>
        <w:t xml:space="preserve"> </w:t>
      </w:r>
      <w:r w:rsidR="008B0634" w:rsidRPr="0069274C">
        <w:rPr>
          <w:rFonts w:ascii="Times New Roman" w:eastAsia="標楷體" w:hAnsi="Times New Roman" w:cs="Times New Roman"/>
        </w:rPr>
        <w:t>the Trust Deed, the Offering Circular</w:t>
      </w:r>
      <w:r w:rsidR="00815071" w:rsidRPr="0069274C">
        <w:rPr>
          <w:rFonts w:ascii="Times New Roman" w:eastAsia="標楷體" w:hAnsi="Times New Roman" w:cs="Times New Roman"/>
        </w:rPr>
        <w:t xml:space="preserve"> and the REIT Code) </w:t>
      </w:r>
      <w:r w:rsidR="00B8023F" w:rsidRPr="0069274C">
        <w:rPr>
          <w:rFonts w:ascii="Times New Roman" w:eastAsia="標楷體" w:hAnsi="Times New Roman" w:cs="Times New Roman"/>
        </w:rPr>
        <w:t xml:space="preserve">did not affect the </w:t>
      </w:r>
      <w:r w:rsidR="00815071" w:rsidRPr="0069274C">
        <w:rPr>
          <w:rFonts w:ascii="Times New Roman" w:eastAsia="標楷體" w:hAnsi="Times New Roman" w:cs="Times New Roman"/>
        </w:rPr>
        <w:t>contentions above</w:t>
      </w:r>
      <w:r w:rsidR="00B8023F" w:rsidRPr="0069274C">
        <w:rPr>
          <w:rFonts w:ascii="Times New Roman" w:eastAsia="標楷體" w:hAnsi="Times New Roman" w:cs="Times New Roman"/>
        </w:rPr>
        <w:t>.</w:t>
      </w:r>
      <w:r w:rsidR="00571B4D" w:rsidRPr="0069274C">
        <w:rPr>
          <w:rFonts w:ascii="Times New Roman" w:eastAsia="標楷體" w:hAnsi="Times New Roman" w:cs="Times New Roman"/>
        </w:rPr>
        <w:t xml:space="preserve"> The two-tier management structure, with the Manager and the Property Manager providing separate and distinct services, was common to REITs in Hong Kong; there was nothing unusual or special to </w:t>
      </w:r>
      <w:r w:rsidR="006A5FFF" w:rsidRPr="0069274C">
        <w:rPr>
          <w:rFonts w:ascii="Times New Roman" w:eastAsia="標楷體" w:hAnsi="Times New Roman" w:cs="Times New Roman"/>
        </w:rPr>
        <w:t>REIT</w:t>
      </w:r>
      <w:r w:rsidR="006A5FFF">
        <w:rPr>
          <w:rFonts w:ascii="Times New Roman" w:eastAsia="標楷體" w:hAnsi="Times New Roman" w:cs="Times New Roman"/>
        </w:rPr>
        <w:t xml:space="preserve"> K</w:t>
      </w:r>
      <w:r w:rsidR="00571B4D" w:rsidRPr="0069274C">
        <w:rPr>
          <w:rFonts w:ascii="Times New Roman" w:eastAsia="標楷體" w:hAnsi="Times New Roman" w:cs="Times New Roman"/>
        </w:rPr>
        <w:t>.</w:t>
      </w:r>
      <w:r w:rsidR="00B8023F" w:rsidRPr="0069274C">
        <w:rPr>
          <w:rFonts w:ascii="Times New Roman" w:eastAsia="標楷體" w:hAnsi="Times New Roman" w:cs="Times New Roman"/>
        </w:rPr>
        <w:t xml:space="preserve"> The relevant questions should be whether the Taxpayer did pay the Manager’s fees and if it did, whether the payments were in the production of chargeable profits. </w:t>
      </w:r>
      <w:r w:rsidR="00815071" w:rsidRPr="0069274C">
        <w:rPr>
          <w:rFonts w:ascii="Times New Roman" w:eastAsia="標楷體" w:hAnsi="Times New Roman" w:cs="Times New Roman"/>
        </w:rPr>
        <w:t xml:space="preserve">Here, a SPV under </w:t>
      </w:r>
      <w:r w:rsidR="006A5FFF" w:rsidRPr="0069274C">
        <w:rPr>
          <w:rFonts w:ascii="Times New Roman" w:eastAsia="標楷體" w:hAnsi="Times New Roman" w:cs="Times New Roman"/>
        </w:rPr>
        <w:t>REIT</w:t>
      </w:r>
      <w:r w:rsidR="006A5FFF">
        <w:rPr>
          <w:rFonts w:ascii="Times New Roman" w:eastAsia="標楷體" w:hAnsi="Times New Roman" w:cs="Times New Roman"/>
        </w:rPr>
        <w:t xml:space="preserve"> K</w:t>
      </w:r>
      <w:r w:rsidR="00815071" w:rsidRPr="0069274C">
        <w:rPr>
          <w:rFonts w:ascii="Times New Roman" w:eastAsia="標楷體" w:hAnsi="Times New Roman" w:cs="Times New Roman"/>
        </w:rPr>
        <w:t xml:space="preserve"> was only required to pay for services it received or required for its own business. That was the case of the Taxpayer regarding the Manager’s Fees. </w:t>
      </w:r>
    </w:p>
    <w:p w:rsidR="00DE0A88" w:rsidRPr="0069274C" w:rsidRDefault="00DE0A88" w:rsidP="00156E21">
      <w:pPr>
        <w:pStyle w:val="a3"/>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962F95" w:rsidRDefault="00962F95" w:rsidP="00156E21">
      <w:pPr>
        <w:pStyle w:val="a3"/>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(1</w:t>
      </w:r>
      <w:r w:rsidR="008522D2" w:rsidRPr="0069274C">
        <w:rPr>
          <w:rFonts w:ascii="Times New Roman" w:eastAsia="標楷體" w:hAnsi="Times New Roman" w:cs="Times New Roman"/>
        </w:rPr>
        <w:t>3</w:t>
      </w:r>
      <w:r w:rsidRPr="0069274C">
        <w:rPr>
          <w:rFonts w:ascii="Times New Roman" w:eastAsia="標楷體" w:hAnsi="Times New Roman" w:cs="Times New Roman"/>
        </w:rPr>
        <w:t>)</w:t>
      </w:r>
      <w:r w:rsidR="00DE0A88">
        <w:rPr>
          <w:rFonts w:ascii="Times New Roman" w:eastAsia="標楷體" w:hAnsi="Times New Roman" w:cs="Times New Roman"/>
        </w:rPr>
        <w:tab/>
      </w:r>
      <w:r w:rsidRPr="0069274C">
        <w:rPr>
          <w:rFonts w:ascii="Times New Roman" w:eastAsia="標楷體" w:hAnsi="Times New Roman" w:cs="Times New Roman"/>
        </w:rPr>
        <w:t>All the conditions for deductibility under s</w:t>
      </w:r>
      <w:r w:rsidR="006A5FFF">
        <w:rPr>
          <w:rFonts w:ascii="Times New Roman" w:eastAsia="標楷體" w:hAnsi="Times New Roman" w:cs="Times New Roman"/>
        </w:rPr>
        <w:t>ection</w:t>
      </w:r>
      <w:r w:rsidRPr="0069274C">
        <w:rPr>
          <w:rFonts w:ascii="Times New Roman" w:eastAsia="標楷體" w:hAnsi="Times New Roman" w:cs="Times New Roman"/>
        </w:rPr>
        <w:t xml:space="preserve"> 16 of the IRO are satisfied. </w:t>
      </w:r>
      <w:r w:rsidR="006A5FFF">
        <w:rPr>
          <w:rFonts w:ascii="Times New Roman" w:eastAsia="標楷體" w:hAnsi="Times New Roman" w:cs="Times New Roman"/>
        </w:rPr>
        <w:t>‘</w:t>
      </w:r>
      <w:r w:rsidRPr="0069274C">
        <w:rPr>
          <w:rFonts w:ascii="Times New Roman" w:eastAsia="標楷體" w:hAnsi="Times New Roman" w:cs="Times New Roman"/>
        </w:rPr>
        <w:t>Outgoings</w:t>
      </w:r>
      <w:r w:rsidR="006A5FFF">
        <w:rPr>
          <w:rFonts w:ascii="Times New Roman" w:eastAsia="標楷體" w:hAnsi="Times New Roman" w:cs="Times New Roman"/>
        </w:rPr>
        <w:t>’</w:t>
      </w:r>
      <w:r w:rsidRPr="0069274C">
        <w:rPr>
          <w:rFonts w:ascii="Times New Roman" w:eastAsia="標楷體" w:hAnsi="Times New Roman" w:cs="Times New Roman"/>
        </w:rPr>
        <w:t xml:space="preserve"> incurred included an actual payment. </w:t>
      </w:r>
      <w:r w:rsidR="006A5FFF">
        <w:rPr>
          <w:rFonts w:ascii="Times New Roman" w:eastAsia="標楷體" w:hAnsi="Times New Roman" w:cs="Times New Roman"/>
        </w:rPr>
        <w:t>‘</w:t>
      </w:r>
      <w:r w:rsidRPr="0069274C">
        <w:rPr>
          <w:rFonts w:ascii="Times New Roman" w:eastAsia="標楷體" w:hAnsi="Times New Roman" w:cs="Times New Roman"/>
        </w:rPr>
        <w:t>Incurred</w:t>
      </w:r>
      <w:r w:rsidR="006A5FFF">
        <w:rPr>
          <w:rFonts w:ascii="Times New Roman" w:eastAsia="標楷體" w:hAnsi="Times New Roman" w:cs="Times New Roman"/>
        </w:rPr>
        <w:t>’</w:t>
      </w:r>
      <w:r w:rsidRPr="0069274C">
        <w:rPr>
          <w:rFonts w:ascii="Times New Roman" w:eastAsia="標楷體" w:hAnsi="Times New Roman" w:cs="Times New Roman"/>
        </w:rPr>
        <w:t xml:space="preserve"> meant payment out. </w:t>
      </w:r>
      <w:r w:rsidR="006A5FFF">
        <w:rPr>
          <w:rFonts w:ascii="Times New Roman" w:eastAsia="標楷體" w:hAnsi="Times New Roman" w:cs="Times New Roman"/>
        </w:rPr>
        <w:t>‘</w:t>
      </w:r>
      <w:r w:rsidRPr="0069274C">
        <w:rPr>
          <w:rFonts w:ascii="Times New Roman" w:eastAsia="標楷體" w:hAnsi="Times New Roman" w:cs="Times New Roman"/>
        </w:rPr>
        <w:t>Assumption of liability without actual payment at the time</w:t>
      </w:r>
      <w:r w:rsidR="006A5FFF">
        <w:rPr>
          <w:rFonts w:ascii="Times New Roman" w:eastAsia="標楷體" w:hAnsi="Times New Roman" w:cs="Times New Roman"/>
        </w:rPr>
        <w:t>’</w:t>
      </w:r>
      <w:r w:rsidRPr="0069274C">
        <w:rPr>
          <w:rFonts w:ascii="Times New Roman" w:eastAsia="標楷體" w:hAnsi="Times New Roman" w:cs="Times New Roman"/>
        </w:rPr>
        <w:t xml:space="preserve"> is an extension of the meaning of </w:t>
      </w:r>
      <w:r w:rsidR="006A5FFF">
        <w:rPr>
          <w:rFonts w:ascii="Times New Roman" w:eastAsia="標楷體" w:hAnsi="Times New Roman" w:cs="Times New Roman"/>
        </w:rPr>
        <w:t>‘</w:t>
      </w:r>
      <w:r w:rsidRPr="0069274C">
        <w:rPr>
          <w:rFonts w:ascii="Times New Roman" w:eastAsia="標楷體" w:hAnsi="Times New Roman" w:cs="Times New Roman"/>
        </w:rPr>
        <w:t>incurred</w:t>
      </w:r>
      <w:r w:rsidR="006A5FFF">
        <w:rPr>
          <w:rFonts w:ascii="Times New Roman" w:eastAsia="標楷體" w:hAnsi="Times New Roman" w:cs="Times New Roman"/>
        </w:rPr>
        <w:t>’</w:t>
      </w:r>
      <w:r w:rsidRPr="0069274C">
        <w:rPr>
          <w:rFonts w:ascii="Times New Roman" w:eastAsia="標楷體" w:hAnsi="Times New Roman" w:cs="Times New Roman"/>
        </w:rPr>
        <w:t xml:space="preserve">, </w:t>
      </w:r>
      <w:r w:rsidR="00DD0CC8" w:rsidRPr="0069274C">
        <w:rPr>
          <w:rFonts w:ascii="Times New Roman" w:eastAsia="標楷體" w:hAnsi="Times New Roman" w:cs="Times New Roman"/>
        </w:rPr>
        <w:t>not</w:t>
      </w:r>
      <w:r w:rsidRPr="0069274C">
        <w:rPr>
          <w:rFonts w:ascii="Times New Roman" w:eastAsia="標楷體" w:hAnsi="Times New Roman" w:cs="Times New Roman"/>
        </w:rPr>
        <w:t xml:space="preserve"> the other way round. </w:t>
      </w:r>
      <w:r w:rsidR="00DD0CC8" w:rsidRPr="0069274C">
        <w:rPr>
          <w:rFonts w:ascii="Times New Roman" w:eastAsia="標楷體" w:hAnsi="Times New Roman" w:cs="Times New Roman"/>
        </w:rPr>
        <w:t>The payment out, because it was by the Taxpayer itself, was incurring of the outgoing by the Taxpayer. On the evidence, it is clear that the Taxpayer did actually pay out the Manager’s Fees. The next condition to satisfy is the nexus between outgoings and expenses of the claimant and the production of chargeable profits, i</w:t>
      </w:r>
      <w:r w:rsidR="006A5FFF">
        <w:rPr>
          <w:rFonts w:ascii="Times New Roman" w:eastAsia="標楷體" w:hAnsi="Times New Roman" w:cs="Times New Roman"/>
        </w:rPr>
        <w:t>.</w:t>
      </w:r>
      <w:r w:rsidR="00DD0CC8" w:rsidRPr="0069274C">
        <w:rPr>
          <w:rFonts w:ascii="Times New Roman" w:eastAsia="標楷體" w:hAnsi="Times New Roman" w:cs="Times New Roman"/>
        </w:rPr>
        <w:t>e</w:t>
      </w:r>
      <w:r w:rsidR="006A5FFF">
        <w:rPr>
          <w:rFonts w:ascii="Times New Roman" w:eastAsia="標楷體" w:hAnsi="Times New Roman" w:cs="Times New Roman"/>
        </w:rPr>
        <w:t>.</w:t>
      </w:r>
      <w:r w:rsidR="00DD0CC8" w:rsidRPr="0069274C">
        <w:rPr>
          <w:rFonts w:ascii="Times New Roman" w:eastAsia="標楷體" w:hAnsi="Times New Roman" w:cs="Times New Roman"/>
        </w:rPr>
        <w:t xml:space="preserve"> whether </w:t>
      </w:r>
      <w:r w:rsidR="00BA7B16" w:rsidRPr="0069274C">
        <w:rPr>
          <w:rFonts w:ascii="Times New Roman" w:eastAsia="標楷體" w:hAnsi="Times New Roman" w:cs="Times New Roman"/>
        </w:rPr>
        <w:t>the payment or incurring of the outgoings and expenses was for the production of chargeable profits</w:t>
      </w:r>
      <w:r w:rsidR="00DD0CC8" w:rsidRPr="0069274C">
        <w:rPr>
          <w:rFonts w:ascii="Times New Roman" w:eastAsia="標楷體" w:hAnsi="Times New Roman" w:cs="Times New Roman"/>
        </w:rPr>
        <w:t>. As to th</w:t>
      </w:r>
      <w:r w:rsidR="00BA7B16" w:rsidRPr="0069274C">
        <w:rPr>
          <w:rFonts w:ascii="Times New Roman" w:eastAsia="標楷體" w:hAnsi="Times New Roman" w:cs="Times New Roman"/>
        </w:rPr>
        <w:t>is</w:t>
      </w:r>
      <w:r w:rsidR="00DD0CC8" w:rsidRPr="0069274C">
        <w:rPr>
          <w:rFonts w:ascii="Times New Roman" w:eastAsia="標楷體" w:hAnsi="Times New Roman" w:cs="Times New Roman"/>
        </w:rPr>
        <w:t xml:space="preserve"> nexus, the Taxpayer has produced witnesses and contemporaneous documents</w:t>
      </w:r>
      <w:r w:rsidR="00BA7B16" w:rsidRPr="0069274C">
        <w:rPr>
          <w:rFonts w:ascii="Times New Roman" w:eastAsia="標楷體" w:hAnsi="Times New Roman" w:cs="Times New Roman"/>
        </w:rPr>
        <w:t xml:space="preserve"> (which included those prepared immediately after the year end, recording the fact that the Manager’s Fee had been paid during the year and the amount)</w:t>
      </w:r>
      <w:r w:rsidR="00DD0CC8" w:rsidRPr="0069274C">
        <w:rPr>
          <w:rFonts w:ascii="Times New Roman" w:eastAsia="標楷體" w:hAnsi="Times New Roman" w:cs="Times New Roman"/>
        </w:rPr>
        <w:t xml:space="preserve"> to show that the Taxpayer did receive and the Manager did provide services which the Taxpayer used and required, and actually used and benefited from, in the production of chargeable profits. </w:t>
      </w:r>
    </w:p>
    <w:p w:rsidR="00DE0A88" w:rsidRPr="0069274C" w:rsidRDefault="00DE0A88" w:rsidP="00156E21">
      <w:pPr>
        <w:pStyle w:val="a3"/>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DD0CC8" w:rsidRDefault="00DD0CC8" w:rsidP="00156E21">
      <w:pPr>
        <w:pStyle w:val="a3"/>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(1</w:t>
      </w:r>
      <w:r w:rsidR="008522D2" w:rsidRPr="0069274C">
        <w:rPr>
          <w:rFonts w:ascii="Times New Roman" w:eastAsia="標楷體" w:hAnsi="Times New Roman" w:cs="Times New Roman"/>
        </w:rPr>
        <w:t>4</w:t>
      </w:r>
      <w:r w:rsidRPr="0069274C">
        <w:rPr>
          <w:rFonts w:ascii="Times New Roman" w:eastAsia="標楷體" w:hAnsi="Times New Roman" w:cs="Times New Roman"/>
        </w:rPr>
        <w:t>)</w:t>
      </w:r>
      <w:r w:rsidR="00DE0A88">
        <w:rPr>
          <w:rFonts w:ascii="Times New Roman" w:eastAsia="標楷體" w:hAnsi="Times New Roman" w:cs="Times New Roman"/>
        </w:rPr>
        <w:tab/>
      </w:r>
      <w:r w:rsidR="00BA7B16" w:rsidRPr="0069274C">
        <w:rPr>
          <w:rFonts w:ascii="Times New Roman" w:eastAsia="標楷體" w:hAnsi="Times New Roman" w:cs="Times New Roman"/>
        </w:rPr>
        <w:t>The real divide between the Taxpayer and the Revenue is whether actual payment, assuming that there was no antecedent legal liability for the Taxpayer to pay, is good enough for the purpose of s</w:t>
      </w:r>
      <w:r w:rsidR="006A5FFF">
        <w:rPr>
          <w:rFonts w:ascii="Times New Roman" w:eastAsia="標楷體" w:hAnsi="Times New Roman" w:cs="Times New Roman"/>
        </w:rPr>
        <w:t>ection</w:t>
      </w:r>
      <w:r w:rsidR="00BA7B16" w:rsidRPr="0069274C">
        <w:rPr>
          <w:rFonts w:ascii="Times New Roman" w:eastAsia="標楷體" w:hAnsi="Times New Roman" w:cs="Times New Roman"/>
        </w:rPr>
        <w:t xml:space="preserve"> 16 of the IRO. The Taxpayer submits </w:t>
      </w:r>
      <w:r w:rsidR="006A5FFF">
        <w:rPr>
          <w:rFonts w:ascii="Times New Roman" w:eastAsia="標楷體" w:hAnsi="Times New Roman" w:cs="Times New Roman"/>
        </w:rPr>
        <w:t>‘</w:t>
      </w:r>
      <w:r w:rsidR="00BA7B16" w:rsidRPr="0069274C">
        <w:rPr>
          <w:rFonts w:ascii="Times New Roman" w:eastAsia="標楷體" w:hAnsi="Times New Roman" w:cs="Times New Roman"/>
        </w:rPr>
        <w:t>yes</w:t>
      </w:r>
      <w:r w:rsidR="006A5FFF">
        <w:rPr>
          <w:rFonts w:ascii="Times New Roman" w:eastAsia="標楷體" w:hAnsi="Times New Roman" w:cs="Times New Roman"/>
        </w:rPr>
        <w:t>’</w:t>
      </w:r>
      <w:r w:rsidR="00BA7B16" w:rsidRPr="0069274C">
        <w:rPr>
          <w:rFonts w:ascii="Times New Roman" w:eastAsia="標楷體" w:hAnsi="Times New Roman" w:cs="Times New Roman"/>
        </w:rPr>
        <w:t xml:space="preserve"> because outgoings and </w:t>
      </w:r>
      <w:r w:rsidR="00BA7B16" w:rsidRPr="0069274C">
        <w:rPr>
          <w:rFonts w:ascii="Times New Roman" w:eastAsia="標楷體" w:hAnsi="Times New Roman" w:cs="Times New Roman"/>
        </w:rPr>
        <w:lastRenderedPageBreak/>
        <w:t>expenses incurred certainly and definitely include an actual payment out without the need for legal liability.</w:t>
      </w:r>
      <w:r w:rsidR="001116A7" w:rsidRPr="0069274C">
        <w:rPr>
          <w:rFonts w:ascii="Times New Roman" w:eastAsia="標楷體" w:hAnsi="Times New Roman" w:cs="Times New Roman"/>
        </w:rPr>
        <w:t xml:space="preserve"> Even entirely voluntary payment is deductible, provided that it is actually paid. In the Taxpayer’s case, the Manager’s Fees were actually paid.</w:t>
      </w:r>
      <w:r w:rsidR="00BA7B16" w:rsidRPr="0069274C">
        <w:rPr>
          <w:rFonts w:ascii="Times New Roman" w:eastAsia="標楷體" w:hAnsi="Times New Roman" w:cs="Times New Roman"/>
        </w:rPr>
        <w:t xml:space="preserve"> But even if legal liability is necessary, the cases on unjust enrichment would assist. </w:t>
      </w:r>
      <w:r w:rsidR="001116A7" w:rsidRPr="0069274C">
        <w:rPr>
          <w:rFonts w:ascii="Times New Roman" w:eastAsia="標楷體" w:hAnsi="Times New Roman" w:cs="Times New Roman"/>
        </w:rPr>
        <w:t>The Taxpayer knew the quid pro quo for accepting and enjoying the services offered by the Manager in exchange for payments which they agreed year after year. There was free acceptance in the sense that the Taxpayer agreed to accept the services of the Manager, knowing that the Man</w:t>
      </w:r>
      <w:r w:rsidR="004F7B1D" w:rsidRPr="0069274C">
        <w:rPr>
          <w:rFonts w:ascii="Times New Roman" w:eastAsia="標楷體" w:hAnsi="Times New Roman" w:cs="Times New Roman"/>
        </w:rPr>
        <w:t>a</w:t>
      </w:r>
      <w:r w:rsidR="001116A7" w:rsidRPr="0069274C">
        <w:rPr>
          <w:rFonts w:ascii="Times New Roman" w:eastAsia="標楷體" w:hAnsi="Times New Roman" w:cs="Times New Roman"/>
        </w:rPr>
        <w:t>ger expected to be paid. There was certainly an implied contract by the conduct of the parties.</w:t>
      </w:r>
    </w:p>
    <w:p w:rsidR="00DE0A88" w:rsidRPr="0069274C" w:rsidRDefault="00DE0A88" w:rsidP="00156E21">
      <w:pPr>
        <w:pStyle w:val="a3"/>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7C1807" w:rsidRPr="0069274C" w:rsidRDefault="00D76BBE" w:rsidP="00156E21">
      <w:pPr>
        <w:pStyle w:val="a3"/>
        <w:tabs>
          <w:tab w:val="left" w:pos="2107"/>
        </w:tabs>
        <w:overflowPunct w:val="0"/>
        <w:autoSpaceDE w:val="0"/>
        <w:autoSpaceDN w:val="0"/>
        <w:ind w:leftChars="638" w:left="2107" w:hangingChars="240" w:hanging="576"/>
        <w:jc w:val="both"/>
        <w:rPr>
          <w:rFonts w:ascii="Times New Roman" w:eastAsia="標楷體" w:hAnsi="Times New Roman" w:cs="Times New Roman"/>
          <w:lang w:eastAsia="zh-TW"/>
        </w:rPr>
      </w:pPr>
      <w:r w:rsidRPr="0069274C">
        <w:rPr>
          <w:rFonts w:ascii="Times New Roman" w:eastAsia="標楷體" w:hAnsi="Times New Roman" w:cs="Times New Roman"/>
          <w:lang w:eastAsia="zh-TW"/>
        </w:rPr>
        <w:t>(1</w:t>
      </w:r>
      <w:r w:rsidR="008522D2" w:rsidRPr="0069274C">
        <w:rPr>
          <w:rFonts w:ascii="Times New Roman" w:eastAsia="標楷體" w:hAnsi="Times New Roman" w:cs="Times New Roman"/>
          <w:lang w:eastAsia="zh-TW"/>
        </w:rPr>
        <w:t>5</w:t>
      </w:r>
      <w:r w:rsidRPr="0069274C">
        <w:rPr>
          <w:rFonts w:ascii="Times New Roman" w:eastAsia="標楷體" w:hAnsi="Times New Roman" w:cs="Times New Roman"/>
          <w:lang w:eastAsia="zh-TW"/>
        </w:rPr>
        <w:t>)</w:t>
      </w:r>
      <w:r w:rsidR="00DE0A88">
        <w:rPr>
          <w:rFonts w:ascii="Times New Roman" w:eastAsia="標楷體" w:hAnsi="Times New Roman" w:cs="Times New Roman"/>
          <w:lang w:eastAsia="zh-TW"/>
        </w:rPr>
        <w:tab/>
      </w:r>
      <w:r w:rsidRPr="0069274C">
        <w:rPr>
          <w:rFonts w:ascii="Times New Roman" w:eastAsia="標楷體" w:hAnsi="Times New Roman" w:cs="Times New Roman"/>
          <w:lang w:eastAsia="zh-TW"/>
        </w:rPr>
        <w:t xml:space="preserve">Regarding the apportionment of the Base Fee in the second year and the payment of the Base Fee for the first year in the second year, the Taxpayer’s case is that the actual payment of that amount of the Base Fee happened in the second year, so the incurring of that sum, the two-thirds Base Fee for the first year, was actually made in the second year. The sum was incurred in the second year and the deduction was claimed in respect of that year. It is permissible to have a deduction of an amount in year two for the purpose of producing profits which are chargeable to tax in year one or, for that matter, year three. </w:t>
      </w:r>
    </w:p>
    <w:p w:rsidR="0010426D" w:rsidRPr="0069274C" w:rsidRDefault="0010426D" w:rsidP="00156E21">
      <w:pPr>
        <w:overflowPunct w:val="0"/>
        <w:autoSpaceDE w:val="0"/>
        <w:autoSpaceDN w:val="0"/>
        <w:jc w:val="both"/>
        <w:rPr>
          <w:rFonts w:ascii="Times New Roman" w:eastAsia="標楷體" w:hAnsi="Times New Roman" w:cs="Times New Roman"/>
        </w:rPr>
      </w:pPr>
    </w:p>
    <w:p w:rsidR="008E7626" w:rsidRPr="0069274C" w:rsidRDefault="007C1807"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Mr Kwok for the</w:t>
      </w:r>
      <w:r w:rsidR="00332A72" w:rsidRPr="0069274C">
        <w:rPr>
          <w:rFonts w:ascii="Times New Roman" w:eastAsia="標楷體" w:hAnsi="Times New Roman" w:cs="Times New Roman"/>
        </w:rPr>
        <w:t xml:space="preserve"> </w:t>
      </w:r>
      <w:r w:rsidR="00BA5DB1" w:rsidRPr="0069274C">
        <w:rPr>
          <w:rFonts w:ascii="Times New Roman" w:eastAsia="標楷體" w:hAnsi="Times New Roman" w:cs="Times New Roman"/>
        </w:rPr>
        <w:t>Revenue</w:t>
      </w:r>
      <w:r w:rsidRPr="0069274C">
        <w:rPr>
          <w:rFonts w:ascii="Times New Roman" w:eastAsia="標楷體" w:hAnsi="Times New Roman" w:cs="Times New Roman"/>
        </w:rPr>
        <w:t xml:space="preserve"> provided this Board with written and oral submissions, which can be summarized as follows: </w:t>
      </w:r>
    </w:p>
    <w:p w:rsidR="008E7626" w:rsidRPr="0069274C" w:rsidRDefault="008E7626" w:rsidP="00156E21">
      <w:pPr>
        <w:overflowPunct w:val="0"/>
        <w:autoSpaceDE w:val="0"/>
        <w:autoSpaceDN w:val="0"/>
        <w:jc w:val="both"/>
        <w:rPr>
          <w:rFonts w:ascii="Times New Roman" w:eastAsia="標楷體" w:hAnsi="Times New Roman" w:cs="Times New Roman"/>
        </w:rPr>
      </w:pPr>
    </w:p>
    <w:p w:rsidR="007C1807" w:rsidRDefault="007C1807"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(1)</w:t>
      </w:r>
      <w:r w:rsidR="00DE0A88">
        <w:rPr>
          <w:rFonts w:ascii="Times New Roman" w:eastAsia="標楷體" w:hAnsi="Times New Roman" w:cs="Times New Roman"/>
        </w:rPr>
        <w:tab/>
      </w:r>
      <w:r w:rsidR="00154ABB" w:rsidRPr="0069274C">
        <w:rPr>
          <w:rFonts w:ascii="Times New Roman" w:eastAsia="標楷體" w:hAnsi="Times New Roman" w:cs="Times New Roman"/>
        </w:rPr>
        <w:t xml:space="preserve">The Hearing of this Appeal is a hearing de novo. </w:t>
      </w:r>
    </w:p>
    <w:p w:rsidR="00DE0A88" w:rsidRPr="0069274C" w:rsidRDefault="00DE0A88"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154ABB" w:rsidRDefault="00154ABB"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(2)</w:t>
      </w:r>
      <w:r w:rsidR="00DE0A88">
        <w:rPr>
          <w:rFonts w:ascii="Times New Roman" w:eastAsia="標楷體" w:hAnsi="Times New Roman" w:cs="Times New Roman"/>
        </w:rPr>
        <w:tab/>
      </w:r>
      <w:r w:rsidRPr="0069274C">
        <w:rPr>
          <w:rFonts w:ascii="Times New Roman" w:eastAsia="標楷體" w:hAnsi="Times New Roman" w:cs="Times New Roman"/>
        </w:rPr>
        <w:t xml:space="preserve">The Taxpayer has the burden of proof before this Board to show that the assessments appealed against are incorrect or excessive. </w:t>
      </w:r>
    </w:p>
    <w:p w:rsidR="00DE0A88" w:rsidRPr="0069274C" w:rsidRDefault="00DE0A88"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154ABB" w:rsidRDefault="00154ABB"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(3)</w:t>
      </w:r>
      <w:r w:rsidR="00DE0A88">
        <w:rPr>
          <w:rFonts w:ascii="Times New Roman" w:eastAsia="標楷體" w:hAnsi="Times New Roman" w:cs="Times New Roman"/>
        </w:rPr>
        <w:tab/>
      </w:r>
      <w:r w:rsidRPr="0069274C">
        <w:rPr>
          <w:rFonts w:ascii="Times New Roman" w:eastAsia="標楷體" w:hAnsi="Times New Roman" w:cs="Times New Roman"/>
        </w:rPr>
        <w:t xml:space="preserve">The Taxpayer’s claim for deduction of the Manager’s Fees fails because the Manager’s Fees were not incurred by the Taxpayer or </w:t>
      </w:r>
      <w:r w:rsidR="004F03E3" w:rsidRPr="0069274C">
        <w:rPr>
          <w:rFonts w:ascii="Times New Roman" w:eastAsia="標楷體" w:hAnsi="Times New Roman" w:cs="Times New Roman"/>
        </w:rPr>
        <w:t xml:space="preserve">not shown to be incurred by the Taxpayer. This is a factual issue. There is no evidence on the date when and the persons by whom the Taxpayer incurred the Manager’s Fees. Further and in any event, the objective or admitted facts and the contemporaneous documents contradicts the claim that the Taxpayer incurred the Manager’s Fees. </w:t>
      </w:r>
    </w:p>
    <w:p w:rsidR="00DE0A88" w:rsidRPr="0069274C" w:rsidRDefault="00DE0A88"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924F68" w:rsidRDefault="004F03E3"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(4)</w:t>
      </w:r>
      <w:r w:rsidR="00DE0A88">
        <w:rPr>
          <w:rFonts w:ascii="Times New Roman" w:eastAsia="標楷體" w:hAnsi="Times New Roman" w:cs="Times New Roman"/>
        </w:rPr>
        <w:tab/>
      </w:r>
      <w:r w:rsidR="00924F68" w:rsidRPr="0069274C">
        <w:rPr>
          <w:rFonts w:ascii="Times New Roman" w:eastAsia="標楷體" w:hAnsi="Times New Roman" w:cs="Times New Roman"/>
        </w:rPr>
        <w:t xml:space="preserve">The Taxpayer has to establish satisfaction of </w:t>
      </w:r>
      <w:r w:rsidR="00924F68" w:rsidRPr="0069274C">
        <w:rPr>
          <w:rFonts w:ascii="Times New Roman" w:eastAsia="標楷體" w:hAnsi="Times New Roman" w:cs="Times New Roman"/>
          <w:i/>
          <w:iCs/>
        </w:rPr>
        <w:t>all</w:t>
      </w:r>
      <w:r w:rsidR="00924F68" w:rsidRPr="0069274C">
        <w:rPr>
          <w:rFonts w:ascii="Times New Roman" w:eastAsia="標楷體" w:hAnsi="Times New Roman" w:cs="Times New Roman"/>
        </w:rPr>
        <w:t xml:space="preserve"> the conditions prescribed under section 16(1) of the IRO before deduction of the item is permitted. </w:t>
      </w:r>
    </w:p>
    <w:p w:rsidR="00DE0A88" w:rsidRPr="0069274C" w:rsidRDefault="00DE0A88"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4F03E3" w:rsidRDefault="00924F68"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(5)</w:t>
      </w:r>
      <w:r w:rsidR="00DE0A88">
        <w:rPr>
          <w:rFonts w:ascii="Times New Roman" w:eastAsia="標楷體" w:hAnsi="Times New Roman" w:cs="Times New Roman"/>
        </w:rPr>
        <w:tab/>
      </w:r>
      <w:r w:rsidR="004F03E3" w:rsidRPr="0069274C">
        <w:rPr>
          <w:rFonts w:ascii="Times New Roman" w:eastAsia="標楷體" w:hAnsi="Times New Roman" w:cs="Times New Roman"/>
        </w:rPr>
        <w:t>The first requirement under section 16</w:t>
      </w:r>
      <w:r w:rsidRPr="0069274C">
        <w:rPr>
          <w:rFonts w:ascii="Times New Roman" w:eastAsia="標楷體" w:hAnsi="Times New Roman" w:cs="Times New Roman"/>
        </w:rPr>
        <w:t>(1)</w:t>
      </w:r>
      <w:r w:rsidR="004F03E3" w:rsidRPr="0069274C">
        <w:rPr>
          <w:rFonts w:ascii="Times New Roman" w:eastAsia="標楷體" w:hAnsi="Times New Roman" w:cs="Times New Roman"/>
        </w:rPr>
        <w:t xml:space="preserve"> </w:t>
      </w:r>
      <w:r w:rsidRPr="0069274C">
        <w:rPr>
          <w:rFonts w:ascii="Times New Roman" w:eastAsia="標楷體" w:hAnsi="Times New Roman" w:cs="Times New Roman"/>
        </w:rPr>
        <w:t>i</w:t>
      </w:r>
      <w:r w:rsidR="004F03E3" w:rsidRPr="0069274C">
        <w:rPr>
          <w:rFonts w:ascii="Times New Roman" w:eastAsia="標楷體" w:hAnsi="Times New Roman" w:cs="Times New Roman"/>
        </w:rPr>
        <w:t xml:space="preserve">s that the taxpayer would have outgoing and expenses which is then qualified </w:t>
      </w:r>
      <w:r w:rsidR="006A5FFF">
        <w:rPr>
          <w:rFonts w:ascii="Times New Roman" w:eastAsia="標楷體" w:hAnsi="Times New Roman" w:cs="Times New Roman"/>
        </w:rPr>
        <w:t>‘</w:t>
      </w:r>
      <w:r w:rsidR="004F03E3" w:rsidRPr="0069274C">
        <w:rPr>
          <w:rFonts w:ascii="Times New Roman" w:eastAsia="標楷體" w:hAnsi="Times New Roman" w:cs="Times New Roman"/>
        </w:rPr>
        <w:t>… to the extent to which they are incurred during the basis period for that year of assessment</w:t>
      </w:r>
      <w:r w:rsidR="006A5FFF">
        <w:rPr>
          <w:rFonts w:ascii="Times New Roman" w:eastAsia="標楷體" w:hAnsi="Times New Roman" w:cs="Times New Roman"/>
        </w:rPr>
        <w:t>’</w:t>
      </w:r>
      <w:r w:rsidR="004F03E3" w:rsidRPr="0069274C">
        <w:rPr>
          <w:rFonts w:ascii="Times New Roman" w:eastAsia="標楷體" w:hAnsi="Times New Roman" w:cs="Times New Roman"/>
        </w:rPr>
        <w:t xml:space="preserve">. This indicates a time limit that the incurring </w:t>
      </w:r>
      <w:r w:rsidR="0086428B" w:rsidRPr="0069274C">
        <w:rPr>
          <w:rFonts w:ascii="Times New Roman" w:eastAsia="標楷體" w:hAnsi="Times New Roman" w:cs="Times New Roman"/>
        </w:rPr>
        <w:t xml:space="preserve">by the Taxpayer </w:t>
      </w:r>
      <w:r w:rsidR="004F03E3" w:rsidRPr="0069274C">
        <w:rPr>
          <w:rFonts w:ascii="Times New Roman" w:eastAsia="標楷體" w:hAnsi="Times New Roman" w:cs="Times New Roman"/>
        </w:rPr>
        <w:t xml:space="preserve">must happen during the basis period for the year in which </w:t>
      </w:r>
      <w:r w:rsidR="004F03E3" w:rsidRPr="0069274C">
        <w:rPr>
          <w:rFonts w:ascii="Times New Roman" w:eastAsia="標楷體" w:hAnsi="Times New Roman" w:cs="Times New Roman"/>
        </w:rPr>
        <w:lastRenderedPageBreak/>
        <w:t xml:space="preserve">deduction is sought. Where there is a post-year-end ratification, that is not </w:t>
      </w:r>
      <w:r w:rsidR="006A5FFF">
        <w:rPr>
          <w:rFonts w:ascii="Times New Roman" w:eastAsia="標楷體" w:hAnsi="Times New Roman" w:cs="Times New Roman"/>
        </w:rPr>
        <w:t>‘</w:t>
      </w:r>
      <w:r w:rsidR="004F03E3" w:rsidRPr="0069274C">
        <w:rPr>
          <w:rFonts w:ascii="Times New Roman" w:eastAsia="標楷體" w:hAnsi="Times New Roman" w:cs="Times New Roman"/>
        </w:rPr>
        <w:t>incurred during the basis period</w:t>
      </w:r>
      <w:r w:rsidR="006A5FFF">
        <w:rPr>
          <w:rFonts w:ascii="Times New Roman" w:eastAsia="標楷體" w:hAnsi="Times New Roman" w:cs="Times New Roman"/>
        </w:rPr>
        <w:t>’</w:t>
      </w:r>
      <w:r w:rsidR="004F03E3" w:rsidRPr="0069274C">
        <w:rPr>
          <w:rFonts w:ascii="Times New Roman" w:eastAsia="標楷體" w:hAnsi="Times New Roman" w:cs="Times New Roman"/>
        </w:rPr>
        <w:t xml:space="preserve">. The example on this point is the charging of the Base Fee for the first year of assessment, the decision for which was made post-year-end. Even if that is incurring, it is not during the basis period. </w:t>
      </w:r>
    </w:p>
    <w:p w:rsidR="00DE0A88" w:rsidRPr="0069274C" w:rsidRDefault="00DE0A88"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4105B3" w:rsidRDefault="004105B3"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(6)</w:t>
      </w:r>
      <w:r w:rsidR="00DE0A88">
        <w:rPr>
          <w:rFonts w:ascii="Times New Roman" w:eastAsia="標楷體" w:hAnsi="Times New Roman" w:cs="Times New Roman"/>
        </w:rPr>
        <w:tab/>
      </w:r>
      <w:r w:rsidR="004D47B1" w:rsidRPr="0069274C">
        <w:rPr>
          <w:rFonts w:ascii="Times New Roman" w:eastAsia="標楷體" w:hAnsi="Times New Roman" w:cs="Times New Roman"/>
        </w:rPr>
        <w:t xml:space="preserve">The point throughout this Appeal </w:t>
      </w:r>
      <w:r w:rsidR="006A0655" w:rsidRPr="0069274C">
        <w:rPr>
          <w:rFonts w:ascii="Times New Roman" w:eastAsia="標楷體" w:hAnsi="Times New Roman" w:cs="Times New Roman"/>
        </w:rPr>
        <w:t>is</w:t>
      </w:r>
      <w:r w:rsidR="004D47B1" w:rsidRPr="0069274C">
        <w:rPr>
          <w:rFonts w:ascii="Times New Roman" w:eastAsia="標楷體" w:hAnsi="Times New Roman" w:cs="Times New Roman"/>
        </w:rPr>
        <w:t xml:space="preserve"> whether it was incurred by the Taxpayer and if so, when. The point </w:t>
      </w:r>
      <w:r w:rsidR="006A0655" w:rsidRPr="0069274C">
        <w:rPr>
          <w:rFonts w:ascii="Times New Roman" w:eastAsia="標楷體" w:hAnsi="Times New Roman" w:cs="Times New Roman"/>
        </w:rPr>
        <w:t>is</w:t>
      </w:r>
      <w:r w:rsidR="004D47B1" w:rsidRPr="0069274C">
        <w:rPr>
          <w:rFonts w:ascii="Times New Roman" w:eastAsia="標楷體" w:hAnsi="Times New Roman" w:cs="Times New Roman"/>
        </w:rPr>
        <w:t xml:space="preserve"> plainly a question of fact and must be proved by evidence. There </w:t>
      </w:r>
      <w:r w:rsidR="006A0655" w:rsidRPr="0069274C">
        <w:rPr>
          <w:rFonts w:ascii="Times New Roman" w:eastAsia="標楷體" w:hAnsi="Times New Roman" w:cs="Times New Roman"/>
        </w:rPr>
        <w:t>is</w:t>
      </w:r>
      <w:r w:rsidR="004D47B1" w:rsidRPr="0069274C">
        <w:rPr>
          <w:rFonts w:ascii="Times New Roman" w:eastAsia="標楷體" w:hAnsi="Times New Roman" w:cs="Times New Roman"/>
        </w:rPr>
        <w:t xml:space="preserve"> no express evidence of what the Taxpayer did and by whom. The documents and the conduct, as well as the Admitted Facts, </w:t>
      </w:r>
      <w:r w:rsidR="006A0655" w:rsidRPr="0069274C">
        <w:rPr>
          <w:rFonts w:ascii="Times New Roman" w:eastAsia="標楷體" w:hAnsi="Times New Roman" w:cs="Times New Roman"/>
        </w:rPr>
        <w:t>are</w:t>
      </w:r>
      <w:r w:rsidR="004D47B1" w:rsidRPr="0069274C">
        <w:rPr>
          <w:rFonts w:ascii="Times New Roman" w:eastAsia="標楷體" w:hAnsi="Times New Roman" w:cs="Times New Roman"/>
        </w:rPr>
        <w:t xml:space="preserve"> inconsistent with the Taxpayer having incurred Manager’s Fees. </w:t>
      </w:r>
      <w:r w:rsidR="002A49AA" w:rsidRPr="0069274C">
        <w:rPr>
          <w:rFonts w:ascii="Times New Roman" w:eastAsia="標楷體" w:hAnsi="Times New Roman" w:cs="Times New Roman"/>
        </w:rPr>
        <w:t>N</w:t>
      </w:r>
      <w:r w:rsidR="004D47B1" w:rsidRPr="0069274C">
        <w:rPr>
          <w:rFonts w:ascii="Times New Roman" w:eastAsia="標楷體" w:hAnsi="Times New Roman" w:cs="Times New Roman"/>
        </w:rPr>
        <w:t>othing in the scheme documents including the Trust Deed</w:t>
      </w:r>
      <w:r w:rsidR="002A49AA" w:rsidRPr="0069274C">
        <w:rPr>
          <w:rFonts w:ascii="Times New Roman" w:eastAsia="標楷體" w:hAnsi="Times New Roman" w:cs="Times New Roman"/>
        </w:rPr>
        <w:t xml:space="preserve"> and the Property Manager Agreement</w:t>
      </w:r>
      <w:r w:rsidR="004D47B1" w:rsidRPr="0069274C">
        <w:rPr>
          <w:rFonts w:ascii="Times New Roman" w:eastAsia="標楷體" w:hAnsi="Times New Roman" w:cs="Times New Roman"/>
        </w:rPr>
        <w:t xml:space="preserve"> show that the Taxpayer did an act which incurred liability. Rather what the management did was consistent only with the Taxpayer not having incurred liability.</w:t>
      </w:r>
      <w:r w:rsidR="002A49AA" w:rsidRPr="0069274C">
        <w:rPr>
          <w:rFonts w:ascii="Times New Roman" w:eastAsia="標楷體" w:hAnsi="Times New Roman" w:cs="Times New Roman"/>
        </w:rPr>
        <w:t xml:space="preserve"> The statements in the Offering Circular related to </w:t>
      </w:r>
      <w:r w:rsidR="006A5FFF">
        <w:rPr>
          <w:rFonts w:ascii="Times New Roman" w:eastAsia="標楷體" w:hAnsi="Times New Roman" w:cs="Times New Roman"/>
        </w:rPr>
        <w:t>‘</w:t>
      </w:r>
      <w:r w:rsidR="002A49AA" w:rsidRPr="0069274C">
        <w:rPr>
          <w:rFonts w:ascii="Times New Roman" w:eastAsia="標楷體" w:hAnsi="Times New Roman" w:cs="Times New Roman"/>
        </w:rPr>
        <w:t>non-deductible expenses</w:t>
      </w:r>
      <w:r w:rsidR="006A5FFF">
        <w:rPr>
          <w:rFonts w:ascii="Times New Roman" w:eastAsia="標楷體" w:hAnsi="Times New Roman" w:cs="Times New Roman"/>
        </w:rPr>
        <w:t>’</w:t>
      </w:r>
      <w:r w:rsidR="002A49AA" w:rsidRPr="0069274C">
        <w:rPr>
          <w:rFonts w:ascii="Times New Roman" w:eastAsia="標楷體" w:hAnsi="Times New Roman" w:cs="Times New Roman"/>
        </w:rPr>
        <w:t xml:space="preserve"> </w:t>
      </w:r>
      <w:r w:rsidR="006A0655" w:rsidRPr="0069274C">
        <w:rPr>
          <w:rFonts w:ascii="Times New Roman" w:eastAsia="標楷體" w:hAnsi="Times New Roman" w:cs="Times New Roman"/>
        </w:rPr>
        <w:t>are</w:t>
      </w:r>
      <w:r w:rsidR="002A49AA" w:rsidRPr="0069274C">
        <w:rPr>
          <w:rFonts w:ascii="Times New Roman" w:eastAsia="標楷體" w:hAnsi="Times New Roman" w:cs="Times New Roman"/>
        </w:rPr>
        <w:t xml:space="preserve"> never specific on what proportion of the Manager’s Fee and for whom the expense(s) </w:t>
      </w:r>
      <w:r w:rsidR="006A0655" w:rsidRPr="0069274C">
        <w:rPr>
          <w:rFonts w:ascii="Times New Roman" w:eastAsia="標楷體" w:hAnsi="Times New Roman" w:cs="Times New Roman"/>
        </w:rPr>
        <w:t>are</w:t>
      </w:r>
      <w:r w:rsidR="002A49AA" w:rsidRPr="0069274C">
        <w:rPr>
          <w:rFonts w:ascii="Times New Roman" w:eastAsia="標楷體" w:hAnsi="Times New Roman" w:cs="Times New Roman"/>
        </w:rPr>
        <w:t xml:space="preserve"> non-deductible.</w:t>
      </w:r>
      <w:r w:rsidR="004D47B1" w:rsidRPr="0069274C">
        <w:rPr>
          <w:rFonts w:ascii="Times New Roman" w:eastAsia="標楷體" w:hAnsi="Times New Roman" w:cs="Times New Roman"/>
        </w:rPr>
        <w:t xml:space="preserve"> The minutes of the Taxpayer that approved the payment of the Manager’s Fees for all the years were post-year-end and therefore post-accounting. </w:t>
      </w:r>
      <w:r w:rsidR="002A49AA" w:rsidRPr="0069274C">
        <w:rPr>
          <w:rFonts w:ascii="Times New Roman" w:eastAsia="標楷體" w:hAnsi="Times New Roman" w:cs="Times New Roman"/>
        </w:rPr>
        <w:t xml:space="preserve">On each of the two occasions when the ratio for the Base Fee were considered, the Taxpayer was not present. </w:t>
      </w:r>
      <w:r w:rsidR="004D47B1" w:rsidRPr="0069274C">
        <w:rPr>
          <w:rFonts w:ascii="Times New Roman" w:eastAsia="標楷體" w:hAnsi="Times New Roman" w:cs="Times New Roman"/>
        </w:rPr>
        <w:t>The point concerning incurring the obligation ha</w:t>
      </w:r>
      <w:r w:rsidR="006A0655" w:rsidRPr="0069274C">
        <w:rPr>
          <w:rFonts w:ascii="Times New Roman" w:eastAsia="標楷體" w:hAnsi="Times New Roman" w:cs="Times New Roman"/>
        </w:rPr>
        <w:t>s</w:t>
      </w:r>
      <w:r w:rsidR="004D47B1" w:rsidRPr="0069274C">
        <w:rPr>
          <w:rFonts w:ascii="Times New Roman" w:eastAsia="標楷體" w:hAnsi="Times New Roman" w:cs="Times New Roman"/>
        </w:rPr>
        <w:t xml:space="preserve"> to do with what happened during the basis period, when the business was supposed to be done, and repeated year after year. </w:t>
      </w:r>
    </w:p>
    <w:p w:rsidR="00DE0A88" w:rsidRPr="0069274C" w:rsidRDefault="00DE0A88"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4D47B1" w:rsidRDefault="004D47B1"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(7)</w:t>
      </w:r>
      <w:r w:rsidR="00DE0A88">
        <w:rPr>
          <w:rFonts w:ascii="Times New Roman" w:eastAsia="標楷體" w:hAnsi="Times New Roman" w:cs="Times New Roman"/>
        </w:rPr>
        <w:tab/>
      </w:r>
      <w:r w:rsidR="002A49AA" w:rsidRPr="0069274C">
        <w:rPr>
          <w:rFonts w:ascii="Times New Roman" w:eastAsia="標楷體" w:hAnsi="Times New Roman" w:cs="Times New Roman"/>
        </w:rPr>
        <w:t xml:space="preserve">The Taxpayer’s grounds of appeal </w:t>
      </w:r>
      <w:r w:rsidR="006A0655" w:rsidRPr="0069274C">
        <w:rPr>
          <w:rFonts w:ascii="Times New Roman" w:eastAsia="標楷體" w:hAnsi="Times New Roman" w:cs="Times New Roman"/>
        </w:rPr>
        <w:t>are</w:t>
      </w:r>
      <w:r w:rsidR="002A49AA" w:rsidRPr="0069274C">
        <w:rPr>
          <w:rFonts w:ascii="Times New Roman" w:eastAsia="標楷體" w:hAnsi="Times New Roman" w:cs="Times New Roman"/>
        </w:rPr>
        <w:t xml:space="preserve"> discussed. </w:t>
      </w:r>
      <w:r w:rsidR="00EE191E" w:rsidRPr="0069274C">
        <w:rPr>
          <w:rFonts w:ascii="Times New Roman" w:eastAsia="標楷體" w:hAnsi="Times New Roman" w:cs="Times New Roman"/>
        </w:rPr>
        <w:t xml:space="preserve">While the Ground 1 and Ground 2 contend that the Manager’s Fees were deductible, Grounds 3 to 5 </w:t>
      </w:r>
      <w:r w:rsidR="006A0655" w:rsidRPr="0069274C">
        <w:rPr>
          <w:rFonts w:ascii="Times New Roman" w:eastAsia="標楷體" w:hAnsi="Times New Roman" w:cs="Times New Roman"/>
        </w:rPr>
        <w:t>are</w:t>
      </w:r>
      <w:r w:rsidR="00EE191E" w:rsidRPr="0069274C">
        <w:rPr>
          <w:rFonts w:ascii="Times New Roman" w:eastAsia="標楷體" w:hAnsi="Times New Roman" w:cs="Times New Roman"/>
        </w:rPr>
        <w:t xml:space="preserve"> problematic in that in an appeal to the Board of Review, which conducts a hearing de novo, whether the Deputy Commissioner erred </w:t>
      </w:r>
      <w:r w:rsidR="006A0655" w:rsidRPr="0069274C">
        <w:rPr>
          <w:rFonts w:ascii="Times New Roman" w:eastAsia="標楷體" w:hAnsi="Times New Roman" w:cs="Times New Roman"/>
        </w:rPr>
        <w:t>is</w:t>
      </w:r>
      <w:r w:rsidR="00EE191E" w:rsidRPr="0069274C">
        <w:rPr>
          <w:rFonts w:ascii="Times New Roman" w:eastAsia="標楷體" w:hAnsi="Times New Roman" w:cs="Times New Roman"/>
        </w:rPr>
        <w:t xml:space="preserve"> neither here nor there. In so far it </w:t>
      </w:r>
      <w:r w:rsidR="006A0655" w:rsidRPr="0069274C">
        <w:rPr>
          <w:rFonts w:ascii="Times New Roman" w:eastAsia="標楷體" w:hAnsi="Times New Roman" w:cs="Times New Roman"/>
        </w:rPr>
        <w:t>is</w:t>
      </w:r>
      <w:r w:rsidR="00EE191E" w:rsidRPr="0069274C">
        <w:rPr>
          <w:rFonts w:ascii="Times New Roman" w:eastAsia="標楷體" w:hAnsi="Times New Roman" w:cs="Times New Roman"/>
        </w:rPr>
        <w:t xml:space="preserve"> claimed in Ground 4 that if the Taxpayer did not pay the court would compel it do so on the grounds of free acceptance of failure of consideration, there was never any free acceptance as the Taxpayer did not take part in almost the whole process. And whether or not the court would compel the Taxpayer to pay the Man</w:t>
      </w:r>
      <w:r w:rsidR="004F7B1D" w:rsidRPr="0069274C">
        <w:rPr>
          <w:rFonts w:ascii="Times New Roman" w:eastAsia="標楷體" w:hAnsi="Times New Roman" w:cs="Times New Roman"/>
        </w:rPr>
        <w:t>a</w:t>
      </w:r>
      <w:r w:rsidR="00EE191E" w:rsidRPr="0069274C">
        <w:rPr>
          <w:rFonts w:ascii="Times New Roman" w:eastAsia="標楷體" w:hAnsi="Times New Roman" w:cs="Times New Roman"/>
        </w:rPr>
        <w:t xml:space="preserve">ger, that </w:t>
      </w:r>
      <w:r w:rsidR="006A0655" w:rsidRPr="0069274C">
        <w:rPr>
          <w:rFonts w:ascii="Times New Roman" w:eastAsia="標楷體" w:hAnsi="Times New Roman" w:cs="Times New Roman"/>
        </w:rPr>
        <w:t>is</w:t>
      </w:r>
      <w:r w:rsidR="00EE191E" w:rsidRPr="0069274C">
        <w:rPr>
          <w:rFonts w:ascii="Times New Roman" w:eastAsia="標楷體" w:hAnsi="Times New Roman" w:cs="Times New Roman"/>
        </w:rPr>
        <w:t xml:space="preserve"> a matter between the two parties and ha</w:t>
      </w:r>
      <w:r w:rsidR="006A0655" w:rsidRPr="0069274C">
        <w:rPr>
          <w:rFonts w:ascii="Times New Roman" w:eastAsia="標楷體" w:hAnsi="Times New Roman" w:cs="Times New Roman"/>
        </w:rPr>
        <w:t>s</w:t>
      </w:r>
      <w:r w:rsidR="00EE191E" w:rsidRPr="0069274C">
        <w:rPr>
          <w:rFonts w:ascii="Times New Roman" w:eastAsia="標楷體" w:hAnsi="Times New Roman" w:cs="Times New Roman"/>
        </w:rPr>
        <w:t xml:space="preserve"> got nothing to do with taxation. The matter in Ground 4A </w:t>
      </w:r>
      <w:r w:rsidR="006A0655" w:rsidRPr="0069274C">
        <w:rPr>
          <w:rFonts w:ascii="Times New Roman" w:eastAsia="標楷體" w:hAnsi="Times New Roman" w:cs="Times New Roman"/>
        </w:rPr>
        <w:t>cannot</w:t>
      </w:r>
      <w:r w:rsidR="00EE191E" w:rsidRPr="0069274C">
        <w:rPr>
          <w:rFonts w:ascii="Times New Roman" w:eastAsia="標楷體" w:hAnsi="Times New Roman" w:cs="Times New Roman"/>
        </w:rPr>
        <w:t xml:space="preserve"> not be implied as that was repugnant to the undisputed facts. </w:t>
      </w:r>
    </w:p>
    <w:p w:rsidR="00DE0A88" w:rsidRPr="0069274C" w:rsidRDefault="00DE0A88"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1D0938" w:rsidRDefault="001D0938"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(8)</w:t>
      </w:r>
      <w:r w:rsidR="00DE0A88">
        <w:rPr>
          <w:rFonts w:ascii="Times New Roman" w:eastAsia="標楷體" w:hAnsi="Times New Roman" w:cs="Times New Roman"/>
        </w:rPr>
        <w:tab/>
      </w:r>
      <w:r w:rsidR="0010196C" w:rsidRPr="0069274C">
        <w:rPr>
          <w:rFonts w:ascii="Times New Roman" w:eastAsia="標楷體" w:hAnsi="Times New Roman" w:cs="Times New Roman"/>
        </w:rPr>
        <w:t xml:space="preserve">The Taxpayer’s contention that </w:t>
      </w:r>
      <w:r w:rsidR="006A0655" w:rsidRPr="0069274C">
        <w:rPr>
          <w:rFonts w:ascii="Times New Roman" w:eastAsia="標楷體" w:hAnsi="Times New Roman" w:cs="Times New Roman"/>
        </w:rPr>
        <w:t xml:space="preserve">the </w:t>
      </w:r>
      <w:r w:rsidR="00296679" w:rsidRPr="0069274C">
        <w:rPr>
          <w:rFonts w:ascii="Times New Roman" w:eastAsia="標楷體" w:hAnsi="Times New Roman" w:cs="Times New Roman"/>
        </w:rPr>
        <w:t>Manager’s Fees</w:t>
      </w:r>
      <w:r w:rsidR="006A0655" w:rsidRPr="0069274C">
        <w:rPr>
          <w:rFonts w:ascii="Times New Roman" w:eastAsia="標楷體" w:hAnsi="Times New Roman" w:cs="Times New Roman"/>
        </w:rPr>
        <w:t xml:space="preserve"> are deductible under s</w:t>
      </w:r>
      <w:r w:rsidR="006A5FFF">
        <w:rPr>
          <w:rFonts w:ascii="Times New Roman" w:eastAsia="標楷體" w:hAnsi="Times New Roman" w:cs="Times New Roman"/>
        </w:rPr>
        <w:t>ection</w:t>
      </w:r>
      <w:r w:rsidR="006A0655" w:rsidRPr="0069274C">
        <w:rPr>
          <w:rFonts w:ascii="Times New Roman" w:eastAsia="標楷體" w:hAnsi="Times New Roman" w:cs="Times New Roman"/>
        </w:rPr>
        <w:t xml:space="preserve"> 16 of the IRO as the Taxpayer did actually pay the Manager’s Fees to the Manager and the payments were for the production of chargeable profits is wrong. The qualifier in s</w:t>
      </w:r>
      <w:r w:rsidR="006A5FFF">
        <w:rPr>
          <w:rFonts w:ascii="Times New Roman" w:eastAsia="標楷體" w:hAnsi="Times New Roman" w:cs="Times New Roman"/>
        </w:rPr>
        <w:t>ection</w:t>
      </w:r>
      <w:r w:rsidR="006A0655" w:rsidRPr="0069274C">
        <w:rPr>
          <w:rFonts w:ascii="Times New Roman" w:eastAsia="標楷體" w:hAnsi="Times New Roman" w:cs="Times New Roman"/>
        </w:rPr>
        <w:t xml:space="preserve"> 16 of </w:t>
      </w:r>
      <w:r w:rsidR="006A5FFF">
        <w:rPr>
          <w:rFonts w:ascii="Times New Roman" w:eastAsia="標楷體" w:hAnsi="Times New Roman" w:cs="Times New Roman"/>
        </w:rPr>
        <w:t>‘</w:t>
      </w:r>
      <w:r w:rsidR="006A0655" w:rsidRPr="0069274C">
        <w:rPr>
          <w:rFonts w:ascii="Times New Roman" w:eastAsia="標楷體" w:hAnsi="Times New Roman" w:cs="Times New Roman"/>
        </w:rPr>
        <w:t>incurred … by such person</w:t>
      </w:r>
      <w:r w:rsidR="006A5FFF">
        <w:rPr>
          <w:rFonts w:ascii="Times New Roman" w:eastAsia="標楷體" w:hAnsi="Times New Roman" w:cs="Times New Roman"/>
        </w:rPr>
        <w:t>’</w:t>
      </w:r>
      <w:r w:rsidR="006A0655" w:rsidRPr="0069274C">
        <w:rPr>
          <w:rFonts w:ascii="Times New Roman" w:eastAsia="標楷體" w:hAnsi="Times New Roman" w:cs="Times New Roman"/>
        </w:rPr>
        <w:t xml:space="preserve"> applies not only to expenses that had yet to be paid by a taxpayer </w:t>
      </w:r>
      <w:r w:rsidR="00941D66">
        <w:rPr>
          <w:rFonts w:ascii="Times New Roman" w:eastAsia="標楷體" w:hAnsi="Times New Roman" w:cs="Times New Roman"/>
        </w:rPr>
        <w:t xml:space="preserve">but </w:t>
      </w:r>
      <w:r w:rsidR="006A0655" w:rsidRPr="0069274C">
        <w:rPr>
          <w:rFonts w:ascii="Times New Roman" w:eastAsia="標楷體" w:hAnsi="Times New Roman" w:cs="Times New Roman"/>
        </w:rPr>
        <w:t>also to outgoing</w:t>
      </w:r>
      <w:r w:rsidR="00DC4F6F" w:rsidRPr="0069274C">
        <w:rPr>
          <w:rFonts w:ascii="Times New Roman" w:eastAsia="標楷體" w:hAnsi="Times New Roman" w:cs="Times New Roman"/>
        </w:rPr>
        <w:t>s</w:t>
      </w:r>
      <w:r w:rsidR="006A0655" w:rsidRPr="0069274C">
        <w:rPr>
          <w:rFonts w:ascii="Times New Roman" w:eastAsia="標楷體" w:hAnsi="Times New Roman" w:cs="Times New Roman"/>
        </w:rPr>
        <w:t xml:space="preserve"> that had already been paid. In other words, to qualify for deduction, the sums that had </w:t>
      </w:r>
      <w:r w:rsidR="006A0655" w:rsidRPr="0069274C">
        <w:rPr>
          <w:rFonts w:ascii="Times New Roman" w:eastAsia="標楷體" w:hAnsi="Times New Roman" w:cs="Times New Roman"/>
        </w:rPr>
        <w:lastRenderedPageBreak/>
        <w:t xml:space="preserve">been paid must also have been incurred by the taxpayer in question during the basis period for the production of profits. The need for there to have been an </w:t>
      </w:r>
      <w:r w:rsidR="006A5FFF">
        <w:rPr>
          <w:rFonts w:ascii="Times New Roman" w:eastAsia="標楷體" w:hAnsi="Times New Roman" w:cs="Times New Roman"/>
        </w:rPr>
        <w:t>‘</w:t>
      </w:r>
      <w:r w:rsidR="006A0655" w:rsidRPr="0069274C">
        <w:rPr>
          <w:rFonts w:ascii="Times New Roman" w:eastAsia="標楷體" w:hAnsi="Times New Roman" w:cs="Times New Roman"/>
        </w:rPr>
        <w:t>obligation to pay</w:t>
      </w:r>
      <w:r w:rsidR="006A5FFF">
        <w:rPr>
          <w:rFonts w:ascii="Times New Roman" w:eastAsia="標楷體" w:hAnsi="Times New Roman" w:cs="Times New Roman"/>
        </w:rPr>
        <w:t>’</w:t>
      </w:r>
      <w:r w:rsidR="006A0655" w:rsidRPr="0069274C">
        <w:rPr>
          <w:rFonts w:ascii="Times New Roman" w:eastAsia="標楷體" w:hAnsi="Times New Roman" w:cs="Times New Roman"/>
        </w:rPr>
        <w:t xml:space="preserve"> or </w:t>
      </w:r>
      <w:r w:rsidR="006A5FFF">
        <w:rPr>
          <w:rFonts w:ascii="Times New Roman" w:eastAsia="標楷體" w:hAnsi="Times New Roman" w:cs="Times New Roman"/>
        </w:rPr>
        <w:t>‘</w:t>
      </w:r>
      <w:r w:rsidR="006A0655" w:rsidRPr="0069274C">
        <w:rPr>
          <w:rFonts w:ascii="Times New Roman" w:eastAsia="標楷體" w:hAnsi="Times New Roman" w:cs="Times New Roman"/>
        </w:rPr>
        <w:t>assumption of liability to pay</w:t>
      </w:r>
      <w:r w:rsidR="006A5FFF">
        <w:rPr>
          <w:rFonts w:ascii="Times New Roman" w:eastAsia="標楷體" w:hAnsi="Times New Roman" w:cs="Times New Roman"/>
        </w:rPr>
        <w:t>’</w:t>
      </w:r>
      <w:r w:rsidR="006A0655" w:rsidRPr="0069274C">
        <w:rPr>
          <w:rFonts w:ascii="Times New Roman" w:eastAsia="標楷體" w:hAnsi="Times New Roman" w:cs="Times New Roman"/>
        </w:rPr>
        <w:t xml:space="preserve"> on the part of the taxpayer is not dispensed with by the mere fact that the sums had already actually been paid. </w:t>
      </w:r>
    </w:p>
    <w:p w:rsidR="00DE0A88" w:rsidRPr="0069274C" w:rsidRDefault="00DE0A88"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4F03E3" w:rsidRDefault="00EE191E"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w:t>
      </w:r>
      <w:r w:rsidR="001D0938" w:rsidRPr="0069274C">
        <w:rPr>
          <w:rFonts w:ascii="Times New Roman" w:eastAsia="標楷體" w:hAnsi="Times New Roman" w:cs="Times New Roman"/>
        </w:rPr>
        <w:t>9</w:t>
      </w:r>
      <w:r w:rsidRPr="0069274C">
        <w:rPr>
          <w:rFonts w:ascii="Times New Roman" w:eastAsia="標楷體" w:hAnsi="Times New Roman" w:cs="Times New Roman"/>
        </w:rPr>
        <w:t>)</w:t>
      </w:r>
      <w:r w:rsidR="00DE0A88">
        <w:rPr>
          <w:rFonts w:ascii="Times New Roman" w:eastAsia="標楷體" w:hAnsi="Times New Roman" w:cs="Times New Roman"/>
        </w:rPr>
        <w:tab/>
      </w:r>
      <w:r w:rsidRPr="0069274C">
        <w:rPr>
          <w:rFonts w:ascii="Times New Roman" w:eastAsia="標楷體" w:hAnsi="Times New Roman" w:cs="Times New Roman"/>
        </w:rPr>
        <w:t xml:space="preserve">The Taxpayer had not produced any authority to support the proposition that the Taxpayer incurred the Manager’s Fees. When a case was </w:t>
      </w:r>
      <w:r w:rsidR="0044740C" w:rsidRPr="0069274C">
        <w:rPr>
          <w:rFonts w:ascii="Times New Roman" w:eastAsia="標楷體" w:hAnsi="Times New Roman" w:cs="Times New Roman"/>
        </w:rPr>
        <w:t>read for citation</w:t>
      </w:r>
      <w:r w:rsidRPr="0069274C">
        <w:rPr>
          <w:rFonts w:ascii="Times New Roman" w:eastAsia="標楷體" w:hAnsi="Times New Roman" w:cs="Times New Roman"/>
        </w:rPr>
        <w:t xml:space="preserve">, one had to see the context in which a decision was made and whether it was relevant to the practice in issue in this Appeal. </w:t>
      </w:r>
      <w:r w:rsidR="001D0938" w:rsidRPr="0069274C">
        <w:rPr>
          <w:rFonts w:ascii="Times New Roman" w:eastAsia="標楷體" w:hAnsi="Times New Roman" w:cs="Times New Roman"/>
        </w:rPr>
        <w:t xml:space="preserve">The Taxpayer had to point to a case which supported the proposition that it was not necessary to have incurrence by the Taxpayer or that certain matters showed incurrence. It was not good enough to point to production of profits. </w:t>
      </w:r>
    </w:p>
    <w:p w:rsidR="00DE0A88" w:rsidRPr="0069274C" w:rsidRDefault="00DE0A88"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706845" w:rsidRPr="0069274C" w:rsidRDefault="00706845" w:rsidP="00156E21">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69274C">
        <w:rPr>
          <w:rFonts w:ascii="Times New Roman" w:eastAsia="標楷體" w:hAnsi="Times New Roman" w:cs="Times New Roman"/>
        </w:rPr>
        <w:t>(10)</w:t>
      </w:r>
      <w:r w:rsidR="00DE0A88">
        <w:rPr>
          <w:rFonts w:ascii="Times New Roman" w:eastAsia="標楷體" w:hAnsi="Times New Roman" w:cs="Times New Roman"/>
        </w:rPr>
        <w:tab/>
      </w:r>
      <w:r w:rsidRPr="0069274C">
        <w:rPr>
          <w:rFonts w:ascii="Times New Roman" w:eastAsia="標楷體" w:hAnsi="Times New Roman" w:cs="Times New Roman"/>
        </w:rPr>
        <w:t>Regarding the Taxpayer’s case of actual payment, the evidence before this Board is that the Taxpayer had nothing to do with cas</w:t>
      </w:r>
      <w:r w:rsidR="0044740C" w:rsidRPr="0069274C">
        <w:rPr>
          <w:rFonts w:ascii="Times New Roman" w:eastAsia="標楷體" w:hAnsi="Times New Roman" w:cs="Times New Roman"/>
        </w:rPr>
        <w:t>h</w:t>
      </w:r>
      <w:r w:rsidRPr="0069274C">
        <w:rPr>
          <w:rFonts w:ascii="Times New Roman" w:eastAsia="標楷體" w:hAnsi="Times New Roman" w:cs="Times New Roman"/>
        </w:rPr>
        <w:t xml:space="preserve"> payments. As far as payment by vouchers or through </w:t>
      </w:r>
      <w:r w:rsidR="003A6BA1">
        <w:rPr>
          <w:rFonts w:ascii="Times New Roman" w:eastAsia="標楷體" w:hAnsi="Times New Roman" w:cs="Times New Roman"/>
        </w:rPr>
        <w:t>Company N</w:t>
      </w:r>
      <w:r w:rsidRPr="0069274C">
        <w:rPr>
          <w:rFonts w:ascii="Times New Roman" w:eastAsia="標楷體" w:hAnsi="Times New Roman" w:cs="Times New Roman"/>
        </w:rPr>
        <w:t xml:space="preserve"> is concerned, what is missing in the documents, when one considers that the Taxpayer had neither staff nor officers, is how the payment was made on paper month after month. The answer is not available in the documents. </w:t>
      </w:r>
    </w:p>
    <w:p w:rsidR="007C1807" w:rsidRPr="0069274C" w:rsidRDefault="007C1807" w:rsidP="00156E21">
      <w:pPr>
        <w:overflowPunct w:val="0"/>
        <w:autoSpaceDE w:val="0"/>
        <w:autoSpaceDN w:val="0"/>
        <w:ind w:left="1080"/>
        <w:jc w:val="both"/>
        <w:rPr>
          <w:rFonts w:ascii="Times New Roman" w:eastAsia="標楷體" w:hAnsi="Times New Roman" w:cs="Times New Roman"/>
          <w:iCs/>
        </w:rPr>
      </w:pPr>
    </w:p>
    <w:p w:rsidR="003D4DED" w:rsidRPr="006A5FFF" w:rsidRDefault="003D4DED" w:rsidP="00156E21">
      <w:pPr>
        <w:overflowPunct w:val="0"/>
        <w:autoSpaceDE w:val="0"/>
        <w:autoSpaceDN w:val="0"/>
        <w:jc w:val="both"/>
        <w:rPr>
          <w:rFonts w:ascii="Times New Roman" w:eastAsia="標楷體" w:hAnsi="Times New Roman" w:cs="Times New Roman"/>
          <w:b/>
          <w:i/>
          <w:iCs/>
        </w:rPr>
      </w:pPr>
      <w:r w:rsidRPr="006A5FFF">
        <w:rPr>
          <w:rFonts w:ascii="Times New Roman" w:eastAsia="標楷體" w:hAnsi="Times New Roman" w:cs="Times New Roman"/>
          <w:b/>
          <w:i/>
          <w:iCs/>
        </w:rPr>
        <w:t>Findings</w:t>
      </w:r>
    </w:p>
    <w:p w:rsidR="006A5FFF" w:rsidRPr="0069274C" w:rsidRDefault="006A5FFF" w:rsidP="00156E21">
      <w:pPr>
        <w:overflowPunct w:val="0"/>
        <w:autoSpaceDE w:val="0"/>
        <w:autoSpaceDN w:val="0"/>
        <w:jc w:val="both"/>
        <w:rPr>
          <w:rFonts w:ascii="Times New Roman" w:eastAsia="標楷體" w:hAnsi="Times New Roman" w:cs="Times New Roman"/>
          <w:i/>
          <w:iCs/>
        </w:rPr>
      </w:pPr>
    </w:p>
    <w:p w:rsidR="002F4F14" w:rsidRPr="0069274C" w:rsidRDefault="00DB2DC2"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This Board</w:t>
      </w:r>
      <w:r w:rsidR="004F7B1D" w:rsidRPr="0069274C">
        <w:rPr>
          <w:rFonts w:ascii="Times New Roman" w:eastAsia="標楷體" w:hAnsi="Times New Roman" w:cs="Times New Roman"/>
        </w:rPr>
        <w:t xml:space="preserve"> </w:t>
      </w:r>
      <w:r w:rsidR="007515AE" w:rsidRPr="0069274C">
        <w:rPr>
          <w:rFonts w:ascii="Times New Roman" w:eastAsia="標楷體" w:hAnsi="Times New Roman" w:cs="Times New Roman"/>
        </w:rPr>
        <w:t xml:space="preserve">has found as facts the facts stated in the Statement of Agreed Facts </w:t>
      </w:r>
      <w:r w:rsidR="002F4F14" w:rsidRPr="0069274C">
        <w:rPr>
          <w:rFonts w:ascii="Times New Roman" w:eastAsia="標楷體" w:hAnsi="Times New Roman" w:cs="Times New Roman"/>
        </w:rPr>
        <w:t>set out in paragraphs 8 to 25 above.</w:t>
      </w:r>
    </w:p>
    <w:p w:rsidR="002F4F14" w:rsidRPr="0069274C" w:rsidRDefault="002F4F14" w:rsidP="00156E21">
      <w:pPr>
        <w:overflowPunct w:val="0"/>
        <w:autoSpaceDE w:val="0"/>
        <w:autoSpaceDN w:val="0"/>
        <w:jc w:val="both"/>
        <w:rPr>
          <w:rFonts w:ascii="Times New Roman" w:eastAsia="標楷體" w:hAnsi="Times New Roman" w:cs="Times New Roman"/>
        </w:rPr>
      </w:pPr>
    </w:p>
    <w:p w:rsidR="00920E87" w:rsidRPr="0069274C" w:rsidRDefault="002F4F14"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This Board </w:t>
      </w:r>
      <w:r w:rsidR="004F7B1D" w:rsidRPr="0069274C">
        <w:rPr>
          <w:rFonts w:ascii="Times New Roman" w:eastAsia="標楷體" w:hAnsi="Times New Roman" w:cs="Times New Roman"/>
        </w:rPr>
        <w:t xml:space="preserve">accepts the evidence of Ms </w:t>
      </w:r>
      <w:r w:rsidR="006A5FFF">
        <w:rPr>
          <w:rFonts w:ascii="Times New Roman" w:eastAsia="標楷體" w:hAnsi="Times New Roman" w:cs="Times New Roman"/>
        </w:rPr>
        <w:t>Q</w:t>
      </w:r>
      <w:r w:rsidR="00893759" w:rsidRPr="0069274C">
        <w:rPr>
          <w:rFonts w:ascii="Times New Roman" w:eastAsia="標楷體" w:hAnsi="Times New Roman" w:cs="Times New Roman"/>
        </w:rPr>
        <w:t xml:space="preserve">. </w:t>
      </w:r>
      <w:r w:rsidR="00655F5B" w:rsidRPr="0069274C">
        <w:rPr>
          <w:rFonts w:ascii="Times New Roman" w:eastAsia="標楷體" w:hAnsi="Times New Roman" w:cs="Times New Roman"/>
        </w:rPr>
        <w:t xml:space="preserve">This Board </w:t>
      </w:r>
      <w:r w:rsidRPr="0069274C">
        <w:rPr>
          <w:rFonts w:ascii="Times New Roman" w:eastAsia="標楷體" w:hAnsi="Times New Roman" w:cs="Times New Roman"/>
        </w:rPr>
        <w:t xml:space="preserve">considers that Ms </w:t>
      </w:r>
      <w:r w:rsidR="006A5FFF">
        <w:rPr>
          <w:rFonts w:ascii="Times New Roman" w:eastAsia="標楷體" w:hAnsi="Times New Roman" w:cs="Times New Roman"/>
        </w:rPr>
        <w:t>Q</w:t>
      </w:r>
      <w:r w:rsidRPr="0069274C">
        <w:rPr>
          <w:rFonts w:ascii="Times New Roman" w:eastAsia="標楷體" w:hAnsi="Times New Roman" w:cs="Times New Roman"/>
        </w:rPr>
        <w:t xml:space="preserve"> has demonstrated in her evidence</w:t>
      </w:r>
      <w:r w:rsidR="00DC4F6F" w:rsidRPr="0069274C">
        <w:rPr>
          <w:rFonts w:ascii="Times New Roman" w:eastAsia="標楷體" w:hAnsi="Times New Roman" w:cs="Times New Roman"/>
        </w:rPr>
        <w:t xml:space="preserve"> (including the documentary exhibits she referred to in her evidence)</w:t>
      </w:r>
      <w:r w:rsidRPr="0069274C">
        <w:rPr>
          <w:rFonts w:ascii="Times New Roman" w:eastAsia="標楷體" w:hAnsi="Times New Roman" w:cs="Times New Roman"/>
        </w:rPr>
        <w:t xml:space="preserve"> the </w:t>
      </w:r>
      <w:r w:rsidR="00B03729" w:rsidRPr="0069274C">
        <w:rPr>
          <w:rFonts w:ascii="Times New Roman" w:eastAsia="標楷體" w:hAnsi="Times New Roman" w:cs="Times New Roman"/>
        </w:rPr>
        <w:t>monthly movement of</w:t>
      </w:r>
      <w:r w:rsidRPr="0069274C">
        <w:rPr>
          <w:rFonts w:ascii="Times New Roman" w:eastAsia="標楷體" w:hAnsi="Times New Roman" w:cs="Times New Roman"/>
        </w:rPr>
        <w:t xml:space="preserve"> sums within the centralised treasury arrangement of </w:t>
      </w:r>
      <w:r w:rsidR="006A5FFF" w:rsidRPr="0069274C">
        <w:rPr>
          <w:rFonts w:ascii="Times New Roman" w:eastAsia="標楷體" w:hAnsi="Times New Roman" w:cs="Times New Roman"/>
        </w:rPr>
        <w:t>REIT</w:t>
      </w:r>
      <w:r w:rsidR="006A5FFF">
        <w:rPr>
          <w:rFonts w:ascii="Times New Roman" w:eastAsia="標楷體" w:hAnsi="Times New Roman" w:cs="Times New Roman"/>
        </w:rPr>
        <w:t xml:space="preserve"> K</w:t>
      </w:r>
      <w:r w:rsidRPr="0069274C">
        <w:rPr>
          <w:rFonts w:ascii="Times New Roman" w:eastAsia="標楷體" w:hAnsi="Times New Roman" w:cs="Times New Roman"/>
        </w:rPr>
        <w:t xml:space="preserve">, </w:t>
      </w:r>
      <w:r w:rsidR="00920E87" w:rsidRPr="0069274C">
        <w:rPr>
          <w:rFonts w:ascii="Times New Roman" w:eastAsia="標楷體" w:hAnsi="Times New Roman" w:cs="Times New Roman"/>
        </w:rPr>
        <w:t xml:space="preserve">namely, </w:t>
      </w:r>
      <w:r w:rsidRPr="0069274C">
        <w:rPr>
          <w:rFonts w:ascii="Times New Roman" w:eastAsia="標楷體" w:hAnsi="Times New Roman" w:cs="Times New Roman"/>
        </w:rPr>
        <w:t xml:space="preserve">through </w:t>
      </w:r>
      <w:r w:rsidR="00920E87" w:rsidRPr="0069274C">
        <w:rPr>
          <w:rFonts w:ascii="Times New Roman" w:eastAsia="標楷體" w:hAnsi="Times New Roman" w:cs="Times New Roman"/>
        </w:rPr>
        <w:t>effecting journal entries of a debit in the</w:t>
      </w:r>
      <w:r w:rsidRPr="0069274C">
        <w:rPr>
          <w:rFonts w:ascii="Times New Roman" w:eastAsia="標楷體" w:hAnsi="Times New Roman" w:cs="Times New Roman"/>
        </w:rPr>
        <w:t xml:space="preserve"> current account of the Taxpayer and of </w:t>
      </w:r>
      <w:r w:rsidR="00920E87" w:rsidRPr="0069274C">
        <w:rPr>
          <w:rFonts w:ascii="Times New Roman" w:eastAsia="標楷體" w:hAnsi="Times New Roman" w:cs="Times New Roman"/>
        </w:rPr>
        <w:t xml:space="preserve">a credit in the current account of </w:t>
      </w:r>
      <w:r w:rsidR="006A5FFF" w:rsidRPr="0069274C">
        <w:rPr>
          <w:rFonts w:ascii="Times New Roman" w:eastAsia="標楷體" w:hAnsi="Times New Roman" w:cs="Times New Roman"/>
        </w:rPr>
        <w:t>REIT</w:t>
      </w:r>
      <w:r w:rsidR="006A5FFF">
        <w:rPr>
          <w:rFonts w:ascii="Times New Roman" w:eastAsia="標楷體" w:hAnsi="Times New Roman" w:cs="Times New Roman"/>
        </w:rPr>
        <w:t xml:space="preserve"> K</w:t>
      </w:r>
      <w:r w:rsidR="00920E87" w:rsidRPr="0069274C">
        <w:rPr>
          <w:rFonts w:ascii="Times New Roman" w:eastAsia="標楷體" w:hAnsi="Times New Roman" w:cs="Times New Roman"/>
        </w:rPr>
        <w:t>, both of which were</w:t>
      </w:r>
      <w:r w:rsidRPr="0069274C">
        <w:rPr>
          <w:rFonts w:ascii="Times New Roman" w:eastAsia="標楷體" w:hAnsi="Times New Roman" w:cs="Times New Roman"/>
        </w:rPr>
        <w:t xml:space="preserve"> managed by </w:t>
      </w:r>
      <w:r w:rsidR="006A5FFF">
        <w:rPr>
          <w:rFonts w:ascii="Times New Roman" w:eastAsia="標楷體" w:hAnsi="Times New Roman" w:cs="Times New Roman"/>
        </w:rPr>
        <w:t>Company N</w:t>
      </w:r>
      <w:r w:rsidRPr="0069274C">
        <w:rPr>
          <w:rFonts w:ascii="Times New Roman" w:eastAsia="標楷體" w:hAnsi="Times New Roman" w:cs="Times New Roman"/>
        </w:rPr>
        <w:t xml:space="preserve">. Ms </w:t>
      </w:r>
      <w:r w:rsidR="006725A9">
        <w:rPr>
          <w:rFonts w:ascii="Times New Roman" w:eastAsia="標楷體" w:hAnsi="Times New Roman" w:cs="Times New Roman"/>
        </w:rPr>
        <w:t>Q</w:t>
      </w:r>
      <w:r w:rsidRPr="0069274C">
        <w:rPr>
          <w:rFonts w:ascii="Times New Roman" w:eastAsia="標楷體" w:hAnsi="Times New Roman" w:cs="Times New Roman"/>
        </w:rPr>
        <w:t xml:space="preserve"> has also demonstrated that </w:t>
      </w:r>
      <w:r w:rsidR="00920E87" w:rsidRPr="0069274C">
        <w:rPr>
          <w:rFonts w:ascii="Times New Roman" w:eastAsia="標楷體" w:hAnsi="Times New Roman" w:cs="Times New Roman"/>
        </w:rPr>
        <w:t xml:space="preserve">by subsequent transactions, </w:t>
      </w:r>
      <w:r w:rsidR="006A5FFF">
        <w:rPr>
          <w:rFonts w:ascii="Times New Roman" w:eastAsia="標楷體" w:hAnsi="Times New Roman" w:cs="Times New Roman"/>
        </w:rPr>
        <w:t>Company N</w:t>
      </w:r>
      <w:r w:rsidR="00920E87" w:rsidRPr="0069274C">
        <w:rPr>
          <w:rFonts w:ascii="Times New Roman" w:eastAsia="標楷體" w:hAnsi="Times New Roman" w:cs="Times New Roman"/>
        </w:rPr>
        <w:t xml:space="preserve"> would transfer </w:t>
      </w:r>
      <w:r w:rsidR="008158CC" w:rsidRPr="0069274C">
        <w:rPr>
          <w:rFonts w:ascii="Times New Roman" w:eastAsia="標楷體" w:hAnsi="Times New Roman" w:cs="Times New Roman"/>
        </w:rPr>
        <w:t xml:space="preserve">from the collection account of </w:t>
      </w:r>
      <w:r w:rsidR="006A5FFF" w:rsidRPr="0069274C">
        <w:rPr>
          <w:rFonts w:ascii="Times New Roman" w:eastAsia="標楷體" w:hAnsi="Times New Roman" w:cs="Times New Roman"/>
        </w:rPr>
        <w:t>REIT</w:t>
      </w:r>
      <w:r w:rsidR="006A5FFF">
        <w:rPr>
          <w:rFonts w:ascii="Times New Roman" w:eastAsia="標楷體" w:hAnsi="Times New Roman" w:cs="Times New Roman"/>
        </w:rPr>
        <w:t xml:space="preserve"> K</w:t>
      </w:r>
      <w:r w:rsidR="008158CC" w:rsidRPr="0069274C">
        <w:rPr>
          <w:rFonts w:ascii="Times New Roman" w:eastAsia="標楷體" w:hAnsi="Times New Roman" w:cs="Times New Roman"/>
        </w:rPr>
        <w:t xml:space="preserve"> to the trust account of </w:t>
      </w:r>
      <w:r w:rsidR="006725A9" w:rsidRPr="0069274C">
        <w:rPr>
          <w:rFonts w:ascii="Times New Roman" w:eastAsia="標楷體" w:hAnsi="Times New Roman" w:cs="Times New Roman"/>
        </w:rPr>
        <w:t>REIT</w:t>
      </w:r>
      <w:r w:rsidR="006725A9">
        <w:rPr>
          <w:rFonts w:ascii="Times New Roman" w:eastAsia="標楷體" w:hAnsi="Times New Roman" w:cs="Times New Roman"/>
        </w:rPr>
        <w:t xml:space="preserve"> K</w:t>
      </w:r>
      <w:r w:rsidR="008158CC" w:rsidRPr="0069274C">
        <w:rPr>
          <w:rFonts w:ascii="Times New Roman" w:eastAsia="標楷體" w:hAnsi="Times New Roman" w:cs="Times New Roman"/>
        </w:rPr>
        <w:t xml:space="preserve"> a sum that represented the part of the Man</w:t>
      </w:r>
      <w:r w:rsidR="00DD720C" w:rsidRPr="0069274C">
        <w:rPr>
          <w:rFonts w:ascii="Times New Roman" w:eastAsia="標楷體" w:hAnsi="Times New Roman" w:cs="Times New Roman"/>
        </w:rPr>
        <w:t>a</w:t>
      </w:r>
      <w:r w:rsidR="008158CC" w:rsidRPr="0069274C">
        <w:rPr>
          <w:rFonts w:ascii="Times New Roman" w:eastAsia="標楷體" w:hAnsi="Times New Roman" w:cs="Times New Roman"/>
        </w:rPr>
        <w:t xml:space="preserve">ger’s Fees that the Manager elected to receive in cash by </w:t>
      </w:r>
      <w:r w:rsidR="00DD720C" w:rsidRPr="0069274C">
        <w:rPr>
          <w:rFonts w:ascii="Times New Roman" w:eastAsia="標楷體" w:hAnsi="Times New Roman" w:cs="Times New Roman"/>
        </w:rPr>
        <w:t>making a bank transfer</w:t>
      </w:r>
      <w:r w:rsidR="00AA715B" w:rsidRPr="0069274C">
        <w:rPr>
          <w:rFonts w:ascii="Times New Roman" w:eastAsia="標楷體" w:hAnsi="Times New Roman" w:cs="Times New Roman"/>
        </w:rPr>
        <w:t>,</w:t>
      </w:r>
      <w:r w:rsidR="008158CC" w:rsidRPr="0069274C">
        <w:rPr>
          <w:rFonts w:ascii="Times New Roman" w:eastAsia="標楷體" w:hAnsi="Times New Roman" w:cs="Times New Roman"/>
        </w:rPr>
        <w:t xml:space="preserve"> and then the Trustee would transfer the same sum from the trust account of </w:t>
      </w:r>
      <w:r w:rsidR="006725A9" w:rsidRPr="0069274C">
        <w:rPr>
          <w:rFonts w:ascii="Times New Roman" w:eastAsia="標楷體" w:hAnsi="Times New Roman" w:cs="Times New Roman"/>
        </w:rPr>
        <w:t>REIT</w:t>
      </w:r>
      <w:r w:rsidR="006725A9">
        <w:rPr>
          <w:rFonts w:ascii="Times New Roman" w:eastAsia="標楷體" w:hAnsi="Times New Roman" w:cs="Times New Roman"/>
        </w:rPr>
        <w:t xml:space="preserve"> K</w:t>
      </w:r>
      <w:r w:rsidR="008158CC" w:rsidRPr="0069274C">
        <w:rPr>
          <w:rFonts w:ascii="Times New Roman" w:eastAsia="標楷體" w:hAnsi="Times New Roman" w:cs="Times New Roman"/>
        </w:rPr>
        <w:t xml:space="preserve"> to the Manager by issuing a cheque; and that, regarding the part of the Manager’s Fees that the Manager elected to receive in units, </w:t>
      </w:r>
      <w:r w:rsidR="00DD720C" w:rsidRPr="0069274C">
        <w:rPr>
          <w:rFonts w:ascii="Times New Roman" w:eastAsia="標楷體" w:hAnsi="Times New Roman" w:cs="Times New Roman"/>
        </w:rPr>
        <w:t xml:space="preserve">the Trustee would issue the relevant number of units to the Manager. </w:t>
      </w:r>
      <w:r w:rsidR="008158CC" w:rsidRPr="0069274C">
        <w:rPr>
          <w:rFonts w:ascii="Times New Roman" w:eastAsia="標楷體" w:hAnsi="Times New Roman" w:cs="Times New Roman"/>
        </w:rPr>
        <w:t xml:space="preserve">  </w:t>
      </w:r>
      <w:r w:rsidR="004F7B1D" w:rsidRPr="0069274C">
        <w:rPr>
          <w:rFonts w:ascii="Times New Roman" w:eastAsia="標楷體" w:hAnsi="Times New Roman" w:cs="Times New Roman"/>
        </w:rPr>
        <w:t xml:space="preserve"> </w:t>
      </w:r>
    </w:p>
    <w:p w:rsidR="00AA715B" w:rsidRPr="0069274C" w:rsidRDefault="00AA715B" w:rsidP="00156E21">
      <w:pPr>
        <w:overflowPunct w:val="0"/>
        <w:autoSpaceDE w:val="0"/>
        <w:autoSpaceDN w:val="0"/>
        <w:jc w:val="both"/>
        <w:rPr>
          <w:rFonts w:ascii="Times New Roman" w:eastAsia="標楷體" w:hAnsi="Times New Roman" w:cs="Times New Roman"/>
        </w:rPr>
      </w:pPr>
    </w:p>
    <w:p w:rsidR="009B0DD2" w:rsidRPr="0069274C" w:rsidRDefault="00AA715B"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On the basis of Ms </w:t>
      </w:r>
      <w:r w:rsidR="006725A9">
        <w:rPr>
          <w:rFonts w:ascii="Times New Roman" w:eastAsia="標楷體" w:hAnsi="Times New Roman" w:cs="Times New Roman"/>
        </w:rPr>
        <w:t>Q</w:t>
      </w:r>
      <w:r w:rsidRPr="0069274C">
        <w:rPr>
          <w:rFonts w:ascii="Times New Roman" w:eastAsia="標楷體" w:hAnsi="Times New Roman" w:cs="Times New Roman"/>
        </w:rPr>
        <w:t>’s evidence</w:t>
      </w:r>
      <w:r w:rsidR="00E664EE" w:rsidRPr="0069274C">
        <w:rPr>
          <w:rFonts w:ascii="Times New Roman" w:eastAsia="標楷體" w:hAnsi="Times New Roman" w:cs="Times New Roman"/>
        </w:rPr>
        <w:t>,</w:t>
      </w:r>
      <w:r w:rsidRPr="0069274C">
        <w:rPr>
          <w:rFonts w:ascii="Times New Roman" w:eastAsia="標楷體" w:hAnsi="Times New Roman" w:cs="Times New Roman"/>
        </w:rPr>
        <w:t xml:space="preserve"> what she has demonstrated through her evidence</w:t>
      </w:r>
      <w:r w:rsidR="00445EAB" w:rsidRPr="0069274C">
        <w:rPr>
          <w:rFonts w:ascii="Times New Roman" w:eastAsia="標楷體" w:hAnsi="Times New Roman" w:cs="Times New Roman"/>
        </w:rPr>
        <w:t xml:space="preserve"> and the documentary exhibits she referred to in her evidence,</w:t>
      </w:r>
      <w:r w:rsidR="00E664EE" w:rsidRPr="0069274C">
        <w:rPr>
          <w:rFonts w:ascii="Times New Roman" w:eastAsia="標楷體" w:hAnsi="Times New Roman" w:cs="Times New Roman"/>
        </w:rPr>
        <w:t xml:space="preserve"> and the documentary evidence including the Trust Deed</w:t>
      </w:r>
      <w:r w:rsidR="00445EAB" w:rsidRPr="0069274C">
        <w:rPr>
          <w:rFonts w:ascii="Times New Roman" w:eastAsia="標楷體" w:hAnsi="Times New Roman" w:cs="Times New Roman"/>
        </w:rPr>
        <w:t xml:space="preserve"> and the Offering Circular</w:t>
      </w:r>
      <w:r w:rsidRPr="0069274C">
        <w:rPr>
          <w:rFonts w:ascii="Times New Roman" w:eastAsia="標楷體" w:hAnsi="Times New Roman" w:cs="Times New Roman"/>
        </w:rPr>
        <w:t xml:space="preserve">, this Board finds </w:t>
      </w:r>
      <w:r w:rsidR="00E664EE" w:rsidRPr="0069274C">
        <w:rPr>
          <w:rFonts w:ascii="Times New Roman" w:eastAsia="標楷體" w:hAnsi="Times New Roman" w:cs="Times New Roman"/>
        </w:rPr>
        <w:t xml:space="preserve">that the funds that were moved </w:t>
      </w:r>
      <w:r w:rsidR="00445EAB" w:rsidRPr="0069274C">
        <w:rPr>
          <w:rFonts w:ascii="Times New Roman" w:eastAsia="標楷體" w:hAnsi="Times New Roman" w:cs="Times New Roman"/>
        </w:rPr>
        <w:t>every month</w:t>
      </w:r>
      <w:r w:rsidR="00086EC3" w:rsidRPr="0069274C">
        <w:rPr>
          <w:rFonts w:ascii="Times New Roman" w:eastAsia="標楷體" w:hAnsi="Times New Roman" w:cs="Times New Roman"/>
        </w:rPr>
        <w:t xml:space="preserve"> from the Taxpayer to </w:t>
      </w:r>
      <w:r w:rsidR="006725A9" w:rsidRPr="0069274C">
        <w:rPr>
          <w:rFonts w:ascii="Times New Roman" w:eastAsia="標楷體" w:hAnsi="Times New Roman" w:cs="Times New Roman"/>
        </w:rPr>
        <w:t>REIT</w:t>
      </w:r>
      <w:r w:rsidR="006725A9">
        <w:rPr>
          <w:rFonts w:ascii="Times New Roman" w:eastAsia="標楷體" w:hAnsi="Times New Roman" w:cs="Times New Roman"/>
        </w:rPr>
        <w:t xml:space="preserve"> K</w:t>
      </w:r>
      <w:r w:rsidR="00086EC3" w:rsidRPr="0069274C">
        <w:rPr>
          <w:rFonts w:ascii="Times New Roman" w:eastAsia="標楷體" w:hAnsi="Times New Roman" w:cs="Times New Roman"/>
        </w:rPr>
        <w:t xml:space="preserve"> within </w:t>
      </w:r>
      <w:r w:rsidR="006725A9" w:rsidRPr="0069274C">
        <w:rPr>
          <w:rFonts w:ascii="Times New Roman" w:eastAsia="標楷體" w:hAnsi="Times New Roman" w:cs="Times New Roman"/>
        </w:rPr>
        <w:t>REIT</w:t>
      </w:r>
      <w:r w:rsidR="006725A9">
        <w:rPr>
          <w:rFonts w:ascii="Times New Roman" w:eastAsia="標楷體" w:hAnsi="Times New Roman" w:cs="Times New Roman"/>
        </w:rPr>
        <w:t xml:space="preserve"> K</w:t>
      </w:r>
      <w:r w:rsidR="00086EC3" w:rsidRPr="0069274C">
        <w:rPr>
          <w:rFonts w:ascii="Times New Roman" w:eastAsia="標楷體" w:hAnsi="Times New Roman" w:cs="Times New Roman"/>
        </w:rPr>
        <w:t>’s treasury were identical in amount to and</w:t>
      </w:r>
      <w:r w:rsidR="00E664EE" w:rsidRPr="0069274C">
        <w:rPr>
          <w:rFonts w:ascii="Times New Roman" w:eastAsia="標楷體" w:hAnsi="Times New Roman" w:cs="Times New Roman"/>
        </w:rPr>
        <w:t xml:space="preserve"> represented the Taxpayer’s share of the Manager’s Fees</w:t>
      </w:r>
      <w:r w:rsidR="00D92309" w:rsidRPr="0069274C">
        <w:rPr>
          <w:rFonts w:ascii="Times New Roman" w:eastAsia="標楷體" w:hAnsi="Times New Roman" w:cs="Times New Roman"/>
        </w:rPr>
        <w:t>.</w:t>
      </w:r>
      <w:r w:rsidR="00086EC3" w:rsidRPr="0069274C">
        <w:rPr>
          <w:rFonts w:ascii="Times New Roman" w:eastAsia="標楷體" w:hAnsi="Times New Roman" w:cs="Times New Roman"/>
        </w:rPr>
        <w:t xml:space="preserve"> Clause </w:t>
      </w:r>
      <w:r w:rsidR="00D42FDC">
        <w:rPr>
          <w:rFonts w:ascii="Times New Roman" w:eastAsia="標楷體" w:hAnsi="Times New Roman" w:cs="Times New Roman"/>
        </w:rPr>
        <w:t>E</w:t>
      </w:r>
      <w:r w:rsidR="00086EC3" w:rsidRPr="00D42FDC">
        <w:rPr>
          <w:rFonts w:ascii="Times New Roman" w:eastAsia="標楷體" w:hAnsi="Times New Roman" w:cs="Times New Roman"/>
        </w:rPr>
        <w:t>.5(a)</w:t>
      </w:r>
      <w:r w:rsidR="00086EC3" w:rsidRPr="0069274C">
        <w:rPr>
          <w:rFonts w:ascii="Times New Roman" w:eastAsia="標楷體" w:hAnsi="Times New Roman" w:cs="Times New Roman"/>
        </w:rPr>
        <w:t xml:space="preserve"> of the Trust Deed</w:t>
      </w:r>
      <w:r w:rsidR="009B0DD2" w:rsidRPr="0069274C">
        <w:rPr>
          <w:rFonts w:ascii="Times New Roman" w:eastAsia="標楷體" w:hAnsi="Times New Roman" w:cs="Times New Roman"/>
        </w:rPr>
        <w:t xml:space="preserve"> </w:t>
      </w:r>
      <w:r w:rsidR="00086EC3" w:rsidRPr="0069274C">
        <w:rPr>
          <w:rFonts w:ascii="Times New Roman" w:eastAsia="標楷體" w:hAnsi="Times New Roman" w:cs="Times New Roman"/>
        </w:rPr>
        <w:t>ha</w:t>
      </w:r>
      <w:r w:rsidR="009B0DD2" w:rsidRPr="0069274C">
        <w:rPr>
          <w:rFonts w:ascii="Times New Roman" w:eastAsia="標楷體" w:hAnsi="Times New Roman" w:cs="Times New Roman"/>
        </w:rPr>
        <w:t>d</w:t>
      </w:r>
      <w:r w:rsidR="00086EC3" w:rsidRPr="0069274C">
        <w:rPr>
          <w:rFonts w:ascii="Times New Roman" w:eastAsia="標楷體" w:hAnsi="Times New Roman" w:cs="Times New Roman"/>
        </w:rPr>
        <w:t xml:space="preserve"> envisaged the setting up of an entity whose primary purpose is </w:t>
      </w:r>
      <w:r w:rsidR="00086EC3" w:rsidRPr="0069274C">
        <w:rPr>
          <w:rFonts w:ascii="Times New Roman" w:eastAsia="標楷體" w:hAnsi="Times New Roman" w:cs="Times New Roman"/>
        </w:rPr>
        <w:lastRenderedPageBreak/>
        <w:t xml:space="preserve">to perform treasury functions for </w:t>
      </w:r>
      <w:r w:rsidR="006725A9" w:rsidRPr="0069274C">
        <w:rPr>
          <w:rFonts w:ascii="Times New Roman" w:eastAsia="標楷體" w:hAnsi="Times New Roman" w:cs="Times New Roman"/>
        </w:rPr>
        <w:t>REIT</w:t>
      </w:r>
      <w:r w:rsidR="006725A9">
        <w:rPr>
          <w:rFonts w:ascii="Times New Roman" w:eastAsia="標楷體" w:hAnsi="Times New Roman" w:cs="Times New Roman"/>
        </w:rPr>
        <w:t xml:space="preserve"> K. This Board finds Company N</w:t>
      </w:r>
      <w:r w:rsidR="00086EC3" w:rsidRPr="0069274C">
        <w:rPr>
          <w:rFonts w:ascii="Times New Roman" w:eastAsia="標楷體" w:hAnsi="Times New Roman" w:cs="Times New Roman"/>
        </w:rPr>
        <w:t xml:space="preserve"> was established for the performing of treasury functions and has been managing the centralized treasury arrangement of </w:t>
      </w:r>
      <w:r w:rsidR="006725A9" w:rsidRPr="0069274C">
        <w:rPr>
          <w:rFonts w:ascii="Times New Roman" w:eastAsia="標楷體" w:hAnsi="Times New Roman" w:cs="Times New Roman"/>
        </w:rPr>
        <w:t>REIT</w:t>
      </w:r>
      <w:r w:rsidR="006725A9">
        <w:rPr>
          <w:rFonts w:ascii="Times New Roman" w:eastAsia="標楷體" w:hAnsi="Times New Roman" w:cs="Times New Roman"/>
        </w:rPr>
        <w:t xml:space="preserve"> K</w:t>
      </w:r>
      <w:r w:rsidR="009B0DD2" w:rsidRPr="0069274C">
        <w:rPr>
          <w:rFonts w:ascii="Times New Roman" w:eastAsia="標楷體" w:hAnsi="Times New Roman" w:cs="Times New Roman"/>
        </w:rPr>
        <w:t xml:space="preserve"> externally by the collection account(s) with the bank(s) and internally by the current accounts of </w:t>
      </w:r>
      <w:r w:rsidR="006725A9" w:rsidRPr="0069274C">
        <w:rPr>
          <w:rFonts w:ascii="Times New Roman" w:eastAsia="標楷體" w:hAnsi="Times New Roman" w:cs="Times New Roman"/>
        </w:rPr>
        <w:t>REIT</w:t>
      </w:r>
      <w:r w:rsidR="006725A9">
        <w:rPr>
          <w:rFonts w:ascii="Times New Roman" w:eastAsia="標楷體" w:hAnsi="Times New Roman" w:cs="Times New Roman"/>
        </w:rPr>
        <w:t xml:space="preserve"> K</w:t>
      </w:r>
      <w:r w:rsidR="009B0DD2" w:rsidRPr="0069274C">
        <w:rPr>
          <w:rFonts w:ascii="Times New Roman" w:eastAsia="標楷體" w:hAnsi="Times New Roman" w:cs="Times New Roman"/>
        </w:rPr>
        <w:t xml:space="preserve"> and the current accounts of the SPVs, including the Taxpayer.</w:t>
      </w:r>
      <w:r w:rsidR="00CB1E26" w:rsidRPr="0069274C">
        <w:rPr>
          <w:rFonts w:ascii="Times New Roman" w:eastAsia="標楷體" w:hAnsi="Times New Roman" w:cs="Times New Roman"/>
        </w:rPr>
        <w:t xml:space="preserve"> The fact that the Taxpayer had no bank account of its own and the fact that the Taxpayer </w:t>
      </w:r>
      <w:r w:rsidR="005C2324" w:rsidRPr="0069274C">
        <w:rPr>
          <w:rFonts w:ascii="Times New Roman" w:eastAsia="標楷體" w:hAnsi="Times New Roman" w:cs="Times New Roman"/>
        </w:rPr>
        <w:t xml:space="preserve">was the landlord of the tenancy agreements of each of the units of the Property </w:t>
      </w:r>
      <w:r w:rsidR="005C2324" w:rsidRPr="006725A9">
        <w:rPr>
          <w:rFonts w:ascii="Times New Roman" w:eastAsia="標楷體" w:hAnsi="Times New Roman" w:cs="Times New Roman"/>
        </w:rPr>
        <w:t>it</w:t>
      </w:r>
      <w:r w:rsidR="005C2324" w:rsidRPr="0069274C">
        <w:rPr>
          <w:rFonts w:ascii="Times New Roman" w:eastAsia="標楷體" w:hAnsi="Times New Roman" w:cs="Times New Roman"/>
          <w:i/>
        </w:rPr>
        <w:t xml:space="preserve"> </w:t>
      </w:r>
      <w:r w:rsidR="005C2324" w:rsidRPr="0069274C">
        <w:rPr>
          <w:rFonts w:ascii="Times New Roman" w:eastAsia="標楷體" w:hAnsi="Times New Roman" w:cs="Times New Roman"/>
        </w:rPr>
        <w:t xml:space="preserve">owned meant that the rent that </w:t>
      </w:r>
      <w:r w:rsidR="005C2324" w:rsidRPr="006725A9">
        <w:rPr>
          <w:rFonts w:ascii="Times New Roman" w:eastAsia="標楷體" w:hAnsi="Times New Roman" w:cs="Times New Roman"/>
        </w:rPr>
        <w:t>it</w:t>
      </w:r>
      <w:r w:rsidR="005C2324" w:rsidRPr="0069274C">
        <w:rPr>
          <w:rFonts w:ascii="Times New Roman" w:eastAsia="標楷體" w:hAnsi="Times New Roman" w:cs="Times New Roman"/>
          <w:i/>
        </w:rPr>
        <w:t xml:space="preserve"> </w:t>
      </w:r>
      <w:r w:rsidR="005C2324" w:rsidRPr="0069274C">
        <w:rPr>
          <w:rFonts w:ascii="Times New Roman" w:eastAsia="標楷體" w:hAnsi="Times New Roman" w:cs="Times New Roman"/>
        </w:rPr>
        <w:t>was entitled to receive under the tenancy agreements had to be collected on its behalf and, given that this was done by way of a centralized treasury system, a current account had to be established to account for the rents and other receipts so collected.</w:t>
      </w:r>
      <w:r w:rsidR="00E664EE" w:rsidRPr="0069274C">
        <w:rPr>
          <w:rFonts w:ascii="Times New Roman" w:eastAsia="標楷體" w:hAnsi="Times New Roman" w:cs="Times New Roman"/>
        </w:rPr>
        <w:t xml:space="preserve"> </w:t>
      </w:r>
      <w:r w:rsidR="009B0DD2" w:rsidRPr="0069274C">
        <w:rPr>
          <w:rFonts w:ascii="Times New Roman" w:eastAsia="標楷體" w:hAnsi="Times New Roman" w:cs="Times New Roman"/>
        </w:rPr>
        <w:t xml:space="preserve">There is no dispute between parties in this Appeal of the amount of the Manager’s Fees that the Manager received for each of years of assessment in question and of the share of the Manager’s Fees attributed to the Taxpayer. </w:t>
      </w:r>
    </w:p>
    <w:p w:rsidR="00454679" w:rsidRPr="0069274C" w:rsidRDefault="00454679" w:rsidP="00156E21">
      <w:pPr>
        <w:overflowPunct w:val="0"/>
        <w:autoSpaceDE w:val="0"/>
        <w:autoSpaceDN w:val="0"/>
        <w:jc w:val="both"/>
        <w:rPr>
          <w:rFonts w:ascii="Times New Roman" w:eastAsia="標楷體" w:hAnsi="Times New Roman" w:cs="Times New Roman"/>
        </w:rPr>
      </w:pPr>
    </w:p>
    <w:p w:rsidR="00454679" w:rsidRPr="0069274C" w:rsidRDefault="00454679"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Mr Kwok for the Revenue had submitted that there was no evidence of payments made on paper by the Taxpayer.</w:t>
      </w:r>
      <w:r w:rsidR="00A800E5" w:rsidRPr="0069274C">
        <w:rPr>
          <w:rFonts w:ascii="Times New Roman" w:eastAsia="標楷體" w:hAnsi="Times New Roman" w:cs="Times New Roman"/>
        </w:rPr>
        <w:t xml:space="preserve"> This Board has found that there was a monthly movement of funds from the Taxpayer to </w:t>
      </w:r>
      <w:r w:rsidR="006725A9" w:rsidRPr="0069274C">
        <w:rPr>
          <w:rFonts w:ascii="Times New Roman" w:eastAsia="標楷體" w:hAnsi="Times New Roman" w:cs="Times New Roman"/>
        </w:rPr>
        <w:t>REIT</w:t>
      </w:r>
      <w:r w:rsidR="006725A9">
        <w:rPr>
          <w:rFonts w:ascii="Times New Roman" w:eastAsia="標楷體" w:hAnsi="Times New Roman" w:cs="Times New Roman"/>
        </w:rPr>
        <w:t xml:space="preserve"> K</w:t>
      </w:r>
      <w:r w:rsidR="00A800E5" w:rsidRPr="0069274C">
        <w:rPr>
          <w:rFonts w:ascii="Times New Roman" w:eastAsia="標楷體" w:hAnsi="Times New Roman" w:cs="Times New Roman"/>
        </w:rPr>
        <w:t xml:space="preserve"> in an amount corresponding to the share of the Manager’s Fees attributed to the Taxpayer. Although the Taxpayer had no staff of its own, the monthly movement of funds was performed by </w:t>
      </w:r>
      <w:r w:rsidR="006725A9">
        <w:rPr>
          <w:rFonts w:ascii="Times New Roman" w:eastAsia="標楷體" w:hAnsi="Times New Roman" w:cs="Times New Roman"/>
        </w:rPr>
        <w:t>Company N</w:t>
      </w:r>
      <w:r w:rsidR="00A800E5" w:rsidRPr="0069274C">
        <w:rPr>
          <w:rFonts w:ascii="Times New Roman" w:eastAsia="標楷體" w:hAnsi="Times New Roman" w:cs="Times New Roman"/>
        </w:rPr>
        <w:t xml:space="preserve"> as part of </w:t>
      </w:r>
      <w:r w:rsidR="006725A9">
        <w:rPr>
          <w:rFonts w:ascii="Times New Roman" w:eastAsia="標楷體" w:hAnsi="Times New Roman" w:cs="Times New Roman"/>
        </w:rPr>
        <w:t>Company N</w:t>
      </w:r>
      <w:r w:rsidR="00A800E5" w:rsidRPr="0069274C">
        <w:rPr>
          <w:rFonts w:ascii="Times New Roman" w:eastAsia="標楷體" w:hAnsi="Times New Roman" w:cs="Times New Roman"/>
        </w:rPr>
        <w:t>’s services for the Trustee and the property holding SPVs, including the Taxpayer. Whether the movements of such funds constituted payment by the Taxpayer of its share of the Manager’s Fees is a matter that this Board is to consider below.</w:t>
      </w:r>
    </w:p>
    <w:p w:rsidR="009B0DD2" w:rsidRPr="0069274C" w:rsidRDefault="009B0DD2" w:rsidP="00156E21">
      <w:pPr>
        <w:overflowPunct w:val="0"/>
        <w:autoSpaceDE w:val="0"/>
        <w:autoSpaceDN w:val="0"/>
        <w:jc w:val="both"/>
        <w:rPr>
          <w:rFonts w:ascii="Times New Roman" w:eastAsia="標楷體" w:hAnsi="Times New Roman" w:cs="Times New Roman"/>
        </w:rPr>
      </w:pPr>
    </w:p>
    <w:p w:rsidR="007615A6" w:rsidRPr="0069274C" w:rsidRDefault="00D92309"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This Board also finds</w:t>
      </w:r>
      <w:r w:rsidR="00E664EE" w:rsidRPr="0069274C">
        <w:rPr>
          <w:rFonts w:ascii="Times New Roman" w:eastAsia="標楷體" w:hAnsi="Times New Roman" w:cs="Times New Roman"/>
        </w:rPr>
        <w:t xml:space="preserve"> that by way of the subsequent transactions handled by </w:t>
      </w:r>
      <w:r w:rsidR="006725A9">
        <w:rPr>
          <w:rFonts w:ascii="Times New Roman" w:eastAsia="標楷體" w:hAnsi="Times New Roman" w:cs="Times New Roman"/>
        </w:rPr>
        <w:t>Company N</w:t>
      </w:r>
      <w:r w:rsidR="00E664EE" w:rsidRPr="0069274C">
        <w:rPr>
          <w:rFonts w:ascii="Times New Roman" w:eastAsia="標楷體" w:hAnsi="Times New Roman" w:cs="Times New Roman"/>
        </w:rPr>
        <w:t xml:space="preserve"> and the Trustee, the Manager’s Fees</w:t>
      </w:r>
      <w:r w:rsidR="005C2324" w:rsidRPr="0069274C">
        <w:rPr>
          <w:rFonts w:ascii="Times New Roman" w:eastAsia="標楷體" w:hAnsi="Times New Roman" w:cs="Times New Roman"/>
        </w:rPr>
        <w:t xml:space="preserve"> were</w:t>
      </w:r>
      <w:r w:rsidR="00E664EE" w:rsidRPr="0069274C">
        <w:rPr>
          <w:rFonts w:ascii="Times New Roman" w:eastAsia="標楷體" w:hAnsi="Times New Roman" w:cs="Times New Roman"/>
        </w:rPr>
        <w:t xml:space="preserve"> in fact paid</w:t>
      </w:r>
      <w:r w:rsidR="00B566A2" w:rsidRPr="0069274C">
        <w:rPr>
          <w:rFonts w:ascii="Times New Roman" w:eastAsia="標楷體" w:hAnsi="Times New Roman" w:cs="Times New Roman"/>
        </w:rPr>
        <w:t xml:space="preserve"> by the Trustee</w:t>
      </w:r>
      <w:r w:rsidR="00E664EE" w:rsidRPr="0069274C">
        <w:rPr>
          <w:rFonts w:ascii="Times New Roman" w:eastAsia="標楷體" w:hAnsi="Times New Roman" w:cs="Times New Roman"/>
        </w:rPr>
        <w:t xml:space="preserve"> to the Manager, who received them in cash and in unit</w:t>
      </w:r>
      <w:r w:rsidR="00445EAB" w:rsidRPr="0069274C">
        <w:rPr>
          <w:rFonts w:ascii="Times New Roman" w:eastAsia="標楷體" w:hAnsi="Times New Roman" w:cs="Times New Roman"/>
        </w:rPr>
        <w:t>s</w:t>
      </w:r>
      <w:r w:rsidR="00E664EE" w:rsidRPr="0069274C">
        <w:rPr>
          <w:rFonts w:ascii="Times New Roman" w:eastAsia="標楷體" w:hAnsi="Times New Roman" w:cs="Times New Roman"/>
        </w:rPr>
        <w:t xml:space="preserve"> according to the</w:t>
      </w:r>
      <w:r w:rsidR="00445EAB" w:rsidRPr="0069274C">
        <w:rPr>
          <w:rFonts w:ascii="Times New Roman" w:eastAsia="標楷體" w:hAnsi="Times New Roman" w:cs="Times New Roman"/>
        </w:rPr>
        <w:t xml:space="preserve"> Manager’s</w:t>
      </w:r>
      <w:r w:rsidR="00E664EE" w:rsidRPr="0069274C">
        <w:rPr>
          <w:rFonts w:ascii="Times New Roman" w:eastAsia="標楷體" w:hAnsi="Times New Roman" w:cs="Times New Roman"/>
        </w:rPr>
        <w:t xml:space="preserve"> election</w:t>
      </w:r>
      <w:r w:rsidR="004F7B1D" w:rsidRPr="0069274C">
        <w:rPr>
          <w:rFonts w:ascii="Times New Roman" w:eastAsia="標楷體" w:hAnsi="Times New Roman" w:cs="Times New Roman"/>
        </w:rPr>
        <w:t>.</w:t>
      </w:r>
      <w:r w:rsidR="00942DE8" w:rsidRPr="0069274C">
        <w:rPr>
          <w:rFonts w:ascii="Times New Roman" w:eastAsia="標楷體" w:hAnsi="Times New Roman" w:cs="Times New Roman"/>
        </w:rPr>
        <w:t xml:space="preserve"> </w:t>
      </w:r>
    </w:p>
    <w:p w:rsidR="00D92309" w:rsidRPr="0069274C" w:rsidRDefault="00D92309" w:rsidP="00156E21">
      <w:pPr>
        <w:overflowPunct w:val="0"/>
        <w:autoSpaceDE w:val="0"/>
        <w:autoSpaceDN w:val="0"/>
        <w:jc w:val="both"/>
        <w:rPr>
          <w:rFonts w:ascii="Times New Roman" w:eastAsia="標楷體" w:hAnsi="Times New Roman" w:cs="Times New Roman"/>
        </w:rPr>
      </w:pPr>
    </w:p>
    <w:p w:rsidR="001D7B5C" w:rsidRPr="0069274C" w:rsidRDefault="00D92309"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This Board recognizes that the Trust Deed provides in </w:t>
      </w:r>
      <w:r w:rsidR="00941260">
        <w:rPr>
          <w:rFonts w:ascii="Times New Roman" w:eastAsia="標楷體" w:hAnsi="Times New Roman" w:cs="Times New Roman"/>
        </w:rPr>
        <w:t>c</w:t>
      </w:r>
      <w:r w:rsidRPr="0069274C">
        <w:rPr>
          <w:rFonts w:ascii="Times New Roman" w:eastAsia="標楷體" w:hAnsi="Times New Roman" w:cs="Times New Roman"/>
        </w:rPr>
        <w:t xml:space="preserve">lause </w:t>
      </w:r>
      <w:r w:rsidR="00196CB1">
        <w:rPr>
          <w:rFonts w:ascii="Times New Roman" w:eastAsia="標楷體" w:hAnsi="Times New Roman" w:cs="Times New Roman"/>
        </w:rPr>
        <w:t>C</w:t>
      </w:r>
      <w:r w:rsidRPr="0069274C">
        <w:rPr>
          <w:rFonts w:ascii="Times New Roman" w:eastAsia="標楷體" w:hAnsi="Times New Roman" w:cs="Times New Roman"/>
        </w:rPr>
        <w:t xml:space="preserve">.1 that the </w:t>
      </w:r>
      <w:r w:rsidR="00086EC3" w:rsidRPr="0069274C">
        <w:rPr>
          <w:rFonts w:ascii="Times New Roman" w:eastAsia="標楷體" w:hAnsi="Times New Roman" w:cs="Times New Roman"/>
        </w:rPr>
        <w:t xml:space="preserve">Manager </w:t>
      </w:r>
      <w:r w:rsidR="006725A9">
        <w:rPr>
          <w:rFonts w:ascii="Times New Roman" w:eastAsia="標楷體" w:hAnsi="Times New Roman" w:cs="Times New Roman"/>
        </w:rPr>
        <w:t>‘</w:t>
      </w:r>
      <w:r w:rsidR="00086EC3" w:rsidRPr="0069274C">
        <w:rPr>
          <w:rFonts w:ascii="Times New Roman" w:eastAsia="標楷體" w:hAnsi="Times New Roman" w:cs="Times New Roman"/>
        </w:rPr>
        <w:t>shall be entitled to receive remuneration for</w:t>
      </w:r>
      <w:r w:rsidR="006725A9">
        <w:rPr>
          <w:rFonts w:ascii="Times New Roman" w:eastAsia="標楷體" w:hAnsi="Times New Roman" w:cs="Times New Roman"/>
        </w:rPr>
        <w:t xml:space="preserve"> its services as manager of </w:t>
      </w:r>
      <w:r w:rsidR="00086EC3" w:rsidRPr="0069274C">
        <w:rPr>
          <w:rFonts w:ascii="Times New Roman" w:eastAsia="標楷體" w:hAnsi="Times New Roman" w:cs="Times New Roman"/>
        </w:rPr>
        <w:t xml:space="preserve">REIT </w:t>
      </w:r>
      <w:r w:rsidR="006725A9">
        <w:rPr>
          <w:rFonts w:ascii="Times New Roman" w:eastAsia="標楷體" w:hAnsi="Times New Roman" w:cs="Times New Roman"/>
        </w:rPr>
        <w:t xml:space="preserve">K </w:t>
      </w:r>
      <w:r w:rsidR="00086EC3" w:rsidRPr="0069274C">
        <w:rPr>
          <w:rFonts w:ascii="Times New Roman" w:eastAsia="標楷體" w:hAnsi="Times New Roman" w:cs="Times New Roman"/>
        </w:rPr>
        <w:t xml:space="preserve">under this </w:t>
      </w:r>
      <w:r w:rsidR="00941260">
        <w:rPr>
          <w:rFonts w:ascii="Times New Roman" w:eastAsia="標楷體" w:hAnsi="Times New Roman" w:cs="Times New Roman"/>
        </w:rPr>
        <w:t>c</w:t>
      </w:r>
      <w:r w:rsidR="00086EC3" w:rsidRPr="0069274C">
        <w:rPr>
          <w:rFonts w:ascii="Times New Roman" w:eastAsia="標楷體" w:hAnsi="Times New Roman" w:cs="Times New Roman"/>
        </w:rPr>
        <w:t xml:space="preserve">lause </w:t>
      </w:r>
      <w:r w:rsidR="00196CB1">
        <w:rPr>
          <w:rFonts w:ascii="Times New Roman" w:eastAsia="標楷體" w:hAnsi="Times New Roman" w:cs="Times New Roman"/>
        </w:rPr>
        <w:t>C</w:t>
      </w:r>
      <w:r w:rsidR="00086EC3" w:rsidRPr="0069274C">
        <w:rPr>
          <w:rFonts w:ascii="Times New Roman" w:eastAsia="標楷體" w:hAnsi="Times New Roman" w:cs="Times New Roman"/>
        </w:rPr>
        <w:t>.1, which shall be paid out of the Deposited Property …</w:t>
      </w:r>
      <w:r w:rsidR="006725A9">
        <w:rPr>
          <w:rFonts w:ascii="Times New Roman" w:eastAsia="標楷體" w:hAnsi="Times New Roman" w:cs="Times New Roman"/>
        </w:rPr>
        <w:t>’</w:t>
      </w:r>
      <w:r w:rsidR="00086EC3" w:rsidRPr="0069274C">
        <w:rPr>
          <w:rFonts w:ascii="Times New Roman" w:eastAsia="標楷體" w:hAnsi="Times New Roman" w:cs="Times New Roman"/>
        </w:rPr>
        <w:t>, and that</w:t>
      </w:r>
      <w:r w:rsidR="001D7B5C" w:rsidRPr="0069274C">
        <w:rPr>
          <w:rFonts w:ascii="Times New Roman" w:eastAsia="標楷體" w:hAnsi="Times New Roman" w:cs="Times New Roman"/>
        </w:rPr>
        <w:t xml:space="preserve"> the Trust Deed </w:t>
      </w:r>
      <w:r w:rsidR="00196CB1">
        <w:rPr>
          <w:rFonts w:ascii="Times New Roman" w:eastAsia="標楷體" w:hAnsi="Times New Roman" w:cs="Times New Roman"/>
        </w:rPr>
        <w:t xml:space="preserve">defines </w:t>
      </w:r>
      <w:r w:rsidR="006725A9">
        <w:rPr>
          <w:rFonts w:ascii="Times New Roman" w:eastAsia="標楷體" w:hAnsi="Times New Roman" w:cs="Times New Roman"/>
        </w:rPr>
        <w:t>‘</w:t>
      </w:r>
      <w:r w:rsidR="001D7B5C" w:rsidRPr="0069274C">
        <w:rPr>
          <w:rFonts w:ascii="Times New Roman" w:eastAsia="標楷體" w:hAnsi="Times New Roman" w:cs="Times New Roman"/>
        </w:rPr>
        <w:t>Deposited Property</w:t>
      </w:r>
      <w:r w:rsidR="006725A9">
        <w:rPr>
          <w:rFonts w:ascii="Times New Roman" w:eastAsia="標楷體" w:hAnsi="Times New Roman" w:cs="Times New Roman"/>
        </w:rPr>
        <w:t>’</w:t>
      </w:r>
      <w:r w:rsidR="001D7B5C" w:rsidRPr="0069274C">
        <w:rPr>
          <w:rFonts w:ascii="Times New Roman" w:eastAsia="標楷體" w:hAnsi="Times New Roman" w:cs="Times New Roman"/>
        </w:rPr>
        <w:t xml:space="preserve"> in these terms: </w:t>
      </w:r>
      <w:r w:rsidR="006725A9">
        <w:rPr>
          <w:rFonts w:ascii="Times New Roman" w:eastAsia="標楷體" w:hAnsi="Times New Roman" w:cs="Times New Roman"/>
        </w:rPr>
        <w:t>‘</w:t>
      </w:r>
      <w:r w:rsidR="001D7B5C" w:rsidRPr="0069274C">
        <w:rPr>
          <w:rFonts w:ascii="Times New Roman" w:eastAsia="標楷體" w:hAnsi="Times New Roman" w:cs="Times New Roman"/>
        </w:rPr>
        <w:t xml:space="preserve">all the assets of </w:t>
      </w:r>
      <w:r w:rsidR="006725A9" w:rsidRPr="0069274C">
        <w:rPr>
          <w:rFonts w:ascii="Times New Roman" w:eastAsia="標楷體" w:hAnsi="Times New Roman" w:cs="Times New Roman"/>
        </w:rPr>
        <w:t>REIT</w:t>
      </w:r>
      <w:r w:rsidR="006725A9">
        <w:rPr>
          <w:rFonts w:ascii="Times New Roman" w:eastAsia="標楷體" w:hAnsi="Times New Roman" w:cs="Times New Roman"/>
        </w:rPr>
        <w:t xml:space="preserve"> K</w:t>
      </w:r>
      <w:r w:rsidR="001D7B5C" w:rsidRPr="0069274C">
        <w:rPr>
          <w:rFonts w:ascii="Times New Roman" w:eastAsia="標楷體" w:hAnsi="Times New Roman" w:cs="Times New Roman"/>
        </w:rPr>
        <w:t xml:space="preserve"> for the time being held or deemed to be held (including but not limited to through </w:t>
      </w:r>
      <w:r w:rsidR="006725A9">
        <w:rPr>
          <w:rFonts w:ascii="Times New Roman" w:eastAsia="標楷體" w:hAnsi="Times New Roman" w:cs="Times New Roman"/>
        </w:rPr>
        <w:t>SPVs</w:t>
      </w:r>
      <w:r w:rsidR="001D7B5C" w:rsidRPr="0069274C">
        <w:rPr>
          <w:rFonts w:ascii="Times New Roman" w:eastAsia="標楷體" w:hAnsi="Times New Roman" w:cs="Times New Roman"/>
        </w:rPr>
        <w:t>) upon the trusts constituted by this Trust Deed, including all Authorised Investments, and interest arising on subscription monies from, or application monies for, the issuance of Units</w:t>
      </w:r>
      <w:r w:rsidR="006725A9">
        <w:rPr>
          <w:rFonts w:ascii="Times New Roman" w:eastAsia="標楷體" w:hAnsi="Times New Roman" w:cs="Times New Roman"/>
        </w:rPr>
        <w:t>’</w:t>
      </w:r>
      <w:r w:rsidR="001D7B5C" w:rsidRPr="0069274C">
        <w:rPr>
          <w:rFonts w:ascii="Times New Roman" w:eastAsia="標楷體" w:hAnsi="Times New Roman" w:cs="Times New Roman"/>
        </w:rPr>
        <w:t>. The Deputy Commissioner</w:t>
      </w:r>
      <w:r w:rsidR="00DC4F6F" w:rsidRPr="0069274C">
        <w:rPr>
          <w:rFonts w:ascii="Times New Roman" w:eastAsia="標楷體" w:hAnsi="Times New Roman" w:cs="Times New Roman"/>
        </w:rPr>
        <w:t xml:space="preserve"> and Mr Kwok for the Revenue have relied on these clauses to show that it was the Trustee who had the legal obligation to pay the Manager’s Fees for and on behalf of REIT</w:t>
      </w:r>
      <w:r w:rsidR="006725A9">
        <w:rPr>
          <w:rFonts w:ascii="Times New Roman" w:eastAsia="標楷體" w:hAnsi="Times New Roman" w:cs="Times New Roman"/>
        </w:rPr>
        <w:t xml:space="preserve"> K</w:t>
      </w:r>
      <w:r w:rsidR="00454679" w:rsidRPr="0069274C">
        <w:rPr>
          <w:rFonts w:ascii="Times New Roman" w:eastAsia="標楷體" w:hAnsi="Times New Roman" w:cs="Times New Roman"/>
        </w:rPr>
        <w:t>; and/or that in so far as the Taxpayer was concerned, the fact that it was not a party to the Trust Deed did not bind it in relation to the Manager’s Fees</w:t>
      </w:r>
      <w:r w:rsidR="00DC4F6F" w:rsidRPr="0069274C">
        <w:rPr>
          <w:rFonts w:ascii="Times New Roman" w:eastAsia="標楷體" w:hAnsi="Times New Roman" w:cs="Times New Roman"/>
        </w:rPr>
        <w:t xml:space="preserve">. </w:t>
      </w:r>
    </w:p>
    <w:p w:rsidR="00DC4F6F" w:rsidRPr="0069274C" w:rsidRDefault="00DC4F6F" w:rsidP="00156E21">
      <w:pPr>
        <w:overflowPunct w:val="0"/>
        <w:autoSpaceDE w:val="0"/>
        <w:autoSpaceDN w:val="0"/>
        <w:jc w:val="both"/>
        <w:rPr>
          <w:rFonts w:ascii="Times New Roman" w:eastAsia="標楷體" w:hAnsi="Times New Roman" w:cs="Times New Roman"/>
        </w:rPr>
      </w:pPr>
    </w:p>
    <w:p w:rsidR="00DC4F6F" w:rsidRPr="0069274C" w:rsidRDefault="00977F46"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However, t</w:t>
      </w:r>
      <w:r w:rsidR="00A800E5" w:rsidRPr="0069274C">
        <w:rPr>
          <w:rFonts w:ascii="Times New Roman" w:eastAsia="標楷體" w:hAnsi="Times New Roman" w:cs="Times New Roman"/>
        </w:rPr>
        <w:t xml:space="preserve">his Board </w:t>
      </w:r>
      <w:r w:rsidR="00B566A2" w:rsidRPr="0069274C">
        <w:rPr>
          <w:rFonts w:ascii="Times New Roman" w:eastAsia="標楷體" w:hAnsi="Times New Roman" w:cs="Times New Roman"/>
        </w:rPr>
        <w:t xml:space="preserve">does not accept that the Trust Deed and its provisions </w:t>
      </w:r>
      <w:r w:rsidR="0004183A" w:rsidRPr="0069274C">
        <w:rPr>
          <w:rFonts w:ascii="Times New Roman" w:eastAsia="標楷體" w:hAnsi="Times New Roman" w:cs="Times New Roman"/>
        </w:rPr>
        <w:t xml:space="preserve">(and what has been said to be absent in its provisions) effectively </w:t>
      </w:r>
      <w:r w:rsidR="00B566A2" w:rsidRPr="0069274C">
        <w:rPr>
          <w:rFonts w:ascii="Times New Roman" w:eastAsia="標楷體" w:hAnsi="Times New Roman" w:cs="Times New Roman"/>
        </w:rPr>
        <w:t xml:space="preserve">dispose of the present question on the fact of payment by the Taxpayer of a share of the Manager’s Fees. </w:t>
      </w:r>
      <w:r w:rsidR="0055129C" w:rsidRPr="0069274C">
        <w:rPr>
          <w:rFonts w:ascii="Times New Roman" w:eastAsia="標楷體" w:hAnsi="Times New Roman" w:cs="Times New Roman"/>
        </w:rPr>
        <w:t>Rather, t</w:t>
      </w:r>
      <w:r w:rsidR="00B566A2" w:rsidRPr="0069274C">
        <w:rPr>
          <w:rFonts w:ascii="Times New Roman" w:eastAsia="標楷體" w:hAnsi="Times New Roman" w:cs="Times New Roman"/>
        </w:rPr>
        <w:t xml:space="preserve">his Board considers that the part of the Deposited Property that was and is the Property at </w:t>
      </w:r>
      <w:r w:rsidR="006725A9">
        <w:rPr>
          <w:rFonts w:ascii="Times New Roman" w:eastAsia="標楷體" w:hAnsi="Times New Roman" w:cs="Times New Roman"/>
        </w:rPr>
        <w:t>Building E</w:t>
      </w:r>
      <w:r w:rsidR="00B566A2" w:rsidRPr="0069274C">
        <w:rPr>
          <w:rFonts w:ascii="Times New Roman" w:eastAsia="標楷體" w:hAnsi="Times New Roman" w:cs="Times New Roman"/>
        </w:rPr>
        <w:t xml:space="preserve"> was and is owned by the Taxpayer. </w:t>
      </w:r>
      <w:r w:rsidR="0004183A" w:rsidRPr="0069274C">
        <w:rPr>
          <w:rFonts w:ascii="Times New Roman" w:eastAsia="標楷體" w:hAnsi="Times New Roman" w:cs="Times New Roman"/>
        </w:rPr>
        <w:t xml:space="preserve">A payment that the Manager is said to be entitled to receive under the Trust Deed out of the Deposited Property must therefore come from the owners of the Deposited Property, which, in the case of the Property at </w:t>
      </w:r>
      <w:r w:rsidR="006725A9">
        <w:rPr>
          <w:rFonts w:ascii="Times New Roman" w:eastAsia="標楷體" w:hAnsi="Times New Roman" w:cs="Times New Roman"/>
        </w:rPr>
        <w:t>Building E</w:t>
      </w:r>
      <w:r w:rsidR="0004183A" w:rsidRPr="0069274C">
        <w:rPr>
          <w:rFonts w:ascii="Times New Roman" w:eastAsia="標楷體" w:hAnsi="Times New Roman" w:cs="Times New Roman"/>
        </w:rPr>
        <w:t xml:space="preserve">, was, at the relevant years of assessment, the Taxpayer. As it has been stated in paragraph 80 above, the Taxpayer, as landlord, was entitled to and did receive rent from its tenants. </w:t>
      </w:r>
      <w:r w:rsidR="0004183A" w:rsidRPr="0069274C">
        <w:rPr>
          <w:rFonts w:ascii="Times New Roman" w:eastAsia="標楷體" w:hAnsi="Times New Roman" w:cs="Times New Roman"/>
        </w:rPr>
        <w:lastRenderedPageBreak/>
        <w:t xml:space="preserve">The funds that were moved every month were funds that the Taxpayer parted </w:t>
      </w:r>
      <w:r w:rsidR="00296679" w:rsidRPr="0069274C">
        <w:rPr>
          <w:rFonts w:ascii="Times New Roman" w:eastAsia="標楷體" w:hAnsi="Times New Roman" w:cs="Times New Roman"/>
        </w:rPr>
        <w:t>with and received by REIT</w:t>
      </w:r>
      <w:r w:rsidR="006725A9">
        <w:rPr>
          <w:rFonts w:ascii="Times New Roman" w:eastAsia="標楷體" w:hAnsi="Times New Roman" w:cs="Times New Roman"/>
        </w:rPr>
        <w:t xml:space="preserve"> K</w:t>
      </w:r>
      <w:r w:rsidR="00296679" w:rsidRPr="0069274C">
        <w:rPr>
          <w:rFonts w:ascii="Times New Roman" w:eastAsia="標楷體" w:hAnsi="Times New Roman" w:cs="Times New Roman"/>
        </w:rPr>
        <w:t>,</w:t>
      </w:r>
      <w:r w:rsidR="0004183A" w:rsidRPr="0069274C">
        <w:rPr>
          <w:rFonts w:ascii="Times New Roman" w:eastAsia="標楷體" w:hAnsi="Times New Roman" w:cs="Times New Roman"/>
        </w:rPr>
        <w:t xml:space="preserve"> the Trustee of which then</w:t>
      </w:r>
      <w:r w:rsidR="003A3332" w:rsidRPr="0069274C">
        <w:rPr>
          <w:rFonts w:ascii="Times New Roman" w:eastAsia="標楷體" w:hAnsi="Times New Roman" w:cs="Times New Roman"/>
        </w:rPr>
        <w:t>, having</w:t>
      </w:r>
      <w:r w:rsidR="0004183A" w:rsidRPr="0069274C">
        <w:rPr>
          <w:rFonts w:ascii="Times New Roman" w:eastAsia="標楷體" w:hAnsi="Times New Roman" w:cs="Times New Roman"/>
        </w:rPr>
        <w:t xml:space="preserve"> gathered all the shares</w:t>
      </w:r>
      <w:r w:rsidR="003A3332" w:rsidRPr="0069274C">
        <w:rPr>
          <w:rFonts w:ascii="Times New Roman" w:eastAsia="標楷體" w:hAnsi="Times New Roman" w:cs="Times New Roman"/>
        </w:rPr>
        <w:t xml:space="preserve">, paid </w:t>
      </w:r>
      <w:r w:rsidR="0055129C" w:rsidRPr="0069274C">
        <w:rPr>
          <w:rFonts w:ascii="Times New Roman" w:eastAsia="標楷體" w:hAnsi="Times New Roman" w:cs="Times New Roman"/>
        </w:rPr>
        <w:t>to the Manager as the Manager’s Fees.</w:t>
      </w:r>
      <w:r w:rsidR="0004183A" w:rsidRPr="0069274C">
        <w:rPr>
          <w:rFonts w:ascii="Times New Roman" w:eastAsia="標楷體" w:hAnsi="Times New Roman" w:cs="Times New Roman"/>
        </w:rPr>
        <w:t xml:space="preserve"> </w:t>
      </w:r>
    </w:p>
    <w:p w:rsidR="00445EAB" w:rsidRPr="0069274C" w:rsidRDefault="001D7B5C" w:rsidP="00156E21">
      <w:pPr>
        <w:overflowPunct w:val="0"/>
        <w:autoSpaceDE w:val="0"/>
        <w:autoSpaceDN w:val="0"/>
        <w:jc w:val="both"/>
        <w:rPr>
          <w:rFonts w:ascii="Times New Roman" w:eastAsia="標楷體" w:hAnsi="Times New Roman" w:cs="Times New Roman"/>
        </w:rPr>
      </w:pPr>
      <w:r w:rsidRPr="0069274C">
        <w:rPr>
          <w:rFonts w:ascii="Times New Roman" w:eastAsia="標楷體" w:hAnsi="Times New Roman" w:cs="Times New Roman"/>
        </w:rPr>
        <w:t xml:space="preserve"> </w:t>
      </w:r>
    </w:p>
    <w:p w:rsidR="00D92309" w:rsidRPr="0069274C" w:rsidRDefault="0055129C"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Accordingly, t</w:t>
      </w:r>
      <w:r w:rsidR="00D92309" w:rsidRPr="0069274C">
        <w:rPr>
          <w:rFonts w:ascii="Times New Roman" w:eastAsia="標楷體" w:hAnsi="Times New Roman" w:cs="Times New Roman"/>
        </w:rPr>
        <w:t>his Board finds that the combination of the two sets of transactions</w:t>
      </w:r>
      <w:r w:rsidR="00DC4F6F" w:rsidRPr="0069274C">
        <w:rPr>
          <w:rFonts w:ascii="Times New Roman" w:eastAsia="標楷體" w:hAnsi="Times New Roman" w:cs="Times New Roman"/>
        </w:rPr>
        <w:t xml:space="preserve"> referred to in paragraphs 80 and 8</w:t>
      </w:r>
      <w:r w:rsidR="00A800E5" w:rsidRPr="0069274C">
        <w:rPr>
          <w:rFonts w:ascii="Times New Roman" w:eastAsia="標楷體" w:hAnsi="Times New Roman" w:cs="Times New Roman"/>
        </w:rPr>
        <w:t>2</w:t>
      </w:r>
      <w:r w:rsidR="00DC4F6F" w:rsidRPr="0069274C">
        <w:rPr>
          <w:rFonts w:ascii="Times New Roman" w:eastAsia="標楷體" w:hAnsi="Times New Roman" w:cs="Times New Roman"/>
        </w:rPr>
        <w:t xml:space="preserve"> above</w:t>
      </w:r>
      <w:r w:rsidR="00D92309" w:rsidRPr="0069274C">
        <w:rPr>
          <w:rFonts w:ascii="Times New Roman" w:eastAsia="標楷體" w:hAnsi="Times New Roman" w:cs="Times New Roman"/>
        </w:rPr>
        <w:t xml:space="preserve"> meant that the Taxpayer </w:t>
      </w:r>
      <w:r w:rsidRPr="0069274C">
        <w:rPr>
          <w:rFonts w:ascii="Times New Roman" w:eastAsia="標楷體" w:hAnsi="Times New Roman" w:cs="Times New Roman"/>
        </w:rPr>
        <w:t>did</w:t>
      </w:r>
      <w:r w:rsidR="00D92309" w:rsidRPr="0069274C">
        <w:rPr>
          <w:rFonts w:ascii="Times New Roman" w:eastAsia="標楷體" w:hAnsi="Times New Roman" w:cs="Times New Roman"/>
        </w:rPr>
        <w:t xml:space="preserve"> in fact pa</w:t>
      </w:r>
      <w:r w:rsidRPr="0069274C">
        <w:rPr>
          <w:rFonts w:ascii="Times New Roman" w:eastAsia="標楷體" w:hAnsi="Times New Roman" w:cs="Times New Roman"/>
        </w:rPr>
        <w:t>y</w:t>
      </w:r>
      <w:r w:rsidR="004A3621" w:rsidRPr="0069274C">
        <w:rPr>
          <w:rFonts w:ascii="Times New Roman" w:eastAsia="標楷體" w:hAnsi="Times New Roman" w:cs="Times New Roman"/>
        </w:rPr>
        <w:t xml:space="preserve"> out</w:t>
      </w:r>
      <w:r w:rsidR="00D92309" w:rsidRPr="0069274C">
        <w:rPr>
          <w:rFonts w:ascii="Times New Roman" w:eastAsia="標楷體" w:hAnsi="Times New Roman" w:cs="Times New Roman"/>
        </w:rPr>
        <w:t xml:space="preserve"> its share of the Manager’s Fee</w:t>
      </w:r>
      <w:r w:rsidRPr="0069274C">
        <w:rPr>
          <w:rFonts w:ascii="Times New Roman" w:eastAsia="標楷體" w:hAnsi="Times New Roman" w:cs="Times New Roman"/>
        </w:rPr>
        <w:t>s</w:t>
      </w:r>
      <w:r w:rsidR="00D92309" w:rsidRPr="0069274C">
        <w:rPr>
          <w:rFonts w:ascii="Times New Roman" w:eastAsia="標楷體" w:hAnsi="Times New Roman" w:cs="Times New Roman"/>
        </w:rPr>
        <w:t>.</w:t>
      </w:r>
      <w:r w:rsidR="00B6038B" w:rsidRPr="0069274C">
        <w:rPr>
          <w:rFonts w:ascii="Times New Roman" w:eastAsia="標楷體" w:hAnsi="Times New Roman" w:cs="Times New Roman"/>
        </w:rPr>
        <w:t xml:space="preserve"> Further, this Board finds that the time and date of such payments </w:t>
      </w:r>
      <w:r w:rsidR="004A3621" w:rsidRPr="0069274C">
        <w:rPr>
          <w:rFonts w:ascii="Times New Roman" w:eastAsia="標楷體" w:hAnsi="Times New Roman" w:cs="Times New Roman"/>
        </w:rPr>
        <w:t xml:space="preserve">to be the times each month when the Taxpayer’s share of the Manager’s Fees was recognized and settled by </w:t>
      </w:r>
      <w:r w:rsidR="006725A9">
        <w:rPr>
          <w:rFonts w:ascii="Times New Roman" w:eastAsia="標楷體" w:hAnsi="Times New Roman" w:cs="Times New Roman"/>
        </w:rPr>
        <w:t>Company N</w:t>
      </w:r>
      <w:r w:rsidR="004A3621" w:rsidRPr="0069274C">
        <w:rPr>
          <w:rFonts w:ascii="Times New Roman" w:eastAsia="標楷體" w:hAnsi="Times New Roman" w:cs="Times New Roman"/>
        </w:rPr>
        <w:t xml:space="preserve"> by related entries in the current account of the Taxpayer and in the current account of REIT </w:t>
      </w:r>
      <w:r w:rsidR="006725A9">
        <w:rPr>
          <w:rFonts w:ascii="Times New Roman" w:eastAsia="標楷體" w:hAnsi="Times New Roman" w:cs="Times New Roman"/>
        </w:rPr>
        <w:t xml:space="preserve">K </w:t>
      </w:r>
      <w:r w:rsidR="004A3621" w:rsidRPr="0069274C">
        <w:rPr>
          <w:rFonts w:ascii="Times New Roman" w:eastAsia="標楷體" w:hAnsi="Times New Roman" w:cs="Times New Roman"/>
        </w:rPr>
        <w:t xml:space="preserve">denoting the transfer of funds from the Taxpayer to </w:t>
      </w:r>
      <w:r w:rsidR="006725A9" w:rsidRPr="0069274C">
        <w:rPr>
          <w:rFonts w:ascii="Times New Roman" w:eastAsia="標楷體" w:hAnsi="Times New Roman" w:cs="Times New Roman"/>
        </w:rPr>
        <w:t xml:space="preserve">REIT </w:t>
      </w:r>
      <w:r w:rsidR="006725A9">
        <w:rPr>
          <w:rFonts w:ascii="Times New Roman" w:eastAsia="標楷體" w:hAnsi="Times New Roman" w:cs="Times New Roman"/>
        </w:rPr>
        <w:t>K</w:t>
      </w:r>
      <w:r w:rsidR="004A3621" w:rsidRPr="0069274C">
        <w:rPr>
          <w:rFonts w:ascii="Times New Roman" w:eastAsia="標楷體" w:hAnsi="Times New Roman" w:cs="Times New Roman"/>
        </w:rPr>
        <w:t xml:space="preserve">. </w:t>
      </w:r>
      <w:r w:rsidR="00296679" w:rsidRPr="0069274C">
        <w:rPr>
          <w:rFonts w:ascii="Times New Roman" w:eastAsia="標楷體" w:hAnsi="Times New Roman" w:cs="Times New Roman"/>
        </w:rPr>
        <w:t xml:space="preserve">And, in light of the </w:t>
      </w:r>
      <w:r w:rsidR="00FF34A9" w:rsidRPr="0069274C">
        <w:rPr>
          <w:rFonts w:ascii="Times New Roman" w:eastAsia="標楷體" w:hAnsi="Times New Roman" w:cs="Times New Roman"/>
        </w:rPr>
        <w:t>monthly recognition and settlement that this Board accepts,</w:t>
      </w:r>
      <w:r w:rsidR="00296679" w:rsidRPr="0069274C">
        <w:rPr>
          <w:rFonts w:ascii="Times New Roman" w:eastAsia="標楷體" w:hAnsi="Times New Roman" w:cs="Times New Roman"/>
        </w:rPr>
        <w:t xml:space="preserve"> those times were within the basis period of each of the relevant years of assessment. </w:t>
      </w:r>
    </w:p>
    <w:p w:rsidR="0055129C" w:rsidRPr="0069274C" w:rsidRDefault="0055129C" w:rsidP="00156E21">
      <w:pPr>
        <w:overflowPunct w:val="0"/>
        <w:autoSpaceDE w:val="0"/>
        <w:autoSpaceDN w:val="0"/>
        <w:jc w:val="both"/>
        <w:rPr>
          <w:rFonts w:ascii="Times New Roman" w:eastAsia="標楷體" w:hAnsi="Times New Roman" w:cs="Times New Roman"/>
        </w:rPr>
      </w:pPr>
    </w:p>
    <w:p w:rsidR="0055129C" w:rsidRPr="0069274C" w:rsidRDefault="0055129C"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This Board next considers the consequence of the finding that the Taxpayer did in fact pay</w:t>
      </w:r>
      <w:r w:rsidR="004A3621" w:rsidRPr="0069274C">
        <w:rPr>
          <w:rFonts w:ascii="Times New Roman" w:eastAsia="標楷體" w:hAnsi="Times New Roman" w:cs="Times New Roman"/>
        </w:rPr>
        <w:t xml:space="preserve"> out</w:t>
      </w:r>
      <w:r w:rsidRPr="0069274C">
        <w:rPr>
          <w:rFonts w:ascii="Times New Roman" w:eastAsia="標楷體" w:hAnsi="Times New Roman" w:cs="Times New Roman"/>
        </w:rPr>
        <w:t xml:space="preserve"> its share of the Manager’s Fees. The first issue in this connection concerns whether the Taxpayer </w:t>
      </w:r>
      <w:r w:rsidR="004A3621" w:rsidRPr="0069274C">
        <w:rPr>
          <w:rFonts w:ascii="Times New Roman" w:eastAsia="標楷體" w:hAnsi="Times New Roman" w:cs="Times New Roman"/>
        </w:rPr>
        <w:t>had</w:t>
      </w:r>
      <w:r w:rsidRPr="0069274C">
        <w:rPr>
          <w:rFonts w:ascii="Times New Roman" w:eastAsia="標楷體" w:hAnsi="Times New Roman" w:cs="Times New Roman"/>
        </w:rPr>
        <w:t xml:space="preserve"> incurred the Manager’s Fees. </w:t>
      </w:r>
    </w:p>
    <w:p w:rsidR="007615A6" w:rsidRPr="0069274C" w:rsidRDefault="007615A6" w:rsidP="00156E21">
      <w:pPr>
        <w:overflowPunct w:val="0"/>
        <w:autoSpaceDE w:val="0"/>
        <w:autoSpaceDN w:val="0"/>
        <w:jc w:val="both"/>
        <w:rPr>
          <w:rFonts w:ascii="Times New Roman" w:eastAsia="標楷體" w:hAnsi="Times New Roman" w:cs="Times New Roman"/>
        </w:rPr>
      </w:pPr>
    </w:p>
    <w:p w:rsidR="00F51626" w:rsidRPr="0069274C" w:rsidRDefault="007615A6"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Both </w:t>
      </w:r>
      <w:r w:rsidR="00962F95" w:rsidRPr="0069274C">
        <w:rPr>
          <w:rFonts w:ascii="Times New Roman" w:eastAsia="標楷體" w:hAnsi="Times New Roman" w:cs="Times New Roman"/>
        </w:rPr>
        <w:t>Mr Wong</w:t>
      </w:r>
      <w:r w:rsidR="0055129C" w:rsidRPr="0069274C">
        <w:rPr>
          <w:rFonts w:ascii="Times New Roman" w:eastAsia="標楷體" w:hAnsi="Times New Roman" w:cs="Times New Roman"/>
        </w:rPr>
        <w:t xml:space="preserve"> for the Taxpayer</w:t>
      </w:r>
      <w:r w:rsidR="00962F95" w:rsidRPr="0069274C">
        <w:rPr>
          <w:rFonts w:ascii="Times New Roman" w:eastAsia="標楷體" w:hAnsi="Times New Roman" w:cs="Times New Roman"/>
        </w:rPr>
        <w:t xml:space="preserve"> and Mr Kwok</w:t>
      </w:r>
      <w:r w:rsidR="0055129C" w:rsidRPr="0069274C">
        <w:rPr>
          <w:rFonts w:ascii="Times New Roman" w:eastAsia="標楷體" w:hAnsi="Times New Roman" w:cs="Times New Roman"/>
        </w:rPr>
        <w:t xml:space="preserve"> for the Revenue</w:t>
      </w:r>
      <w:r w:rsidR="00962F95" w:rsidRPr="0069274C">
        <w:rPr>
          <w:rFonts w:ascii="Times New Roman" w:eastAsia="標楷體" w:hAnsi="Times New Roman" w:cs="Times New Roman"/>
        </w:rPr>
        <w:t xml:space="preserve"> referred to the Privy Council opinion in </w:t>
      </w:r>
      <w:r w:rsidR="00962F95" w:rsidRPr="0069274C">
        <w:rPr>
          <w:rFonts w:ascii="Times New Roman" w:eastAsia="標楷體" w:hAnsi="Times New Roman" w:cs="Times New Roman"/>
          <w:u w:val="single"/>
        </w:rPr>
        <w:t>Commissioner of Inland Revenue v Lo &amp; Lo (a firm)</w:t>
      </w:r>
      <w:r w:rsidR="00962F95" w:rsidRPr="0069274C">
        <w:rPr>
          <w:rFonts w:ascii="Times New Roman" w:eastAsia="標楷體" w:hAnsi="Times New Roman" w:cs="Times New Roman"/>
        </w:rPr>
        <w:t xml:space="preserve"> [1984] 1 WLR 986 </w:t>
      </w:r>
      <w:r w:rsidR="006725A9">
        <w:rPr>
          <w:rFonts w:ascii="Times New Roman" w:eastAsia="標楷體" w:hAnsi="Times New Roman" w:cs="Times New Roman"/>
        </w:rPr>
        <w:t>on deductions permitted under sections</w:t>
      </w:r>
      <w:r w:rsidR="00962F95" w:rsidRPr="0069274C">
        <w:rPr>
          <w:rFonts w:ascii="Times New Roman" w:eastAsia="標楷體" w:hAnsi="Times New Roman" w:cs="Times New Roman"/>
        </w:rPr>
        <w:t xml:space="preserve"> 16 and 17 of the IRO. </w:t>
      </w:r>
      <w:r w:rsidR="00F51626" w:rsidRPr="0069274C">
        <w:rPr>
          <w:rFonts w:ascii="Times New Roman" w:eastAsia="標楷體" w:hAnsi="Times New Roman" w:cs="Times New Roman"/>
        </w:rPr>
        <w:t xml:space="preserve">Lord Brightman, giving the opinion for the Privy Council, stated at 991B-D that: </w:t>
      </w:r>
    </w:p>
    <w:p w:rsidR="00F51626" w:rsidRPr="0069274C" w:rsidRDefault="00F51626" w:rsidP="00156E21">
      <w:pPr>
        <w:overflowPunct w:val="0"/>
        <w:autoSpaceDE w:val="0"/>
        <w:autoSpaceDN w:val="0"/>
        <w:jc w:val="both"/>
        <w:rPr>
          <w:rFonts w:ascii="Times New Roman" w:eastAsia="標楷體" w:hAnsi="Times New Roman" w:cs="Times New Roman"/>
        </w:rPr>
      </w:pPr>
    </w:p>
    <w:p w:rsidR="00962F95" w:rsidRPr="006725A9" w:rsidRDefault="00F51626" w:rsidP="006725A9">
      <w:pPr>
        <w:pStyle w:val="a3"/>
        <w:overflowPunct w:val="0"/>
        <w:autoSpaceDE w:val="0"/>
        <w:autoSpaceDN w:val="0"/>
        <w:ind w:leftChars="638" w:left="1531"/>
        <w:jc w:val="both"/>
        <w:rPr>
          <w:rFonts w:ascii="Times New Roman" w:eastAsia="標楷體" w:hAnsi="Times New Roman" w:cs="Times New Roman"/>
          <w:i/>
        </w:rPr>
      </w:pPr>
      <w:r w:rsidRPr="0069274C">
        <w:rPr>
          <w:rFonts w:ascii="Times New Roman" w:eastAsia="標楷體" w:hAnsi="Times New Roman" w:cs="Times New Roman"/>
        </w:rPr>
        <w:t>‘</w:t>
      </w:r>
      <w:r w:rsidRPr="006725A9">
        <w:rPr>
          <w:rFonts w:ascii="Times New Roman" w:eastAsia="標楷體" w:hAnsi="Times New Roman" w:cs="Times New Roman"/>
          <w:i/>
        </w:rPr>
        <w:t>Sections 16 and 17 provide exhaustively for deductions in the sense that permitted deductions are confined to outgoings and expenses incurred in the production of profits in respect of which tax is chargeable; that such permitted deductions expressly include those specified in (a) to (h) of section 16(1), and expressly exclude those in section 17. In the opinion of their Lordships commercial considerations are not wholly to be disregarded in the course of this process. They are relevant for the purpose of deciding what can properly be treated as “outgoings and expenses … incurred during the basis period … in the production of profits in respect of which …” the taxpayer is chargeable to tax.</w:t>
      </w:r>
    </w:p>
    <w:p w:rsidR="00F51626" w:rsidRPr="006725A9" w:rsidRDefault="00F51626" w:rsidP="006725A9">
      <w:pPr>
        <w:pStyle w:val="a3"/>
        <w:overflowPunct w:val="0"/>
        <w:autoSpaceDE w:val="0"/>
        <w:autoSpaceDN w:val="0"/>
        <w:ind w:leftChars="638" w:left="1531"/>
        <w:jc w:val="both"/>
        <w:rPr>
          <w:rFonts w:ascii="Times New Roman" w:eastAsia="標楷體" w:hAnsi="Times New Roman" w:cs="Times New Roman"/>
          <w:i/>
        </w:rPr>
      </w:pPr>
    </w:p>
    <w:p w:rsidR="00F51626" w:rsidRPr="0069274C" w:rsidRDefault="00F51626" w:rsidP="006725A9">
      <w:pPr>
        <w:pStyle w:val="a3"/>
        <w:overflowPunct w:val="0"/>
        <w:autoSpaceDE w:val="0"/>
        <w:autoSpaceDN w:val="0"/>
        <w:ind w:leftChars="638" w:left="1531"/>
        <w:jc w:val="both"/>
        <w:rPr>
          <w:rFonts w:ascii="Times New Roman" w:eastAsia="標楷體" w:hAnsi="Times New Roman" w:cs="Times New Roman"/>
        </w:rPr>
      </w:pPr>
      <w:r w:rsidRPr="006725A9">
        <w:rPr>
          <w:rFonts w:ascii="Times New Roman" w:eastAsia="標楷體" w:hAnsi="Times New Roman" w:cs="Times New Roman"/>
          <w:i/>
        </w:rPr>
        <w:t>In construing section 16, weight must be given to the fact that deductions are not confined to sums actually paid by the taxpayer. Such sums would be covered by the “outgoings” standing alone. The contrast between “sums payable” in paragraph (a) and “rent paid” in paragraph (b) and the inclusion in paragraph (d) of “bad debts incurred” show clearly enough that the legislature was not thinking only of disbursements made during the basis period.</w:t>
      </w:r>
      <w:r w:rsidRPr="0069274C">
        <w:rPr>
          <w:rFonts w:ascii="Times New Roman" w:eastAsia="標楷體" w:hAnsi="Times New Roman" w:cs="Times New Roman"/>
        </w:rPr>
        <w:t>’</w:t>
      </w:r>
    </w:p>
    <w:p w:rsidR="00F51626" w:rsidRPr="0069274C" w:rsidRDefault="00F51626" w:rsidP="006725A9">
      <w:pPr>
        <w:pStyle w:val="a3"/>
        <w:overflowPunct w:val="0"/>
        <w:autoSpaceDE w:val="0"/>
        <w:autoSpaceDN w:val="0"/>
        <w:ind w:leftChars="638" w:left="1531"/>
        <w:jc w:val="both"/>
        <w:rPr>
          <w:rFonts w:ascii="Times New Roman" w:eastAsia="標楷體" w:hAnsi="Times New Roman" w:cs="Times New Roman"/>
        </w:rPr>
      </w:pPr>
    </w:p>
    <w:p w:rsidR="00F51626" w:rsidRPr="0069274C" w:rsidRDefault="00F51626" w:rsidP="006725A9">
      <w:pPr>
        <w:pStyle w:val="a3"/>
        <w:overflowPunct w:val="0"/>
        <w:autoSpaceDE w:val="0"/>
        <w:autoSpaceDN w:val="0"/>
        <w:ind w:leftChars="638" w:left="1531"/>
        <w:jc w:val="both"/>
        <w:rPr>
          <w:rFonts w:ascii="Times New Roman" w:eastAsia="標楷體" w:hAnsi="Times New Roman" w:cs="Times New Roman"/>
        </w:rPr>
      </w:pPr>
      <w:r w:rsidRPr="0069274C">
        <w:rPr>
          <w:rFonts w:ascii="Times New Roman" w:eastAsia="標楷體" w:hAnsi="Times New Roman" w:cs="Times New Roman"/>
        </w:rPr>
        <w:t xml:space="preserve">Then, having </w:t>
      </w:r>
      <w:r w:rsidR="00970818" w:rsidRPr="0069274C">
        <w:rPr>
          <w:rFonts w:ascii="Times New Roman" w:eastAsia="標楷體" w:hAnsi="Times New Roman" w:cs="Times New Roman"/>
        </w:rPr>
        <w:t>considered the extent that s</w:t>
      </w:r>
      <w:r w:rsidR="006725A9">
        <w:rPr>
          <w:rFonts w:ascii="Times New Roman" w:eastAsia="標楷體" w:hAnsi="Times New Roman" w:cs="Times New Roman"/>
        </w:rPr>
        <w:t>ection</w:t>
      </w:r>
      <w:r w:rsidR="00970818" w:rsidRPr="0069274C">
        <w:rPr>
          <w:rFonts w:ascii="Times New Roman" w:eastAsia="標楷體" w:hAnsi="Times New Roman" w:cs="Times New Roman"/>
        </w:rPr>
        <w:t xml:space="preserve"> 16 was intended to </w:t>
      </w:r>
      <w:r w:rsidR="006725A9">
        <w:rPr>
          <w:rFonts w:ascii="Times New Roman" w:eastAsia="標楷體" w:hAnsi="Times New Roman" w:cs="Times New Roman"/>
        </w:rPr>
        <w:t>‘</w:t>
      </w:r>
      <w:r w:rsidR="00970818" w:rsidRPr="0069274C">
        <w:rPr>
          <w:rFonts w:ascii="Times New Roman" w:eastAsia="標楷體" w:hAnsi="Times New Roman" w:cs="Times New Roman"/>
        </w:rPr>
        <w:t>travel</w:t>
      </w:r>
      <w:r w:rsidR="006725A9">
        <w:rPr>
          <w:rFonts w:ascii="Times New Roman" w:eastAsia="標楷體" w:hAnsi="Times New Roman" w:cs="Times New Roman"/>
        </w:rPr>
        <w:t>’</w:t>
      </w:r>
      <w:r w:rsidR="00970818" w:rsidRPr="0069274C">
        <w:rPr>
          <w:rFonts w:ascii="Times New Roman" w:eastAsia="標楷體" w:hAnsi="Times New Roman" w:cs="Times New Roman"/>
        </w:rPr>
        <w:t xml:space="preserve"> </w:t>
      </w:r>
      <w:r w:rsidR="006725A9">
        <w:rPr>
          <w:rFonts w:ascii="Times New Roman" w:eastAsia="標楷體" w:hAnsi="Times New Roman" w:cs="Times New Roman"/>
        </w:rPr>
        <w:t>‘</w:t>
      </w:r>
      <w:r w:rsidR="00970818" w:rsidRPr="0069274C">
        <w:rPr>
          <w:rFonts w:ascii="Times New Roman" w:eastAsia="標楷體" w:hAnsi="Times New Roman" w:cs="Times New Roman"/>
        </w:rPr>
        <w:t>beyond mere disbursements</w:t>
      </w:r>
      <w:r w:rsidR="006725A9">
        <w:rPr>
          <w:rFonts w:ascii="Times New Roman" w:eastAsia="標楷體" w:hAnsi="Times New Roman" w:cs="Times New Roman"/>
        </w:rPr>
        <w:t>’</w:t>
      </w:r>
      <w:r w:rsidR="00970818" w:rsidRPr="0069274C">
        <w:rPr>
          <w:rFonts w:ascii="Times New Roman" w:eastAsia="標楷體" w:hAnsi="Times New Roman" w:cs="Times New Roman"/>
        </w:rPr>
        <w:t xml:space="preserve"> in the context of a retirement benefit payable at a future date, Lord Brightman stated at 992B that: ‘</w:t>
      </w:r>
      <w:r w:rsidR="00970818" w:rsidRPr="006725A9">
        <w:rPr>
          <w:rFonts w:ascii="Times New Roman" w:eastAsia="標楷體" w:hAnsi="Times New Roman" w:cs="Times New Roman"/>
          <w:i/>
        </w:rPr>
        <w:t>“an expense incurred” is not confined to a disbursement, and must at least include a sum which there is an obligation to pay, that is to say an accrued liability which is undischarged.</w:t>
      </w:r>
      <w:r w:rsidR="00970818" w:rsidRPr="0069274C">
        <w:rPr>
          <w:rFonts w:ascii="Times New Roman" w:eastAsia="標楷體" w:hAnsi="Times New Roman" w:cs="Times New Roman"/>
        </w:rPr>
        <w:t>’</w:t>
      </w:r>
    </w:p>
    <w:p w:rsidR="00962F95" w:rsidRPr="0069274C" w:rsidRDefault="00962F95" w:rsidP="00156E21">
      <w:pPr>
        <w:overflowPunct w:val="0"/>
        <w:autoSpaceDE w:val="0"/>
        <w:autoSpaceDN w:val="0"/>
        <w:jc w:val="both"/>
        <w:rPr>
          <w:rFonts w:ascii="Times New Roman" w:eastAsia="標楷體" w:hAnsi="Times New Roman" w:cs="Times New Roman"/>
        </w:rPr>
      </w:pPr>
    </w:p>
    <w:p w:rsidR="00697A9F" w:rsidRPr="0069274C" w:rsidRDefault="00B6038B"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Mr Wong for the Taxpayer also referred to the Court of Appeal’s judgment in </w:t>
      </w:r>
      <w:r w:rsidRPr="0069274C">
        <w:rPr>
          <w:rFonts w:ascii="Times New Roman" w:eastAsia="標楷體" w:hAnsi="Times New Roman" w:cs="Times New Roman"/>
          <w:u w:val="single"/>
        </w:rPr>
        <w:t>Commissioner of Inland Revenue v Lo &amp; Lo</w:t>
      </w:r>
      <w:r w:rsidRPr="0069274C">
        <w:rPr>
          <w:rFonts w:ascii="Times New Roman" w:eastAsia="標楷體" w:hAnsi="Times New Roman" w:cs="Times New Roman"/>
        </w:rPr>
        <w:t xml:space="preserve"> [1982] HKLR 503, particularly the judgment of Cons JA (as he then was) where his Lordship not only considered the ordinary meaning of </w:t>
      </w:r>
      <w:r w:rsidR="006725A9">
        <w:rPr>
          <w:rFonts w:ascii="Times New Roman" w:eastAsia="標楷體" w:hAnsi="Times New Roman" w:cs="Times New Roman"/>
        </w:rPr>
        <w:t>‘</w:t>
      </w:r>
      <w:r w:rsidRPr="0069274C">
        <w:rPr>
          <w:rFonts w:ascii="Times New Roman" w:eastAsia="標楷體" w:hAnsi="Times New Roman" w:cs="Times New Roman"/>
        </w:rPr>
        <w:t>outgoing</w:t>
      </w:r>
      <w:r w:rsidR="006725A9">
        <w:rPr>
          <w:rFonts w:ascii="Times New Roman" w:eastAsia="標楷體" w:hAnsi="Times New Roman" w:cs="Times New Roman"/>
        </w:rPr>
        <w:t>’</w:t>
      </w:r>
      <w:r w:rsidRPr="0069274C">
        <w:rPr>
          <w:rFonts w:ascii="Times New Roman" w:eastAsia="標楷體" w:hAnsi="Times New Roman" w:cs="Times New Roman"/>
        </w:rPr>
        <w:t xml:space="preserve"> and </w:t>
      </w:r>
      <w:r w:rsidR="006725A9">
        <w:rPr>
          <w:rFonts w:ascii="Times New Roman" w:eastAsia="標楷體" w:hAnsi="Times New Roman" w:cs="Times New Roman"/>
        </w:rPr>
        <w:t>‘</w:t>
      </w:r>
      <w:r w:rsidRPr="0069274C">
        <w:rPr>
          <w:rFonts w:ascii="Times New Roman" w:eastAsia="標楷體" w:hAnsi="Times New Roman" w:cs="Times New Roman"/>
        </w:rPr>
        <w:t>expense</w:t>
      </w:r>
      <w:r w:rsidR="006725A9">
        <w:rPr>
          <w:rFonts w:ascii="Times New Roman" w:eastAsia="標楷體" w:hAnsi="Times New Roman" w:cs="Times New Roman"/>
        </w:rPr>
        <w:t>’</w:t>
      </w:r>
      <w:r w:rsidRPr="0069274C">
        <w:rPr>
          <w:rFonts w:ascii="Times New Roman" w:eastAsia="標楷體" w:hAnsi="Times New Roman" w:cs="Times New Roman"/>
        </w:rPr>
        <w:t xml:space="preserve"> at 510F-G to state that ‘</w:t>
      </w:r>
      <w:r w:rsidRPr="006725A9">
        <w:rPr>
          <w:rFonts w:ascii="Times New Roman" w:eastAsia="標楷體" w:hAnsi="Times New Roman" w:cs="Times New Roman"/>
          <w:i/>
        </w:rPr>
        <w:t>[taken] literally neither an “outgoing” nor an “expense” can be incurred until it is actually paid</w:t>
      </w:r>
      <w:r w:rsidRPr="0069274C">
        <w:rPr>
          <w:rFonts w:ascii="Times New Roman" w:eastAsia="標楷體" w:hAnsi="Times New Roman" w:cs="Times New Roman"/>
        </w:rPr>
        <w:t xml:space="preserve">’, but also made the point that the word </w:t>
      </w:r>
      <w:r w:rsidR="003A6BA1">
        <w:rPr>
          <w:rFonts w:ascii="Times New Roman" w:eastAsia="標楷體" w:hAnsi="Times New Roman" w:cs="Times New Roman"/>
        </w:rPr>
        <w:t>‘</w:t>
      </w:r>
      <w:r w:rsidRPr="0069274C">
        <w:rPr>
          <w:rFonts w:ascii="Times New Roman" w:eastAsia="標楷體" w:hAnsi="Times New Roman" w:cs="Times New Roman"/>
        </w:rPr>
        <w:t>incurred</w:t>
      </w:r>
      <w:r w:rsidR="003A6BA1">
        <w:rPr>
          <w:rFonts w:ascii="Times New Roman" w:eastAsia="標楷體" w:hAnsi="Times New Roman" w:cs="Times New Roman"/>
        </w:rPr>
        <w:t>’</w:t>
      </w:r>
      <w:r w:rsidRPr="0069274C">
        <w:rPr>
          <w:rFonts w:ascii="Times New Roman" w:eastAsia="標楷體" w:hAnsi="Times New Roman" w:cs="Times New Roman"/>
        </w:rPr>
        <w:t xml:space="preserve"> had ‘</w:t>
      </w:r>
      <w:r w:rsidRPr="003A6BA1">
        <w:rPr>
          <w:rFonts w:ascii="Times New Roman" w:eastAsia="標楷體" w:hAnsi="Times New Roman" w:cs="Times New Roman"/>
          <w:i/>
        </w:rPr>
        <w:t>a wider meaning than “laid out or expended”, for it includes the acceptance of a liability as well as the meeting of that liability as and when it matures.</w:t>
      </w:r>
      <w:r w:rsidRPr="0069274C">
        <w:rPr>
          <w:rFonts w:ascii="Times New Roman" w:eastAsia="標楷體" w:hAnsi="Times New Roman" w:cs="Times New Roman"/>
        </w:rPr>
        <w:t>’</w:t>
      </w:r>
    </w:p>
    <w:p w:rsidR="00697A9F" w:rsidRPr="0069274C" w:rsidRDefault="00697A9F" w:rsidP="00156E21">
      <w:pPr>
        <w:overflowPunct w:val="0"/>
        <w:autoSpaceDE w:val="0"/>
        <w:autoSpaceDN w:val="0"/>
        <w:jc w:val="both"/>
        <w:rPr>
          <w:rFonts w:ascii="Times New Roman" w:eastAsia="標楷體" w:hAnsi="Times New Roman" w:cs="Times New Roman"/>
        </w:rPr>
      </w:pPr>
    </w:p>
    <w:p w:rsidR="00BD4A4B" w:rsidRPr="0069274C" w:rsidRDefault="004A3621"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This Board has found that the Taxpayer did in fact pay out its share of the Manager’s Fees. In light of the opinion of the Privy Council in </w:t>
      </w:r>
      <w:r w:rsidRPr="003A6BA1">
        <w:rPr>
          <w:rFonts w:ascii="Times New Roman" w:eastAsia="標楷體" w:hAnsi="Times New Roman" w:cs="Times New Roman"/>
          <w:u w:val="single"/>
        </w:rPr>
        <w:t>Lo &amp; Lo</w:t>
      </w:r>
      <w:r w:rsidRPr="0069274C">
        <w:rPr>
          <w:rFonts w:ascii="Times New Roman" w:eastAsia="標楷體" w:hAnsi="Times New Roman" w:cs="Times New Roman"/>
        </w:rPr>
        <w:t xml:space="preserve"> and the views of Cons JA in </w:t>
      </w:r>
      <w:r w:rsidRPr="003A6BA1">
        <w:rPr>
          <w:rFonts w:ascii="Times New Roman" w:eastAsia="標楷體" w:hAnsi="Times New Roman" w:cs="Times New Roman"/>
          <w:u w:val="single"/>
        </w:rPr>
        <w:t>Lo &amp; Lo</w:t>
      </w:r>
      <w:r w:rsidRPr="0069274C">
        <w:rPr>
          <w:rFonts w:ascii="Times New Roman" w:eastAsia="標楷體" w:hAnsi="Times New Roman" w:cs="Times New Roman"/>
          <w:i/>
        </w:rPr>
        <w:t xml:space="preserve"> </w:t>
      </w:r>
      <w:r w:rsidRPr="0069274C">
        <w:rPr>
          <w:rFonts w:ascii="Times New Roman" w:eastAsia="標楷體" w:hAnsi="Times New Roman" w:cs="Times New Roman"/>
        </w:rPr>
        <w:t xml:space="preserve">(which this Board considers to be consistent with the opinion of the Privy Council), this Board is obliged to follow them and finds that the Taxpayer did incur </w:t>
      </w:r>
      <w:r w:rsidR="00296679" w:rsidRPr="0069274C">
        <w:rPr>
          <w:rFonts w:ascii="Times New Roman" w:eastAsia="標楷體" w:hAnsi="Times New Roman" w:cs="Times New Roman"/>
        </w:rPr>
        <w:t xml:space="preserve">the Manager’s Fees during the basis period for each of the relevant years of assessment. </w:t>
      </w:r>
    </w:p>
    <w:p w:rsidR="00BD4A4B" w:rsidRPr="0069274C" w:rsidRDefault="00BD4A4B" w:rsidP="00156E21">
      <w:pPr>
        <w:overflowPunct w:val="0"/>
        <w:autoSpaceDE w:val="0"/>
        <w:autoSpaceDN w:val="0"/>
        <w:jc w:val="both"/>
        <w:rPr>
          <w:rFonts w:ascii="Times New Roman" w:eastAsia="標楷體" w:hAnsi="Times New Roman" w:cs="Times New Roman"/>
        </w:rPr>
      </w:pPr>
    </w:p>
    <w:p w:rsidR="00182425" w:rsidRPr="0069274C" w:rsidRDefault="00296679"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Both the</w:t>
      </w:r>
      <w:r w:rsidR="00631955" w:rsidRPr="0069274C">
        <w:rPr>
          <w:rFonts w:ascii="Times New Roman" w:eastAsia="標楷體" w:hAnsi="Times New Roman" w:cs="Times New Roman"/>
        </w:rPr>
        <w:t xml:space="preserve"> Taxpayer</w:t>
      </w:r>
      <w:r w:rsidRPr="0069274C">
        <w:rPr>
          <w:rFonts w:ascii="Times New Roman" w:eastAsia="標楷體" w:hAnsi="Times New Roman" w:cs="Times New Roman"/>
        </w:rPr>
        <w:t xml:space="preserve"> and the Revenue recognize that the finding that the Taxpayer did incur the Manager’s Fees during the basis period </w:t>
      </w:r>
      <w:r w:rsidR="00FF34A9" w:rsidRPr="0069274C">
        <w:rPr>
          <w:rFonts w:ascii="Times New Roman" w:eastAsia="標楷體" w:hAnsi="Times New Roman" w:cs="Times New Roman"/>
        </w:rPr>
        <w:t>of each of the relevant years of assessment does not dispose of this Appeal</w:t>
      </w:r>
      <w:r w:rsidR="00757C8F" w:rsidRPr="0069274C">
        <w:rPr>
          <w:rFonts w:ascii="Times New Roman" w:eastAsia="標楷體" w:hAnsi="Times New Roman" w:cs="Times New Roman"/>
        </w:rPr>
        <w:t>.</w:t>
      </w:r>
      <w:r w:rsidR="00FF34A9" w:rsidRPr="0069274C">
        <w:rPr>
          <w:rFonts w:ascii="Times New Roman" w:eastAsia="標楷體" w:hAnsi="Times New Roman" w:cs="Times New Roman"/>
        </w:rPr>
        <w:t xml:space="preserve"> This is because as Mr Kwok for the Revenue has submitted, s</w:t>
      </w:r>
      <w:r w:rsidR="003A6BA1">
        <w:rPr>
          <w:rFonts w:ascii="Times New Roman" w:eastAsia="標楷體" w:hAnsi="Times New Roman" w:cs="Times New Roman"/>
        </w:rPr>
        <w:t>ection</w:t>
      </w:r>
      <w:r w:rsidR="00176C3C">
        <w:rPr>
          <w:rFonts w:ascii="Times New Roman" w:eastAsia="標楷體" w:hAnsi="Times New Roman" w:cs="Times New Roman"/>
        </w:rPr>
        <w:t xml:space="preserve"> 16 </w:t>
      </w:r>
      <w:r w:rsidR="00FF34A9" w:rsidRPr="0069274C">
        <w:rPr>
          <w:rFonts w:ascii="Times New Roman" w:eastAsia="標楷體" w:hAnsi="Times New Roman" w:cs="Times New Roman"/>
        </w:rPr>
        <w:t xml:space="preserve">goes on to qualify </w:t>
      </w:r>
      <w:r w:rsidR="003A6BA1">
        <w:rPr>
          <w:rFonts w:ascii="Times New Roman" w:eastAsia="標楷體" w:hAnsi="Times New Roman" w:cs="Times New Roman"/>
        </w:rPr>
        <w:t>‘</w:t>
      </w:r>
      <w:r w:rsidR="00FF34A9" w:rsidRPr="0069274C">
        <w:rPr>
          <w:rFonts w:ascii="Times New Roman" w:eastAsia="標楷體" w:hAnsi="Times New Roman" w:cs="Times New Roman"/>
        </w:rPr>
        <w:t>expense incurred</w:t>
      </w:r>
      <w:r w:rsidR="003A6BA1">
        <w:rPr>
          <w:rFonts w:ascii="Times New Roman" w:eastAsia="標楷體" w:hAnsi="Times New Roman" w:cs="Times New Roman"/>
        </w:rPr>
        <w:t>’</w:t>
      </w:r>
      <w:r w:rsidR="00FF34A9" w:rsidRPr="0069274C">
        <w:rPr>
          <w:rFonts w:ascii="Times New Roman" w:eastAsia="標楷體" w:hAnsi="Times New Roman" w:cs="Times New Roman"/>
        </w:rPr>
        <w:t xml:space="preserve"> by </w:t>
      </w:r>
      <w:r w:rsidR="003A6BA1">
        <w:rPr>
          <w:rFonts w:ascii="Times New Roman" w:eastAsia="標楷體" w:hAnsi="Times New Roman" w:cs="Times New Roman"/>
        </w:rPr>
        <w:t>‘</w:t>
      </w:r>
      <w:r w:rsidR="00FF34A9" w:rsidRPr="0069274C">
        <w:rPr>
          <w:rFonts w:ascii="Times New Roman" w:eastAsia="標楷體" w:hAnsi="Times New Roman" w:cs="Times New Roman"/>
        </w:rPr>
        <w:t>to the extent to which they are incurred during the basis period for that year of assessment by such person in the production of [chargeable] profit.’ Mr Wong</w:t>
      </w:r>
      <w:r w:rsidR="00757C8F" w:rsidRPr="0069274C">
        <w:rPr>
          <w:rFonts w:ascii="Times New Roman" w:eastAsia="標楷體" w:hAnsi="Times New Roman" w:cs="Times New Roman"/>
        </w:rPr>
        <w:t xml:space="preserve"> </w:t>
      </w:r>
      <w:r w:rsidR="00FF34A9" w:rsidRPr="0069274C">
        <w:rPr>
          <w:rFonts w:ascii="Times New Roman" w:eastAsia="標楷體" w:hAnsi="Times New Roman" w:cs="Times New Roman"/>
        </w:rPr>
        <w:t xml:space="preserve">for the Taxpayer has acknowledged that the Taxpayer has to establish also that the Manager’s Fees were paid in and for the purpose of the production of its profits. </w:t>
      </w:r>
    </w:p>
    <w:p w:rsidR="00757C8F" w:rsidRPr="0069274C" w:rsidRDefault="00757C8F" w:rsidP="00156E21">
      <w:pPr>
        <w:pStyle w:val="a3"/>
        <w:overflowPunct w:val="0"/>
        <w:autoSpaceDE w:val="0"/>
        <w:autoSpaceDN w:val="0"/>
        <w:ind w:left="0"/>
        <w:rPr>
          <w:rFonts w:ascii="Times New Roman" w:eastAsia="標楷體" w:hAnsi="Times New Roman" w:cs="Times New Roman"/>
        </w:rPr>
      </w:pPr>
    </w:p>
    <w:p w:rsidR="00C4025B" w:rsidRPr="0069274C" w:rsidRDefault="001F7036"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This Board has reviewed the evidence of Mr </w:t>
      </w:r>
      <w:r w:rsidR="003A6BA1">
        <w:rPr>
          <w:rFonts w:ascii="Times New Roman" w:eastAsia="標楷體" w:hAnsi="Times New Roman" w:cs="Times New Roman"/>
        </w:rPr>
        <w:t>P</w:t>
      </w:r>
      <w:r w:rsidRPr="0069274C">
        <w:rPr>
          <w:rFonts w:ascii="Times New Roman" w:eastAsia="標楷體" w:hAnsi="Times New Roman" w:cs="Times New Roman"/>
        </w:rPr>
        <w:t xml:space="preserve">, Ms </w:t>
      </w:r>
      <w:r w:rsidR="003A6BA1">
        <w:rPr>
          <w:rFonts w:ascii="Times New Roman" w:eastAsia="標楷體" w:hAnsi="Times New Roman" w:cs="Times New Roman"/>
        </w:rPr>
        <w:t>Q</w:t>
      </w:r>
      <w:r w:rsidRPr="0069274C">
        <w:rPr>
          <w:rFonts w:ascii="Times New Roman" w:eastAsia="標楷體" w:hAnsi="Times New Roman" w:cs="Times New Roman"/>
        </w:rPr>
        <w:t xml:space="preserve"> and Mr </w:t>
      </w:r>
      <w:r w:rsidR="003A6BA1">
        <w:rPr>
          <w:rFonts w:ascii="Times New Roman" w:eastAsia="標楷體" w:hAnsi="Times New Roman" w:cs="Times New Roman"/>
        </w:rPr>
        <w:t>R</w:t>
      </w:r>
      <w:r w:rsidRPr="0069274C">
        <w:rPr>
          <w:rFonts w:ascii="Times New Roman" w:eastAsia="標楷體" w:hAnsi="Times New Roman" w:cs="Times New Roman"/>
        </w:rPr>
        <w:t xml:space="preserve"> on the two-tier management structure of REIT </w:t>
      </w:r>
      <w:r w:rsidR="003A6BA1">
        <w:rPr>
          <w:rFonts w:ascii="Times New Roman" w:eastAsia="標楷體" w:hAnsi="Times New Roman" w:cs="Times New Roman"/>
        </w:rPr>
        <w:t xml:space="preserve">K </w:t>
      </w:r>
      <w:r w:rsidR="00B02402" w:rsidRPr="0069274C">
        <w:rPr>
          <w:rFonts w:ascii="Times New Roman" w:eastAsia="標楷體" w:hAnsi="Times New Roman" w:cs="Times New Roman"/>
        </w:rPr>
        <w:t xml:space="preserve">and the services that the Manager (or </w:t>
      </w:r>
      <w:r w:rsidR="003A6BA1">
        <w:rPr>
          <w:rFonts w:ascii="Times New Roman" w:eastAsia="標楷體" w:hAnsi="Times New Roman" w:cs="Times New Roman"/>
        </w:rPr>
        <w:t>Company H</w:t>
      </w:r>
      <w:r w:rsidR="00B02402" w:rsidRPr="0069274C">
        <w:rPr>
          <w:rFonts w:ascii="Times New Roman" w:eastAsia="標楷體" w:hAnsi="Times New Roman" w:cs="Times New Roman"/>
        </w:rPr>
        <w:t xml:space="preserve">) provided to </w:t>
      </w:r>
      <w:r w:rsidR="003A6BA1" w:rsidRPr="0069274C">
        <w:rPr>
          <w:rFonts w:ascii="Times New Roman" w:eastAsia="標楷體" w:hAnsi="Times New Roman" w:cs="Times New Roman"/>
        </w:rPr>
        <w:t xml:space="preserve">REIT </w:t>
      </w:r>
      <w:r w:rsidR="003A6BA1">
        <w:rPr>
          <w:rFonts w:ascii="Times New Roman" w:eastAsia="標楷體" w:hAnsi="Times New Roman" w:cs="Times New Roman"/>
        </w:rPr>
        <w:t>K</w:t>
      </w:r>
      <w:r w:rsidR="00B02402" w:rsidRPr="0069274C">
        <w:rPr>
          <w:rFonts w:ascii="Times New Roman" w:eastAsia="標楷體" w:hAnsi="Times New Roman" w:cs="Times New Roman"/>
        </w:rPr>
        <w:t xml:space="preserve"> and the SPVs of </w:t>
      </w:r>
      <w:r w:rsidR="003A6BA1" w:rsidRPr="0069274C">
        <w:rPr>
          <w:rFonts w:ascii="Times New Roman" w:eastAsia="標楷體" w:hAnsi="Times New Roman" w:cs="Times New Roman"/>
        </w:rPr>
        <w:t xml:space="preserve">REIT </w:t>
      </w:r>
      <w:r w:rsidR="003A6BA1">
        <w:rPr>
          <w:rFonts w:ascii="Times New Roman" w:eastAsia="標楷體" w:hAnsi="Times New Roman" w:cs="Times New Roman"/>
        </w:rPr>
        <w:t>K</w:t>
      </w:r>
      <w:r w:rsidR="00B02402" w:rsidRPr="0069274C">
        <w:rPr>
          <w:rFonts w:ascii="Times New Roman" w:eastAsia="標楷體" w:hAnsi="Times New Roman" w:cs="Times New Roman"/>
        </w:rPr>
        <w:t xml:space="preserve"> (including the Taxpayer) that held the Deposited Properties defined in the Trust Deed of </w:t>
      </w:r>
      <w:r w:rsidR="003A6BA1" w:rsidRPr="0069274C">
        <w:rPr>
          <w:rFonts w:ascii="Times New Roman" w:eastAsia="標楷體" w:hAnsi="Times New Roman" w:cs="Times New Roman"/>
        </w:rPr>
        <w:t xml:space="preserve">REIT </w:t>
      </w:r>
      <w:r w:rsidR="003A6BA1">
        <w:rPr>
          <w:rFonts w:ascii="Times New Roman" w:eastAsia="標楷體" w:hAnsi="Times New Roman" w:cs="Times New Roman"/>
        </w:rPr>
        <w:t>K</w:t>
      </w:r>
      <w:r w:rsidR="00B02402" w:rsidRPr="0069274C">
        <w:rPr>
          <w:rFonts w:ascii="Times New Roman" w:eastAsia="標楷體" w:hAnsi="Times New Roman" w:cs="Times New Roman"/>
        </w:rPr>
        <w:t xml:space="preserve"> by owning the respective part of them. This Board accepts that </w:t>
      </w:r>
      <w:r w:rsidR="0015181D" w:rsidRPr="0069274C">
        <w:rPr>
          <w:rFonts w:ascii="Times New Roman" w:eastAsia="標楷體" w:hAnsi="Times New Roman" w:cs="Times New Roman"/>
        </w:rPr>
        <w:t xml:space="preserve">the Manager, through its officers and staff, did provide services to the Taxpayer during the basis period of each of the relevant years of assessment that enabled the Taxpayer, which hired no officer or staff of its own, to operate as a commercial landlord and conduct the business of leasing the Property at </w:t>
      </w:r>
      <w:r w:rsidR="003A6BA1">
        <w:rPr>
          <w:rFonts w:ascii="Times New Roman" w:eastAsia="標楷體" w:hAnsi="Times New Roman" w:cs="Times New Roman"/>
        </w:rPr>
        <w:t>Building E</w:t>
      </w:r>
      <w:r w:rsidR="0015181D" w:rsidRPr="0069274C">
        <w:rPr>
          <w:rFonts w:ascii="Times New Roman" w:eastAsia="標楷體" w:hAnsi="Times New Roman" w:cs="Times New Roman"/>
        </w:rPr>
        <w:t xml:space="preserve"> that it held by ownership. Such services included those</w:t>
      </w:r>
      <w:r w:rsidR="004F626D" w:rsidRPr="0069274C">
        <w:rPr>
          <w:rFonts w:ascii="Times New Roman" w:eastAsia="標楷體" w:hAnsi="Times New Roman" w:cs="Times New Roman"/>
        </w:rPr>
        <w:t xml:space="preserve"> services that</w:t>
      </w:r>
      <w:r w:rsidR="0015181D" w:rsidRPr="0069274C">
        <w:rPr>
          <w:rFonts w:ascii="Times New Roman" w:eastAsia="標楷體" w:hAnsi="Times New Roman" w:cs="Times New Roman"/>
        </w:rPr>
        <w:t xml:space="preserve"> Mr </w:t>
      </w:r>
      <w:r w:rsidR="003A6BA1">
        <w:rPr>
          <w:rFonts w:ascii="Times New Roman" w:eastAsia="標楷體" w:hAnsi="Times New Roman" w:cs="Times New Roman"/>
        </w:rPr>
        <w:t>P</w:t>
      </w:r>
      <w:r w:rsidR="0015181D" w:rsidRPr="0069274C">
        <w:rPr>
          <w:rFonts w:ascii="Times New Roman" w:eastAsia="標楷體" w:hAnsi="Times New Roman" w:cs="Times New Roman"/>
        </w:rPr>
        <w:t xml:space="preserve"> had stated in his evidence under paragraphs 37 to 40 above</w:t>
      </w:r>
      <w:r w:rsidR="004F626D" w:rsidRPr="0069274C">
        <w:rPr>
          <w:rFonts w:ascii="Times New Roman" w:eastAsia="標楷體" w:hAnsi="Times New Roman" w:cs="Times New Roman"/>
        </w:rPr>
        <w:t>,</w:t>
      </w:r>
      <w:r w:rsidR="0015181D" w:rsidRPr="0069274C">
        <w:rPr>
          <w:rFonts w:ascii="Times New Roman" w:eastAsia="標楷體" w:hAnsi="Times New Roman" w:cs="Times New Roman"/>
        </w:rPr>
        <w:t xml:space="preserve"> those</w:t>
      </w:r>
      <w:r w:rsidR="004F626D" w:rsidRPr="0069274C">
        <w:rPr>
          <w:rFonts w:ascii="Times New Roman" w:eastAsia="標楷體" w:hAnsi="Times New Roman" w:cs="Times New Roman"/>
        </w:rPr>
        <w:t xml:space="preserve"> services that</w:t>
      </w:r>
      <w:r w:rsidR="0015181D" w:rsidRPr="0069274C">
        <w:rPr>
          <w:rFonts w:ascii="Times New Roman" w:eastAsia="標楷體" w:hAnsi="Times New Roman" w:cs="Times New Roman"/>
        </w:rPr>
        <w:t xml:space="preserve"> Ms </w:t>
      </w:r>
      <w:r w:rsidR="003A6BA1">
        <w:rPr>
          <w:rFonts w:ascii="Times New Roman" w:eastAsia="標楷體" w:hAnsi="Times New Roman" w:cs="Times New Roman"/>
        </w:rPr>
        <w:t>Q</w:t>
      </w:r>
      <w:r w:rsidR="0015181D" w:rsidRPr="0069274C">
        <w:rPr>
          <w:rFonts w:ascii="Times New Roman" w:eastAsia="標楷體" w:hAnsi="Times New Roman" w:cs="Times New Roman"/>
        </w:rPr>
        <w:t xml:space="preserve"> had stated in her evidence under paragraphs 45 above</w:t>
      </w:r>
      <w:r w:rsidR="004F626D" w:rsidRPr="0069274C">
        <w:rPr>
          <w:rFonts w:ascii="Times New Roman" w:eastAsia="標楷體" w:hAnsi="Times New Roman" w:cs="Times New Roman"/>
        </w:rPr>
        <w:t xml:space="preserve">, the company secretary services and the services of Mr </w:t>
      </w:r>
      <w:r w:rsidR="003A6BA1">
        <w:rPr>
          <w:rFonts w:ascii="Times New Roman" w:eastAsia="標楷體" w:hAnsi="Times New Roman" w:cs="Times New Roman"/>
        </w:rPr>
        <w:t>R</w:t>
      </w:r>
      <w:r w:rsidR="004F626D" w:rsidRPr="0069274C">
        <w:rPr>
          <w:rFonts w:ascii="Times New Roman" w:eastAsia="標楷體" w:hAnsi="Times New Roman" w:cs="Times New Roman"/>
        </w:rPr>
        <w:t xml:space="preserve"> that Mr </w:t>
      </w:r>
      <w:r w:rsidR="003A6BA1">
        <w:rPr>
          <w:rFonts w:ascii="Times New Roman" w:eastAsia="標楷體" w:hAnsi="Times New Roman" w:cs="Times New Roman"/>
        </w:rPr>
        <w:t>R</w:t>
      </w:r>
      <w:r w:rsidR="004F626D" w:rsidRPr="0069274C">
        <w:rPr>
          <w:rFonts w:ascii="Times New Roman" w:eastAsia="標楷體" w:hAnsi="Times New Roman" w:cs="Times New Roman"/>
        </w:rPr>
        <w:t xml:space="preserve"> had stated in his evidence in paragraph 66 above</w:t>
      </w:r>
      <w:r w:rsidR="0015181D" w:rsidRPr="0069274C">
        <w:rPr>
          <w:rFonts w:ascii="Times New Roman" w:eastAsia="標楷體" w:hAnsi="Times New Roman" w:cs="Times New Roman"/>
        </w:rPr>
        <w:t xml:space="preserve">. </w:t>
      </w:r>
      <w:r w:rsidR="004F626D" w:rsidRPr="0069274C">
        <w:rPr>
          <w:rFonts w:ascii="Times New Roman" w:eastAsia="標楷體" w:hAnsi="Times New Roman" w:cs="Times New Roman"/>
        </w:rPr>
        <w:t xml:space="preserve">This Board also accepts that all those services, provided by different departments of the Manager and Mr </w:t>
      </w:r>
      <w:r w:rsidR="003A6BA1">
        <w:rPr>
          <w:rFonts w:ascii="Times New Roman" w:eastAsia="標楷體" w:hAnsi="Times New Roman" w:cs="Times New Roman"/>
        </w:rPr>
        <w:t>R</w:t>
      </w:r>
      <w:r w:rsidR="004F626D" w:rsidRPr="0069274C">
        <w:rPr>
          <w:rFonts w:ascii="Times New Roman" w:eastAsia="標楷體" w:hAnsi="Times New Roman" w:cs="Times New Roman"/>
        </w:rPr>
        <w:t xml:space="preserve"> himself, enabled the Taxpayer to conduct profit producing activities with the portfolio of units at </w:t>
      </w:r>
      <w:r w:rsidR="003A6BA1">
        <w:rPr>
          <w:rFonts w:ascii="Times New Roman" w:eastAsia="標楷體" w:hAnsi="Times New Roman" w:cs="Times New Roman"/>
        </w:rPr>
        <w:t>Building E</w:t>
      </w:r>
      <w:r w:rsidR="004F626D" w:rsidRPr="0069274C">
        <w:rPr>
          <w:rFonts w:ascii="Times New Roman" w:eastAsia="標楷體" w:hAnsi="Times New Roman" w:cs="Times New Roman"/>
        </w:rPr>
        <w:t xml:space="preserve"> that constituted the Property during the basis period for each of the relevant years of assessment. </w:t>
      </w:r>
    </w:p>
    <w:p w:rsidR="00B02402" w:rsidRPr="0069274C" w:rsidRDefault="00B02402" w:rsidP="00156E21">
      <w:pPr>
        <w:overflowPunct w:val="0"/>
        <w:autoSpaceDE w:val="0"/>
        <w:autoSpaceDN w:val="0"/>
        <w:jc w:val="both"/>
        <w:rPr>
          <w:rFonts w:ascii="Times New Roman" w:eastAsia="標楷體" w:hAnsi="Times New Roman" w:cs="Times New Roman"/>
        </w:rPr>
      </w:pPr>
    </w:p>
    <w:p w:rsidR="00B02402" w:rsidRPr="0069274C" w:rsidRDefault="00B02402"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Accordingly, this Board finds that the Taxpayer paid its share of the Manager’s Fees</w:t>
      </w:r>
      <w:r w:rsidR="00DE5FFE" w:rsidRPr="0069274C">
        <w:rPr>
          <w:rFonts w:ascii="Times New Roman" w:eastAsia="標楷體" w:hAnsi="Times New Roman" w:cs="Times New Roman"/>
        </w:rPr>
        <w:t xml:space="preserve"> during the basis period for each of the relevant years of assessment</w:t>
      </w:r>
      <w:r w:rsidRPr="0069274C">
        <w:rPr>
          <w:rFonts w:ascii="Times New Roman" w:eastAsia="標楷體" w:hAnsi="Times New Roman" w:cs="Times New Roman"/>
        </w:rPr>
        <w:t xml:space="preserve"> in and for the purpose of the production of its profits</w:t>
      </w:r>
      <w:r w:rsidR="00DE5FFE" w:rsidRPr="0069274C">
        <w:rPr>
          <w:rFonts w:ascii="Times New Roman" w:eastAsia="標楷體" w:hAnsi="Times New Roman" w:cs="Times New Roman"/>
        </w:rPr>
        <w:t>.</w:t>
      </w:r>
    </w:p>
    <w:p w:rsidR="009E1EE0" w:rsidRPr="0069274C" w:rsidRDefault="009E1EE0" w:rsidP="00156E21">
      <w:pPr>
        <w:overflowPunct w:val="0"/>
        <w:autoSpaceDE w:val="0"/>
        <w:autoSpaceDN w:val="0"/>
        <w:jc w:val="both"/>
        <w:rPr>
          <w:rFonts w:ascii="Times New Roman" w:eastAsia="標楷體" w:hAnsi="Times New Roman" w:cs="Times New Roman"/>
        </w:rPr>
      </w:pPr>
    </w:p>
    <w:p w:rsidR="004E4900" w:rsidRPr="0069274C" w:rsidRDefault="00DA37D5"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Having considered the evidence before it, this Board </w:t>
      </w:r>
      <w:r w:rsidR="00524F8F" w:rsidRPr="0069274C">
        <w:rPr>
          <w:rFonts w:ascii="Times New Roman" w:eastAsia="標楷體" w:hAnsi="Times New Roman" w:cs="Times New Roman"/>
        </w:rPr>
        <w:t>holds</w:t>
      </w:r>
      <w:r w:rsidRPr="0069274C">
        <w:rPr>
          <w:rFonts w:ascii="Times New Roman" w:eastAsia="標楷體" w:hAnsi="Times New Roman" w:cs="Times New Roman"/>
        </w:rPr>
        <w:t xml:space="preserve"> that</w:t>
      </w:r>
      <w:r w:rsidR="00C4025B" w:rsidRPr="0069274C">
        <w:rPr>
          <w:rFonts w:ascii="Times New Roman" w:eastAsia="標楷體" w:hAnsi="Times New Roman" w:cs="Times New Roman"/>
        </w:rPr>
        <w:t xml:space="preserve"> the Taxpayer has discharge</w:t>
      </w:r>
      <w:r w:rsidR="00697A9F" w:rsidRPr="0069274C">
        <w:rPr>
          <w:rFonts w:ascii="Times New Roman" w:eastAsia="標楷體" w:hAnsi="Times New Roman" w:cs="Times New Roman"/>
        </w:rPr>
        <w:t>d</w:t>
      </w:r>
      <w:r w:rsidR="00C4025B" w:rsidRPr="0069274C">
        <w:rPr>
          <w:rFonts w:ascii="Times New Roman" w:eastAsia="標楷體" w:hAnsi="Times New Roman" w:cs="Times New Roman"/>
        </w:rPr>
        <w:t xml:space="preserve"> the burden of proof to show that the </w:t>
      </w:r>
      <w:r w:rsidR="00296679" w:rsidRPr="0069274C">
        <w:rPr>
          <w:rFonts w:ascii="Times New Roman" w:eastAsia="標楷體" w:hAnsi="Times New Roman" w:cs="Times New Roman"/>
        </w:rPr>
        <w:t>Manager’s Fees</w:t>
      </w:r>
      <w:r w:rsidR="004F626D" w:rsidRPr="0069274C">
        <w:rPr>
          <w:rFonts w:ascii="Times New Roman" w:eastAsia="標楷體" w:hAnsi="Times New Roman" w:cs="Times New Roman"/>
        </w:rPr>
        <w:t xml:space="preserve">, stated in </w:t>
      </w:r>
      <w:r w:rsidR="004F626D" w:rsidRPr="0069274C">
        <w:rPr>
          <w:rFonts w:ascii="Times New Roman" w:eastAsia="標楷體" w:hAnsi="Times New Roman" w:cs="Times New Roman"/>
        </w:rPr>
        <w:lastRenderedPageBreak/>
        <w:t>paragraph 20(b) above,</w:t>
      </w:r>
      <w:r w:rsidR="00296679" w:rsidRPr="0069274C">
        <w:rPr>
          <w:rFonts w:ascii="Times New Roman" w:eastAsia="標楷體" w:hAnsi="Times New Roman" w:cs="Times New Roman"/>
        </w:rPr>
        <w:t xml:space="preserve"> were deductible in the computing of the assessable profits of the Taxpayer</w:t>
      </w:r>
      <w:r w:rsidR="00C4025B" w:rsidRPr="0069274C">
        <w:rPr>
          <w:rFonts w:ascii="Times New Roman" w:eastAsia="標楷體" w:hAnsi="Times New Roman" w:cs="Times New Roman"/>
        </w:rPr>
        <w:t>.</w:t>
      </w:r>
    </w:p>
    <w:p w:rsidR="00935EF5" w:rsidRPr="0069274C" w:rsidRDefault="00935EF5" w:rsidP="00156E21">
      <w:pPr>
        <w:overflowPunct w:val="0"/>
        <w:autoSpaceDE w:val="0"/>
        <w:autoSpaceDN w:val="0"/>
        <w:jc w:val="both"/>
        <w:rPr>
          <w:rFonts w:ascii="Times New Roman" w:eastAsia="標楷體" w:hAnsi="Times New Roman" w:cs="Times New Roman"/>
        </w:rPr>
      </w:pPr>
    </w:p>
    <w:p w:rsidR="00935EF5" w:rsidRPr="003A6BA1" w:rsidRDefault="007866D3" w:rsidP="00156E21">
      <w:pPr>
        <w:overflowPunct w:val="0"/>
        <w:autoSpaceDE w:val="0"/>
        <w:autoSpaceDN w:val="0"/>
        <w:jc w:val="both"/>
        <w:rPr>
          <w:rFonts w:ascii="Times New Roman" w:eastAsia="標楷體" w:hAnsi="Times New Roman" w:cs="Times New Roman"/>
          <w:b/>
        </w:rPr>
      </w:pPr>
      <w:r w:rsidRPr="003A6BA1">
        <w:rPr>
          <w:rFonts w:ascii="Times New Roman" w:eastAsia="標楷體" w:hAnsi="Times New Roman" w:cs="Times New Roman"/>
          <w:b/>
        </w:rPr>
        <w:t>Decision</w:t>
      </w:r>
    </w:p>
    <w:p w:rsidR="00935EF5" w:rsidRPr="0069274C" w:rsidRDefault="00935EF5" w:rsidP="00156E21">
      <w:pPr>
        <w:overflowPunct w:val="0"/>
        <w:autoSpaceDE w:val="0"/>
        <w:autoSpaceDN w:val="0"/>
        <w:jc w:val="both"/>
        <w:rPr>
          <w:rFonts w:ascii="Times New Roman" w:eastAsia="標楷體" w:hAnsi="Times New Roman" w:cs="Times New Roman"/>
        </w:rPr>
      </w:pPr>
    </w:p>
    <w:p w:rsidR="00FC6D23" w:rsidRPr="0069274C" w:rsidRDefault="00FC6D23"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 xml:space="preserve">This Board </w:t>
      </w:r>
      <w:r w:rsidR="00524F8F" w:rsidRPr="0069274C">
        <w:rPr>
          <w:rFonts w:ascii="Times New Roman" w:eastAsia="標楷體" w:hAnsi="Times New Roman" w:cs="Times New Roman"/>
        </w:rPr>
        <w:t>determines</w:t>
      </w:r>
      <w:r w:rsidR="008B138D" w:rsidRPr="0069274C">
        <w:rPr>
          <w:rFonts w:ascii="Times New Roman" w:eastAsia="標楷體" w:hAnsi="Times New Roman" w:cs="Times New Roman"/>
        </w:rPr>
        <w:t xml:space="preserve"> that</w:t>
      </w:r>
      <w:r w:rsidR="00E91EC3" w:rsidRPr="0069274C">
        <w:rPr>
          <w:rFonts w:ascii="Times New Roman" w:eastAsia="標楷體" w:hAnsi="Times New Roman" w:cs="Times New Roman"/>
        </w:rPr>
        <w:t xml:space="preserve"> the Taxpayer has discharge</w:t>
      </w:r>
      <w:r w:rsidR="00697A9F" w:rsidRPr="0069274C">
        <w:rPr>
          <w:rFonts w:ascii="Times New Roman" w:eastAsia="標楷體" w:hAnsi="Times New Roman" w:cs="Times New Roman"/>
        </w:rPr>
        <w:t>d</w:t>
      </w:r>
      <w:r w:rsidR="00E91EC3" w:rsidRPr="0069274C">
        <w:rPr>
          <w:rFonts w:ascii="Times New Roman" w:eastAsia="標楷體" w:hAnsi="Times New Roman" w:cs="Times New Roman"/>
        </w:rPr>
        <w:t xml:space="preserve"> the burden of proof </w:t>
      </w:r>
      <w:r w:rsidR="004F626D" w:rsidRPr="0069274C">
        <w:rPr>
          <w:rFonts w:ascii="Times New Roman" w:eastAsia="標楷體" w:hAnsi="Times New Roman" w:cs="Times New Roman"/>
        </w:rPr>
        <w:t>it</w:t>
      </w:r>
      <w:r w:rsidR="0067272C" w:rsidRPr="0069274C">
        <w:rPr>
          <w:rFonts w:ascii="Times New Roman" w:eastAsia="標楷體" w:hAnsi="Times New Roman" w:cs="Times New Roman"/>
        </w:rPr>
        <w:t xml:space="preserve"> has under section 68(4) of the </w:t>
      </w:r>
      <w:r w:rsidR="007055A3">
        <w:rPr>
          <w:rFonts w:ascii="Times New Roman" w:eastAsia="標楷體" w:hAnsi="Times New Roman" w:cs="Times New Roman"/>
        </w:rPr>
        <w:t>IRO</w:t>
      </w:r>
      <w:r w:rsidR="0067272C" w:rsidRPr="0069274C">
        <w:rPr>
          <w:rFonts w:ascii="Times New Roman" w:eastAsia="標楷體" w:hAnsi="Times New Roman" w:cs="Times New Roman"/>
        </w:rPr>
        <w:t xml:space="preserve"> to show that the </w:t>
      </w:r>
      <w:r w:rsidR="00697A9F" w:rsidRPr="0069274C">
        <w:rPr>
          <w:rFonts w:ascii="Times New Roman" w:eastAsia="標楷體" w:hAnsi="Times New Roman" w:cs="Times New Roman"/>
        </w:rPr>
        <w:t>Additional Profits</w:t>
      </w:r>
      <w:r w:rsidR="0067272C" w:rsidRPr="0069274C">
        <w:rPr>
          <w:rFonts w:ascii="Times New Roman" w:eastAsia="標楷體" w:hAnsi="Times New Roman" w:cs="Times New Roman"/>
        </w:rPr>
        <w:t xml:space="preserve"> Tax </w:t>
      </w:r>
      <w:r w:rsidR="004012A2">
        <w:rPr>
          <w:rFonts w:ascii="Times New Roman" w:eastAsia="標楷體" w:hAnsi="Times New Roman" w:cs="Times New Roman"/>
        </w:rPr>
        <w:t>A</w:t>
      </w:r>
      <w:r w:rsidR="0067272C" w:rsidRPr="0069274C">
        <w:rPr>
          <w:rFonts w:ascii="Times New Roman" w:eastAsia="標楷體" w:hAnsi="Times New Roman" w:cs="Times New Roman"/>
        </w:rPr>
        <w:t>ssessment for the year</w:t>
      </w:r>
      <w:r w:rsidR="00697A9F" w:rsidRPr="0069274C">
        <w:rPr>
          <w:rFonts w:ascii="Times New Roman" w:eastAsia="標楷體" w:hAnsi="Times New Roman" w:cs="Times New Roman"/>
        </w:rPr>
        <w:t>s</w:t>
      </w:r>
      <w:r w:rsidR="0067272C" w:rsidRPr="0069274C">
        <w:rPr>
          <w:rFonts w:ascii="Times New Roman" w:eastAsia="標楷體" w:hAnsi="Times New Roman" w:cs="Times New Roman"/>
        </w:rPr>
        <w:t xml:space="preserve"> of assessment </w:t>
      </w:r>
      <w:r w:rsidR="00697A9F" w:rsidRPr="0069274C">
        <w:rPr>
          <w:rFonts w:ascii="Times New Roman" w:eastAsia="標楷體" w:hAnsi="Times New Roman" w:cs="Times New Roman"/>
        </w:rPr>
        <w:t xml:space="preserve">2007/08 to 2012/13 and the Profits Tax </w:t>
      </w:r>
      <w:r w:rsidR="004012A2">
        <w:rPr>
          <w:rFonts w:ascii="Times New Roman" w:eastAsia="標楷體" w:hAnsi="Times New Roman" w:cs="Times New Roman"/>
        </w:rPr>
        <w:t>A</w:t>
      </w:r>
      <w:r w:rsidR="00697A9F" w:rsidRPr="0069274C">
        <w:rPr>
          <w:rFonts w:ascii="Times New Roman" w:eastAsia="標楷體" w:hAnsi="Times New Roman" w:cs="Times New Roman"/>
        </w:rPr>
        <w:t>ssessment for the year of assessment</w:t>
      </w:r>
      <w:r w:rsidR="00CD7BC8">
        <w:rPr>
          <w:rFonts w:ascii="Times New Roman" w:eastAsia="標楷體" w:hAnsi="Times New Roman" w:cs="Times New Roman"/>
        </w:rPr>
        <w:t>s</w:t>
      </w:r>
      <w:r w:rsidR="00697A9F" w:rsidRPr="0069274C">
        <w:rPr>
          <w:rFonts w:ascii="Times New Roman" w:eastAsia="標楷體" w:hAnsi="Times New Roman" w:cs="Times New Roman"/>
        </w:rPr>
        <w:t xml:space="preserve"> 2013/14 to 2015/16</w:t>
      </w:r>
      <w:r w:rsidR="0067272C" w:rsidRPr="0069274C">
        <w:rPr>
          <w:rFonts w:ascii="Times New Roman" w:eastAsia="標楷體" w:hAnsi="Times New Roman" w:cs="Times New Roman"/>
        </w:rPr>
        <w:t xml:space="preserve"> </w:t>
      </w:r>
      <w:r w:rsidR="000B0C3E" w:rsidRPr="0069274C">
        <w:rPr>
          <w:rFonts w:ascii="Times New Roman" w:eastAsia="標楷體" w:hAnsi="Times New Roman" w:cs="Times New Roman"/>
        </w:rPr>
        <w:t>that the Deputy Commissioner of Inland Revenue revised by his Determination</w:t>
      </w:r>
      <w:r w:rsidR="004F626D" w:rsidRPr="0069274C">
        <w:rPr>
          <w:rFonts w:ascii="Times New Roman" w:eastAsia="標楷體" w:hAnsi="Times New Roman" w:cs="Times New Roman"/>
        </w:rPr>
        <w:t xml:space="preserve"> dated</w:t>
      </w:r>
      <w:r w:rsidR="000B0C3E" w:rsidRPr="0069274C">
        <w:rPr>
          <w:rFonts w:ascii="Times New Roman" w:eastAsia="標楷體" w:hAnsi="Times New Roman" w:cs="Times New Roman"/>
        </w:rPr>
        <w:t xml:space="preserve"> 26 April 2018</w:t>
      </w:r>
      <w:r w:rsidR="0067272C" w:rsidRPr="0069274C">
        <w:rPr>
          <w:rFonts w:ascii="Times New Roman" w:eastAsia="標楷體" w:hAnsi="Times New Roman" w:cs="Times New Roman"/>
        </w:rPr>
        <w:t xml:space="preserve"> w</w:t>
      </w:r>
      <w:r w:rsidR="000B0C3E" w:rsidRPr="0069274C">
        <w:rPr>
          <w:rFonts w:ascii="Times New Roman" w:eastAsia="標楷體" w:hAnsi="Times New Roman" w:cs="Times New Roman"/>
        </w:rPr>
        <w:t>ere</w:t>
      </w:r>
      <w:r w:rsidR="0067272C" w:rsidRPr="0069274C">
        <w:rPr>
          <w:rFonts w:ascii="Times New Roman" w:eastAsia="標楷體" w:hAnsi="Times New Roman" w:cs="Times New Roman"/>
        </w:rPr>
        <w:t xml:space="preserve"> excessive or incorrect</w:t>
      </w:r>
      <w:r w:rsidR="00E91EC3" w:rsidRPr="0069274C">
        <w:rPr>
          <w:rFonts w:ascii="Times New Roman" w:eastAsia="標楷體" w:hAnsi="Times New Roman" w:cs="Times New Roman"/>
        </w:rPr>
        <w:t xml:space="preserve">. The Taxpayer’s </w:t>
      </w:r>
      <w:r w:rsidR="0067272C" w:rsidRPr="0069274C">
        <w:rPr>
          <w:rFonts w:ascii="Times New Roman" w:eastAsia="標楷體" w:hAnsi="Times New Roman" w:cs="Times New Roman"/>
        </w:rPr>
        <w:t xml:space="preserve">appeal </w:t>
      </w:r>
      <w:r w:rsidR="008B138D" w:rsidRPr="0069274C">
        <w:rPr>
          <w:rFonts w:ascii="Times New Roman" w:eastAsia="標楷體" w:hAnsi="Times New Roman" w:cs="Times New Roman"/>
        </w:rPr>
        <w:t>is</w:t>
      </w:r>
      <w:r w:rsidR="0067272C" w:rsidRPr="0069274C">
        <w:rPr>
          <w:rFonts w:ascii="Times New Roman" w:eastAsia="標楷體" w:hAnsi="Times New Roman" w:cs="Times New Roman"/>
        </w:rPr>
        <w:t xml:space="preserve"> </w:t>
      </w:r>
      <w:r w:rsidR="000B0C3E" w:rsidRPr="0069274C">
        <w:rPr>
          <w:rFonts w:ascii="Times New Roman" w:eastAsia="標楷體" w:hAnsi="Times New Roman" w:cs="Times New Roman"/>
        </w:rPr>
        <w:t>allowed</w:t>
      </w:r>
      <w:r w:rsidR="0067272C" w:rsidRPr="0069274C">
        <w:rPr>
          <w:rFonts w:ascii="Times New Roman" w:eastAsia="標楷體" w:hAnsi="Times New Roman" w:cs="Times New Roman"/>
        </w:rPr>
        <w:t>. T</w:t>
      </w:r>
      <w:r w:rsidR="00E91EC3" w:rsidRPr="0069274C">
        <w:rPr>
          <w:rFonts w:ascii="Times New Roman" w:eastAsia="標楷體" w:hAnsi="Times New Roman" w:cs="Times New Roman"/>
        </w:rPr>
        <w:t xml:space="preserve">he </w:t>
      </w:r>
      <w:r w:rsidR="000B0C3E" w:rsidRPr="0069274C">
        <w:rPr>
          <w:rFonts w:ascii="Times New Roman" w:eastAsia="標楷體" w:hAnsi="Times New Roman" w:cs="Times New Roman"/>
        </w:rPr>
        <w:t xml:space="preserve">additional </w:t>
      </w:r>
      <w:r w:rsidR="00E91EC3" w:rsidRPr="0069274C">
        <w:rPr>
          <w:rFonts w:ascii="Times New Roman" w:eastAsia="標楷體" w:hAnsi="Times New Roman" w:cs="Times New Roman"/>
        </w:rPr>
        <w:t>assessment</w:t>
      </w:r>
      <w:r w:rsidR="000B0C3E" w:rsidRPr="0069274C">
        <w:rPr>
          <w:rFonts w:ascii="Times New Roman" w:eastAsia="標楷體" w:hAnsi="Times New Roman" w:cs="Times New Roman"/>
        </w:rPr>
        <w:t>s</w:t>
      </w:r>
      <w:r w:rsidR="00E91EC3" w:rsidRPr="0069274C">
        <w:rPr>
          <w:rFonts w:ascii="Times New Roman" w:eastAsia="標楷體" w:hAnsi="Times New Roman" w:cs="Times New Roman"/>
        </w:rPr>
        <w:t xml:space="preserve"> </w:t>
      </w:r>
      <w:r w:rsidR="000B0C3E" w:rsidRPr="0069274C">
        <w:rPr>
          <w:rFonts w:ascii="Times New Roman" w:eastAsia="標楷體" w:hAnsi="Times New Roman" w:cs="Times New Roman"/>
        </w:rPr>
        <w:t xml:space="preserve">of Profits Tax and the assessment of Profits Tax mentioned above </w:t>
      </w:r>
      <w:r w:rsidR="004F626D" w:rsidRPr="0069274C">
        <w:rPr>
          <w:rFonts w:ascii="Times New Roman" w:eastAsia="標楷體" w:hAnsi="Times New Roman" w:cs="Times New Roman"/>
        </w:rPr>
        <w:t>are</w:t>
      </w:r>
      <w:r w:rsidR="000B0C3E" w:rsidRPr="0069274C">
        <w:rPr>
          <w:rFonts w:ascii="Times New Roman" w:eastAsia="標楷體" w:hAnsi="Times New Roman" w:cs="Times New Roman"/>
        </w:rPr>
        <w:t xml:space="preserve"> further revised to allow for the deduction of the Manager’s Fees</w:t>
      </w:r>
      <w:r w:rsidR="00296679" w:rsidRPr="0069274C">
        <w:rPr>
          <w:rFonts w:ascii="Times New Roman" w:eastAsia="標楷體" w:hAnsi="Times New Roman" w:cs="Times New Roman"/>
        </w:rPr>
        <w:t>, stated in paragraph 20(b) above,</w:t>
      </w:r>
      <w:r w:rsidR="000B0C3E" w:rsidRPr="0069274C">
        <w:rPr>
          <w:rFonts w:ascii="Times New Roman" w:eastAsia="標楷體" w:hAnsi="Times New Roman" w:cs="Times New Roman"/>
        </w:rPr>
        <w:t xml:space="preserve"> in respect of </w:t>
      </w:r>
      <w:r w:rsidR="00296679" w:rsidRPr="0069274C">
        <w:rPr>
          <w:rFonts w:ascii="Times New Roman" w:eastAsia="標楷體" w:hAnsi="Times New Roman" w:cs="Times New Roman"/>
        </w:rPr>
        <w:t xml:space="preserve">each of </w:t>
      </w:r>
      <w:r w:rsidR="000B0C3E" w:rsidRPr="0069274C">
        <w:rPr>
          <w:rFonts w:ascii="Times New Roman" w:eastAsia="標楷體" w:hAnsi="Times New Roman" w:cs="Times New Roman"/>
        </w:rPr>
        <w:t>the relevant year</w:t>
      </w:r>
      <w:r w:rsidR="00296679" w:rsidRPr="0069274C">
        <w:rPr>
          <w:rFonts w:ascii="Times New Roman" w:eastAsia="標楷體" w:hAnsi="Times New Roman" w:cs="Times New Roman"/>
        </w:rPr>
        <w:t>s</w:t>
      </w:r>
      <w:r w:rsidR="000B0C3E" w:rsidRPr="0069274C">
        <w:rPr>
          <w:rFonts w:ascii="Times New Roman" w:eastAsia="標楷體" w:hAnsi="Times New Roman" w:cs="Times New Roman"/>
        </w:rPr>
        <w:t xml:space="preserve"> of assessment</w:t>
      </w:r>
      <w:r w:rsidR="00E91EC3" w:rsidRPr="0069274C">
        <w:rPr>
          <w:rFonts w:ascii="Times New Roman" w:eastAsia="標楷體" w:hAnsi="Times New Roman" w:cs="Times New Roman"/>
        </w:rPr>
        <w:t xml:space="preserve">. </w:t>
      </w:r>
    </w:p>
    <w:p w:rsidR="00E83D64" w:rsidRPr="0069274C" w:rsidRDefault="00E83D64" w:rsidP="00156E21">
      <w:pPr>
        <w:overflowPunct w:val="0"/>
        <w:autoSpaceDE w:val="0"/>
        <w:autoSpaceDN w:val="0"/>
        <w:jc w:val="both"/>
        <w:rPr>
          <w:rFonts w:ascii="Times New Roman" w:eastAsia="標楷體" w:hAnsi="Times New Roman" w:cs="Times New Roman"/>
        </w:rPr>
      </w:pPr>
    </w:p>
    <w:p w:rsidR="005E6B13" w:rsidRPr="00DE0A88" w:rsidRDefault="00994189" w:rsidP="00156E21">
      <w:pPr>
        <w:pStyle w:val="a3"/>
        <w:numPr>
          <w:ilvl w:val="0"/>
          <w:numId w:val="1"/>
        </w:numPr>
        <w:overflowPunct w:val="0"/>
        <w:autoSpaceDE w:val="0"/>
        <w:autoSpaceDN w:val="0"/>
        <w:ind w:left="0" w:firstLine="0"/>
        <w:jc w:val="both"/>
        <w:rPr>
          <w:rFonts w:ascii="Times New Roman" w:eastAsia="標楷體" w:hAnsi="Times New Roman" w:cs="Times New Roman"/>
        </w:rPr>
      </w:pPr>
      <w:r w:rsidRPr="0069274C">
        <w:rPr>
          <w:rFonts w:ascii="Times New Roman" w:eastAsia="標楷體" w:hAnsi="Times New Roman" w:cs="Times New Roman"/>
        </w:rPr>
        <w:t>T</w:t>
      </w:r>
      <w:r w:rsidR="00844954" w:rsidRPr="0069274C">
        <w:rPr>
          <w:rFonts w:ascii="Times New Roman" w:eastAsia="標楷體" w:hAnsi="Times New Roman" w:cs="Times New Roman"/>
        </w:rPr>
        <w:t>here has been delay on the part of this Board in rendering this Decision</w:t>
      </w:r>
      <w:r w:rsidRPr="0069274C">
        <w:rPr>
          <w:rFonts w:ascii="Times New Roman" w:eastAsia="標楷體" w:hAnsi="Times New Roman" w:cs="Times New Roman"/>
        </w:rPr>
        <w:t>.</w:t>
      </w:r>
      <w:r w:rsidR="00844954" w:rsidRPr="0069274C">
        <w:rPr>
          <w:rFonts w:ascii="Times New Roman" w:eastAsia="標楷體" w:hAnsi="Times New Roman" w:cs="Times New Roman"/>
        </w:rPr>
        <w:t xml:space="preserve"> This </w:t>
      </w:r>
      <w:r w:rsidR="00DE0A88">
        <w:rPr>
          <w:rFonts w:ascii="Times New Roman" w:eastAsia="標楷體" w:hAnsi="Times New Roman" w:cs="Times New Roman"/>
        </w:rPr>
        <w:t>Board apologizes for the delay.</w:t>
      </w:r>
    </w:p>
    <w:sectPr w:rsidR="005E6B13" w:rsidRPr="00DE0A88" w:rsidSect="00311C77">
      <w:headerReference w:type="default" r:id="rId8"/>
      <w:footerReference w:type="even" r:id="rId9"/>
      <w:footerReference w:type="default" r:id="rId10"/>
      <w:pgSz w:w="11907" w:h="16840" w:code="9"/>
      <w:pgMar w:top="1985" w:right="1588" w:bottom="1701" w:left="1588" w:header="1361" w:footer="1134" w:gutter="0"/>
      <w:pgNumType w:start="36"/>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E19" w:rsidRDefault="00452E19" w:rsidP="00E06261">
      <w:r>
        <w:separator/>
      </w:r>
    </w:p>
  </w:endnote>
  <w:endnote w:type="continuationSeparator" w:id="0">
    <w:p w:rsidR="00452E19" w:rsidRDefault="00452E19" w:rsidP="00E0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swiss"/>
    <w:pitch w:val="variable"/>
    <w:sig w:usb0="00000000" w:usb1="5000A1FF" w:usb2="00000000" w:usb3="00000000" w:csb0="000001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C2A" w:rsidRDefault="00CC4C2A" w:rsidP="00E0626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C4C2A" w:rsidRDefault="00CC4C2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994752"/>
      <w:docPartObj>
        <w:docPartGallery w:val="Page Numbers (Bottom of Page)"/>
        <w:docPartUnique/>
      </w:docPartObj>
    </w:sdtPr>
    <w:sdtEndPr/>
    <w:sdtContent>
      <w:p w:rsidR="00CC4C2A" w:rsidRDefault="00CC4C2A">
        <w:pPr>
          <w:pStyle w:val="a4"/>
          <w:jc w:val="center"/>
        </w:pPr>
        <w:r w:rsidRPr="00311C77">
          <w:rPr>
            <w:rFonts w:ascii="Times New Roman" w:hAnsi="Times New Roman" w:cs="Times New Roman"/>
            <w:sz w:val="20"/>
            <w:szCs w:val="20"/>
          </w:rPr>
          <w:fldChar w:fldCharType="begin"/>
        </w:r>
        <w:r w:rsidRPr="00311C77">
          <w:rPr>
            <w:rFonts w:ascii="Times New Roman" w:hAnsi="Times New Roman" w:cs="Times New Roman"/>
            <w:sz w:val="20"/>
            <w:szCs w:val="20"/>
          </w:rPr>
          <w:instrText>PAGE   \* MERGEFORMAT</w:instrText>
        </w:r>
        <w:r w:rsidRPr="00311C77">
          <w:rPr>
            <w:rFonts w:ascii="Times New Roman" w:hAnsi="Times New Roman" w:cs="Times New Roman"/>
            <w:sz w:val="20"/>
            <w:szCs w:val="20"/>
          </w:rPr>
          <w:fldChar w:fldCharType="separate"/>
        </w:r>
        <w:r w:rsidR="00EE18BF" w:rsidRPr="00EE18BF">
          <w:rPr>
            <w:rFonts w:ascii="Times New Roman" w:hAnsi="Times New Roman" w:cs="Times New Roman"/>
            <w:noProof/>
            <w:sz w:val="20"/>
            <w:szCs w:val="20"/>
            <w:lang w:val="zh-TW" w:eastAsia="zh-TW"/>
          </w:rPr>
          <w:t>56</w:t>
        </w:r>
        <w:r w:rsidRPr="00311C77">
          <w:rPr>
            <w:rFonts w:ascii="Times New Roman" w:hAnsi="Times New Roman" w:cs="Times New Roman"/>
            <w:sz w:val="20"/>
            <w:szCs w:val="20"/>
          </w:rPr>
          <w:fldChar w:fldCharType="end"/>
        </w:r>
      </w:p>
    </w:sdtContent>
  </w:sdt>
  <w:p w:rsidR="00CC4C2A" w:rsidRDefault="00CC4C2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E19" w:rsidRDefault="00452E19" w:rsidP="00E06261">
      <w:r>
        <w:separator/>
      </w:r>
    </w:p>
  </w:footnote>
  <w:footnote w:type="continuationSeparator" w:id="0">
    <w:p w:rsidR="00452E19" w:rsidRDefault="00452E19" w:rsidP="00E06261">
      <w:r>
        <w:continuationSeparator/>
      </w:r>
    </w:p>
  </w:footnote>
  <w:footnote w:id="1">
    <w:p w:rsidR="00CC4C2A" w:rsidRPr="00210063" w:rsidRDefault="00CC4C2A" w:rsidP="006A5D31">
      <w:pPr>
        <w:pStyle w:val="a9"/>
        <w:keepLines/>
        <w:ind w:left="112" w:hangingChars="56" w:hanging="112"/>
        <w:jc w:val="both"/>
        <w:rPr>
          <w:rFonts w:ascii="Times New Roman" w:hAnsi="Times New Roman" w:cs="Times New Roman"/>
          <w:sz w:val="22"/>
          <w:szCs w:val="22"/>
        </w:rPr>
      </w:pPr>
      <w:r w:rsidRPr="003A4471">
        <w:rPr>
          <w:rStyle w:val="ab"/>
          <w:sz w:val="20"/>
          <w:szCs w:val="20"/>
        </w:rPr>
        <w:footnoteRef/>
      </w:r>
      <w:r w:rsidRPr="003A4471">
        <w:rPr>
          <w:sz w:val="20"/>
          <w:szCs w:val="20"/>
        </w:rPr>
        <w:t xml:space="preserve"> </w:t>
      </w:r>
      <w:r w:rsidRPr="003A4471">
        <w:rPr>
          <w:rFonts w:ascii="Times New Roman" w:hAnsi="Times New Roman"/>
          <w:sz w:val="20"/>
          <w:szCs w:val="20"/>
        </w:rPr>
        <w:t xml:space="preserve">Mr Kwok, for the Revenue, indicated, before he commenced the cross-examination, that he did not intend to cross-examine on every statement the Revenue disagreed with, and would only ask questions on matters which the Revenue would submit to be relevant at the end of the day. Mr Kwok added that it must not be assumed that because he had not asked any question, he accepted it as true and correct. In response, Mr Wong, for the Taxpayer, made the point that bearing in mind the authority of </w:t>
      </w:r>
      <w:r w:rsidRPr="003A4471">
        <w:rPr>
          <w:rFonts w:ascii="Times New Roman" w:hAnsi="Times New Roman"/>
          <w:sz w:val="20"/>
          <w:szCs w:val="20"/>
          <w:u w:val="single"/>
        </w:rPr>
        <w:t>Kaifull Investments Limited v Commissioner of Inland Revenue</w:t>
      </w:r>
      <w:r w:rsidRPr="003A4471">
        <w:rPr>
          <w:rFonts w:ascii="Times New Roman" w:hAnsi="Times New Roman"/>
          <w:sz w:val="20"/>
          <w:szCs w:val="20"/>
        </w:rPr>
        <w:t xml:space="preserve"> [2012] 1 HKLRD 858, where the Court of First Instance applied the principle in </w:t>
      </w:r>
      <w:r w:rsidRPr="003A4471">
        <w:rPr>
          <w:rFonts w:ascii="Times New Roman" w:hAnsi="Times New Roman"/>
          <w:sz w:val="20"/>
          <w:szCs w:val="20"/>
          <w:u w:val="single"/>
        </w:rPr>
        <w:t>Browne v Dunn</w:t>
      </w:r>
      <w:r w:rsidRPr="003A4471">
        <w:rPr>
          <w:rFonts w:ascii="Times New Roman" w:hAnsi="Times New Roman"/>
          <w:sz w:val="20"/>
          <w:szCs w:val="20"/>
        </w:rPr>
        <w:t xml:space="preserve"> (1894) 6 R 47 (HL) in relation to an appeal before the Board of Review, the Revenue should not be taken as being able to get away with asking questions that ought to have been asked in fairness, if in the end, the Revenue was to make points on some of the issues and matters raised by the witness.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C2A" w:rsidRPr="00C86EEE" w:rsidRDefault="00CC4C2A" w:rsidP="0069274C">
    <w:pPr>
      <w:tabs>
        <w:tab w:val="center" w:pos="4153"/>
        <w:tab w:val="right" w:pos="8306"/>
      </w:tabs>
      <w:overflowPunct w:val="0"/>
      <w:autoSpaceDN w:val="0"/>
      <w:adjustRightInd w:val="0"/>
      <w:jc w:val="center"/>
      <w:textAlignment w:val="baseline"/>
      <w:rPr>
        <w:rFonts w:ascii="Times New Roman" w:eastAsia="細明體" w:hAnsi="Times New Roman"/>
        <w:lang w:eastAsia="zh-HK"/>
      </w:rPr>
    </w:pPr>
    <w:r w:rsidRPr="00C86EEE">
      <w:rPr>
        <w:rFonts w:ascii="Times New Roman" w:eastAsia="細明體" w:hAnsi="Times New Roman"/>
      </w:rPr>
      <w:t>(20</w:t>
    </w:r>
    <w:r w:rsidRPr="00C86EEE">
      <w:rPr>
        <w:rFonts w:ascii="Times New Roman" w:eastAsia="細明體" w:hAnsi="Times New Roman"/>
        <w:lang w:eastAsia="zh-HK"/>
      </w:rPr>
      <w:t>2</w:t>
    </w:r>
    <w:r>
      <w:rPr>
        <w:rFonts w:ascii="Times New Roman" w:eastAsia="細明體" w:hAnsi="Times New Roman"/>
        <w:lang w:eastAsia="zh-HK"/>
      </w:rPr>
      <w:t>1-22</w:t>
    </w:r>
    <w:r w:rsidRPr="00C86EEE">
      <w:rPr>
        <w:rFonts w:ascii="Times New Roman" w:eastAsia="細明體" w:hAnsi="Times New Roman"/>
      </w:rPr>
      <w:t xml:space="preserve">) VOLUME </w:t>
    </w:r>
    <w:r>
      <w:rPr>
        <w:rFonts w:ascii="Times New Roman" w:eastAsia="細明體" w:hAnsi="Times New Roman"/>
        <w:lang w:eastAsia="zh-HK"/>
      </w:rPr>
      <w:t>36</w:t>
    </w:r>
    <w:r w:rsidRPr="00C86EEE">
      <w:rPr>
        <w:rFonts w:ascii="Times New Roman" w:eastAsia="細明體" w:hAnsi="Times New Roman"/>
      </w:rPr>
      <w:t xml:space="preserve"> INLAND REVENUE BOARD OF REVIEW DECISIONS</w:t>
    </w:r>
  </w:p>
  <w:p w:rsidR="00CC4C2A" w:rsidRPr="0069274C" w:rsidRDefault="00CC4C2A" w:rsidP="0069274C">
    <w:pPr>
      <w:pStyle w:val="ae"/>
      <w:rPr>
        <w:rFonts w:ascii="Times New Roman" w:hAnsi="Times New Roman" w:cs="Times New Roman"/>
      </w:rPr>
    </w:pPr>
  </w:p>
  <w:p w:rsidR="00CC4C2A" w:rsidRPr="0069274C" w:rsidRDefault="00CC4C2A">
    <w:pPr>
      <w:pStyle w:val="ae"/>
      <w:rPr>
        <w:rFonts w:ascii="Times New Roman" w:hAnsi="Times New Roman" w:cs="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D04"/>
    <w:multiLevelType w:val="hybridMultilevel"/>
    <w:tmpl w:val="27DA626C"/>
    <w:lvl w:ilvl="0" w:tplc="970654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B40C50"/>
    <w:multiLevelType w:val="hybridMultilevel"/>
    <w:tmpl w:val="20165464"/>
    <w:lvl w:ilvl="0" w:tplc="880EF33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FF71087"/>
    <w:multiLevelType w:val="hybridMultilevel"/>
    <w:tmpl w:val="6B1ED9DA"/>
    <w:lvl w:ilvl="0" w:tplc="930EFF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A7297F"/>
    <w:multiLevelType w:val="hybridMultilevel"/>
    <w:tmpl w:val="6A968528"/>
    <w:lvl w:ilvl="0" w:tplc="CA42E24E">
      <w:start w:val="1"/>
      <w:numFmt w:val="decimal"/>
      <w:lvlText w:val="(%1)"/>
      <w:lvlJc w:val="left"/>
      <w:pPr>
        <w:ind w:left="1460" w:hanging="3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8B1088"/>
    <w:multiLevelType w:val="hybridMultilevel"/>
    <w:tmpl w:val="5B96EA4A"/>
    <w:lvl w:ilvl="0" w:tplc="2B363E46">
      <w:start w:val="2"/>
      <w:numFmt w:val="bullet"/>
      <w:lvlText w:val="-"/>
      <w:lvlJc w:val="left"/>
      <w:pPr>
        <w:ind w:left="360" w:hanging="360"/>
      </w:pPr>
      <w:rPr>
        <w:rFonts w:ascii="Times New Roman" w:eastAsia="標楷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7CD20D7"/>
    <w:multiLevelType w:val="hybridMultilevel"/>
    <w:tmpl w:val="F50696BE"/>
    <w:lvl w:ilvl="0" w:tplc="63C03E7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9F84623"/>
    <w:multiLevelType w:val="hybridMultilevel"/>
    <w:tmpl w:val="51DCD99C"/>
    <w:lvl w:ilvl="0" w:tplc="A852FC36">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B3C4AC6"/>
    <w:multiLevelType w:val="hybridMultilevel"/>
    <w:tmpl w:val="05C6CFBA"/>
    <w:lvl w:ilvl="0" w:tplc="2668D0A0">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 w15:restartNumberingAfterBreak="0">
    <w:nsid w:val="2F54747E"/>
    <w:multiLevelType w:val="hybridMultilevel"/>
    <w:tmpl w:val="8250CCA0"/>
    <w:lvl w:ilvl="0" w:tplc="1356143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1931DD8"/>
    <w:multiLevelType w:val="hybridMultilevel"/>
    <w:tmpl w:val="8AFA4072"/>
    <w:lvl w:ilvl="0" w:tplc="8D267D2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15:restartNumberingAfterBreak="0">
    <w:nsid w:val="355B211C"/>
    <w:multiLevelType w:val="hybridMultilevel"/>
    <w:tmpl w:val="13563ABE"/>
    <w:lvl w:ilvl="0" w:tplc="05E2108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6E70568"/>
    <w:multiLevelType w:val="hybridMultilevel"/>
    <w:tmpl w:val="7AA68D3E"/>
    <w:lvl w:ilvl="0" w:tplc="96441B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025136A"/>
    <w:multiLevelType w:val="hybridMultilevel"/>
    <w:tmpl w:val="51DCD99C"/>
    <w:lvl w:ilvl="0" w:tplc="A852FC36">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400736E"/>
    <w:multiLevelType w:val="hybridMultilevel"/>
    <w:tmpl w:val="6BECC378"/>
    <w:lvl w:ilvl="0" w:tplc="94923F1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94350DC"/>
    <w:multiLevelType w:val="hybridMultilevel"/>
    <w:tmpl w:val="E460D5D4"/>
    <w:lvl w:ilvl="0" w:tplc="F64A16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ADA5661"/>
    <w:multiLevelType w:val="hybridMultilevel"/>
    <w:tmpl w:val="339C5CDE"/>
    <w:lvl w:ilvl="0" w:tplc="C47449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045C61"/>
    <w:multiLevelType w:val="hybridMultilevel"/>
    <w:tmpl w:val="B418A456"/>
    <w:lvl w:ilvl="0" w:tplc="C48A72B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D3D6DD7"/>
    <w:multiLevelType w:val="hybridMultilevel"/>
    <w:tmpl w:val="3D4C13AE"/>
    <w:lvl w:ilvl="0" w:tplc="88BC0F0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EEF68DB"/>
    <w:multiLevelType w:val="hybridMultilevel"/>
    <w:tmpl w:val="AB566F3E"/>
    <w:lvl w:ilvl="0" w:tplc="1FA68D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A805C6"/>
    <w:multiLevelType w:val="hybridMultilevel"/>
    <w:tmpl w:val="D18A1592"/>
    <w:lvl w:ilvl="0" w:tplc="EB0013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2A9309B"/>
    <w:multiLevelType w:val="hybridMultilevel"/>
    <w:tmpl w:val="67BE5E36"/>
    <w:lvl w:ilvl="0" w:tplc="CD6639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33A014D"/>
    <w:multiLevelType w:val="hybridMultilevel"/>
    <w:tmpl w:val="47CA9B6A"/>
    <w:lvl w:ilvl="0" w:tplc="28BAE58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59B3962"/>
    <w:multiLevelType w:val="hybridMultilevel"/>
    <w:tmpl w:val="4DEEFEB2"/>
    <w:lvl w:ilvl="0" w:tplc="299A850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9750EB"/>
    <w:multiLevelType w:val="hybridMultilevel"/>
    <w:tmpl w:val="6546B848"/>
    <w:lvl w:ilvl="0" w:tplc="98EAC426">
      <w:start w:val="2"/>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B2918DA"/>
    <w:multiLevelType w:val="hybridMultilevel"/>
    <w:tmpl w:val="5BF2B944"/>
    <w:lvl w:ilvl="0" w:tplc="EDF0954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20"/>
  </w:num>
  <w:num w:numId="3">
    <w:abstractNumId w:val="24"/>
  </w:num>
  <w:num w:numId="4">
    <w:abstractNumId w:val="21"/>
  </w:num>
  <w:num w:numId="5">
    <w:abstractNumId w:val="5"/>
  </w:num>
  <w:num w:numId="6">
    <w:abstractNumId w:val="17"/>
  </w:num>
  <w:num w:numId="7">
    <w:abstractNumId w:val="12"/>
  </w:num>
  <w:num w:numId="8">
    <w:abstractNumId w:val="0"/>
  </w:num>
  <w:num w:numId="9">
    <w:abstractNumId w:val="10"/>
  </w:num>
  <w:num w:numId="10">
    <w:abstractNumId w:val="16"/>
  </w:num>
  <w:num w:numId="11">
    <w:abstractNumId w:val="11"/>
  </w:num>
  <w:num w:numId="12">
    <w:abstractNumId w:val="14"/>
  </w:num>
  <w:num w:numId="13">
    <w:abstractNumId w:val="19"/>
  </w:num>
  <w:num w:numId="14">
    <w:abstractNumId w:val="6"/>
  </w:num>
  <w:num w:numId="15">
    <w:abstractNumId w:val="8"/>
  </w:num>
  <w:num w:numId="16">
    <w:abstractNumId w:val="13"/>
  </w:num>
  <w:num w:numId="17">
    <w:abstractNumId w:val="1"/>
  </w:num>
  <w:num w:numId="18">
    <w:abstractNumId w:val="3"/>
  </w:num>
  <w:num w:numId="19">
    <w:abstractNumId w:val="9"/>
  </w:num>
  <w:num w:numId="20">
    <w:abstractNumId w:val="23"/>
  </w:num>
  <w:num w:numId="21">
    <w:abstractNumId w:val="15"/>
  </w:num>
  <w:num w:numId="22">
    <w:abstractNumId w:val="2"/>
  </w:num>
  <w:num w:numId="23">
    <w:abstractNumId w:val="4"/>
  </w:num>
  <w:num w:numId="24">
    <w:abstractNumId w:val="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1531"/>
  <w:drawingGridHorizontalSpacing w:val="360"/>
  <w:drawingGridVerticalSpacing w:val="360"/>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39"/>
    <w:rsid w:val="00003AEF"/>
    <w:rsid w:val="00004198"/>
    <w:rsid w:val="00005871"/>
    <w:rsid w:val="00010785"/>
    <w:rsid w:val="0001115B"/>
    <w:rsid w:val="00014756"/>
    <w:rsid w:val="000214BE"/>
    <w:rsid w:val="0002268C"/>
    <w:rsid w:val="000235C3"/>
    <w:rsid w:val="00026FD7"/>
    <w:rsid w:val="00027790"/>
    <w:rsid w:val="0003460E"/>
    <w:rsid w:val="0004183A"/>
    <w:rsid w:val="00041CE6"/>
    <w:rsid w:val="00044655"/>
    <w:rsid w:val="00051871"/>
    <w:rsid w:val="00051E09"/>
    <w:rsid w:val="00052807"/>
    <w:rsid w:val="0005287E"/>
    <w:rsid w:val="0005362F"/>
    <w:rsid w:val="00060AEB"/>
    <w:rsid w:val="000619B6"/>
    <w:rsid w:val="00062225"/>
    <w:rsid w:val="00063B21"/>
    <w:rsid w:val="00064D95"/>
    <w:rsid w:val="00065762"/>
    <w:rsid w:val="00071357"/>
    <w:rsid w:val="0007164E"/>
    <w:rsid w:val="00073037"/>
    <w:rsid w:val="000752FC"/>
    <w:rsid w:val="0007552B"/>
    <w:rsid w:val="0007651D"/>
    <w:rsid w:val="00076E3E"/>
    <w:rsid w:val="0008117A"/>
    <w:rsid w:val="0008138A"/>
    <w:rsid w:val="00082507"/>
    <w:rsid w:val="00086EC3"/>
    <w:rsid w:val="000900DF"/>
    <w:rsid w:val="0009319D"/>
    <w:rsid w:val="00097ACF"/>
    <w:rsid w:val="000A2A7A"/>
    <w:rsid w:val="000B0C3E"/>
    <w:rsid w:val="000B5501"/>
    <w:rsid w:val="000B741F"/>
    <w:rsid w:val="000C2BB1"/>
    <w:rsid w:val="000C4F95"/>
    <w:rsid w:val="000D7E4D"/>
    <w:rsid w:val="000E1758"/>
    <w:rsid w:val="000F0C91"/>
    <w:rsid w:val="000F17A3"/>
    <w:rsid w:val="000F1EF7"/>
    <w:rsid w:val="000F4A5A"/>
    <w:rsid w:val="000F4FC2"/>
    <w:rsid w:val="000F7F51"/>
    <w:rsid w:val="0010196C"/>
    <w:rsid w:val="0010426D"/>
    <w:rsid w:val="00104D2D"/>
    <w:rsid w:val="00105A81"/>
    <w:rsid w:val="001116A7"/>
    <w:rsid w:val="00120C2A"/>
    <w:rsid w:val="001357E4"/>
    <w:rsid w:val="00137AA3"/>
    <w:rsid w:val="00137FB4"/>
    <w:rsid w:val="0014172F"/>
    <w:rsid w:val="00141CFF"/>
    <w:rsid w:val="0014404D"/>
    <w:rsid w:val="00145920"/>
    <w:rsid w:val="0015181D"/>
    <w:rsid w:val="001526CF"/>
    <w:rsid w:val="00153A4C"/>
    <w:rsid w:val="00154275"/>
    <w:rsid w:val="00154ABB"/>
    <w:rsid w:val="00154FDD"/>
    <w:rsid w:val="00155B39"/>
    <w:rsid w:val="00156E21"/>
    <w:rsid w:val="00157A0A"/>
    <w:rsid w:val="00157C08"/>
    <w:rsid w:val="00163848"/>
    <w:rsid w:val="00166FED"/>
    <w:rsid w:val="001676D8"/>
    <w:rsid w:val="00171336"/>
    <w:rsid w:val="00176C3C"/>
    <w:rsid w:val="0018214A"/>
    <w:rsid w:val="00182425"/>
    <w:rsid w:val="00185072"/>
    <w:rsid w:val="00190ED0"/>
    <w:rsid w:val="0019252D"/>
    <w:rsid w:val="00196A6C"/>
    <w:rsid w:val="00196C02"/>
    <w:rsid w:val="00196CB1"/>
    <w:rsid w:val="001A24D0"/>
    <w:rsid w:val="001A5A70"/>
    <w:rsid w:val="001B69BD"/>
    <w:rsid w:val="001C21B8"/>
    <w:rsid w:val="001C2EEE"/>
    <w:rsid w:val="001D0704"/>
    <w:rsid w:val="001D0938"/>
    <w:rsid w:val="001D7617"/>
    <w:rsid w:val="001D7B5C"/>
    <w:rsid w:val="001E33A0"/>
    <w:rsid w:val="001E3D0D"/>
    <w:rsid w:val="001E6F24"/>
    <w:rsid w:val="001E6F91"/>
    <w:rsid w:val="001F1755"/>
    <w:rsid w:val="001F4398"/>
    <w:rsid w:val="001F7036"/>
    <w:rsid w:val="002019C7"/>
    <w:rsid w:val="002076F1"/>
    <w:rsid w:val="00210063"/>
    <w:rsid w:val="00212C28"/>
    <w:rsid w:val="002151EC"/>
    <w:rsid w:val="0021788F"/>
    <w:rsid w:val="0022157F"/>
    <w:rsid w:val="002246BF"/>
    <w:rsid w:val="002351FF"/>
    <w:rsid w:val="00255D97"/>
    <w:rsid w:val="002565B1"/>
    <w:rsid w:val="002574A6"/>
    <w:rsid w:val="00260FEE"/>
    <w:rsid w:val="00261058"/>
    <w:rsid w:val="002659BE"/>
    <w:rsid w:val="00273C26"/>
    <w:rsid w:val="002740C4"/>
    <w:rsid w:val="00276C0D"/>
    <w:rsid w:val="00280AD3"/>
    <w:rsid w:val="00281935"/>
    <w:rsid w:val="002825CF"/>
    <w:rsid w:val="002844E1"/>
    <w:rsid w:val="0029200F"/>
    <w:rsid w:val="00296326"/>
    <w:rsid w:val="00296679"/>
    <w:rsid w:val="00297C87"/>
    <w:rsid w:val="002A0610"/>
    <w:rsid w:val="002A0828"/>
    <w:rsid w:val="002A1695"/>
    <w:rsid w:val="002A34A8"/>
    <w:rsid w:val="002A49AA"/>
    <w:rsid w:val="002B5096"/>
    <w:rsid w:val="002B6B69"/>
    <w:rsid w:val="002C687F"/>
    <w:rsid w:val="002D16C2"/>
    <w:rsid w:val="002E3B15"/>
    <w:rsid w:val="002E5C8A"/>
    <w:rsid w:val="002E5E44"/>
    <w:rsid w:val="002E6ED7"/>
    <w:rsid w:val="002F301C"/>
    <w:rsid w:val="002F3122"/>
    <w:rsid w:val="002F4F14"/>
    <w:rsid w:val="002F747A"/>
    <w:rsid w:val="002F7553"/>
    <w:rsid w:val="00306886"/>
    <w:rsid w:val="00311C77"/>
    <w:rsid w:val="003126EA"/>
    <w:rsid w:val="003127F3"/>
    <w:rsid w:val="00313698"/>
    <w:rsid w:val="00314FDC"/>
    <w:rsid w:val="00316AEF"/>
    <w:rsid w:val="003201C0"/>
    <w:rsid w:val="00320F51"/>
    <w:rsid w:val="003245FA"/>
    <w:rsid w:val="00324BFF"/>
    <w:rsid w:val="00326004"/>
    <w:rsid w:val="00326461"/>
    <w:rsid w:val="00327177"/>
    <w:rsid w:val="00332A72"/>
    <w:rsid w:val="00334163"/>
    <w:rsid w:val="0033436F"/>
    <w:rsid w:val="00337565"/>
    <w:rsid w:val="00337CDA"/>
    <w:rsid w:val="00341C36"/>
    <w:rsid w:val="003469F1"/>
    <w:rsid w:val="00355AEB"/>
    <w:rsid w:val="003560B9"/>
    <w:rsid w:val="00357AF1"/>
    <w:rsid w:val="003603E7"/>
    <w:rsid w:val="00366446"/>
    <w:rsid w:val="003667DB"/>
    <w:rsid w:val="003720CB"/>
    <w:rsid w:val="003728CC"/>
    <w:rsid w:val="003733FA"/>
    <w:rsid w:val="00373BFB"/>
    <w:rsid w:val="0037457B"/>
    <w:rsid w:val="00385688"/>
    <w:rsid w:val="003857A1"/>
    <w:rsid w:val="00391755"/>
    <w:rsid w:val="00391E7C"/>
    <w:rsid w:val="00394659"/>
    <w:rsid w:val="003A01F5"/>
    <w:rsid w:val="003A3332"/>
    <w:rsid w:val="003A4471"/>
    <w:rsid w:val="003A58DA"/>
    <w:rsid w:val="003A6BA1"/>
    <w:rsid w:val="003B0261"/>
    <w:rsid w:val="003B3075"/>
    <w:rsid w:val="003C1A76"/>
    <w:rsid w:val="003C28DF"/>
    <w:rsid w:val="003D0EF9"/>
    <w:rsid w:val="003D4DED"/>
    <w:rsid w:val="003E0F05"/>
    <w:rsid w:val="003E263E"/>
    <w:rsid w:val="003E3EE9"/>
    <w:rsid w:val="003E79FF"/>
    <w:rsid w:val="003F09CD"/>
    <w:rsid w:val="003F3E91"/>
    <w:rsid w:val="003F52E8"/>
    <w:rsid w:val="00400817"/>
    <w:rsid w:val="004012A2"/>
    <w:rsid w:val="0040288E"/>
    <w:rsid w:val="00402DAB"/>
    <w:rsid w:val="004048E3"/>
    <w:rsid w:val="004105B3"/>
    <w:rsid w:val="0041399F"/>
    <w:rsid w:val="00416146"/>
    <w:rsid w:val="0042060F"/>
    <w:rsid w:val="004230C6"/>
    <w:rsid w:val="00426D45"/>
    <w:rsid w:val="004272A8"/>
    <w:rsid w:val="004327CB"/>
    <w:rsid w:val="00432867"/>
    <w:rsid w:val="004347ED"/>
    <w:rsid w:val="004422E3"/>
    <w:rsid w:val="004445ED"/>
    <w:rsid w:val="00445CF2"/>
    <w:rsid w:val="00445EAB"/>
    <w:rsid w:val="004464C8"/>
    <w:rsid w:val="00447302"/>
    <w:rsid w:val="0044740C"/>
    <w:rsid w:val="00447F6E"/>
    <w:rsid w:val="00451270"/>
    <w:rsid w:val="00452E19"/>
    <w:rsid w:val="004537FA"/>
    <w:rsid w:val="00454679"/>
    <w:rsid w:val="00460450"/>
    <w:rsid w:val="0046048A"/>
    <w:rsid w:val="00461A1A"/>
    <w:rsid w:val="00463E4E"/>
    <w:rsid w:val="0047095C"/>
    <w:rsid w:val="0047222D"/>
    <w:rsid w:val="00480479"/>
    <w:rsid w:val="0048237B"/>
    <w:rsid w:val="00492EB0"/>
    <w:rsid w:val="004962B0"/>
    <w:rsid w:val="004A3621"/>
    <w:rsid w:val="004A3BFC"/>
    <w:rsid w:val="004A5C57"/>
    <w:rsid w:val="004A7D64"/>
    <w:rsid w:val="004B23B9"/>
    <w:rsid w:val="004B2FF1"/>
    <w:rsid w:val="004B43B0"/>
    <w:rsid w:val="004B6CC9"/>
    <w:rsid w:val="004C00E0"/>
    <w:rsid w:val="004C0B5A"/>
    <w:rsid w:val="004C1F6C"/>
    <w:rsid w:val="004C2A09"/>
    <w:rsid w:val="004C33DA"/>
    <w:rsid w:val="004C51DE"/>
    <w:rsid w:val="004C5ABE"/>
    <w:rsid w:val="004C641E"/>
    <w:rsid w:val="004D05BE"/>
    <w:rsid w:val="004D07E2"/>
    <w:rsid w:val="004D0C0D"/>
    <w:rsid w:val="004D15C2"/>
    <w:rsid w:val="004D2CDD"/>
    <w:rsid w:val="004D388D"/>
    <w:rsid w:val="004D47B1"/>
    <w:rsid w:val="004D61EB"/>
    <w:rsid w:val="004D772A"/>
    <w:rsid w:val="004E4900"/>
    <w:rsid w:val="004E5B39"/>
    <w:rsid w:val="004E5C7A"/>
    <w:rsid w:val="004E788D"/>
    <w:rsid w:val="004F03E3"/>
    <w:rsid w:val="004F3553"/>
    <w:rsid w:val="004F626D"/>
    <w:rsid w:val="004F7B1D"/>
    <w:rsid w:val="00502276"/>
    <w:rsid w:val="00502301"/>
    <w:rsid w:val="00502AC2"/>
    <w:rsid w:val="00507982"/>
    <w:rsid w:val="005113A1"/>
    <w:rsid w:val="00516AED"/>
    <w:rsid w:val="005231EF"/>
    <w:rsid w:val="00524F8F"/>
    <w:rsid w:val="00531D87"/>
    <w:rsid w:val="005334D6"/>
    <w:rsid w:val="00533E3D"/>
    <w:rsid w:val="00536AE2"/>
    <w:rsid w:val="00537A8D"/>
    <w:rsid w:val="00544EB3"/>
    <w:rsid w:val="0054532C"/>
    <w:rsid w:val="005506BF"/>
    <w:rsid w:val="0055129C"/>
    <w:rsid w:val="005529D5"/>
    <w:rsid w:val="00554E94"/>
    <w:rsid w:val="005612BE"/>
    <w:rsid w:val="00563CC4"/>
    <w:rsid w:val="00567AC5"/>
    <w:rsid w:val="00567CCF"/>
    <w:rsid w:val="00571B4D"/>
    <w:rsid w:val="00571E36"/>
    <w:rsid w:val="00573BAC"/>
    <w:rsid w:val="00574720"/>
    <w:rsid w:val="00576071"/>
    <w:rsid w:val="005859A5"/>
    <w:rsid w:val="00587F9A"/>
    <w:rsid w:val="0059271D"/>
    <w:rsid w:val="00595B6A"/>
    <w:rsid w:val="005A12B3"/>
    <w:rsid w:val="005A1412"/>
    <w:rsid w:val="005B3EFE"/>
    <w:rsid w:val="005B7F30"/>
    <w:rsid w:val="005C1334"/>
    <w:rsid w:val="005C2324"/>
    <w:rsid w:val="005C50E2"/>
    <w:rsid w:val="005C6EF0"/>
    <w:rsid w:val="005C7A84"/>
    <w:rsid w:val="005D4E5F"/>
    <w:rsid w:val="005E137F"/>
    <w:rsid w:val="005E1B20"/>
    <w:rsid w:val="005E3719"/>
    <w:rsid w:val="005E69F2"/>
    <w:rsid w:val="005E6B13"/>
    <w:rsid w:val="005F156F"/>
    <w:rsid w:val="006020CB"/>
    <w:rsid w:val="00606B2F"/>
    <w:rsid w:val="006072AA"/>
    <w:rsid w:val="006100FA"/>
    <w:rsid w:val="00613997"/>
    <w:rsid w:val="00615F99"/>
    <w:rsid w:val="0062245D"/>
    <w:rsid w:val="00624ACD"/>
    <w:rsid w:val="006251D6"/>
    <w:rsid w:val="0062647C"/>
    <w:rsid w:val="00631955"/>
    <w:rsid w:val="00635E75"/>
    <w:rsid w:val="00636EF0"/>
    <w:rsid w:val="0064084D"/>
    <w:rsid w:val="0064364A"/>
    <w:rsid w:val="006450DD"/>
    <w:rsid w:val="00646DE3"/>
    <w:rsid w:val="00650F20"/>
    <w:rsid w:val="00652341"/>
    <w:rsid w:val="006547AF"/>
    <w:rsid w:val="00655F5B"/>
    <w:rsid w:val="00661EEA"/>
    <w:rsid w:val="0066234B"/>
    <w:rsid w:val="0066236C"/>
    <w:rsid w:val="00662975"/>
    <w:rsid w:val="00663BF0"/>
    <w:rsid w:val="0067142C"/>
    <w:rsid w:val="006725A9"/>
    <w:rsid w:val="0067272C"/>
    <w:rsid w:val="00672B8A"/>
    <w:rsid w:val="00680D95"/>
    <w:rsid w:val="00681EE8"/>
    <w:rsid w:val="00682CD8"/>
    <w:rsid w:val="0069274C"/>
    <w:rsid w:val="00697205"/>
    <w:rsid w:val="00697A9F"/>
    <w:rsid w:val="006A0574"/>
    <w:rsid w:val="006A0655"/>
    <w:rsid w:val="006A458E"/>
    <w:rsid w:val="006A5D31"/>
    <w:rsid w:val="006A5FFF"/>
    <w:rsid w:val="006A6898"/>
    <w:rsid w:val="006B116E"/>
    <w:rsid w:val="006B63BF"/>
    <w:rsid w:val="006C0714"/>
    <w:rsid w:val="006C2515"/>
    <w:rsid w:val="006D4C40"/>
    <w:rsid w:val="006D5D06"/>
    <w:rsid w:val="006E0FD8"/>
    <w:rsid w:val="006E132B"/>
    <w:rsid w:val="006E2C88"/>
    <w:rsid w:val="006F2076"/>
    <w:rsid w:val="006F2689"/>
    <w:rsid w:val="007055A3"/>
    <w:rsid w:val="00706845"/>
    <w:rsid w:val="00712A12"/>
    <w:rsid w:val="0071713D"/>
    <w:rsid w:val="00717227"/>
    <w:rsid w:val="0071780D"/>
    <w:rsid w:val="00735EF8"/>
    <w:rsid w:val="00737FBC"/>
    <w:rsid w:val="00742A55"/>
    <w:rsid w:val="00743B9B"/>
    <w:rsid w:val="00744664"/>
    <w:rsid w:val="007515AE"/>
    <w:rsid w:val="00751D0E"/>
    <w:rsid w:val="0075265E"/>
    <w:rsid w:val="007574FD"/>
    <w:rsid w:val="00757C8F"/>
    <w:rsid w:val="007615A6"/>
    <w:rsid w:val="007663E9"/>
    <w:rsid w:val="00770CBA"/>
    <w:rsid w:val="007735C3"/>
    <w:rsid w:val="00774043"/>
    <w:rsid w:val="007767A5"/>
    <w:rsid w:val="007807FA"/>
    <w:rsid w:val="00780EA1"/>
    <w:rsid w:val="00781EEB"/>
    <w:rsid w:val="007820FC"/>
    <w:rsid w:val="007866D3"/>
    <w:rsid w:val="00787FB6"/>
    <w:rsid w:val="007A0253"/>
    <w:rsid w:val="007A0913"/>
    <w:rsid w:val="007A10DA"/>
    <w:rsid w:val="007A46C7"/>
    <w:rsid w:val="007A48FC"/>
    <w:rsid w:val="007A4AE6"/>
    <w:rsid w:val="007A4E15"/>
    <w:rsid w:val="007A630A"/>
    <w:rsid w:val="007A6A47"/>
    <w:rsid w:val="007B3BA3"/>
    <w:rsid w:val="007B4F45"/>
    <w:rsid w:val="007C0927"/>
    <w:rsid w:val="007C1807"/>
    <w:rsid w:val="007C1B2C"/>
    <w:rsid w:val="007C31EB"/>
    <w:rsid w:val="007C3DC5"/>
    <w:rsid w:val="007C73BA"/>
    <w:rsid w:val="007D13E0"/>
    <w:rsid w:val="007D1730"/>
    <w:rsid w:val="007E0D53"/>
    <w:rsid w:val="007E5E3A"/>
    <w:rsid w:val="007E6DE2"/>
    <w:rsid w:val="007E7A29"/>
    <w:rsid w:val="007E7D8D"/>
    <w:rsid w:val="007F0C12"/>
    <w:rsid w:val="007F2E6D"/>
    <w:rsid w:val="007F409D"/>
    <w:rsid w:val="008033CE"/>
    <w:rsid w:val="00803444"/>
    <w:rsid w:val="00806308"/>
    <w:rsid w:val="00811D4A"/>
    <w:rsid w:val="00814C2A"/>
    <w:rsid w:val="00815071"/>
    <w:rsid w:val="008158CC"/>
    <w:rsid w:val="0081623D"/>
    <w:rsid w:val="00816C7A"/>
    <w:rsid w:val="00817DEE"/>
    <w:rsid w:val="00821B05"/>
    <w:rsid w:val="008231E5"/>
    <w:rsid w:val="008343D3"/>
    <w:rsid w:val="00834D78"/>
    <w:rsid w:val="008355E7"/>
    <w:rsid w:val="00837D0A"/>
    <w:rsid w:val="00841AFF"/>
    <w:rsid w:val="00844954"/>
    <w:rsid w:val="0085082C"/>
    <w:rsid w:val="008522D2"/>
    <w:rsid w:val="00864270"/>
    <w:rsid w:val="0086428B"/>
    <w:rsid w:val="00864B2F"/>
    <w:rsid w:val="00867FF8"/>
    <w:rsid w:val="00870C5D"/>
    <w:rsid w:val="008717CD"/>
    <w:rsid w:val="00874106"/>
    <w:rsid w:val="0087795A"/>
    <w:rsid w:val="008809F5"/>
    <w:rsid w:val="0088216D"/>
    <w:rsid w:val="00882602"/>
    <w:rsid w:val="008912E1"/>
    <w:rsid w:val="00893759"/>
    <w:rsid w:val="00894721"/>
    <w:rsid w:val="008A19B1"/>
    <w:rsid w:val="008A65EC"/>
    <w:rsid w:val="008A7C45"/>
    <w:rsid w:val="008B0634"/>
    <w:rsid w:val="008B138D"/>
    <w:rsid w:val="008B2879"/>
    <w:rsid w:val="008B3A99"/>
    <w:rsid w:val="008B6CD5"/>
    <w:rsid w:val="008C1EE6"/>
    <w:rsid w:val="008C54F7"/>
    <w:rsid w:val="008C64DD"/>
    <w:rsid w:val="008C7AF7"/>
    <w:rsid w:val="008D2AF6"/>
    <w:rsid w:val="008D3F6C"/>
    <w:rsid w:val="008D406D"/>
    <w:rsid w:val="008D584E"/>
    <w:rsid w:val="008E7626"/>
    <w:rsid w:val="008F1A09"/>
    <w:rsid w:val="009023F0"/>
    <w:rsid w:val="00902C53"/>
    <w:rsid w:val="00903AE6"/>
    <w:rsid w:val="00903CB4"/>
    <w:rsid w:val="009134AD"/>
    <w:rsid w:val="00914D23"/>
    <w:rsid w:val="00914DB4"/>
    <w:rsid w:val="0092031C"/>
    <w:rsid w:val="00920E87"/>
    <w:rsid w:val="009215FE"/>
    <w:rsid w:val="00924158"/>
    <w:rsid w:val="00924F68"/>
    <w:rsid w:val="00925BE3"/>
    <w:rsid w:val="00933070"/>
    <w:rsid w:val="009333EC"/>
    <w:rsid w:val="00935EF5"/>
    <w:rsid w:val="00936924"/>
    <w:rsid w:val="0093763E"/>
    <w:rsid w:val="00941260"/>
    <w:rsid w:val="00941D66"/>
    <w:rsid w:val="00942DE8"/>
    <w:rsid w:val="00943FF2"/>
    <w:rsid w:val="00944390"/>
    <w:rsid w:val="00945490"/>
    <w:rsid w:val="00947F0F"/>
    <w:rsid w:val="00956F27"/>
    <w:rsid w:val="00960049"/>
    <w:rsid w:val="00962F95"/>
    <w:rsid w:val="009674DB"/>
    <w:rsid w:val="00970818"/>
    <w:rsid w:val="009763DC"/>
    <w:rsid w:val="009777EB"/>
    <w:rsid w:val="00977F46"/>
    <w:rsid w:val="00991A4F"/>
    <w:rsid w:val="00994189"/>
    <w:rsid w:val="0099706B"/>
    <w:rsid w:val="00997C1A"/>
    <w:rsid w:val="009A5FA5"/>
    <w:rsid w:val="009B0DD2"/>
    <w:rsid w:val="009B5B87"/>
    <w:rsid w:val="009B6AFA"/>
    <w:rsid w:val="009B78EA"/>
    <w:rsid w:val="009C3EB3"/>
    <w:rsid w:val="009C645C"/>
    <w:rsid w:val="009D63E9"/>
    <w:rsid w:val="009D7650"/>
    <w:rsid w:val="009E1EE0"/>
    <w:rsid w:val="009E3BCC"/>
    <w:rsid w:val="009F23E1"/>
    <w:rsid w:val="009F29BA"/>
    <w:rsid w:val="009F61C3"/>
    <w:rsid w:val="00A022D6"/>
    <w:rsid w:val="00A06496"/>
    <w:rsid w:val="00A10411"/>
    <w:rsid w:val="00A15DB7"/>
    <w:rsid w:val="00A211AD"/>
    <w:rsid w:val="00A24B1F"/>
    <w:rsid w:val="00A24D26"/>
    <w:rsid w:val="00A3200A"/>
    <w:rsid w:val="00A342BA"/>
    <w:rsid w:val="00A43165"/>
    <w:rsid w:val="00A47E68"/>
    <w:rsid w:val="00A52490"/>
    <w:rsid w:val="00A57C75"/>
    <w:rsid w:val="00A621B5"/>
    <w:rsid w:val="00A66608"/>
    <w:rsid w:val="00A7063C"/>
    <w:rsid w:val="00A800E5"/>
    <w:rsid w:val="00A8029F"/>
    <w:rsid w:val="00A876BE"/>
    <w:rsid w:val="00A93B4B"/>
    <w:rsid w:val="00A96004"/>
    <w:rsid w:val="00A97CCF"/>
    <w:rsid w:val="00AA00F7"/>
    <w:rsid w:val="00AA3669"/>
    <w:rsid w:val="00AA3AA9"/>
    <w:rsid w:val="00AA715B"/>
    <w:rsid w:val="00AB1214"/>
    <w:rsid w:val="00AB203E"/>
    <w:rsid w:val="00AB3B5E"/>
    <w:rsid w:val="00AB5A3E"/>
    <w:rsid w:val="00AC658C"/>
    <w:rsid w:val="00AC6BE7"/>
    <w:rsid w:val="00AD1D2C"/>
    <w:rsid w:val="00AD1D77"/>
    <w:rsid w:val="00AD71D7"/>
    <w:rsid w:val="00AE1BCA"/>
    <w:rsid w:val="00AE29FA"/>
    <w:rsid w:val="00AF121A"/>
    <w:rsid w:val="00B02402"/>
    <w:rsid w:val="00B02FB8"/>
    <w:rsid w:val="00B036BA"/>
    <w:rsid w:val="00B03729"/>
    <w:rsid w:val="00B07141"/>
    <w:rsid w:val="00B07CB8"/>
    <w:rsid w:val="00B1062F"/>
    <w:rsid w:val="00B109C3"/>
    <w:rsid w:val="00B12AB2"/>
    <w:rsid w:val="00B136E9"/>
    <w:rsid w:val="00B15B88"/>
    <w:rsid w:val="00B15CC6"/>
    <w:rsid w:val="00B17EE3"/>
    <w:rsid w:val="00B22500"/>
    <w:rsid w:val="00B226A0"/>
    <w:rsid w:val="00B26114"/>
    <w:rsid w:val="00B33666"/>
    <w:rsid w:val="00B33D45"/>
    <w:rsid w:val="00B373C7"/>
    <w:rsid w:val="00B4449B"/>
    <w:rsid w:val="00B50C79"/>
    <w:rsid w:val="00B538C1"/>
    <w:rsid w:val="00B53D6E"/>
    <w:rsid w:val="00B54A21"/>
    <w:rsid w:val="00B566A2"/>
    <w:rsid w:val="00B6038B"/>
    <w:rsid w:val="00B62726"/>
    <w:rsid w:val="00B63340"/>
    <w:rsid w:val="00B63B50"/>
    <w:rsid w:val="00B66147"/>
    <w:rsid w:val="00B72902"/>
    <w:rsid w:val="00B77A3A"/>
    <w:rsid w:val="00B8023F"/>
    <w:rsid w:val="00B84C17"/>
    <w:rsid w:val="00B922B5"/>
    <w:rsid w:val="00B92D9B"/>
    <w:rsid w:val="00B96A4A"/>
    <w:rsid w:val="00B971A0"/>
    <w:rsid w:val="00BA10B1"/>
    <w:rsid w:val="00BA5DB1"/>
    <w:rsid w:val="00BA7B16"/>
    <w:rsid w:val="00BB0083"/>
    <w:rsid w:val="00BB06C9"/>
    <w:rsid w:val="00BB082C"/>
    <w:rsid w:val="00BB0EA5"/>
    <w:rsid w:val="00BB2058"/>
    <w:rsid w:val="00BB50E5"/>
    <w:rsid w:val="00BB53EC"/>
    <w:rsid w:val="00BB7F9E"/>
    <w:rsid w:val="00BC6095"/>
    <w:rsid w:val="00BD12A1"/>
    <w:rsid w:val="00BD4A4B"/>
    <w:rsid w:val="00BD71B0"/>
    <w:rsid w:val="00BF118E"/>
    <w:rsid w:val="00BF19EB"/>
    <w:rsid w:val="00BF222D"/>
    <w:rsid w:val="00BF30A8"/>
    <w:rsid w:val="00BF340F"/>
    <w:rsid w:val="00BF3E71"/>
    <w:rsid w:val="00BF4279"/>
    <w:rsid w:val="00C01143"/>
    <w:rsid w:val="00C02C7B"/>
    <w:rsid w:val="00C11640"/>
    <w:rsid w:val="00C1572F"/>
    <w:rsid w:val="00C15B65"/>
    <w:rsid w:val="00C15C4D"/>
    <w:rsid w:val="00C166FE"/>
    <w:rsid w:val="00C1770C"/>
    <w:rsid w:val="00C212D9"/>
    <w:rsid w:val="00C21471"/>
    <w:rsid w:val="00C333EE"/>
    <w:rsid w:val="00C342B7"/>
    <w:rsid w:val="00C34933"/>
    <w:rsid w:val="00C35745"/>
    <w:rsid w:val="00C37D3E"/>
    <w:rsid w:val="00C4025B"/>
    <w:rsid w:val="00C4074E"/>
    <w:rsid w:val="00C45087"/>
    <w:rsid w:val="00C528C4"/>
    <w:rsid w:val="00C53081"/>
    <w:rsid w:val="00C55A4E"/>
    <w:rsid w:val="00C56E96"/>
    <w:rsid w:val="00C60FED"/>
    <w:rsid w:val="00C61E11"/>
    <w:rsid w:val="00C626A7"/>
    <w:rsid w:val="00C62883"/>
    <w:rsid w:val="00C6411D"/>
    <w:rsid w:val="00C655C0"/>
    <w:rsid w:val="00C65EC0"/>
    <w:rsid w:val="00C710B7"/>
    <w:rsid w:val="00C73027"/>
    <w:rsid w:val="00C830AC"/>
    <w:rsid w:val="00C84050"/>
    <w:rsid w:val="00C90FCD"/>
    <w:rsid w:val="00C9157D"/>
    <w:rsid w:val="00C974B4"/>
    <w:rsid w:val="00CA6193"/>
    <w:rsid w:val="00CB1E26"/>
    <w:rsid w:val="00CB1F15"/>
    <w:rsid w:val="00CB50BA"/>
    <w:rsid w:val="00CB5562"/>
    <w:rsid w:val="00CB66E3"/>
    <w:rsid w:val="00CC395F"/>
    <w:rsid w:val="00CC4C2A"/>
    <w:rsid w:val="00CC5203"/>
    <w:rsid w:val="00CC7D65"/>
    <w:rsid w:val="00CD45CE"/>
    <w:rsid w:val="00CD53B0"/>
    <w:rsid w:val="00CD7BC8"/>
    <w:rsid w:val="00CE0AB8"/>
    <w:rsid w:val="00CE1FC8"/>
    <w:rsid w:val="00CE2061"/>
    <w:rsid w:val="00CE34A8"/>
    <w:rsid w:val="00CE34CF"/>
    <w:rsid w:val="00CE3C55"/>
    <w:rsid w:val="00CE5AF6"/>
    <w:rsid w:val="00CF2AC5"/>
    <w:rsid w:val="00CF4AA2"/>
    <w:rsid w:val="00CF5D0D"/>
    <w:rsid w:val="00D04CF5"/>
    <w:rsid w:val="00D053FC"/>
    <w:rsid w:val="00D05467"/>
    <w:rsid w:val="00D06A2E"/>
    <w:rsid w:val="00D15FD1"/>
    <w:rsid w:val="00D164B0"/>
    <w:rsid w:val="00D24296"/>
    <w:rsid w:val="00D253EE"/>
    <w:rsid w:val="00D343B6"/>
    <w:rsid w:val="00D41F23"/>
    <w:rsid w:val="00D42FDC"/>
    <w:rsid w:val="00D47257"/>
    <w:rsid w:val="00D529E9"/>
    <w:rsid w:val="00D546D6"/>
    <w:rsid w:val="00D54E50"/>
    <w:rsid w:val="00D666B2"/>
    <w:rsid w:val="00D71CF9"/>
    <w:rsid w:val="00D74465"/>
    <w:rsid w:val="00D76BBE"/>
    <w:rsid w:val="00D81D5F"/>
    <w:rsid w:val="00D831BA"/>
    <w:rsid w:val="00D86687"/>
    <w:rsid w:val="00D86EEF"/>
    <w:rsid w:val="00D903D8"/>
    <w:rsid w:val="00D9196A"/>
    <w:rsid w:val="00D92309"/>
    <w:rsid w:val="00DA1C75"/>
    <w:rsid w:val="00DA37D5"/>
    <w:rsid w:val="00DA730D"/>
    <w:rsid w:val="00DB1E82"/>
    <w:rsid w:val="00DB2DC2"/>
    <w:rsid w:val="00DB4653"/>
    <w:rsid w:val="00DC1A17"/>
    <w:rsid w:val="00DC4F6F"/>
    <w:rsid w:val="00DD0CC8"/>
    <w:rsid w:val="00DD720C"/>
    <w:rsid w:val="00DE0A88"/>
    <w:rsid w:val="00DE1DA3"/>
    <w:rsid w:val="00DE5001"/>
    <w:rsid w:val="00DE5FFE"/>
    <w:rsid w:val="00DF0C7A"/>
    <w:rsid w:val="00DF48A8"/>
    <w:rsid w:val="00DF4F98"/>
    <w:rsid w:val="00E00446"/>
    <w:rsid w:val="00E0072E"/>
    <w:rsid w:val="00E0336C"/>
    <w:rsid w:val="00E051AE"/>
    <w:rsid w:val="00E05AFC"/>
    <w:rsid w:val="00E06261"/>
    <w:rsid w:val="00E07245"/>
    <w:rsid w:val="00E11EC7"/>
    <w:rsid w:val="00E11F05"/>
    <w:rsid w:val="00E1277C"/>
    <w:rsid w:val="00E137E9"/>
    <w:rsid w:val="00E17281"/>
    <w:rsid w:val="00E242A5"/>
    <w:rsid w:val="00E317CF"/>
    <w:rsid w:val="00E32F54"/>
    <w:rsid w:val="00E35B94"/>
    <w:rsid w:val="00E36802"/>
    <w:rsid w:val="00E4054E"/>
    <w:rsid w:val="00E43935"/>
    <w:rsid w:val="00E5225F"/>
    <w:rsid w:val="00E5525A"/>
    <w:rsid w:val="00E558E7"/>
    <w:rsid w:val="00E57104"/>
    <w:rsid w:val="00E63E70"/>
    <w:rsid w:val="00E64428"/>
    <w:rsid w:val="00E65A91"/>
    <w:rsid w:val="00E664EE"/>
    <w:rsid w:val="00E70C00"/>
    <w:rsid w:val="00E72C3C"/>
    <w:rsid w:val="00E746D4"/>
    <w:rsid w:val="00E83A8A"/>
    <w:rsid w:val="00E83BD2"/>
    <w:rsid w:val="00E83D64"/>
    <w:rsid w:val="00E845B6"/>
    <w:rsid w:val="00E850DB"/>
    <w:rsid w:val="00E91EC3"/>
    <w:rsid w:val="00E9698E"/>
    <w:rsid w:val="00E97772"/>
    <w:rsid w:val="00EA1A7E"/>
    <w:rsid w:val="00EA5924"/>
    <w:rsid w:val="00EB645D"/>
    <w:rsid w:val="00EB7391"/>
    <w:rsid w:val="00EC1B2E"/>
    <w:rsid w:val="00EC1BD1"/>
    <w:rsid w:val="00EC2D80"/>
    <w:rsid w:val="00EC4B71"/>
    <w:rsid w:val="00EE04DE"/>
    <w:rsid w:val="00EE18BF"/>
    <w:rsid w:val="00EE191E"/>
    <w:rsid w:val="00EE2E6C"/>
    <w:rsid w:val="00EE64C6"/>
    <w:rsid w:val="00EE762B"/>
    <w:rsid w:val="00EE7B00"/>
    <w:rsid w:val="00EF00C9"/>
    <w:rsid w:val="00EF3BB4"/>
    <w:rsid w:val="00EF5B79"/>
    <w:rsid w:val="00F02579"/>
    <w:rsid w:val="00F03477"/>
    <w:rsid w:val="00F03976"/>
    <w:rsid w:val="00F05AE9"/>
    <w:rsid w:val="00F065E5"/>
    <w:rsid w:val="00F069BC"/>
    <w:rsid w:val="00F076FC"/>
    <w:rsid w:val="00F12084"/>
    <w:rsid w:val="00F13040"/>
    <w:rsid w:val="00F17F18"/>
    <w:rsid w:val="00F23963"/>
    <w:rsid w:val="00F2631A"/>
    <w:rsid w:val="00F27429"/>
    <w:rsid w:val="00F27AFE"/>
    <w:rsid w:val="00F33749"/>
    <w:rsid w:val="00F34EEA"/>
    <w:rsid w:val="00F4107F"/>
    <w:rsid w:val="00F42671"/>
    <w:rsid w:val="00F449A9"/>
    <w:rsid w:val="00F45C1F"/>
    <w:rsid w:val="00F46AE9"/>
    <w:rsid w:val="00F51626"/>
    <w:rsid w:val="00F52D09"/>
    <w:rsid w:val="00F538BB"/>
    <w:rsid w:val="00F563C0"/>
    <w:rsid w:val="00F61622"/>
    <w:rsid w:val="00F618A7"/>
    <w:rsid w:val="00F61E78"/>
    <w:rsid w:val="00F62FDC"/>
    <w:rsid w:val="00F7593B"/>
    <w:rsid w:val="00F8648C"/>
    <w:rsid w:val="00F92765"/>
    <w:rsid w:val="00F92AF2"/>
    <w:rsid w:val="00F92F5B"/>
    <w:rsid w:val="00F944DA"/>
    <w:rsid w:val="00F97D7D"/>
    <w:rsid w:val="00FA0DFF"/>
    <w:rsid w:val="00FA270F"/>
    <w:rsid w:val="00FA43BF"/>
    <w:rsid w:val="00FA7C71"/>
    <w:rsid w:val="00FB1B70"/>
    <w:rsid w:val="00FB25EC"/>
    <w:rsid w:val="00FB495A"/>
    <w:rsid w:val="00FB6616"/>
    <w:rsid w:val="00FB7D02"/>
    <w:rsid w:val="00FC08EF"/>
    <w:rsid w:val="00FC5D14"/>
    <w:rsid w:val="00FC6D23"/>
    <w:rsid w:val="00FD0C02"/>
    <w:rsid w:val="00FD2CF9"/>
    <w:rsid w:val="00FD2DEB"/>
    <w:rsid w:val="00FD3CCB"/>
    <w:rsid w:val="00FD4FCD"/>
    <w:rsid w:val="00FD5BA4"/>
    <w:rsid w:val="00FD6A17"/>
    <w:rsid w:val="00FE2D1C"/>
    <w:rsid w:val="00FE5257"/>
    <w:rsid w:val="00FF34A9"/>
    <w:rsid w:val="00FF545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BDD165"/>
  <w15:docId w15:val="{FC57098D-36B5-D745-863F-A9698EB1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7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B39"/>
    <w:pPr>
      <w:ind w:left="720"/>
      <w:contextualSpacing/>
    </w:pPr>
  </w:style>
  <w:style w:type="paragraph" w:styleId="a4">
    <w:name w:val="footer"/>
    <w:basedOn w:val="a"/>
    <w:link w:val="a5"/>
    <w:uiPriority w:val="99"/>
    <w:unhideWhenUsed/>
    <w:rsid w:val="00E06261"/>
    <w:pPr>
      <w:tabs>
        <w:tab w:val="center" w:pos="4320"/>
        <w:tab w:val="right" w:pos="8640"/>
      </w:tabs>
    </w:pPr>
  </w:style>
  <w:style w:type="character" w:customStyle="1" w:styleId="a5">
    <w:name w:val="頁尾 字元"/>
    <w:basedOn w:val="a0"/>
    <w:link w:val="a4"/>
    <w:uiPriority w:val="99"/>
    <w:rsid w:val="00E06261"/>
  </w:style>
  <w:style w:type="character" w:styleId="a6">
    <w:name w:val="page number"/>
    <w:basedOn w:val="a0"/>
    <w:uiPriority w:val="99"/>
    <w:semiHidden/>
    <w:unhideWhenUsed/>
    <w:rsid w:val="00E06261"/>
  </w:style>
  <w:style w:type="paragraph" w:styleId="a7">
    <w:name w:val="Balloon Text"/>
    <w:basedOn w:val="a"/>
    <w:link w:val="a8"/>
    <w:uiPriority w:val="99"/>
    <w:semiHidden/>
    <w:unhideWhenUsed/>
    <w:rsid w:val="00334163"/>
    <w:rPr>
      <w:rFonts w:ascii="Lucida Grande" w:hAnsi="Lucida Grande"/>
      <w:sz w:val="18"/>
      <w:szCs w:val="18"/>
    </w:rPr>
  </w:style>
  <w:style w:type="character" w:customStyle="1" w:styleId="a8">
    <w:name w:val="註解方塊文字 字元"/>
    <w:basedOn w:val="a0"/>
    <w:link w:val="a7"/>
    <w:uiPriority w:val="99"/>
    <w:semiHidden/>
    <w:rsid w:val="00334163"/>
    <w:rPr>
      <w:rFonts w:ascii="Lucida Grande" w:hAnsi="Lucida Grande"/>
      <w:sz w:val="18"/>
      <w:szCs w:val="18"/>
    </w:rPr>
  </w:style>
  <w:style w:type="paragraph" w:styleId="a9">
    <w:name w:val="footnote text"/>
    <w:basedOn w:val="a"/>
    <w:link w:val="aa"/>
    <w:semiHidden/>
    <w:unhideWhenUsed/>
    <w:rsid w:val="00C21471"/>
    <w:pPr>
      <w:snapToGrid w:val="0"/>
    </w:pPr>
  </w:style>
  <w:style w:type="character" w:customStyle="1" w:styleId="aa">
    <w:name w:val="註腳文字 字元"/>
    <w:basedOn w:val="a0"/>
    <w:link w:val="a9"/>
    <w:semiHidden/>
    <w:rsid w:val="00C21471"/>
  </w:style>
  <w:style w:type="character" w:styleId="ab">
    <w:name w:val="footnote reference"/>
    <w:basedOn w:val="a0"/>
    <w:semiHidden/>
    <w:unhideWhenUsed/>
    <w:rsid w:val="00C21471"/>
    <w:rPr>
      <w:vertAlign w:val="superscript"/>
    </w:rPr>
  </w:style>
  <w:style w:type="paragraph" w:styleId="ac">
    <w:name w:val="Title"/>
    <w:basedOn w:val="a"/>
    <w:link w:val="ad"/>
    <w:qFormat/>
    <w:rsid w:val="00B538C1"/>
    <w:pPr>
      <w:overflowPunct w:val="0"/>
      <w:autoSpaceDE w:val="0"/>
      <w:autoSpaceDN w:val="0"/>
      <w:adjustRightInd w:val="0"/>
      <w:jc w:val="center"/>
      <w:textAlignment w:val="baseline"/>
    </w:pPr>
    <w:rPr>
      <w:rFonts w:ascii="CG Times (W1)" w:eastAsia="細明體" w:hAnsi="CG Times (W1)" w:cs="Times New Roman"/>
      <w:b/>
      <w:szCs w:val="20"/>
      <w:lang w:val="en-GB" w:eastAsia="zh-TW"/>
    </w:rPr>
  </w:style>
  <w:style w:type="character" w:customStyle="1" w:styleId="ad">
    <w:name w:val="標題 字元"/>
    <w:basedOn w:val="a0"/>
    <w:link w:val="ac"/>
    <w:rsid w:val="00B538C1"/>
    <w:rPr>
      <w:rFonts w:ascii="CG Times (W1)" w:eastAsia="細明體" w:hAnsi="CG Times (W1)" w:cs="Times New Roman"/>
      <w:b/>
      <w:szCs w:val="20"/>
      <w:lang w:val="en-GB" w:eastAsia="zh-TW"/>
    </w:rPr>
  </w:style>
  <w:style w:type="paragraph" w:styleId="ae">
    <w:name w:val="header"/>
    <w:basedOn w:val="a"/>
    <w:link w:val="af"/>
    <w:uiPriority w:val="99"/>
    <w:unhideWhenUsed/>
    <w:rsid w:val="0069274C"/>
    <w:pPr>
      <w:tabs>
        <w:tab w:val="center" w:pos="4153"/>
        <w:tab w:val="right" w:pos="8306"/>
      </w:tabs>
      <w:snapToGrid w:val="0"/>
    </w:pPr>
    <w:rPr>
      <w:sz w:val="20"/>
      <w:szCs w:val="20"/>
    </w:rPr>
  </w:style>
  <w:style w:type="character" w:customStyle="1" w:styleId="af">
    <w:name w:val="頁首 字元"/>
    <w:basedOn w:val="a0"/>
    <w:link w:val="ae"/>
    <w:uiPriority w:val="99"/>
    <w:rsid w:val="0069274C"/>
    <w:rPr>
      <w:sz w:val="20"/>
      <w:szCs w:val="20"/>
    </w:rPr>
  </w:style>
  <w:style w:type="table" w:styleId="af0">
    <w:name w:val="Table Grid"/>
    <w:basedOn w:val="a1"/>
    <w:rsid w:val="008C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nhideWhenUsed/>
    <w:rsid w:val="00870C5D"/>
    <w:rPr>
      <w:color w:val="0000FF" w:themeColor="hyperlink"/>
      <w:u w:val="single"/>
    </w:rPr>
  </w:style>
  <w:style w:type="paragraph" w:styleId="af2">
    <w:name w:val="Revision"/>
    <w:hidden/>
    <w:semiHidden/>
    <w:rsid w:val="000C2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80438">
      <w:bodyDiv w:val="1"/>
      <w:marLeft w:val="0"/>
      <w:marRight w:val="0"/>
      <w:marTop w:val="0"/>
      <w:marBottom w:val="0"/>
      <w:divBdr>
        <w:top w:val="none" w:sz="0" w:space="0" w:color="auto"/>
        <w:left w:val="none" w:sz="0" w:space="0" w:color="auto"/>
        <w:bottom w:val="none" w:sz="0" w:space="0" w:color="auto"/>
        <w:right w:val="none" w:sz="0" w:space="0" w:color="auto"/>
      </w:divBdr>
    </w:div>
    <w:div w:id="542324424">
      <w:bodyDiv w:val="1"/>
      <w:marLeft w:val="0"/>
      <w:marRight w:val="0"/>
      <w:marTop w:val="0"/>
      <w:marBottom w:val="0"/>
      <w:divBdr>
        <w:top w:val="none" w:sz="0" w:space="0" w:color="auto"/>
        <w:left w:val="none" w:sz="0" w:space="0" w:color="auto"/>
        <w:bottom w:val="none" w:sz="0" w:space="0" w:color="auto"/>
        <w:right w:val="none" w:sz="0" w:space="0" w:color="auto"/>
      </w:divBdr>
    </w:div>
    <w:div w:id="576090278">
      <w:bodyDiv w:val="1"/>
      <w:marLeft w:val="0"/>
      <w:marRight w:val="0"/>
      <w:marTop w:val="0"/>
      <w:marBottom w:val="0"/>
      <w:divBdr>
        <w:top w:val="none" w:sz="0" w:space="0" w:color="auto"/>
        <w:left w:val="none" w:sz="0" w:space="0" w:color="auto"/>
        <w:bottom w:val="none" w:sz="0" w:space="0" w:color="auto"/>
        <w:right w:val="none" w:sz="0" w:space="0" w:color="auto"/>
      </w:divBdr>
    </w:div>
    <w:div w:id="874512534">
      <w:bodyDiv w:val="1"/>
      <w:marLeft w:val="0"/>
      <w:marRight w:val="0"/>
      <w:marTop w:val="0"/>
      <w:marBottom w:val="0"/>
      <w:divBdr>
        <w:top w:val="none" w:sz="0" w:space="0" w:color="auto"/>
        <w:left w:val="none" w:sz="0" w:space="0" w:color="auto"/>
        <w:bottom w:val="none" w:sz="0" w:space="0" w:color="auto"/>
        <w:right w:val="none" w:sz="0" w:space="0" w:color="auto"/>
      </w:divBdr>
    </w:div>
    <w:div w:id="1132482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26C39-477C-4A4F-97E5-D605DB589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32</Pages>
  <Words>12839</Words>
  <Characters>73185</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Sandy PS CHEUNG </cp:lastModifiedBy>
  <cp:revision>6</cp:revision>
  <cp:lastPrinted>2021-11-18T07:31:00Z</cp:lastPrinted>
  <dcterms:created xsi:type="dcterms:W3CDTF">2021-11-09T08:55:00Z</dcterms:created>
  <dcterms:modified xsi:type="dcterms:W3CDTF">2021-11-18T07:36:00Z</dcterms:modified>
</cp:coreProperties>
</file>