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40D2" w14:textId="77777777" w:rsidR="00532DEA" w:rsidRPr="00283879" w:rsidRDefault="00532DEA" w:rsidP="00B73727">
      <w:pPr>
        <w:pStyle w:val="af8"/>
        <w:widowControl w:val="0"/>
        <w:tabs>
          <w:tab w:val="left" w:pos="1276"/>
        </w:tabs>
        <w:topLinePunct/>
        <w:adjustRightInd/>
        <w:ind w:rightChars="-29" w:right="-58"/>
        <w:rPr>
          <w:rFonts w:ascii="Times New Roman" w:eastAsia="華康楷書體W5" w:hAnsi="Times New Roman"/>
          <w:szCs w:val="24"/>
        </w:rPr>
      </w:pPr>
      <w:r w:rsidRPr="00283879">
        <w:rPr>
          <w:rFonts w:ascii="Times New Roman" w:eastAsia="華康楷書體W5" w:hAnsi="Times New Roman"/>
          <w:szCs w:val="24"/>
        </w:rPr>
        <w:t>Case No. D9</w:t>
      </w:r>
      <w:r w:rsidRPr="00283879">
        <w:rPr>
          <w:rFonts w:ascii="Times New Roman" w:eastAsia="華康楷書體W5" w:hAnsi="Times New Roman"/>
          <w:szCs w:val="24"/>
          <w:lang w:eastAsia="zh-HK"/>
        </w:rPr>
        <w:t>/2</w:t>
      </w:r>
      <w:r w:rsidRPr="00283879">
        <w:rPr>
          <w:rFonts w:ascii="Times New Roman" w:eastAsia="華康楷書體W5" w:hAnsi="Times New Roman"/>
          <w:szCs w:val="24"/>
        </w:rPr>
        <w:t>4</w:t>
      </w:r>
    </w:p>
    <w:p w14:paraId="3BCBAB3B" w14:textId="77777777" w:rsidR="00532DEA" w:rsidRPr="00283879" w:rsidRDefault="00532DEA" w:rsidP="00337A09">
      <w:pPr>
        <w:widowControl w:val="0"/>
        <w:tabs>
          <w:tab w:val="left" w:pos="1276"/>
        </w:tabs>
        <w:topLinePunct/>
        <w:adjustRightInd/>
        <w:ind w:rightChars="-29" w:right="-58"/>
        <w:jc w:val="both"/>
        <w:rPr>
          <w:rFonts w:eastAsia="華康楷書體W5"/>
          <w:sz w:val="24"/>
          <w:szCs w:val="24"/>
        </w:rPr>
      </w:pPr>
    </w:p>
    <w:p w14:paraId="313D6604" w14:textId="77777777" w:rsidR="001D2F96" w:rsidRPr="00283879" w:rsidRDefault="001D2F96" w:rsidP="00337A09">
      <w:pPr>
        <w:widowControl w:val="0"/>
        <w:tabs>
          <w:tab w:val="left" w:pos="1276"/>
        </w:tabs>
        <w:topLinePunct/>
        <w:adjustRightInd/>
        <w:ind w:rightChars="-29" w:right="-58"/>
        <w:jc w:val="both"/>
        <w:rPr>
          <w:rFonts w:eastAsia="華康楷書體W5"/>
          <w:sz w:val="24"/>
          <w:szCs w:val="24"/>
        </w:rPr>
      </w:pPr>
    </w:p>
    <w:p w14:paraId="013A5DD8" w14:textId="77777777" w:rsidR="001D2F96" w:rsidRPr="00283879" w:rsidRDefault="001D2F96" w:rsidP="00337A09">
      <w:pPr>
        <w:widowControl w:val="0"/>
        <w:tabs>
          <w:tab w:val="left" w:pos="1276"/>
        </w:tabs>
        <w:topLinePunct/>
        <w:adjustRightInd/>
        <w:ind w:rightChars="-29" w:right="-58"/>
        <w:jc w:val="both"/>
        <w:rPr>
          <w:rFonts w:eastAsia="華康楷書體W5"/>
          <w:sz w:val="24"/>
          <w:szCs w:val="24"/>
        </w:rPr>
      </w:pPr>
    </w:p>
    <w:p w14:paraId="186D6BCD" w14:textId="77777777" w:rsidR="001D2F96" w:rsidRPr="00283879" w:rsidRDefault="001D2F96" w:rsidP="00337A09">
      <w:pPr>
        <w:widowControl w:val="0"/>
        <w:tabs>
          <w:tab w:val="left" w:pos="1276"/>
        </w:tabs>
        <w:topLinePunct/>
        <w:adjustRightInd/>
        <w:ind w:rightChars="-29" w:right="-58"/>
        <w:jc w:val="both"/>
        <w:rPr>
          <w:rFonts w:eastAsia="華康楷書體W5"/>
          <w:sz w:val="24"/>
          <w:szCs w:val="24"/>
        </w:rPr>
      </w:pPr>
    </w:p>
    <w:p w14:paraId="0D55F6E7" w14:textId="447D7B1F" w:rsidR="00532DEA" w:rsidRPr="00283879" w:rsidRDefault="00D72572" w:rsidP="00337A09">
      <w:pPr>
        <w:widowControl w:val="0"/>
        <w:tabs>
          <w:tab w:val="left" w:pos="1276"/>
        </w:tabs>
        <w:topLinePunct/>
        <w:adjustRightInd/>
        <w:ind w:rightChars="-29" w:right="-58"/>
        <w:jc w:val="both"/>
        <w:rPr>
          <w:rFonts w:eastAsia="華康楷書體W5"/>
          <w:sz w:val="24"/>
          <w:szCs w:val="24"/>
          <w:lang w:val="en-US"/>
        </w:rPr>
      </w:pPr>
      <w:r w:rsidRPr="00283879">
        <w:rPr>
          <w:rFonts w:eastAsia="華康楷書體W5"/>
          <w:b/>
          <w:bCs/>
          <w:sz w:val="24"/>
          <w:szCs w:val="24"/>
        </w:rPr>
        <w:t>Salaries tax</w:t>
      </w:r>
      <w:r w:rsidRPr="00283879">
        <w:rPr>
          <w:rFonts w:eastAsia="華康楷書體W5"/>
          <w:sz w:val="24"/>
          <w:szCs w:val="24"/>
        </w:rPr>
        <w:t xml:space="preserve"> </w:t>
      </w:r>
      <w:r w:rsidR="0047244B" w:rsidRPr="00283879">
        <w:rPr>
          <w:rFonts w:eastAsia="華康楷書體W5"/>
          <w:sz w:val="24"/>
          <w:szCs w:val="24"/>
        </w:rPr>
        <w:t>–</w:t>
      </w:r>
      <w:r w:rsidRPr="00283879">
        <w:rPr>
          <w:rFonts w:eastAsia="華康楷書體W5"/>
          <w:sz w:val="24"/>
          <w:szCs w:val="24"/>
        </w:rPr>
        <w:t xml:space="preserve"> </w:t>
      </w:r>
      <w:r w:rsidR="0047244B" w:rsidRPr="00283879">
        <w:rPr>
          <w:rFonts w:eastAsia="華康楷書體W5"/>
          <w:sz w:val="24"/>
          <w:szCs w:val="24"/>
        </w:rPr>
        <w:t xml:space="preserve">whether termination payment was chargeable to salaries tax – whether the termination payment was accrued during the employment in Hong Kong - whether payment under incentive plan was taxable – whether new issues could be raised – section 8(1), section 66(3) and section 68(7) of the Inland Revenue Ordinance </w:t>
      </w:r>
    </w:p>
    <w:p w14:paraId="35EDA5F4" w14:textId="77777777" w:rsidR="00532DEA" w:rsidRPr="00283879" w:rsidRDefault="00532DEA" w:rsidP="00337A09">
      <w:pPr>
        <w:widowControl w:val="0"/>
        <w:tabs>
          <w:tab w:val="left" w:pos="1276"/>
        </w:tabs>
        <w:topLinePunct/>
        <w:adjustRightInd/>
        <w:ind w:rightChars="-29" w:right="-58"/>
        <w:jc w:val="both"/>
        <w:rPr>
          <w:rFonts w:eastAsia="華康楷書體W5"/>
          <w:sz w:val="24"/>
          <w:szCs w:val="24"/>
        </w:rPr>
      </w:pPr>
    </w:p>
    <w:p w14:paraId="790457A8" w14:textId="77777777" w:rsidR="00532DEA" w:rsidRPr="00283879" w:rsidRDefault="00532DEA" w:rsidP="00337A09">
      <w:pPr>
        <w:widowControl w:val="0"/>
        <w:tabs>
          <w:tab w:val="left" w:pos="0"/>
          <w:tab w:val="left" w:pos="1276"/>
        </w:tabs>
        <w:topLinePunct/>
        <w:adjustRightInd/>
        <w:ind w:rightChars="-29" w:right="-58"/>
        <w:jc w:val="both"/>
        <w:rPr>
          <w:rFonts w:eastAsia="華康楷書體W5"/>
          <w:sz w:val="24"/>
          <w:szCs w:val="24"/>
        </w:rPr>
      </w:pPr>
      <w:r w:rsidRPr="00283879">
        <w:rPr>
          <w:rFonts w:eastAsia="華康楷書體W5"/>
          <w:sz w:val="24"/>
          <w:szCs w:val="24"/>
        </w:rPr>
        <w:t xml:space="preserve">Panel: </w:t>
      </w:r>
      <w:r w:rsidRPr="00283879">
        <w:rPr>
          <w:rFonts w:eastAsia="華康楷書體W5"/>
          <w:sz w:val="24"/>
          <w:szCs w:val="24"/>
          <w:lang w:eastAsia="zh-HK"/>
        </w:rPr>
        <w:t>Clark Douglas Stephen (</w:t>
      </w:r>
      <w:r w:rsidRPr="00283879">
        <w:rPr>
          <w:rFonts w:eastAsia="華康楷書體W5"/>
          <w:sz w:val="24"/>
          <w:szCs w:val="24"/>
        </w:rPr>
        <w:t>chair</w:t>
      </w:r>
      <w:r w:rsidRPr="00283879">
        <w:rPr>
          <w:rFonts w:eastAsia="華康楷書體W5"/>
          <w:sz w:val="24"/>
          <w:szCs w:val="24"/>
          <w:lang w:eastAsia="zh-HK"/>
        </w:rPr>
        <w:t>man), Fok Bryan and Law Man Chung SC.</w:t>
      </w:r>
    </w:p>
    <w:p w14:paraId="36A3B5F4" w14:textId="77777777" w:rsidR="00532DEA" w:rsidRPr="00283879" w:rsidRDefault="00532DEA" w:rsidP="00337A09">
      <w:pPr>
        <w:widowControl w:val="0"/>
        <w:tabs>
          <w:tab w:val="left" w:pos="840"/>
          <w:tab w:val="left" w:pos="1276"/>
        </w:tabs>
        <w:topLinePunct/>
        <w:adjustRightInd/>
        <w:ind w:rightChars="-29" w:right="-58"/>
        <w:jc w:val="both"/>
        <w:rPr>
          <w:rFonts w:eastAsia="華康楷書體W5"/>
          <w:sz w:val="24"/>
          <w:szCs w:val="24"/>
        </w:rPr>
      </w:pPr>
    </w:p>
    <w:p w14:paraId="41881719" w14:textId="0CED20B5" w:rsidR="00532DEA" w:rsidRPr="00283879" w:rsidRDefault="00532DEA" w:rsidP="00337A09">
      <w:pPr>
        <w:widowControl w:val="0"/>
        <w:tabs>
          <w:tab w:val="left" w:pos="840"/>
          <w:tab w:val="left" w:pos="1276"/>
        </w:tabs>
        <w:topLinePunct/>
        <w:adjustRightInd/>
        <w:ind w:rightChars="-29" w:right="-58"/>
        <w:jc w:val="both"/>
        <w:rPr>
          <w:rFonts w:eastAsia="華康楷書體W5"/>
          <w:sz w:val="24"/>
          <w:szCs w:val="24"/>
        </w:rPr>
      </w:pPr>
      <w:r w:rsidRPr="00283879">
        <w:rPr>
          <w:rFonts w:eastAsia="華康楷書體W5"/>
          <w:sz w:val="24"/>
          <w:szCs w:val="24"/>
        </w:rPr>
        <w:t>Date of hearing: 23 April 2024.</w:t>
      </w:r>
    </w:p>
    <w:p w14:paraId="1CEB0289" w14:textId="77777777" w:rsidR="00532DEA" w:rsidRPr="00283879" w:rsidRDefault="00532DEA" w:rsidP="00337A09">
      <w:pPr>
        <w:widowControl w:val="0"/>
        <w:tabs>
          <w:tab w:val="left" w:pos="840"/>
          <w:tab w:val="left" w:pos="1276"/>
        </w:tabs>
        <w:topLinePunct/>
        <w:adjustRightInd/>
        <w:ind w:rightChars="-29" w:right="-58"/>
        <w:jc w:val="both"/>
        <w:rPr>
          <w:rFonts w:eastAsia="華康楷書體W5"/>
          <w:sz w:val="24"/>
          <w:szCs w:val="24"/>
        </w:rPr>
      </w:pPr>
      <w:r w:rsidRPr="00283879">
        <w:rPr>
          <w:rFonts w:eastAsia="華康楷書體W5"/>
          <w:sz w:val="24"/>
          <w:szCs w:val="24"/>
        </w:rPr>
        <w:t>Date of decision: 23 September 2024.</w:t>
      </w:r>
    </w:p>
    <w:p w14:paraId="7ECCFD2F" w14:textId="77777777" w:rsidR="00532DEA" w:rsidRPr="00283879" w:rsidRDefault="00532DEA" w:rsidP="00337A09">
      <w:pPr>
        <w:widowControl w:val="0"/>
        <w:tabs>
          <w:tab w:val="left" w:pos="840"/>
          <w:tab w:val="left" w:pos="1276"/>
        </w:tabs>
        <w:topLinePunct/>
        <w:adjustRightInd/>
        <w:ind w:rightChars="-29" w:right="-58"/>
        <w:jc w:val="both"/>
        <w:rPr>
          <w:rFonts w:eastAsia="華康楷書體W5"/>
          <w:sz w:val="24"/>
          <w:szCs w:val="24"/>
          <w:lang w:eastAsia="zh-HK"/>
        </w:rPr>
      </w:pPr>
    </w:p>
    <w:p w14:paraId="367565D2" w14:textId="77777777" w:rsidR="00E038DD" w:rsidRPr="00283879" w:rsidRDefault="00E038DD" w:rsidP="00337A09">
      <w:pPr>
        <w:widowControl w:val="0"/>
        <w:tabs>
          <w:tab w:val="left" w:pos="840"/>
          <w:tab w:val="left" w:pos="1276"/>
        </w:tabs>
        <w:topLinePunct/>
        <w:adjustRightInd/>
        <w:ind w:rightChars="-29" w:right="-58"/>
        <w:jc w:val="both"/>
        <w:rPr>
          <w:rFonts w:eastAsia="華康楷書體W5"/>
          <w:sz w:val="24"/>
          <w:szCs w:val="24"/>
          <w:lang w:eastAsia="zh-HK"/>
        </w:rPr>
      </w:pPr>
    </w:p>
    <w:p w14:paraId="448CEA5E" w14:textId="174AA1D3" w:rsidR="002B017B" w:rsidRPr="00283879" w:rsidRDefault="00134F17" w:rsidP="00337A09">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r>
      <w:r w:rsidR="00370A8D" w:rsidRPr="00283879">
        <w:rPr>
          <w:rFonts w:eastAsia="華康楷書體W5"/>
          <w:bCs/>
          <w:sz w:val="24"/>
          <w:szCs w:val="24"/>
          <w:lang w:val="en-US" w:eastAsia="zh-HK"/>
        </w:rPr>
        <w:t xml:space="preserve">The Appellant was </w:t>
      </w:r>
      <w:r w:rsidR="00492420" w:rsidRPr="00283879">
        <w:rPr>
          <w:rFonts w:eastAsia="華康楷書體W5"/>
          <w:bCs/>
          <w:sz w:val="24"/>
          <w:szCs w:val="24"/>
          <w:lang w:val="en-US" w:eastAsia="zh-HK"/>
        </w:rPr>
        <w:t xml:space="preserve">first </w:t>
      </w:r>
      <w:r w:rsidR="00370A8D" w:rsidRPr="00283879">
        <w:rPr>
          <w:rFonts w:eastAsia="華康楷書體W5"/>
          <w:bCs/>
          <w:sz w:val="24"/>
          <w:szCs w:val="24"/>
          <w:lang w:val="en-US" w:eastAsia="zh-HK"/>
        </w:rPr>
        <w:t>employed by Company A</w:t>
      </w:r>
      <w:r w:rsidR="00BA0E8A" w:rsidRPr="00283879">
        <w:rPr>
          <w:rFonts w:eastAsia="華康楷書體W5"/>
          <w:bCs/>
          <w:sz w:val="24"/>
          <w:szCs w:val="24"/>
          <w:lang w:val="en-US" w:eastAsia="zh-HK"/>
        </w:rPr>
        <w:t xml:space="preserve"> as Position B</w:t>
      </w:r>
      <w:r w:rsidR="00492420" w:rsidRPr="00283879">
        <w:rPr>
          <w:rFonts w:eastAsia="華康楷書體W5"/>
          <w:bCs/>
          <w:sz w:val="24"/>
          <w:szCs w:val="24"/>
          <w:lang w:val="en-US" w:eastAsia="zh-HK"/>
        </w:rPr>
        <w:t xml:space="preserve"> under the Company A Contract</w:t>
      </w:r>
      <w:r w:rsidR="00BA0E8A" w:rsidRPr="00283879">
        <w:rPr>
          <w:rFonts w:eastAsia="華康楷書體W5"/>
          <w:bCs/>
          <w:sz w:val="24"/>
          <w:szCs w:val="24"/>
          <w:lang w:val="en-US" w:eastAsia="zh-HK"/>
        </w:rPr>
        <w:t xml:space="preserve"> in September 2015</w:t>
      </w:r>
      <w:r w:rsidR="00370A8D" w:rsidRPr="00283879">
        <w:rPr>
          <w:rFonts w:eastAsia="華康楷書體W5"/>
          <w:bCs/>
          <w:sz w:val="24"/>
          <w:szCs w:val="24"/>
          <w:lang w:val="en-US" w:eastAsia="zh-HK"/>
        </w:rPr>
        <w:t>.</w:t>
      </w:r>
      <w:r w:rsidR="00492420" w:rsidRPr="00283879">
        <w:rPr>
          <w:rFonts w:eastAsia="華康楷書體W5"/>
          <w:bCs/>
          <w:sz w:val="24"/>
          <w:szCs w:val="24"/>
          <w:lang w:val="en-US" w:eastAsia="zh-HK"/>
        </w:rPr>
        <w:t xml:space="preserve"> </w:t>
      </w:r>
      <w:r w:rsidR="00BA0E8A" w:rsidRPr="00283879">
        <w:rPr>
          <w:rFonts w:eastAsia="華康楷書體W5"/>
          <w:bCs/>
          <w:sz w:val="24"/>
          <w:szCs w:val="24"/>
          <w:lang w:val="en-US" w:eastAsia="zh-HK"/>
        </w:rPr>
        <w:t>Shortly after the Company A Contract was executed, by way of the Company H Contract, t</w:t>
      </w:r>
      <w:r w:rsidR="00492420" w:rsidRPr="00283879">
        <w:rPr>
          <w:rFonts w:eastAsia="華康楷書體W5"/>
          <w:bCs/>
          <w:sz w:val="24"/>
          <w:szCs w:val="24"/>
          <w:lang w:val="en-US" w:eastAsia="zh-HK"/>
        </w:rPr>
        <w:t>he Appellant was assigned by Company A to Company H in Hong Kong</w:t>
      </w:r>
      <w:r w:rsidR="00BA0E8A" w:rsidRPr="00283879">
        <w:rPr>
          <w:rFonts w:eastAsia="華康楷書體W5"/>
          <w:bCs/>
          <w:sz w:val="24"/>
          <w:szCs w:val="24"/>
          <w:lang w:val="en-US" w:eastAsia="zh-HK"/>
        </w:rPr>
        <w:t xml:space="preserve"> as Position J</w:t>
      </w:r>
      <w:r w:rsidR="00492420" w:rsidRPr="00283879">
        <w:rPr>
          <w:rFonts w:eastAsia="華康楷書體W5"/>
          <w:bCs/>
          <w:sz w:val="24"/>
          <w:szCs w:val="24"/>
          <w:lang w:val="en-US" w:eastAsia="zh-HK"/>
        </w:rPr>
        <w:t xml:space="preserve">. </w:t>
      </w:r>
      <w:r w:rsidR="00AD6F71" w:rsidRPr="00283879">
        <w:rPr>
          <w:rFonts w:eastAsia="華康楷書體W5"/>
          <w:bCs/>
          <w:sz w:val="24"/>
          <w:szCs w:val="24"/>
          <w:lang w:val="en-US" w:eastAsia="zh-HK"/>
        </w:rPr>
        <w:t xml:space="preserve"> </w:t>
      </w:r>
      <w:r w:rsidR="007A2C36" w:rsidRPr="00283879">
        <w:rPr>
          <w:rFonts w:eastAsia="華康楷書體W5"/>
          <w:bCs/>
          <w:sz w:val="24"/>
          <w:szCs w:val="24"/>
          <w:lang w:val="en-US" w:eastAsia="zh-HK"/>
        </w:rPr>
        <w:t xml:space="preserve">The Company H Contract provided that, except for the stipulations regarding the right to terminate the contract, the mutual rights and obligations under the Company A Contract would be suspended. </w:t>
      </w:r>
      <w:r w:rsidR="00AD6F71" w:rsidRPr="00283879">
        <w:rPr>
          <w:rFonts w:eastAsia="華康楷書體W5"/>
          <w:bCs/>
          <w:sz w:val="24"/>
          <w:szCs w:val="24"/>
          <w:lang w:val="en-US" w:eastAsia="zh-HK"/>
        </w:rPr>
        <w:t xml:space="preserve"> </w:t>
      </w:r>
      <w:r w:rsidR="007A2C36" w:rsidRPr="00283879">
        <w:rPr>
          <w:rFonts w:eastAsia="華康楷書體W5"/>
          <w:bCs/>
          <w:sz w:val="24"/>
          <w:szCs w:val="24"/>
          <w:lang w:val="en-US" w:eastAsia="zh-HK"/>
        </w:rPr>
        <w:t xml:space="preserve">The Company H Contract was effective for a period of two years, </w:t>
      </w:r>
      <w:r w:rsidR="00D552AB" w:rsidRPr="00283879">
        <w:rPr>
          <w:rFonts w:eastAsia="華康楷書體W5"/>
          <w:bCs/>
          <w:sz w:val="24"/>
          <w:szCs w:val="24"/>
          <w:lang w:val="en-US" w:eastAsia="zh-HK"/>
        </w:rPr>
        <w:t>up to October 2017</w:t>
      </w:r>
      <w:r w:rsidR="007A2C36" w:rsidRPr="00283879">
        <w:rPr>
          <w:rFonts w:eastAsia="華康楷書體W5"/>
          <w:bCs/>
          <w:sz w:val="24"/>
          <w:szCs w:val="24"/>
          <w:lang w:val="en-US" w:eastAsia="zh-HK"/>
        </w:rPr>
        <w:t xml:space="preserve">. </w:t>
      </w:r>
      <w:r w:rsidR="00AD6F71" w:rsidRPr="00283879">
        <w:rPr>
          <w:rFonts w:eastAsia="華康楷書體W5"/>
          <w:bCs/>
          <w:sz w:val="24"/>
          <w:szCs w:val="24"/>
          <w:lang w:val="en-US" w:eastAsia="zh-HK"/>
        </w:rPr>
        <w:t xml:space="preserve"> </w:t>
      </w:r>
      <w:r w:rsidR="00C82BBE" w:rsidRPr="00283879">
        <w:rPr>
          <w:rFonts w:eastAsia="華康楷書體W5"/>
          <w:bCs/>
          <w:sz w:val="24"/>
          <w:szCs w:val="24"/>
          <w:lang w:val="en-US" w:eastAsia="zh-HK"/>
        </w:rPr>
        <w:t>Under</w:t>
      </w:r>
      <w:r w:rsidR="007A2C36" w:rsidRPr="00283879">
        <w:rPr>
          <w:rFonts w:eastAsia="華康楷書體W5"/>
          <w:bCs/>
          <w:sz w:val="24"/>
          <w:szCs w:val="24"/>
          <w:lang w:val="en-US" w:eastAsia="zh-HK"/>
        </w:rPr>
        <w:t xml:space="preserve"> both Company A and Company H Contracts, the Appellant was paid a basic salary and discretionary bonus. </w:t>
      </w:r>
      <w:r w:rsidR="00AD6F71" w:rsidRPr="00283879">
        <w:rPr>
          <w:rFonts w:eastAsia="華康楷書體W5"/>
          <w:bCs/>
          <w:sz w:val="24"/>
          <w:szCs w:val="24"/>
          <w:lang w:val="en-US" w:eastAsia="zh-HK"/>
        </w:rPr>
        <w:t xml:space="preserve"> </w:t>
      </w:r>
    </w:p>
    <w:p w14:paraId="79E08CA7" w14:textId="77777777" w:rsidR="002B017B" w:rsidRPr="00283879" w:rsidRDefault="002B017B" w:rsidP="00337A09">
      <w:pPr>
        <w:widowControl w:val="0"/>
        <w:tabs>
          <w:tab w:val="left" w:pos="1276"/>
        </w:tabs>
        <w:topLinePunct/>
        <w:adjustRightInd/>
        <w:ind w:rightChars="-29" w:right="-58"/>
        <w:jc w:val="both"/>
        <w:rPr>
          <w:rFonts w:eastAsia="華康楷書體W5"/>
          <w:bCs/>
          <w:sz w:val="24"/>
          <w:szCs w:val="24"/>
          <w:lang w:val="en-US" w:eastAsia="zh-HK"/>
        </w:rPr>
      </w:pPr>
    </w:p>
    <w:p w14:paraId="79AA1753" w14:textId="7AA7178E" w:rsidR="00AD6F71" w:rsidRPr="00283879" w:rsidRDefault="002B017B" w:rsidP="00337A09">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r>
      <w:r w:rsidR="00AD6F71" w:rsidRPr="00283879">
        <w:rPr>
          <w:rFonts w:eastAsia="華康楷書體W5"/>
          <w:bCs/>
          <w:sz w:val="24"/>
          <w:szCs w:val="24"/>
          <w:lang w:val="en-US" w:eastAsia="zh-HK"/>
        </w:rPr>
        <w:t>In April 2016, Company issued a letter informing the Appellant that he was entitled to participate in Company A’s long term incentive program</w:t>
      </w:r>
      <w:r w:rsidRPr="00283879">
        <w:rPr>
          <w:rFonts w:eastAsia="華康楷書體W5"/>
          <w:bCs/>
          <w:sz w:val="24"/>
          <w:szCs w:val="24"/>
          <w:lang w:val="en-US" w:eastAsia="zh-HK"/>
        </w:rPr>
        <w:t xml:space="preserve"> (‘LTI’)</w:t>
      </w:r>
      <w:r w:rsidR="00AD6F71" w:rsidRPr="00283879">
        <w:rPr>
          <w:rFonts w:eastAsia="華康楷書體W5"/>
          <w:bCs/>
          <w:sz w:val="24"/>
          <w:szCs w:val="24"/>
          <w:lang w:val="en-US" w:eastAsia="zh-HK"/>
        </w:rPr>
        <w:t xml:space="preserve">, which was separate from the bonus incentive under the Company A and Company H Contracts. </w:t>
      </w:r>
    </w:p>
    <w:p w14:paraId="572514EA" w14:textId="77777777" w:rsidR="00AD6F71" w:rsidRPr="00283879" w:rsidRDefault="00AD6F71" w:rsidP="00337A09">
      <w:pPr>
        <w:widowControl w:val="0"/>
        <w:tabs>
          <w:tab w:val="left" w:pos="1276"/>
        </w:tabs>
        <w:topLinePunct/>
        <w:adjustRightInd/>
        <w:ind w:rightChars="-29" w:right="-58"/>
        <w:jc w:val="both"/>
        <w:rPr>
          <w:rFonts w:eastAsia="華康楷書體W5"/>
          <w:bCs/>
          <w:sz w:val="24"/>
          <w:szCs w:val="24"/>
          <w:lang w:val="en-US" w:eastAsia="zh-HK"/>
        </w:rPr>
      </w:pPr>
    </w:p>
    <w:p w14:paraId="0A42F35F" w14:textId="708F99F4" w:rsidR="00AD6F71" w:rsidRPr="00283879" w:rsidRDefault="00134F17" w:rsidP="00337A09">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r>
      <w:r w:rsidR="00AD6F71" w:rsidRPr="00283879">
        <w:rPr>
          <w:rFonts w:eastAsia="華康楷書體W5"/>
          <w:bCs/>
          <w:sz w:val="24"/>
          <w:szCs w:val="24"/>
          <w:lang w:val="en-US" w:eastAsia="zh-HK"/>
        </w:rPr>
        <w:t xml:space="preserve">The Company H Contract was extended for an extra month and terminated in November 2017.  The Appellant left Hong Kong immediately, whilst the Company A Contract remained extant.  </w:t>
      </w:r>
    </w:p>
    <w:p w14:paraId="26246B15" w14:textId="77777777" w:rsidR="00AD6F71" w:rsidRPr="00283879" w:rsidRDefault="00AD6F71" w:rsidP="00337A09">
      <w:pPr>
        <w:widowControl w:val="0"/>
        <w:tabs>
          <w:tab w:val="left" w:pos="1276"/>
        </w:tabs>
        <w:topLinePunct/>
        <w:adjustRightInd/>
        <w:ind w:rightChars="-29" w:right="-58"/>
        <w:jc w:val="both"/>
        <w:rPr>
          <w:rFonts w:eastAsia="華康楷書體W5"/>
          <w:bCs/>
          <w:sz w:val="24"/>
          <w:szCs w:val="24"/>
          <w:lang w:val="en-US" w:eastAsia="zh-HK"/>
        </w:rPr>
      </w:pPr>
    </w:p>
    <w:p w14:paraId="2814BF8E" w14:textId="1B26FB0A" w:rsidR="00BE2E1C" w:rsidRPr="00283879" w:rsidRDefault="00134F17" w:rsidP="00337A09">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r>
      <w:r w:rsidR="00AD6F71" w:rsidRPr="00283879">
        <w:rPr>
          <w:rFonts w:eastAsia="華康楷書體W5"/>
          <w:bCs/>
          <w:sz w:val="24"/>
          <w:szCs w:val="24"/>
          <w:lang w:val="en-US" w:eastAsia="zh-HK"/>
        </w:rPr>
        <w:t xml:space="preserve">The Company A Contract was terminated by agreement with effect from 31 December 2018. </w:t>
      </w:r>
      <w:r w:rsidR="00B54874" w:rsidRPr="00283879">
        <w:rPr>
          <w:rFonts w:eastAsia="華康楷書體W5"/>
          <w:bCs/>
          <w:sz w:val="24"/>
          <w:szCs w:val="24"/>
          <w:lang w:val="en-US" w:eastAsia="zh-HK"/>
        </w:rPr>
        <w:t xml:space="preserve"> </w:t>
      </w:r>
      <w:r w:rsidR="00AD6F71" w:rsidRPr="00283879">
        <w:rPr>
          <w:rFonts w:eastAsia="華康楷書體W5"/>
          <w:bCs/>
          <w:sz w:val="24"/>
          <w:szCs w:val="24"/>
          <w:lang w:val="en-US" w:eastAsia="zh-HK"/>
        </w:rPr>
        <w:t xml:space="preserve">The termination agreement stipulated that the Appellant was entitled to the payment under the </w:t>
      </w:r>
      <w:r w:rsidR="002B017B" w:rsidRPr="00283879">
        <w:rPr>
          <w:rFonts w:eastAsia="華康楷書體W5"/>
          <w:bCs/>
          <w:sz w:val="24"/>
          <w:szCs w:val="24"/>
          <w:lang w:val="en-US" w:eastAsia="zh-HK"/>
        </w:rPr>
        <w:t>LTI</w:t>
      </w:r>
      <w:r w:rsidR="00AD6F71" w:rsidRPr="00283879">
        <w:rPr>
          <w:rFonts w:eastAsia="華康楷書體W5"/>
          <w:bCs/>
          <w:sz w:val="24"/>
          <w:szCs w:val="24"/>
          <w:lang w:val="en-US" w:eastAsia="zh-HK"/>
        </w:rPr>
        <w:t xml:space="preserve">. </w:t>
      </w:r>
      <w:r w:rsidR="00C42923" w:rsidRPr="00283879">
        <w:rPr>
          <w:rFonts w:eastAsia="華康楷書體W5"/>
          <w:bCs/>
          <w:sz w:val="24"/>
          <w:szCs w:val="24"/>
          <w:lang w:val="en-US" w:eastAsia="zh-HK"/>
        </w:rPr>
        <w:t xml:space="preserve">Accordingly, </w:t>
      </w:r>
      <w:r w:rsidR="00B54874" w:rsidRPr="00283879">
        <w:rPr>
          <w:rFonts w:eastAsia="華康楷書體W5"/>
          <w:bCs/>
          <w:sz w:val="24"/>
          <w:szCs w:val="24"/>
          <w:lang w:val="en-US" w:eastAsia="zh-HK"/>
        </w:rPr>
        <w:t xml:space="preserve">Company H made a payout of EUR 112,444.43 (equivalent to HK$976,902) to the Appellant. </w:t>
      </w:r>
      <w:r w:rsidR="00AD6F71" w:rsidRPr="00283879">
        <w:rPr>
          <w:rFonts w:eastAsia="華康楷書體W5"/>
          <w:bCs/>
          <w:sz w:val="24"/>
          <w:szCs w:val="24"/>
          <w:lang w:val="en-US" w:eastAsia="zh-HK"/>
        </w:rPr>
        <w:t xml:space="preserve"> </w:t>
      </w:r>
      <w:r w:rsidR="00B54874" w:rsidRPr="00283879">
        <w:rPr>
          <w:rFonts w:eastAsia="華康楷書體W5"/>
          <w:bCs/>
          <w:sz w:val="24"/>
          <w:szCs w:val="24"/>
          <w:lang w:val="en-US" w:eastAsia="zh-HK"/>
        </w:rPr>
        <w:t xml:space="preserve">For the 2017/18 year of assessment, the payout </w:t>
      </w:r>
      <w:r w:rsidR="002B017B" w:rsidRPr="00283879">
        <w:rPr>
          <w:rFonts w:eastAsia="華康楷書體W5"/>
          <w:bCs/>
          <w:sz w:val="24"/>
          <w:szCs w:val="24"/>
          <w:lang w:val="en-US" w:eastAsia="zh-HK"/>
        </w:rPr>
        <w:t xml:space="preserve">under the LTI </w:t>
      </w:r>
      <w:r w:rsidR="00B54874" w:rsidRPr="00283879">
        <w:rPr>
          <w:rFonts w:eastAsia="華康楷書體W5"/>
          <w:bCs/>
          <w:sz w:val="24"/>
          <w:szCs w:val="24"/>
          <w:lang w:val="en-US" w:eastAsia="zh-HK"/>
        </w:rPr>
        <w:t xml:space="preserve">was assessed for salaries tax.  </w:t>
      </w:r>
      <w:r w:rsidR="00BE2E1C" w:rsidRPr="00283879">
        <w:rPr>
          <w:rFonts w:eastAsia="華康楷書體W5"/>
          <w:bCs/>
          <w:sz w:val="24"/>
          <w:szCs w:val="24"/>
          <w:lang w:val="en-US" w:eastAsia="zh-HK"/>
        </w:rPr>
        <w:t xml:space="preserve">The Appellant objected to the assessment but the Commissioner confirmed the assessment by way of a Determination dated 1 November 2023.  The Appellant appealed. </w:t>
      </w:r>
    </w:p>
    <w:p w14:paraId="02C0D1CF" w14:textId="77777777" w:rsidR="00BE2E1C" w:rsidRPr="00283879" w:rsidRDefault="00BE2E1C" w:rsidP="00337A09">
      <w:pPr>
        <w:widowControl w:val="0"/>
        <w:tabs>
          <w:tab w:val="left" w:pos="1276"/>
        </w:tabs>
        <w:topLinePunct/>
        <w:adjustRightInd/>
        <w:ind w:rightChars="-29" w:right="-58"/>
        <w:jc w:val="both"/>
        <w:rPr>
          <w:rFonts w:eastAsia="華康楷書體W5"/>
          <w:bCs/>
          <w:sz w:val="24"/>
          <w:szCs w:val="24"/>
          <w:lang w:val="en-US" w:eastAsia="zh-HK"/>
        </w:rPr>
      </w:pPr>
    </w:p>
    <w:p w14:paraId="44D2FA02" w14:textId="56701867" w:rsidR="00134F17" w:rsidRPr="00283879" w:rsidRDefault="00134F17" w:rsidP="00337A09">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r>
      <w:r w:rsidR="00C42923" w:rsidRPr="00283879">
        <w:rPr>
          <w:rFonts w:eastAsia="華康楷書體W5"/>
          <w:bCs/>
          <w:sz w:val="24"/>
          <w:szCs w:val="24"/>
          <w:lang w:val="en-US" w:eastAsia="zh-HK"/>
        </w:rPr>
        <w:t>The principal ground</w:t>
      </w:r>
      <w:r w:rsidR="007221D5">
        <w:rPr>
          <w:rFonts w:eastAsia="華康楷書體W5"/>
          <w:bCs/>
          <w:sz w:val="24"/>
          <w:szCs w:val="24"/>
          <w:lang w:val="en-US" w:eastAsia="zh-HK"/>
        </w:rPr>
        <w:t>s</w:t>
      </w:r>
      <w:r w:rsidR="00C42923" w:rsidRPr="00283879">
        <w:rPr>
          <w:rFonts w:eastAsia="華康楷書體W5"/>
          <w:bCs/>
          <w:sz w:val="24"/>
          <w:szCs w:val="24"/>
          <w:lang w:val="en-US" w:eastAsia="zh-HK"/>
        </w:rPr>
        <w:t xml:space="preserve"> of appeal w</w:t>
      </w:r>
      <w:r w:rsidR="00283879">
        <w:rPr>
          <w:rFonts w:eastAsia="華康楷書體W5"/>
          <w:bCs/>
          <w:sz w:val="24"/>
          <w:szCs w:val="24"/>
          <w:lang w:val="en-US" w:eastAsia="zh-HK"/>
        </w:rPr>
        <w:t>ere</w:t>
      </w:r>
      <w:r w:rsidR="00C42923" w:rsidRPr="00283879">
        <w:rPr>
          <w:rFonts w:eastAsia="華康楷書體W5"/>
          <w:bCs/>
          <w:sz w:val="24"/>
          <w:szCs w:val="24"/>
          <w:lang w:val="en-US" w:eastAsia="zh-HK"/>
        </w:rPr>
        <w:t xml:space="preserve"> that the payout of HK$976,902 was an agreed termination payment under Company A Contract</w:t>
      </w:r>
      <w:r w:rsidR="00751716">
        <w:rPr>
          <w:rFonts w:eastAsia="華康楷書體W5" w:hint="eastAsia"/>
          <w:bCs/>
          <w:sz w:val="24"/>
          <w:szCs w:val="24"/>
          <w:lang w:val="en-US" w:eastAsia="zh-HK"/>
        </w:rPr>
        <w:t xml:space="preserve"> </w:t>
      </w:r>
      <w:r w:rsidR="008D6998">
        <w:rPr>
          <w:rFonts w:eastAsia="華康楷書體W5"/>
          <w:bCs/>
          <w:sz w:val="24"/>
          <w:szCs w:val="24"/>
          <w:lang w:val="en-US" w:eastAsia="zh-HK"/>
        </w:rPr>
        <w:t>an</w:t>
      </w:r>
      <w:r w:rsidR="00751716" w:rsidRPr="00283879">
        <w:rPr>
          <w:rFonts w:eastAsia="華康楷書體W5"/>
          <w:bCs/>
          <w:sz w:val="24"/>
          <w:szCs w:val="24"/>
          <w:lang w:val="en-US" w:eastAsia="zh-HK"/>
        </w:rPr>
        <w:t>d</w:t>
      </w:r>
      <w:r w:rsidR="00C42923" w:rsidRPr="00283879">
        <w:rPr>
          <w:rFonts w:eastAsia="華康楷書體W5"/>
          <w:bCs/>
          <w:sz w:val="24"/>
          <w:szCs w:val="24"/>
          <w:lang w:val="en-US" w:eastAsia="zh-HK"/>
        </w:rPr>
        <w:t xml:space="preserve"> that the negotiation of the termination agreement took place outside Hong Kong</w:t>
      </w:r>
      <w:r w:rsidR="00AF5193">
        <w:rPr>
          <w:rFonts w:eastAsia="華康楷書體W5"/>
          <w:bCs/>
          <w:sz w:val="24"/>
          <w:szCs w:val="24"/>
          <w:lang w:val="en-US" w:eastAsia="zh-HK"/>
        </w:rPr>
        <w:t xml:space="preserve"> and the payment was made well after the Appellant had left Hong Kong</w:t>
      </w:r>
      <w:r w:rsidR="00C42923" w:rsidRPr="00283879">
        <w:rPr>
          <w:rFonts w:eastAsia="華康楷書體W5"/>
          <w:bCs/>
          <w:sz w:val="24"/>
          <w:szCs w:val="24"/>
          <w:lang w:val="en-US" w:eastAsia="zh-HK"/>
        </w:rPr>
        <w:t xml:space="preserve">, and hence it had no </w:t>
      </w:r>
      <w:proofErr w:type="spellStart"/>
      <w:r w:rsidR="00C42923" w:rsidRPr="00283879">
        <w:rPr>
          <w:rFonts w:eastAsia="華康楷書體W5"/>
          <w:bCs/>
          <w:sz w:val="24"/>
          <w:szCs w:val="24"/>
          <w:lang w:val="en-US" w:eastAsia="zh-HK"/>
        </w:rPr>
        <w:t>connex</w:t>
      </w:r>
      <w:proofErr w:type="spellEnd"/>
      <w:r w:rsidR="00C42923" w:rsidRPr="00283879">
        <w:rPr>
          <w:rFonts w:eastAsia="華康楷書體W5"/>
          <w:bCs/>
          <w:sz w:val="24"/>
          <w:szCs w:val="24"/>
          <w:lang w:val="en-US" w:eastAsia="zh-HK"/>
        </w:rPr>
        <w:t xml:space="preserve"> to Hong Kong. </w:t>
      </w:r>
    </w:p>
    <w:p w14:paraId="7CEF22C5" w14:textId="77777777" w:rsidR="007841B7" w:rsidRPr="00283879" w:rsidRDefault="007841B7" w:rsidP="00337A09">
      <w:pPr>
        <w:widowControl w:val="0"/>
        <w:tabs>
          <w:tab w:val="left" w:pos="1276"/>
        </w:tabs>
        <w:topLinePunct/>
        <w:adjustRightInd/>
        <w:ind w:rightChars="-29" w:right="-58"/>
        <w:jc w:val="both"/>
        <w:rPr>
          <w:rFonts w:eastAsia="華康楷書體W5"/>
          <w:bCs/>
          <w:sz w:val="24"/>
          <w:szCs w:val="24"/>
          <w:lang w:val="en-US" w:eastAsia="zh-HK"/>
        </w:rPr>
      </w:pPr>
    </w:p>
    <w:p w14:paraId="47B4B3B4" w14:textId="3D4FA1CE" w:rsidR="007841B7" w:rsidRPr="00283879" w:rsidRDefault="007841B7" w:rsidP="00337A09">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t xml:space="preserve">The subject matter of this appeal concerns whether the </w:t>
      </w:r>
      <w:r w:rsidR="00303166" w:rsidRPr="00283879">
        <w:rPr>
          <w:rFonts w:eastAsia="華康楷書體W5"/>
          <w:bCs/>
          <w:sz w:val="24"/>
          <w:szCs w:val="24"/>
          <w:lang w:val="en-US" w:eastAsia="zh-HK"/>
        </w:rPr>
        <w:t>termination payment</w:t>
      </w:r>
      <w:r w:rsidRPr="00283879">
        <w:rPr>
          <w:rFonts w:eastAsia="華康楷書體W5"/>
          <w:bCs/>
          <w:sz w:val="24"/>
          <w:szCs w:val="24"/>
          <w:lang w:val="en-US" w:eastAsia="zh-HK"/>
        </w:rPr>
        <w:t xml:space="preserve"> is </w:t>
      </w:r>
      <w:r w:rsidRPr="00283879">
        <w:rPr>
          <w:rFonts w:eastAsia="華康楷書體W5"/>
          <w:bCs/>
          <w:sz w:val="24"/>
          <w:szCs w:val="24"/>
          <w:lang w:val="en-US" w:eastAsia="zh-HK"/>
        </w:rPr>
        <w:lastRenderedPageBreak/>
        <w:t xml:space="preserve">taxable under section 8 of the Inland Revenue Ordinance (‘IRO’). </w:t>
      </w:r>
    </w:p>
    <w:p w14:paraId="630AE178" w14:textId="77777777" w:rsidR="00134F17" w:rsidRPr="00283879" w:rsidRDefault="00134F17" w:rsidP="00337A09">
      <w:pPr>
        <w:widowControl w:val="0"/>
        <w:tabs>
          <w:tab w:val="left" w:pos="1276"/>
        </w:tabs>
        <w:topLinePunct/>
        <w:adjustRightInd/>
        <w:ind w:rightChars="-29" w:right="-58"/>
        <w:jc w:val="both"/>
        <w:rPr>
          <w:rFonts w:eastAsia="華康楷書體W5"/>
          <w:bCs/>
          <w:sz w:val="24"/>
          <w:szCs w:val="24"/>
          <w:lang w:val="en-US" w:eastAsia="zh-HK"/>
        </w:rPr>
      </w:pPr>
    </w:p>
    <w:p w14:paraId="1919F5DA" w14:textId="5FEA7011" w:rsidR="00532DEA" w:rsidRPr="00283879" w:rsidRDefault="00134F17" w:rsidP="00337A09">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r>
      <w:r w:rsidR="00C42923" w:rsidRPr="00283879">
        <w:rPr>
          <w:rFonts w:eastAsia="華康楷書體W5"/>
          <w:bCs/>
          <w:sz w:val="24"/>
          <w:szCs w:val="24"/>
          <w:lang w:val="en-US" w:eastAsia="zh-HK"/>
        </w:rPr>
        <w:t xml:space="preserve">After the appeal being heard by the Board on 23 April 2024, the Appellant attempted to </w:t>
      </w:r>
      <w:r w:rsidRPr="00283879">
        <w:rPr>
          <w:rFonts w:eastAsia="華康楷書體W5"/>
          <w:bCs/>
          <w:sz w:val="24"/>
          <w:szCs w:val="24"/>
          <w:lang w:val="en-US" w:eastAsia="zh-HK"/>
        </w:rPr>
        <w:t xml:space="preserve">submit new evidence and raise two new grounds of </w:t>
      </w:r>
      <w:proofErr w:type="gramStart"/>
      <w:r w:rsidRPr="00283879">
        <w:rPr>
          <w:rFonts w:eastAsia="華康楷書體W5"/>
          <w:bCs/>
          <w:sz w:val="24"/>
          <w:szCs w:val="24"/>
          <w:lang w:val="en-US" w:eastAsia="zh-HK"/>
        </w:rPr>
        <w:t>Appeal</w:t>
      </w:r>
      <w:proofErr w:type="gramEnd"/>
      <w:r w:rsidRPr="00283879">
        <w:rPr>
          <w:rFonts w:eastAsia="華康楷書體W5"/>
          <w:bCs/>
          <w:sz w:val="24"/>
          <w:szCs w:val="24"/>
          <w:lang w:val="en-US" w:eastAsia="zh-HK"/>
        </w:rPr>
        <w:t xml:space="preserve">. </w:t>
      </w:r>
      <w:r w:rsidR="00370A8D" w:rsidRPr="00283879">
        <w:rPr>
          <w:rFonts w:eastAsia="華康楷書體W5"/>
          <w:bCs/>
          <w:sz w:val="24"/>
          <w:szCs w:val="24"/>
          <w:lang w:val="en-US" w:eastAsia="zh-HK"/>
        </w:rPr>
        <w:t xml:space="preserve"> </w:t>
      </w:r>
    </w:p>
    <w:p w14:paraId="0201D2F0" w14:textId="77777777" w:rsidR="00134F17" w:rsidRPr="00283879" w:rsidRDefault="00134F17" w:rsidP="00337A09">
      <w:pPr>
        <w:widowControl w:val="0"/>
        <w:tabs>
          <w:tab w:val="left" w:pos="1276"/>
        </w:tabs>
        <w:topLinePunct/>
        <w:adjustRightInd/>
        <w:ind w:rightChars="-29" w:right="-58"/>
        <w:jc w:val="both"/>
        <w:rPr>
          <w:rFonts w:eastAsia="華康楷書體W5"/>
          <w:bCs/>
          <w:sz w:val="24"/>
          <w:szCs w:val="24"/>
          <w:lang w:val="en-US" w:eastAsia="zh-HK"/>
        </w:rPr>
      </w:pPr>
    </w:p>
    <w:p w14:paraId="012C26DD" w14:textId="77777777" w:rsidR="00C41073" w:rsidRPr="00283879" w:rsidRDefault="00C41073" w:rsidP="00337A09">
      <w:pPr>
        <w:widowControl w:val="0"/>
        <w:tabs>
          <w:tab w:val="left" w:pos="1276"/>
        </w:tabs>
        <w:topLinePunct/>
        <w:adjustRightInd/>
        <w:ind w:rightChars="-29" w:right="-58"/>
        <w:jc w:val="both"/>
        <w:rPr>
          <w:rFonts w:eastAsia="華康楷書體W5"/>
          <w:bCs/>
          <w:sz w:val="24"/>
          <w:szCs w:val="24"/>
          <w:lang w:val="en-US" w:eastAsia="zh-HK"/>
        </w:rPr>
      </w:pPr>
    </w:p>
    <w:p w14:paraId="5AB34E67" w14:textId="57410354" w:rsidR="00134F17" w:rsidRPr="00283879" w:rsidRDefault="00134F17" w:rsidP="00337A09">
      <w:pPr>
        <w:widowControl w:val="0"/>
        <w:tabs>
          <w:tab w:val="left" w:pos="1276"/>
        </w:tabs>
        <w:topLinePunct/>
        <w:adjustRightInd/>
        <w:ind w:rightChars="-29" w:right="-58"/>
        <w:jc w:val="both"/>
        <w:rPr>
          <w:rFonts w:eastAsia="華康楷書體W5"/>
          <w:b/>
          <w:sz w:val="24"/>
          <w:szCs w:val="24"/>
          <w:lang w:val="en-US" w:eastAsia="zh-HK"/>
        </w:rPr>
      </w:pPr>
      <w:r w:rsidRPr="00283879">
        <w:rPr>
          <w:rFonts w:eastAsia="華康楷書體W5"/>
          <w:bCs/>
          <w:sz w:val="24"/>
          <w:szCs w:val="24"/>
          <w:lang w:val="en-US" w:eastAsia="zh-HK"/>
        </w:rPr>
        <w:tab/>
      </w:r>
      <w:r w:rsidRPr="00283879">
        <w:rPr>
          <w:rFonts w:eastAsia="華康楷書體W5"/>
          <w:b/>
          <w:sz w:val="24"/>
          <w:szCs w:val="24"/>
          <w:lang w:val="en-US" w:eastAsia="zh-HK"/>
        </w:rPr>
        <w:t xml:space="preserve">Held: </w:t>
      </w:r>
    </w:p>
    <w:p w14:paraId="6FBAC7E0" w14:textId="3817A266" w:rsidR="002B017B" w:rsidRPr="00283879" w:rsidRDefault="00134F17" w:rsidP="00334F4E">
      <w:pPr>
        <w:widowControl w:val="0"/>
        <w:tabs>
          <w:tab w:val="left" w:pos="1276"/>
        </w:tabs>
        <w:topLinePunct/>
        <w:adjustRightInd/>
        <w:ind w:rightChars="-29" w:right="-58"/>
        <w:jc w:val="both"/>
        <w:rPr>
          <w:rFonts w:eastAsia="華康楷書體W5"/>
          <w:bCs/>
          <w:sz w:val="24"/>
          <w:szCs w:val="24"/>
          <w:lang w:val="en-US" w:eastAsia="zh-HK"/>
        </w:rPr>
      </w:pPr>
      <w:r w:rsidRPr="00283879">
        <w:rPr>
          <w:rFonts w:eastAsia="華康楷書體W5"/>
          <w:bCs/>
          <w:sz w:val="24"/>
          <w:szCs w:val="24"/>
          <w:lang w:val="en-US" w:eastAsia="zh-HK"/>
        </w:rPr>
        <w:tab/>
      </w:r>
    </w:p>
    <w:p w14:paraId="3989A3B8" w14:textId="6E98436D" w:rsidR="00303166" w:rsidRPr="00283879" w:rsidRDefault="00303166">
      <w:pPr>
        <w:pStyle w:val="ac"/>
        <w:widowControl w:val="0"/>
        <w:numPr>
          <w:ilvl w:val="0"/>
          <w:numId w:val="18"/>
        </w:numPr>
        <w:tabs>
          <w:tab w:val="left" w:pos="1276"/>
        </w:tabs>
        <w:topLinePunct/>
        <w:adjustRightInd/>
        <w:ind w:leftChars="0" w:left="1843" w:rightChars="-29" w:right="-58" w:hanging="563"/>
        <w:jc w:val="both"/>
        <w:rPr>
          <w:rFonts w:eastAsia="華康楷書體W5"/>
          <w:bCs/>
          <w:sz w:val="24"/>
          <w:szCs w:val="24"/>
          <w:lang w:val="en-US" w:eastAsia="zh-HK"/>
        </w:rPr>
      </w:pPr>
      <w:r w:rsidRPr="00283879">
        <w:rPr>
          <w:rFonts w:eastAsia="華康楷書體W5"/>
          <w:bCs/>
          <w:sz w:val="24"/>
          <w:szCs w:val="24"/>
          <w:lang w:val="en-US" w:eastAsia="zh-HK"/>
        </w:rPr>
        <w:t>The Board applied t</w:t>
      </w:r>
      <w:r w:rsidR="007841B7" w:rsidRPr="00283879">
        <w:rPr>
          <w:rFonts w:eastAsia="華康楷書體W5"/>
          <w:bCs/>
          <w:sz w:val="24"/>
          <w:szCs w:val="24"/>
          <w:lang w:val="en-US" w:eastAsia="zh-HK"/>
        </w:rPr>
        <w:t xml:space="preserve">he principles </w:t>
      </w:r>
      <w:r w:rsidR="00BB14AA" w:rsidRPr="00283879">
        <w:rPr>
          <w:rFonts w:eastAsia="華康楷書體W5"/>
          <w:bCs/>
          <w:sz w:val="24"/>
          <w:szCs w:val="24"/>
          <w:lang w:val="en-US" w:eastAsia="zh-HK"/>
        </w:rPr>
        <w:t xml:space="preserve">set out </w:t>
      </w:r>
      <w:r w:rsidR="007841B7" w:rsidRPr="00283879">
        <w:rPr>
          <w:rFonts w:eastAsia="華康楷書體W5"/>
          <w:bCs/>
          <w:sz w:val="24"/>
          <w:szCs w:val="24"/>
          <w:lang w:val="en-US" w:eastAsia="zh-HK"/>
        </w:rPr>
        <w:t xml:space="preserve">in </w:t>
      </w:r>
      <w:r w:rsidR="00C73712" w:rsidRPr="00283879">
        <w:rPr>
          <w:rFonts w:eastAsia="華康楷書體W5"/>
          <w:bCs/>
          <w:sz w:val="24"/>
          <w:szCs w:val="24"/>
          <w:u w:val="single"/>
          <w:lang w:val="en-US" w:eastAsia="zh-HK"/>
        </w:rPr>
        <w:t>Fuchs v Commissioner of Inland Revenue</w:t>
      </w:r>
      <w:r w:rsidR="007841B7" w:rsidRPr="00283879">
        <w:rPr>
          <w:rFonts w:eastAsia="華康楷書體W5"/>
          <w:bCs/>
          <w:sz w:val="24"/>
          <w:szCs w:val="24"/>
          <w:lang w:val="en-US" w:eastAsia="zh-HK"/>
        </w:rPr>
        <w:t xml:space="preserve"> (2011) 14 HKCFAR 74 and </w:t>
      </w:r>
      <w:r w:rsidR="00135011" w:rsidRPr="00283879">
        <w:rPr>
          <w:rFonts w:eastAsia="華康楷書體W5"/>
          <w:bCs/>
          <w:sz w:val="24"/>
          <w:szCs w:val="24"/>
          <w:u w:val="single"/>
          <w:lang w:val="en-US" w:eastAsia="zh-HK"/>
        </w:rPr>
        <w:t>Commissioner of Inland Revenue v Poon Cho Ming, John</w:t>
      </w:r>
      <w:r w:rsidR="007841B7" w:rsidRPr="00283879">
        <w:rPr>
          <w:rFonts w:eastAsia="華康楷書體W5"/>
          <w:bCs/>
          <w:sz w:val="24"/>
          <w:szCs w:val="24"/>
          <w:lang w:val="en-US" w:eastAsia="zh-HK"/>
        </w:rPr>
        <w:t xml:space="preserve"> (2019) 22 HKCFAR 344</w:t>
      </w:r>
      <w:r w:rsidR="009E6973" w:rsidRPr="00283879">
        <w:rPr>
          <w:rFonts w:eastAsia="華康楷書體W5"/>
          <w:bCs/>
          <w:sz w:val="24"/>
          <w:szCs w:val="24"/>
          <w:lang w:val="en-US" w:eastAsia="zh-HK"/>
        </w:rPr>
        <w:t xml:space="preserve">. </w:t>
      </w:r>
      <w:r w:rsidR="00CE2ABB" w:rsidRPr="00283879">
        <w:rPr>
          <w:rFonts w:eastAsia="華康楷書體W5"/>
          <w:bCs/>
          <w:sz w:val="24"/>
          <w:szCs w:val="24"/>
          <w:lang w:val="en-US" w:eastAsia="zh-HK"/>
        </w:rPr>
        <w:t xml:space="preserve"> </w:t>
      </w:r>
      <w:r w:rsidR="009E6973" w:rsidRPr="00283879">
        <w:rPr>
          <w:rFonts w:eastAsia="華康楷書體W5"/>
          <w:bCs/>
          <w:sz w:val="24"/>
          <w:szCs w:val="24"/>
          <w:lang w:val="en-US" w:eastAsia="zh-HK"/>
        </w:rPr>
        <w:t>I</w:t>
      </w:r>
      <w:r w:rsidRPr="00283879">
        <w:rPr>
          <w:rFonts w:eastAsia="華康楷書體W5"/>
          <w:bCs/>
          <w:sz w:val="24"/>
          <w:szCs w:val="24"/>
          <w:lang w:val="en-US" w:eastAsia="zh-HK"/>
        </w:rPr>
        <w:t>ncome chargeable under section 8(1) of the IRO was not confined to income earned in the course of employment</w:t>
      </w:r>
      <w:r w:rsidR="009E6973" w:rsidRPr="00283879">
        <w:rPr>
          <w:rFonts w:eastAsia="華康楷書體W5"/>
          <w:bCs/>
          <w:sz w:val="24"/>
          <w:szCs w:val="24"/>
          <w:lang w:val="en-US" w:eastAsia="zh-HK"/>
        </w:rPr>
        <w:t xml:space="preserve"> but embraces payments made (</w:t>
      </w:r>
      <w:proofErr w:type="spellStart"/>
      <w:r w:rsidR="009E6973" w:rsidRPr="00283879">
        <w:rPr>
          <w:rFonts w:eastAsia="華康楷書體W5"/>
          <w:bCs/>
          <w:sz w:val="24"/>
          <w:szCs w:val="24"/>
          <w:lang w:val="en-US" w:eastAsia="zh-HK"/>
        </w:rPr>
        <w:t>i</w:t>
      </w:r>
      <w:proofErr w:type="spellEnd"/>
      <w:r w:rsidR="009E6973" w:rsidRPr="00283879">
        <w:rPr>
          <w:rFonts w:eastAsia="華康楷書體W5"/>
          <w:bCs/>
          <w:sz w:val="24"/>
          <w:szCs w:val="24"/>
          <w:lang w:val="en-US" w:eastAsia="zh-HK"/>
        </w:rPr>
        <w:t>) in return for acting as or being an employee</w:t>
      </w:r>
      <w:r w:rsidR="00CE2ABB" w:rsidRPr="00283879">
        <w:rPr>
          <w:rFonts w:eastAsia="華康楷書體W5"/>
          <w:bCs/>
          <w:sz w:val="24"/>
          <w:szCs w:val="24"/>
          <w:lang w:val="en-US" w:eastAsia="zh-HK"/>
        </w:rPr>
        <w:t xml:space="preserve">, </w:t>
      </w:r>
      <w:r w:rsidR="009E6973" w:rsidRPr="00283879">
        <w:rPr>
          <w:rFonts w:eastAsia="華康楷書體W5"/>
          <w:bCs/>
          <w:sz w:val="24"/>
          <w:szCs w:val="24"/>
          <w:lang w:val="en-US" w:eastAsia="zh-HK"/>
        </w:rPr>
        <w:t xml:space="preserve">(ii) as a reward for past services or (iii) as an inducement to enter into employment and provide future services. </w:t>
      </w:r>
      <w:r w:rsidR="00CE2ABB" w:rsidRPr="00283879">
        <w:rPr>
          <w:rFonts w:eastAsia="華康楷書體W5"/>
          <w:bCs/>
          <w:sz w:val="24"/>
          <w:szCs w:val="24"/>
          <w:lang w:val="en-US" w:eastAsia="zh-HK"/>
        </w:rPr>
        <w:t xml:space="preserve"> </w:t>
      </w:r>
      <w:r w:rsidR="009E6973" w:rsidRPr="00283879">
        <w:rPr>
          <w:rFonts w:eastAsia="華康楷書體W5"/>
          <w:bCs/>
          <w:sz w:val="24"/>
          <w:szCs w:val="24"/>
          <w:lang w:val="en-US" w:eastAsia="zh-HK"/>
        </w:rPr>
        <w:t xml:space="preserve">Furthermore, if a payment, viewed as a matter of substance and not merely of form, was found to be derived from the Appellant’s employment, it is assessable. </w:t>
      </w:r>
    </w:p>
    <w:p w14:paraId="29D9FBEE" w14:textId="77777777" w:rsidR="009E6973" w:rsidRPr="00283879" w:rsidRDefault="009E6973" w:rsidP="00334F4E">
      <w:pPr>
        <w:pStyle w:val="ac"/>
        <w:widowControl w:val="0"/>
        <w:tabs>
          <w:tab w:val="left" w:pos="1276"/>
        </w:tabs>
        <w:topLinePunct/>
        <w:adjustRightInd/>
        <w:ind w:leftChars="0" w:left="1843" w:rightChars="-29" w:right="-58"/>
        <w:jc w:val="both"/>
        <w:rPr>
          <w:rFonts w:eastAsia="華康楷書體W5"/>
          <w:bCs/>
          <w:sz w:val="24"/>
          <w:szCs w:val="24"/>
          <w:lang w:val="en-US" w:eastAsia="zh-HK"/>
        </w:rPr>
      </w:pPr>
    </w:p>
    <w:p w14:paraId="5EB63A27" w14:textId="720C4E3F" w:rsidR="007841B7" w:rsidRPr="00283879" w:rsidRDefault="00BB14AA" w:rsidP="008A47CE">
      <w:pPr>
        <w:pStyle w:val="ac"/>
        <w:widowControl w:val="0"/>
        <w:numPr>
          <w:ilvl w:val="0"/>
          <w:numId w:val="18"/>
        </w:numPr>
        <w:tabs>
          <w:tab w:val="left" w:pos="1276"/>
        </w:tabs>
        <w:topLinePunct/>
        <w:adjustRightInd/>
        <w:ind w:leftChars="0" w:left="1843" w:rightChars="-29" w:right="-58" w:hanging="563"/>
        <w:jc w:val="both"/>
        <w:rPr>
          <w:rFonts w:eastAsia="華康楷書體W5"/>
          <w:bCs/>
          <w:sz w:val="24"/>
          <w:szCs w:val="24"/>
          <w:lang w:val="en-US" w:eastAsia="zh-HK"/>
        </w:rPr>
      </w:pPr>
      <w:r w:rsidRPr="00283879">
        <w:rPr>
          <w:rFonts w:eastAsia="華康楷書體W5"/>
          <w:bCs/>
          <w:sz w:val="24"/>
          <w:szCs w:val="24"/>
          <w:lang w:val="en-US" w:eastAsia="zh-HK"/>
        </w:rPr>
        <w:t>The Board found that the termination payment of HK$976,902 was calculated by reference to the LTI</w:t>
      </w:r>
      <w:r w:rsidR="008A47CE" w:rsidRPr="00283879">
        <w:rPr>
          <w:rFonts w:eastAsia="華康楷書體W5"/>
          <w:bCs/>
          <w:sz w:val="24"/>
          <w:szCs w:val="24"/>
          <w:lang w:val="en-US" w:eastAsia="zh-HK"/>
        </w:rPr>
        <w:t xml:space="preserve">. </w:t>
      </w:r>
      <w:r w:rsidR="00CE2ABB" w:rsidRPr="00283879">
        <w:rPr>
          <w:rFonts w:eastAsia="華康楷書體W5"/>
          <w:bCs/>
          <w:sz w:val="24"/>
          <w:szCs w:val="24"/>
          <w:lang w:val="en-US" w:eastAsia="zh-HK"/>
        </w:rPr>
        <w:t xml:space="preserve"> </w:t>
      </w:r>
      <w:r w:rsidR="008A47CE" w:rsidRPr="00283879">
        <w:rPr>
          <w:rFonts w:eastAsia="華康楷書體W5"/>
          <w:bCs/>
          <w:sz w:val="24"/>
          <w:szCs w:val="24"/>
          <w:lang w:val="en-US" w:eastAsia="zh-HK"/>
        </w:rPr>
        <w:t>Moreover, a</w:t>
      </w:r>
      <w:r w:rsidR="009E6973" w:rsidRPr="00283879">
        <w:rPr>
          <w:rFonts w:eastAsia="華康楷書體W5"/>
          <w:bCs/>
          <w:sz w:val="24"/>
          <w:szCs w:val="24"/>
          <w:lang w:val="en-US" w:eastAsia="zh-HK"/>
        </w:rPr>
        <w:t>fter consid</w:t>
      </w:r>
      <w:r w:rsidR="00007D05">
        <w:rPr>
          <w:rFonts w:eastAsia="華康楷書體W5"/>
          <w:bCs/>
          <w:sz w:val="24"/>
          <w:szCs w:val="24"/>
          <w:lang w:val="en-US" w:eastAsia="zh-HK"/>
        </w:rPr>
        <w:t>er</w:t>
      </w:r>
      <w:r w:rsidR="002872B6">
        <w:rPr>
          <w:rFonts w:eastAsia="華康楷書體W5"/>
          <w:bCs/>
          <w:sz w:val="24"/>
          <w:szCs w:val="24"/>
          <w:lang w:val="en-US" w:eastAsia="zh-HK"/>
        </w:rPr>
        <w:t>ing</w:t>
      </w:r>
      <w:r w:rsidR="009E6973" w:rsidRPr="00283879">
        <w:rPr>
          <w:rFonts w:eastAsia="華康楷書體W5"/>
          <w:bCs/>
          <w:sz w:val="24"/>
          <w:szCs w:val="24"/>
          <w:lang w:val="en-US" w:eastAsia="zh-HK"/>
        </w:rPr>
        <w:t xml:space="preserve"> the </w:t>
      </w:r>
      <w:r w:rsidRPr="00283879">
        <w:rPr>
          <w:rFonts w:eastAsia="華康楷書體W5"/>
          <w:bCs/>
          <w:sz w:val="24"/>
          <w:szCs w:val="24"/>
          <w:lang w:val="en-US" w:eastAsia="zh-HK"/>
        </w:rPr>
        <w:t>wording</w:t>
      </w:r>
      <w:r w:rsidR="009E6973" w:rsidRPr="00283879">
        <w:rPr>
          <w:rFonts w:eastAsia="華康楷書體W5"/>
          <w:bCs/>
          <w:sz w:val="24"/>
          <w:szCs w:val="24"/>
          <w:lang w:val="en-US" w:eastAsia="zh-HK"/>
        </w:rPr>
        <w:t xml:space="preserve"> of the termination agreement, t</w:t>
      </w:r>
      <w:r w:rsidR="00303166" w:rsidRPr="00283879">
        <w:rPr>
          <w:rFonts w:eastAsia="華康楷書體W5"/>
          <w:bCs/>
          <w:sz w:val="24"/>
          <w:szCs w:val="24"/>
          <w:lang w:val="en-US" w:eastAsia="zh-HK"/>
        </w:rPr>
        <w:t>he Board ruled that the termination payment</w:t>
      </w:r>
      <w:r w:rsidR="009E6973" w:rsidRPr="00283879">
        <w:rPr>
          <w:rFonts w:eastAsia="華康楷書體W5"/>
          <w:bCs/>
          <w:sz w:val="24"/>
          <w:szCs w:val="24"/>
          <w:lang w:val="en-US" w:eastAsia="zh-HK"/>
        </w:rPr>
        <w:t xml:space="preserve"> </w:t>
      </w:r>
      <w:r w:rsidR="000C7D04">
        <w:rPr>
          <w:rFonts w:eastAsia="華康楷書體W5"/>
          <w:bCs/>
          <w:sz w:val="24"/>
          <w:szCs w:val="24"/>
          <w:lang w:val="en-US" w:eastAsia="zh-HK"/>
        </w:rPr>
        <w:t>had</w:t>
      </w:r>
      <w:r w:rsidR="00303166" w:rsidRPr="00283879">
        <w:rPr>
          <w:rFonts w:eastAsia="華康楷書體W5"/>
          <w:bCs/>
          <w:sz w:val="24"/>
          <w:szCs w:val="24"/>
          <w:lang w:val="en-US" w:eastAsia="zh-HK"/>
        </w:rPr>
        <w:t xml:space="preserve"> accrued during the Appellant’s employment in Hong Kong.</w:t>
      </w:r>
      <w:r w:rsidR="008A47CE" w:rsidRPr="00283879">
        <w:rPr>
          <w:rFonts w:eastAsia="華康楷書體W5"/>
          <w:bCs/>
          <w:sz w:val="24"/>
          <w:szCs w:val="24"/>
          <w:lang w:val="en-US" w:eastAsia="zh-HK"/>
        </w:rPr>
        <w:t xml:space="preserve"> </w:t>
      </w:r>
      <w:r w:rsidR="00CE2ABB" w:rsidRPr="00283879">
        <w:rPr>
          <w:rFonts w:eastAsia="華康楷書體W5"/>
          <w:bCs/>
          <w:sz w:val="24"/>
          <w:szCs w:val="24"/>
          <w:lang w:val="en-US" w:eastAsia="zh-HK"/>
        </w:rPr>
        <w:t xml:space="preserve"> </w:t>
      </w:r>
      <w:r w:rsidR="008A47CE" w:rsidRPr="00283879">
        <w:rPr>
          <w:rFonts w:eastAsia="華康楷書體W5"/>
          <w:bCs/>
          <w:sz w:val="24"/>
          <w:szCs w:val="24"/>
          <w:lang w:val="en-US" w:eastAsia="zh-HK"/>
        </w:rPr>
        <w:t xml:space="preserve">Hence, the Board determined that the termination payment was taxable under section 8(1) of the IRO. </w:t>
      </w:r>
    </w:p>
    <w:p w14:paraId="5C5EFC89" w14:textId="77777777" w:rsidR="007841B7" w:rsidRPr="00283879" w:rsidRDefault="007841B7" w:rsidP="00334F4E">
      <w:pPr>
        <w:pStyle w:val="ac"/>
        <w:widowControl w:val="0"/>
        <w:tabs>
          <w:tab w:val="left" w:pos="1276"/>
        </w:tabs>
        <w:topLinePunct/>
        <w:adjustRightInd/>
        <w:ind w:leftChars="0" w:left="1843" w:rightChars="-29" w:right="-58"/>
        <w:jc w:val="both"/>
        <w:rPr>
          <w:rFonts w:eastAsia="華康楷書體W5"/>
          <w:bCs/>
          <w:sz w:val="24"/>
          <w:szCs w:val="24"/>
          <w:lang w:val="en-US" w:eastAsia="zh-HK"/>
        </w:rPr>
      </w:pPr>
    </w:p>
    <w:p w14:paraId="4368AF58" w14:textId="2730F568" w:rsidR="003C27AE" w:rsidRPr="00283879" w:rsidRDefault="00C02C69">
      <w:pPr>
        <w:pStyle w:val="ac"/>
        <w:widowControl w:val="0"/>
        <w:numPr>
          <w:ilvl w:val="0"/>
          <w:numId w:val="18"/>
        </w:numPr>
        <w:tabs>
          <w:tab w:val="left" w:pos="1276"/>
        </w:tabs>
        <w:topLinePunct/>
        <w:adjustRightInd/>
        <w:ind w:leftChars="0" w:left="1843" w:rightChars="-29" w:right="-58" w:hanging="563"/>
        <w:jc w:val="both"/>
        <w:rPr>
          <w:rFonts w:eastAsia="華康楷書體W5"/>
          <w:bCs/>
          <w:sz w:val="24"/>
          <w:szCs w:val="24"/>
          <w:lang w:val="en-US" w:eastAsia="zh-HK"/>
        </w:rPr>
      </w:pPr>
      <w:r w:rsidRPr="00283879">
        <w:rPr>
          <w:rFonts w:eastAsia="華康楷書體W5"/>
          <w:bCs/>
          <w:sz w:val="24"/>
          <w:szCs w:val="24"/>
          <w:lang w:val="en-US" w:eastAsia="zh-HK"/>
        </w:rPr>
        <w:t xml:space="preserve">Pursuant to </w:t>
      </w:r>
      <w:r w:rsidR="002B017B" w:rsidRPr="00283879">
        <w:rPr>
          <w:rFonts w:eastAsia="華康楷書體W5"/>
          <w:bCs/>
          <w:sz w:val="24"/>
          <w:szCs w:val="24"/>
          <w:lang w:val="en-US" w:eastAsia="zh-HK"/>
        </w:rPr>
        <w:t xml:space="preserve">section 66(3) of </w:t>
      </w:r>
      <w:r w:rsidR="008A47CE" w:rsidRPr="00283879">
        <w:rPr>
          <w:rFonts w:eastAsia="華康楷書體W5"/>
          <w:bCs/>
          <w:sz w:val="24"/>
          <w:szCs w:val="24"/>
          <w:lang w:val="en-US" w:eastAsia="zh-HK"/>
        </w:rPr>
        <w:t xml:space="preserve">IRO, the </w:t>
      </w:r>
      <w:r w:rsidRPr="00283879">
        <w:rPr>
          <w:rFonts w:eastAsia="華康楷書體W5"/>
          <w:bCs/>
          <w:sz w:val="24"/>
          <w:szCs w:val="24"/>
          <w:lang w:val="en-US" w:eastAsia="zh-HK"/>
        </w:rPr>
        <w:t>Board declined to grant the Appellant leave to raise new issues because no strong new grounds or good reasons had been advanced</w:t>
      </w:r>
      <w:r w:rsidR="00B56AA6" w:rsidRPr="00283879">
        <w:rPr>
          <w:rFonts w:eastAsia="華康楷書體W5"/>
          <w:bCs/>
          <w:sz w:val="24"/>
          <w:szCs w:val="24"/>
          <w:lang w:val="en-US" w:eastAsia="zh-HK"/>
        </w:rPr>
        <w:t xml:space="preserve"> for the delay</w:t>
      </w:r>
      <w:r w:rsidRPr="00283879">
        <w:rPr>
          <w:rFonts w:eastAsia="華康楷書體W5"/>
          <w:bCs/>
          <w:sz w:val="24"/>
          <w:szCs w:val="24"/>
          <w:lang w:val="en-US" w:eastAsia="zh-HK"/>
        </w:rPr>
        <w:t xml:space="preserve">.  </w:t>
      </w:r>
      <w:r w:rsidR="0047244B" w:rsidRPr="00283879">
        <w:rPr>
          <w:rFonts w:eastAsia="華康楷書體W5"/>
          <w:bCs/>
          <w:sz w:val="24"/>
          <w:szCs w:val="24"/>
          <w:lang w:val="en-US" w:eastAsia="zh-HK"/>
        </w:rPr>
        <w:t>Nevertheless, the new issues raised by the Appellant would not affect the outcome of this appeal.</w:t>
      </w:r>
    </w:p>
    <w:p w14:paraId="1AB72D60" w14:textId="77777777" w:rsidR="00370A8D" w:rsidRPr="00283879" w:rsidRDefault="00370A8D" w:rsidP="00A63725">
      <w:pPr>
        <w:widowControl w:val="0"/>
        <w:tabs>
          <w:tab w:val="left" w:pos="1276"/>
        </w:tabs>
        <w:topLinePunct/>
        <w:adjustRightInd/>
        <w:spacing w:line="220" w:lineRule="exact"/>
        <w:ind w:rightChars="-29" w:right="-58"/>
        <w:jc w:val="both"/>
        <w:rPr>
          <w:rFonts w:eastAsia="華康楷書體W5"/>
          <w:b/>
          <w:sz w:val="24"/>
          <w:szCs w:val="24"/>
          <w:lang w:val="en-US" w:eastAsia="zh-HK"/>
        </w:rPr>
      </w:pPr>
    </w:p>
    <w:p w14:paraId="4229A267" w14:textId="77777777" w:rsidR="00370A8D" w:rsidRPr="00283879" w:rsidRDefault="00370A8D" w:rsidP="00A63725">
      <w:pPr>
        <w:widowControl w:val="0"/>
        <w:tabs>
          <w:tab w:val="left" w:pos="1276"/>
        </w:tabs>
        <w:topLinePunct/>
        <w:adjustRightInd/>
        <w:spacing w:line="220" w:lineRule="exact"/>
        <w:ind w:rightChars="-29" w:right="-58"/>
        <w:jc w:val="both"/>
        <w:rPr>
          <w:rFonts w:eastAsia="華康楷書體W5"/>
          <w:b/>
          <w:sz w:val="24"/>
          <w:szCs w:val="24"/>
          <w:lang w:val="en-US" w:eastAsia="zh-HK"/>
        </w:rPr>
      </w:pPr>
    </w:p>
    <w:p w14:paraId="13F976C1" w14:textId="77777777" w:rsidR="00532DEA" w:rsidRPr="00283879" w:rsidRDefault="00532DEA" w:rsidP="00337A09">
      <w:pPr>
        <w:widowControl w:val="0"/>
        <w:tabs>
          <w:tab w:val="left" w:pos="1276"/>
        </w:tabs>
        <w:topLinePunct/>
        <w:adjustRightInd/>
        <w:ind w:rightChars="-29" w:right="-58"/>
        <w:jc w:val="both"/>
        <w:rPr>
          <w:rFonts w:eastAsia="華康楷書體W5"/>
          <w:b/>
          <w:sz w:val="24"/>
          <w:szCs w:val="24"/>
          <w:lang w:val="en-US" w:eastAsia="zh-HK"/>
        </w:rPr>
      </w:pPr>
      <w:r w:rsidRPr="00283879">
        <w:rPr>
          <w:rFonts w:eastAsia="華康楷書體W5"/>
          <w:b/>
          <w:sz w:val="24"/>
          <w:szCs w:val="24"/>
          <w:lang w:val="en-US" w:eastAsia="zh-HK"/>
        </w:rPr>
        <w:t>Appeal dismissed.</w:t>
      </w:r>
    </w:p>
    <w:p w14:paraId="644D7352" w14:textId="77777777" w:rsidR="00532DEA" w:rsidRPr="00283879" w:rsidRDefault="00532DEA" w:rsidP="00337A09">
      <w:pPr>
        <w:widowControl w:val="0"/>
        <w:tabs>
          <w:tab w:val="left" w:pos="1276"/>
        </w:tabs>
        <w:topLinePunct/>
        <w:adjustRightInd/>
        <w:ind w:rightChars="-29" w:right="-58"/>
        <w:jc w:val="both"/>
        <w:rPr>
          <w:rFonts w:eastAsia="華康楷書體W5"/>
          <w:sz w:val="24"/>
          <w:szCs w:val="24"/>
          <w:lang w:val="en-US" w:eastAsia="zh-HK"/>
        </w:rPr>
      </w:pPr>
    </w:p>
    <w:p w14:paraId="0A4E0D40" w14:textId="77777777" w:rsidR="00532DEA" w:rsidRPr="00283879" w:rsidRDefault="00532DEA" w:rsidP="00337A09">
      <w:pPr>
        <w:widowControl w:val="0"/>
        <w:tabs>
          <w:tab w:val="left" w:pos="1276"/>
        </w:tabs>
        <w:topLinePunct/>
        <w:adjustRightInd/>
        <w:ind w:left="1620" w:rightChars="-29" w:right="-58" w:hanging="1620"/>
        <w:jc w:val="both"/>
        <w:rPr>
          <w:rFonts w:eastAsia="華康楷書體W5"/>
          <w:sz w:val="24"/>
          <w:szCs w:val="24"/>
          <w:lang w:val="en-US" w:eastAsia="zh-HK"/>
        </w:rPr>
      </w:pPr>
      <w:r w:rsidRPr="00283879">
        <w:rPr>
          <w:rFonts w:eastAsia="新細明體"/>
          <w:color w:val="000000"/>
          <w:sz w:val="24"/>
          <w:szCs w:val="24"/>
          <w:lang w:val="en-US"/>
        </w:rPr>
        <w:t xml:space="preserve">Cases referred to:   </w:t>
      </w:r>
    </w:p>
    <w:p w14:paraId="6F5EF869" w14:textId="77777777" w:rsidR="00532DEA" w:rsidRPr="00283879" w:rsidRDefault="00532DEA" w:rsidP="00337A09">
      <w:pPr>
        <w:widowControl w:val="0"/>
        <w:tabs>
          <w:tab w:val="left" w:pos="1276"/>
        </w:tabs>
        <w:topLinePunct/>
        <w:adjustRightInd/>
        <w:ind w:left="1620" w:rightChars="-29" w:right="-58" w:hanging="1620"/>
        <w:jc w:val="both"/>
        <w:rPr>
          <w:rFonts w:eastAsia="華康楷書體W5"/>
          <w:sz w:val="24"/>
          <w:szCs w:val="24"/>
          <w:lang w:val="en-US" w:eastAsia="zh-HK"/>
        </w:rPr>
      </w:pPr>
    </w:p>
    <w:p w14:paraId="296CBBC6" w14:textId="77777777" w:rsidR="00532DEA" w:rsidRPr="00283879" w:rsidRDefault="00532DEA" w:rsidP="00B73727">
      <w:pPr>
        <w:widowControl w:val="0"/>
        <w:tabs>
          <w:tab w:val="left" w:pos="1276"/>
        </w:tabs>
        <w:topLinePunct/>
        <w:adjustRightInd/>
        <w:ind w:left="993" w:rightChars="-29" w:right="-58" w:hanging="1620"/>
        <w:jc w:val="both"/>
        <w:rPr>
          <w:rFonts w:eastAsia="華康楷書體W5"/>
          <w:sz w:val="24"/>
          <w:szCs w:val="24"/>
          <w:lang w:val="en-US" w:eastAsia="zh-HK"/>
        </w:rPr>
      </w:pPr>
      <w:r w:rsidRPr="00283879">
        <w:rPr>
          <w:rFonts w:eastAsia="華康楷書體W5"/>
          <w:sz w:val="24"/>
          <w:szCs w:val="24"/>
          <w:lang w:val="en-US" w:eastAsia="zh-HK"/>
        </w:rPr>
        <w:tab/>
        <w:t>Commissioner of Inland Revenue v Crown Brilliance Ltd [2016] 3 HKC 140</w:t>
      </w:r>
    </w:p>
    <w:p w14:paraId="4B6C567F" w14:textId="77777777" w:rsidR="00B73727" w:rsidRPr="00283879" w:rsidRDefault="00532DEA" w:rsidP="00B73727">
      <w:pPr>
        <w:widowControl w:val="0"/>
        <w:tabs>
          <w:tab w:val="left" w:pos="1276"/>
        </w:tabs>
        <w:topLinePunct/>
        <w:adjustRightInd/>
        <w:ind w:left="993" w:rightChars="-29" w:right="-58" w:hanging="1620"/>
        <w:jc w:val="both"/>
        <w:rPr>
          <w:rFonts w:eastAsia="華康楷書體W5"/>
          <w:sz w:val="24"/>
          <w:szCs w:val="24"/>
          <w:lang w:val="en-US" w:eastAsia="zh-HK"/>
        </w:rPr>
      </w:pPr>
      <w:r w:rsidRPr="00283879">
        <w:rPr>
          <w:rFonts w:eastAsia="華康楷書體W5"/>
          <w:sz w:val="24"/>
          <w:szCs w:val="24"/>
          <w:lang w:val="en-US" w:eastAsia="zh-HK"/>
        </w:rPr>
        <w:tab/>
        <w:t xml:space="preserve">Commissioner of Inland Revenue v Elliot, Stewart William George [2007] 1 </w:t>
      </w:r>
    </w:p>
    <w:p w14:paraId="163F2F7D" w14:textId="77777777" w:rsidR="00532DEA" w:rsidRPr="00283879" w:rsidRDefault="00532DEA" w:rsidP="008C0117">
      <w:pPr>
        <w:widowControl w:val="0"/>
        <w:tabs>
          <w:tab w:val="left" w:pos="1276"/>
        </w:tabs>
        <w:topLinePunct/>
        <w:adjustRightInd/>
        <w:ind w:rightChars="-29" w:right="-58" w:firstLineChars="600" w:firstLine="1512"/>
        <w:jc w:val="both"/>
        <w:rPr>
          <w:rFonts w:eastAsia="華康楷書體W5"/>
          <w:sz w:val="24"/>
          <w:szCs w:val="24"/>
          <w:lang w:val="en-US" w:eastAsia="zh-HK"/>
        </w:rPr>
      </w:pPr>
      <w:r w:rsidRPr="00283879">
        <w:rPr>
          <w:rFonts w:eastAsia="華康楷書體W5"/>
          <w:sz w:val="24"/>
          <w:szCs w:val="24"/>
          <w:lang w:val="en-US" w:eastAsia="zh-HK"/>
        </w:rPr>
        <w:t>HKLRD 297</w:t>
      </w:r>
    </w:p>
    <w:p w14:paraId="110D90BA" w14:textId="77777777" w:rsidR="00197C2E" w:rsidRPr="00283879" w:rsidRDefault="00532DEA" w:rsidP="00B73727">
      <w:pPr>
        <w:widowControl w:val="0"/>
        <w:tabs>
          <w:tab w:val="left" w:pos="1276"/>
        </w:tabs>
        <w:topLinePunct/>
        <w:adjustRightInd/>
        <w:ind w:left="993" w:rightChars="-29" w:right="-58" w:hanging="1620"/>
        <w:jc w:val="both"/>
        <w:rPr>
          <w:rFonts w:eastAsia="華康楷書體W5"/>
          <w:sz w:val="24"/>
          <w:szCs w:val="24"/>
          <w:lang w:val="en-US" w:eastAsia="zh-HK"/>
        </w:rPr>
      </w:pPr>
      <w:r w:rsidRPr="00283879">
        <w:rPr>
          <w:rFonts w:eastAsia="華康楷書體W5"/>
          <w:sz w:val="24"/>
          <w:szCs w:val="24"/>
          <w:lang w:val="en-US" w:eastAsia="zh-HK"/>
        </w:rPr>
        <w:tab/>
        <w:t xml:space="preserve">Commissioner of Inland Revenue v Poon Cho Ming, John </w:t>
      </w:r>
      <w:r w:rsidR="00C030A0" w:rsidRPr="00283879">
        <w:rPr>
          <w:rFonts w:eastAsia="華康楷書體W5"/>
          <w:sz w:val="24"/>
          <w:szCs w:val="24"/>
          <w:lang w:val="en-US" w:eastAsia="zh-HK"/>
        </w:rPr>
        <w:t xml:space="preserve">(2019) </w:t>
      </w:r>
      <w:r w:rsidRPr="00283879">
        <w:rPr>
          <w:rFonts w:eastAsia="華康楷書體W5"/>
          <w:sz w:val="24"/>
          <w:szCs w:val="24"/>
          <w:lang w:val="en-US" w:eastAsia="zh-HK"/>
        </w:rPr>
        <w:t xml:space="preserve">22 HKCFAR </w:t>
      </w:r>
    </w:p>
    <w:p w14:paraId="5075D988" w14:textId="77777777" w:rsidR="00532DEA" w:rsidRPr="00283879" w:rsidRDefault="00532DEA" w:rsidP="008C0117">
      <w:pPr>
        <w:widowControl w:val="0"/>
        <w:topLinePunct/>
        <w:adjustRightInd/>
        <w:ind w:rightChars="-29" w:right="-58" w:firstLineChars="600" w:firstLine="1512"/>
        <w:jc w:val="both"/>
        <w:rPr>
          <w:rFonts w:eastAsia="華康楷書體W5"/>
          <w:sz w:val="24"/>
          <w:szCs w:val="24"/>
          <w:lang w:val="en-US" w:eastAsia="zh-HK"/>
        </w:rPr>
      </w:pPr>
      <w:r w:rsidRPr="00283879">
        <w:rPr>
          <w:rFonts w:eastAsia="華康楷書體W5"/>
          <w:sz w:val="24"/>
          <w:szCs w:val="24"/>
          <w:lang w:val="en-US" w:eastAsia="zh-HK"/>
        </w:rPr>
        <w:t>344</w:t>
      </w:r>
    </w:p>
    <w:p w14:paraId="54270574" w14:textId="77777777" w:rsidR="00532DEA" w:rsidRPr="00283879" w:rsidRDefault="00532DEA" w:rsidP="00B73727">
      <w:pPr>
        <w:widowControl w:val="0"/>
        <w:tabs>
          <w:tab w:val="left" w:pos="1276"/>
        </w:tabs>
        <w:topLinePunct/>
        <w:adjustRightInd/>
        <w:ind w:left="993" w:rightChars="-29" w:right="-58" w:hanging="1620"/>
        <w:jc w:val="both"/>
        <w:rPr>
          <w:rFonts w:eastAsia="新細明體"/>
          <w:color w:val="000000"/>
          <w:sz w:val="24"/>
          <w:szCs w:val="24"/>
          <w:lang w:val="en-US"/>
        </w:rPr>
      </w:pPr>
      <w:r w:rsidRPr="00283879">
        <w:rPr>
          <w:rFonts w:eastAsia="新細明體"/>
          <w:color w:val="000000"/>
          <w:sz w:val="24"/>
          <w:szCs w:val="24"/>
          <w:lang w:val="en-US"/>
        </w:rPr>
        <w:tab/>
        <w:t>Fuchs v Commissioner of Inland Revenue (2011) 14 HKCFAR 74</w:t>
      </w:r>
    </w:p>
    <w:p w14:paraId="11E44116" w14:textId="77777777" w:rsidR="00532DEA" w:rsidRPr="00283879" w:rsidRDefault="00532DEA" w:rsidP="00337A09">
      <w:pPr>
        <w:widowControl w:val="0"/>
        <w:tabs>
          <w:tab w:val="left" w:pos="630"/>
        </w:tabs>
        <w:topLinePunct/>
        <w:adjustRightInd/>
        <w:ind w:rightChars="-29" w:right="-58"/>
        <w:jc w:val="both"/>
        <w:rPr>
          <w:rFonts w:eastAsia="華康楷書體W5"/>
          <w:sz w:val="24"/>
          <w:szCs w:val="24"/>
          <w:lang w:val="en-US" w:eastAsia="zh-HK"/>
        </w:rPr>
      </w:pPr>
    </w:p>
    <w:p w14:paraId="7CA1A7B4" w14:textId="77777777" w:rsidR="00B73727" w:rsidRPr="00283879" w:rsidRDefault="00532DEA" w:rsidP="00337A09">
      <w:pPr>
        <w:widowControl w:val="0"/>
        <w:tabs>
          <w:tab w:val="left" w:pos="1276"/>
        </w:tabs>
        <w:topLinePunct/>
        <w:adjustRightInd/>
        <w:ind w:rightChars="-29" w:right="-58"/>
        <w:jc w:val="both"/>
        <w:rPr>
          <w:rFonts w:eastAsia="華康楷書體W5"/>
          <w:sz w:val="24"/>
          <w:szCs w:val="24"/>
          <w:lang w:val="en-US" w:eastAsia="zh-HK"/>
        </w:rPr>
      </w:pPr>
      <w:r w:rsidRPr="00283879">
        <w:rPr>
          <w:rFonts w:eastAsia="華康楷書體W5"/>
          <w:sz w:val="24"/>
          <w:szCs w:val="24"/>
          <w:lang w:val="en-US" w:eastAsia="zh-HK"/>
        </w:rPr>
        <w:t>Appellant in person.</w:t>
      </w:r>
    </w:p>
    <w:p w14:paraId="6A0F5153" w14:textId="3D325633" w:rsidR="00B77A62" w:rsidRDefault="00532DEA" w:rsidP="007E010F">
      <w:pPr>
        <w:widowControl w:val="0"/>
        <w:tabs>
          <w:tab w:val="left" w:pos="1276"/>
        </w:tabs>
        <w:topLinePunct/>
        <w:adjustRightInd/>
        <w:ind w:left="378" w:rightChars="-29" w:right="-58" w:hangingChars="150" w:hanging="378"/>
        <w:jc w:val="both"/>
        <w:rPr>
          <w:rFonts w:eastAsia="華康楷書體W5"/>
          <w:sz w:val="24"/>
          <w:szCs w:val="24"/>
          <w:lang w:val="en-US" w:eastAsia="zh-HK"/>
        </w:rPr>
      </w:pPr>
      <w:r w:rsidRPr="00283879">
        <w:rPr>
          <w:rFonts w:eastAsia="華康楷書體W5"/>
          <w:sz w:val="24"/>
          <w:szCs w:val="24"/>
          <w:lang w:val="en-US" w:eastAsia="zh-HK"/>
        </w:rPr>
        <w:t>Cheng Nga Man, Yau Yuen Chun and Lee Shun Shan, for the Commissioner of Inland Revenue.</w:t>
      </w:r>
    </w:p>
    <w:p w14:paraId="15E04B08" w14:textId="77777777" w:rsidR="00F93BCD" w:rsidRPr="00283879" w:rsidRDefault="00F93BCD" w:rsidP="007E010F">
      <w:pPr>
        <w:widowControl w:val="0"/>
        <w:tabs>
          <w:tab w:val="left" w:pos="1276"/>
        </w:tabs>
        <w:topLinePunct/>
        <w:adjustRightInd/>
        <w:ind w:left="378" w:rightChars="-29" w:right="-58" w:hangingChars="150" w:hanging="378"/>
        <w:jc w:val="both"/>
        <w:rPr>
          <w:rFonts w:eastAsia="華康楷書體W5"/>
          <w:sz w:val="24"/>
          <w:szCs w:val="24"/>
          <w:lang w:val="en-US" w:eastAsia="zh-HK"/>
        </w:rPr>
      </w:pPr>
    </w:p>
    <w:p w14:paraId="2F3D6722" w14:textId="0834BBA5" w:rsidR="00F25A14" w:rsidRPr="00283879" w:rsidRDefault="00F25A14" w:rsidP="00337A09">
      <w:pPr>
        <w:widowControl w:val="0"/>
        <w:topLinePunct/>
        <w:adjustRightInd/>
        <w:jc w:val="both"/>
        <w:rPr>
          <w:b/>
          <w:sz w:val="24"/>
          <w:szCs w:val="24"/>
          <w:lang w:val="en-US"/>
        </w:rPr>
      </w:pPr>
      <w:r w:rsidRPr="00283879">
        <w:rPr>
          <w:b/>
          <w:sz w:val="24"/>
          <w:szCs w:val="24"/>
          <w:lang w:val="en-US"/>
        </w:rPr>
        <w:lastRenderedPageBreak/>
        <w:t>Decision:</w:t>
      </w:r>
    </w:p>
    <w:p w14:paraId="61AA5DB7" w14:textId="77777777" w:rsidR="00F25A14" w:rsidRPr="00283879" w:rsidRDefault="00F25A14" w:rsidP="00337A09">
      <w:pPr>
        <w:widowControl w:val="0"/>
        <w:topLinePunct/>
        <w:adjustRightInd/>
        <w:jc w:val="both"/>
        <w:rPr>
          <w:sz w:val="24"/>
          <w:szCs w:val="24"/>
          <w:lang w:val="en-US"/>
        </w:rPr>
      </w:pPr>
    </w:p>
    <w:p w14:paraId="5FDA1191" w14:textId="77777777" w:rsidR="00532DEA" w:rsidRPr="00283879" w:rsidRDefault="00532DEA" w:rsidP="00337A09">
      <w:pPr>
        <w:widowControl w:val="0"/>
        <w:topLinePunct/>
        <w:adjustRightInd/>
        <w:jc w:val="both"/>
        <w:rPr>
          <w:b/>
          <w:bCs/>
          <w:sz w:val="24"/>
          <w:szCs w:val="24"/>
          <w:lang w:bidi="en-US"/>
        </w:rPr>
      </w:pPr>
      <w:r w:rsidRPr="00283879">
        <w:rPr>
          <w:b/>
          <w:bCs/>
          <w:sz w:val="24"/>
          <w:szCs w:val="24"/>
          <w:lang w:bidi="en-US"/>
        </w:rPr>
        <w:t>Introduction</w:t>
      </w:r>
    </w:p>
    <w:p w14:paraId="4BE0CA95" w14:textId="77777777" w:rsidR="00337A09" w:rsidRPr="00283879" w:rsidRDefault="00337A09" w:rsidP="00337A09">
      <w:pPr>
        <w:widowControl w:val="0"/>
        <w:topLinePunct/>
        <w:adjustRightInd/>
        <w:jc w:val="both"/>
        <w:rPr>
          <w:bCs/>
          <w:sz w:val="24"/>
          <w:szCs w:val="24"/>
          <w:u w:val="single"/>
          <w:lang w:bidi="en-US"/>
        </w:rPr>
      </w:pPr>
    </w:p>
    <w:p w14:paraId="09C886FB" w14:textId="0174FDC7" w:rsidR="00532DEA" w:rsidRPr="00283879" w:rsidRDefault="00532DEA" w:rsidP="001E6398">
      <w:pPr>
        <w:pStyle w:val="ac"/>
        <w:widowControl w:val="0"/>
        <w:numPr>
          <w:ilvl w:val="0"/>
          <w:numId w:val="3"/>
        </w:numPr>
        <w:topLinePunct/>
        <w:adjustRightInd/>
        <w:ind w:leftChars="0" w:left="0" w:firstLine="0"/>
        <w:jc w:val="both"/>
        <w:textAlignment w:val="auto"/>
        <w:rPr>
          <w:bCs/>
          <w:sz w:val="24"/>
          <w:szCs w:val="24"/>
          <w:u w:val="single"/>
          <w:lang w:bidi="en-US"/>
        </w:rPr>
      </w:pPr>
      <w:r w:rsidRPr="00283879">
        <w:rPr>
          <w:bCs/>
          <w:sz w:val="24"/>
          <w:szCs w:val="24"/>
          <w:lang w:bidi="en-US"/>
        </w:rPr>
        <w:t>The Appellant objects to a Determination by the Deputy Commissioner of Inland Revenue (</w:t>
      </w:r>
      <w:r w:rsidR="00F13A0F" w:rsidRPr="00283879">
        <w:rPr>
          <w:bCs/>
          <w:sz w:val="24"/>
          <w:szCs w:val="24"/>
          <w:lang w:bidi="en-US"/>
        </w:rPr>
        <w:t>‘</w:t>
      </w:r>
      <w:r w:rsidRPr="00283879">
        <w:rPr>
          <w:bCs/>
          <w:sz w:val="24"/>
          <w:szCs w:val="24"/>
          <w:lang w:bidi="en-US"/>
        </w:rPr>
        <w:t>the Commissioner</w:t>
      </w:r>
      <w:r w:rsidR="00F13A0F" w:rsidRPr="00283879">
        <w:rPr>
          <w:bCs/>
          <w:sz w:val="24"/>
          <w:szCs w:val="24"/>
          <w:lang w:bidi="en-US"/>
        </w:rPr>
        <w:t>’</w:t>
      </w:r>
      <w:r w:rsidRPr="00283879">
        <w:rPr>
          <w:bCs/>
          <w:sz w:val="24"/>
          <w:szCs w:val="24"/>
          <w:lang w:bidi="en-US"/>
        </w:rPr>
        <w:t xml:space="preserve">) dated 1 November 2023 that a sum of </w:t>
      </w:r>
      <w:r w:rsidR="00626D32" w:rsidRPr="00283879">
        <w:rPr>
          <w:bCs/>
          <w:sz w:val="24"/>
          <w:szCs w:val="24"/>
          <w:lang w:bidi="en-US"/>
        </w:rPr>
        <w:t>EUR</w:t>
      </w:r>
      <w:r w:rsidRPr="00283879">
        <w:rPr>
          <w:bCs/>
          <w:sz w:val="24"/>
          <w:szCs w:val="24"/>
          <w:lang w:bidi="en-US"/>
        </w:rPr>
        <w:t xml:space="preserve"> 112,444.43 (equivalent to HK$976,902) is chargeable to Salaries Tax in the year of assessment 2017/2018</w:t>
      </w:r>
      <w:r w:rsidR="00AF04F3" w:rsidRPr="00283879">
        <w:rPr>
          <w:bCs/>
          <w:sz w:val="24"/>
          <w:szCs w:val="24"/>
          <w:lang w:bidi="en-US"/>
        </w:rPr>
        <w:t xml:space="preserve"> (‘the Determination’)</w:t>
      </w:r>
      <w:r w:rsidRPr="00283879">
        <w:rPr>
          <w:bCs/>
          <w:sz w:val="24"/>
          <w:szCs w:val="24"/>
          <w:lang w:bidi="en-US"/>
        </w:rPr>
        <w:t xml:space="preserve">. </w:t>
      </w:r>
    </w:p>
    <w:p w14:paraId="6CEEFE48" w14:textId="77777777" w:rsidR="00532DEA" w:rsidRPr="00283879" w:rsidRDefault="00532DEA" w:rsidP="00337A09">
      <w:pPr>
        <w:pStyle w:val="ac"/>
        <w:widowControl w:val="0"/>
        <w:topLinePunct/>
        <w:adjustRightInd/>
        <w:ind w:left="400"/>
        <w:jc w:val="both"/>
        <w:rPr>
          <w:bCs/>
          <w:sz w:val="24"/>
          <w:szCs w:val="24"/>
          <w:u w:val="single"/>
          <w:lang w:bidi="en-US"/>
        </w:rPr>
      </w:pPr>
    </w:p>
    <w:p w14:paraId="279E0BB7" w14:textId="77777777" w:rsidR="00532DEA" w:rsidRPr="00283879" w:rsidRDefault="00532DEA" w:rsidP="00FF688A">
      <w:pPr>
        <w:pStyle w:val="ac"/>
        <w:widowControl w:val="0"/>
        <w:numPr>
          <w:ilvl w:val="0"/>
          <w:numId w:val="3"/>
        </w:numPr>
        <w:topLinePunct/>
        <w:adjustRightInd/>
        <w:ind w:leftChars="0" w:left="0" w:firstLine="0"/>
        <w:jc w:val="both"/>
        <w:textAlignment w:val="auto"/>
        <w:rPr>
          <w:bCs/>
          <w:sz w:val="24"/>
          <w:szCs w:val="24"/>
          <w:u w:val="single"/>
          <w:lang w:bidi="en-US"/>
        </w:rPr>
      </w:pPr>
      <w:r w:rsidRPr="00283879">
        <w:rPr>
          <w:bCs/>
          <w:sz w:val="24"/>
          <w:szCs w:val="24"/>
          <w:lang w:bidi="en-US"/>
        </w:rPr>
        <w:t>This is an appeal lodged by the Appellant on 28 November 2023 against the Determination pursuant to the provisions of section 66 of the Inland Revenue Ordinance (Chapter 112 of the Laws of Hong Kong) (‘the Ordinance’).</w:t>
      </w:r>
    </w:p>
    <w:p w14:paraId="7534332F" w14:textId="77777777" w:rsidR="00532DEA" w:rsidRPr="00283879" w:rsidRDefault="00532DEA" w:rsidP="00337A09">
      <w:pPr>
        <w:pStyle w:val="ac"/>
        <w:widowControl w:val="0"/>
        <w:topLinePunct/>
        <w:adjustRightInd/>
        <w:ind w:left="400"/>
        <w:jc w:val="both"/>
        <w:rPr>
          <w:bCs/>
          <w:sz w:val="24"/>
          <w:szCs w:val="24"/>
          <w:u w:val="single"/>
          <w:lang w:bidi="en-US"/>
        </w:rPr>
      </w:pPr>
    </w:p>
    <w:p w14:paraId="6E9C8BC1"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bidi="en-US"/>
        </w:rPr>
      </w:pPr>
      <w:r w:rsidRPr="00283879">
        <w:rPr>
          <w:bCs/>
          <w:sz w:val="24"/>
          <w:szCs w:val="24"/>
          <w:lang w:bidi="en-US"/>
        </w:rPr>
        <w:t xml:space="preserve">The hearing of the appeal was on 23 April 2024.  The Appellant appeared in person and the Commissioner appeared by Miss CHENG Nga-man, Assessor (Appeals), IRD.  </w:t>
      </w:r>
    </w:p>
    <w:p w14:paraId="52CCD535" w14:textId="77777777" w:rsidR="00A71473" w:rsidRPr="00283879" w:rsidRDefault="00A71473" w:rsidP="00546FDD">
      <w:pPr>
        <w:widowControl w:val="0"/>
        <w:topLinePunct/>
        <w:adjustRightInd/>
        <w:jc w:val="both"/>
        <w:rPr>
          <w:bCs/>
          <w:sz w:val="24"/>
          <w:szCs w:val="24"/>
          <w:lang w:val="en-US" w:bidi="en-US"/>
        </w:rPr>
      </w:pPr>
    </w:p>
    <w:p w14:paraId="171C2D38" w14:textId="59135412"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bidi="en-US"/>
        </w:rPr>
      </w:pPr>
      <w:r w:rsidRPr="00283879">
        <w:rPr>
          <w:bCs/>
          <w:sz w:val="24"/>
          <w:szCs w:val="24"/>
          <w:lang w:val="en-US" w:bidi="en-US"/>
        </w:rPr>
        <w:t>The Appellant did not lodge witness statements nor any written submissions before the hearing.  The Appellant did write to the Clerk to the Board by email on 12 December 2023 stating</w:t>
      </w:r>
      <w:r w:rsidR="003F370B" w:rsidRPr="00283879">
        <w:rPr>
          <w:bCs/>
          <w:sz w:val="24"/>
          <w:szCs w:val="24"/>
          <w:lang w:val="en-US" w:bidi="en-US"/>
        </w:rPr>
        <w:t xml:space="preserve"> that</w:t>
      </w:r>
      <w:r w:rsidRPr="00283879">
        <w:rPr>
          <w:bCs/>
          <w:sz w:val="24"/>
          <w:szCs w:val="24"/>
          <w:lang w:val="en-US" w:bidi="en-US"/>
        </w:rPr>
        <w:t xml:space="preserve"> he did not anticipate calling witnesses and that his submission (meaning his Notice of Appeal) contains all relevant information. </w:t>
      </w:r>
    </w:p>
    <w:p w14:paraId="2EFF8474" w14:textId="77777777" w:rsidR="00532DEA" w:rsidRPr="00283879" w:rsidRDefault="00532DEA" w:rsidP="00337A09">
      <w:pPr>
        <w:pStyle w:val="ac"/>
        <w:widowControl w:val="0"/>
        <w:topLinePunct/>
        <w:adjustRightInd/>
        <w:ind w:left="400"/>
        <w:jc w:val="both"/>
        <w:rPr>
          <w:bCs/>
          <w:sz w:val="24"/>
          <w:szCs w:val="24"/>
          <w:lang w:val="en-US" w:bidi="en-US"/>
        </w:rPr>
      </w:pPr>
    </w:p>
    <w:p w14:paraId="1B891814" w14:textId="78FC8225"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bidi="en-US"/>
        </w:rPr>
      </w:pPr>
      <w:r w:rsidRPr="00283879">
        <w:rPr>
          <w:bCs/>
          <w:sz w:val="24"/>
          <w:szCs w:val="24"/>
          <w:lang w:val="en-US" w:bidi="en-US"/>
        </w:rPr>
        <w:t>The appeal was heard on 23 April 2024.  After the hearing</w:t>
      </w:r>
      <w:r w:rsidR="006D50B1" w:rsidRPr="00283879">
        <w:rPr>
          <w:bCs/>
          <w:sz w:val="24"/>
          <w:szCs w:val="24"/>
          <w:lang w:val="en-US" w:bidi="en-US"/>
        </w:rPr>
        <w:t>,</w:t>
      </w:r>
      <w:r w:rsidRPr="00283879">
        <w:rPr>
          <w:bCs/>
          <w:sz w:val="24"/>
          <w:szCs w:val="24"/>
          <w:lang w:val="en-US" w:bidi="en-US"/>
        </w:rPr>
        <w:t xml:space="preserve"> the Appellant sent a letter dated 8 May 2023 requesting that his statements be considered as under oath or that a second hearing be convened for him to give evidence under oath and be cross-examined.  The Appellant also sought to submit new evidence in the form of certain emails regarding the termination of his contract. The letter attached Closing Submissions that had not been requested by the Board.  The Closing Submissions for the most part reiterated what had been said at the hearing but did raise two new grounds of appeal. </w:t>
      </w:r>
    </w:p>
    <w:p w14:paraId="756D8B1C" w14:textId="77777777" w:rsidR="00532DEA" w:rsidRPr="00283879" w:rsidRDefault="00532DEA" w:rsidP="00337A09">
      <w:pPr>
        <w:pStyle w:val="ac"/>
        <w:widowControl w:val="0"/>
        <w:topLinePunct/>
        <w:adjustRightInd/>
        <w:ind w:left="400"/>
        <w:jc w:val="both"/>
        <w:rPr>
          <w:sz w:val="24"/>
          <w:szCs w:val="24"/>
          <w:lang w:bidi="en-US"/>
        </w:rPr>
      </w:pPr>
    </w:p>
    <w:p w14:paraId="067E94D5" w14:textId="04243D9B"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bidi="en-US"/>
        </w:rPr>
      </w:pPr>
      <w:r w:rsidRPr="00283879">
        <w:rPr>
          <w:sz w:val="24"/>
          <w:szCs w:val="24"/>
          <w:lang w:bidi="en-US"/>
        </w:rPr>
        <w:t>The Appellant has previously written to the Commissioner seeking the Commissioner’s agreement to file new evidence.  The Commissioner by a letter dated 2 May 2024</w:t>
      </w:r>
      <w:r w:rsidR="00F12017" w:rsidRPr="00283879">
        <w:rPr>
          <w:sz w:val="24"/>
          <w:szCs w:val="24"/>
          <w:lang w:bidi="en-US"/>
        </w:rPr>
        <w:t xml:space="preserve"> did</w:t>
      </w:r>
      <w:r w:rsidRPr="00283879">
        <w:rPr>
          <w:sz w:val="24"/>
          <w:szCs w:val="24"/>
          <w:lang w:bidi="en-US"/>
        </w:rPr>
        <w:t xml:space="preserve"> not agree.  The Commissioner also wrote to the Clerk to the Board on 17 May 2024 objecting to the admission of new evidence. The letter said that the Commissioner had not seen the new evidence.</w:t>
      </w:r>
    </w:p>
    <w:p w14:paraId="412052F8" w14:textId="77777777" w:rsidR="00532DEA" w:rsidRPr="00283879" w:rsidRDefault="00532DEA" w:rsidP="00337A09">
      <w:pPr>
        <w:pStyle w:val="ac"/>
        <w:widowControl w:val="0"/>
        <w:topLinePunct/>
        <w:adjustRightInd/>
        <w:ind w:left="400"/>
        <w:jc w:val="both"/>
        <w:rPr>
          <w:bCs/>
          <w:sz w:val="24"/>
          <w:szCs w:val="24"/>
          <w:lang w:val="en-US" w:bidi="en-US"/>
        </w:rPr>
      </w:pPr>
    </w:p>
    <w:p w14:paraId="101BD8A7"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bidi="en-US"/>
        </w:rPr>
      </w:pPr>
      <w:r w:rsidRPr="00283879">
        <w:rPr>
          <w:bCs/>
          <w:sz w:val="24"/>
          <w:szCs w:val="24"/>
          <w:lang w:val="en-US" w:bidi="en-US"/>
        </w:rPr>
        <w:t>The Board has considered this and determined:</w:t>
      </w:r>
    </w:p>
    <w:p w14:paraId="17532901" w14:textId="77777777" w:rsidR="00532DEA" w:rsidRPr="00283879" w:rsidRDefault="00532DEA" w:rsidP="00337A09">
      <w:pPr>
        <w:pStyle w:val="ac"/>
        <w:widowControl w:val="0"/>
        <w:topLinePunct/>
        <w:adjustRightInd/>
        <w:ind w:left="400"/>
        <w:jc w:val="both"/>
        <w:rPr>
          <w:rFonts w:eastAsia="Times New Roman"/>
          <w:color w:val="000000"/>
          <w:sz w:val="24"/>
          <w:szCs w:val="24"/>
          <w:lang w:val="en-AU"/>
        </w:rPr>
      </w:pPr>
    </w:p>
    <w:p w14:paraId="6C58D6E3" w14:textId="77777777" w:rsidR="00532DEA" w:rsidRPr="00283879" w:rsidRDefault="00532DEA" w:rsidP="00DD7E39">
      <w:pPr>
        <w:pStyle w:val="ac"/>
        <w:widowControl w:val="0"/>
        <w:numPr>
          <w:ilvl w:val="0"/>
          <w:numId w:val="15"/>
        </w:numPr>
        <w:topLinePunct/>
        <w:adjustRightInd/>
        <w:ind w:leftChars="0" w:left="1985" w:hanging="425"/>
        <w:jc w:val="both"/>
        <w:textAlignment w:val="auto"/>
        <w:rPr>
          <w:sz w:val="24"/>
          <w:szCs w:val="24"/>
          <w:lang w:bidi="en-US"/>
        </w:rPr>
      </w:pPr>
      <w:r w:rsidRPr="00283879">
        <w:rPr>
          <w:rFonts w:eastAsia="Times New Roman"/>
          <w:color w:val="000000"/>
          <w:sz w:val="24"/>
          <w:szCs w:val="24"/>
          <w:lang w:val="en-AU"/>
        </w:rPr>
        <w:t>The Board did not consider it necessary to reconvene for the Appellant to give evidence under oath.  </w:t>
      </w:r>
    </w:p>
    <w:p w14:paraId="2738C644" w14:textId="77777777" w:rsidR="00532DEA" w:rsidRPr="00283879" w:rsidRDefault="00532DEA" w:rsidP="00337A09">
      <w:pPr>
        <w:pStyle w:val="ac"/>
        <w:widowControl w:val="0"/>
        <w:topLinePunct/>
        <w:adjustRightInd/>
        <w:ind w:left="400"/>
        <w:jc w:val="both"/>
        <w:rPr>
          <w:rFonts w:eastAsia="Times New Roman"/>
          <w:color w:val="000000"/>
          <w:sz w:val="24"/>
          <w:szCs w:val="24"/>
          <w:lang w:val="en-AU"/>
        </w:rPr>
      </w:pPr>
    </w:p>
    <w:p w14:paraId="481AE5A9" w14:textId="77777777" w:rsidR="00532DEA" w:rsidRPr="00283879" w:rsidRDefault="00532DEA" w:rsidP="00DD7E39">
      <w:pPr>
        <w:pStyle w:val="ac"/>
        <w:widowControl w:val="0"/>
        <w:numPr>
          <w:ilvl w:val="0"/>
          <w:numId w:val="15"/>
        </w:numPr>
        <w:topLinePunct/>
        <w:adjustRightInd/>
        <w:ind w:leftChars="0" w:left="1985" w:hanging="425"/>
        <w:jc w:val="both"/>
        <w:textAlignment w:val="auto"/>
        <w:rPr>
          <w:rFonts w:eastAsia="Times New Roman"/>
          <w:color w:val="000000"/>
          <w:sz w:val="24"/>
          <w:szCs w:val="24"/>
          <w:lang w:val="en-AU"/>
        </w:rPr>
      </w:pPr>
      <w:r w:rsidRPr="00283879">
        <w:rPr>
          <w:rFonts w:eastAsia="Times New Roman"/>
          <w:color w:val="000000"/>
          <w:sz w:val="24"/>
          <w:szCs w:val="24"/>
          <w:lang w:val="en-AU"/>
        </w:rPr>
        <w:t>The Board will not accept new evidence or new grounds of appeal.  The Board will consider the Closing Submissions as far as they relate to matters covered in the Notice of Appeal.  The Board considered the following grounds to be new issues which could not be raised:</w:t>
      </w:r>
    </w:p>
    <w:p w14:paraId="4AE95EC2" w14:textId="77777777" w:rsidR="00532DEA" w:rsidRPr="00283879" w:rsidRDefault="00532DEA" w:rsidP="00337A09">
      <w:pPr>
        <w:pStyle w:val="ac"/>
        <w:widowControl w:val="0"/>
        <w:topLinePunct/>
        <w:adjustRightInd/>
        <w:ind w:left="400"/>
        <w:jc w:val="both"/>
        <w:rPr>
          <w:rFonts w:eastAsia="Times New Roman"/>
          <w:color w:val="000000"/>
          <w:sz w:val="24"/>
          <w:szCs w:val="24"/>
          <w:lang w:val="en-AU"/>
        </w:rPr>
      </w:pPr>
    </w:p>
    <w:p w14:paraId="75E5148F" w14:textId="77777777" w:rsidR="00532DEA" w:rsidRPr="00283879" w:rsidRDefault="005A3B43" w:rsidP="00F11FE0">
      <w:pPr>
        <w:pStyle w:val="ac"/>
        <w:widowControl w:val="0"/>
        <w:numPr>
          <w:ilvl w:val="0"/>
          <w:numId w:val="16"/>
        </w:numPr>
        <w:topLinePunct/>
        <w:adjustRightInd/>
        <w:ind w:leftChars="0" w:left="2410" w:hanging="425"/>
        <w:jc w:val="both"/>
        <w:textAlignment w:val="auto"/>
        <w:rPr>
          <w:rFonts w:eastAsia="Times New Roman"/>
          <w:color w:val="000000"/>
          <w:sz w:val="24"/>
          <w:szCs w:val="24"/>
          <w:lang w:val="en-AU"/>
        </w:rPr>
      </w:pPr>
      <w:r w:rsidRPr="00283879">
        <w:rPr>
          <w:rFonts w:eastAsia="Times New Roman"/>
          <w:color w:val="000000"/>
          <w:sz w:val="24"/>
          <w:szCs w:val="24"/>
          <w:lang w:val="en-AU"/>
        </w:rPr>
        <w:lastRenderedPageBreak/>
        <w:t>Paragraph</w:t>
      </w:r>
      <w:r w:rsidR="00532DEA" w:rsidRPr="00283879">
        <w:rPr>
          <w:rFonts w:eastAsia="Times New Roman"/>
          <w:color w:val="000000"/>
          <w:sz w:val="24"/>
          <w:szCs w:val="24"/>
          <w:lang w:val="en-AU"/>
        </w:rPr>
        <w:t xml:space="preserve"> 8 of the Closing Submissions; and</w:t>
      </w:r>
    </w:p>
    <w:p w14:paraId="7052BB37" w14:textId="77777777" w:rsidR="00532DEA" w:rsidRPr="00283879" w:rsidRDefault="00532DEA" w:rsidP="00337A09">
      <w:pPr>
        <w:pStyle w:val="ac"/>
        <w:widowControl w:val="0"/>
        <w:topLinePunct/>
        <w:adjustRightInd/>
        <w:ind w:left="400"/>
        <w:jc w:val="both"/>
        <w:rPr>
          <w:rFonts w:eastAsia="Times New Roman"/>
          <w:color w:val="000000"/>
          <w:sz w:val="24"/>
          <w:szCs w:val="24"/>
          <w:lang w:val="en-AU"/>
        </w:rPr>
      </w:pPr>
    </w:p>
    <w:p w14:paraId="30E52431" w14:textId="77777777" w:rsidR="00532DEA" w:rsidRPr="00283879" w:rsidRDefault="00532DEA" w:rsidP="00F11FE0">
      <w:pPr>
        <w:pStyle w:val="ac"/>
        <w:widowControl w:val="0"/>
        <w:numPr>
          <w:ilvl w:val="0"/>
          <w:numId w:val="17"/>
        </w:numPr>
        <w:topLinePunct/>
        <w:adjustRightInd/>
        <w:ind w:leftChars="0" w:left="2410" w:hanging="425"/>
        <w:jc w:val="both"/>
        <w:textAlignment w:val="auto"/>
        <w:rPr>
          <w:rFonts w:eastAsia="Times New Roman"/>
          <w:color w:val="000000"/>
          <w:sz w:val="24"/>
          <w:szCs w:val="24"/>
          <w:lang w:val="en-AU"/>
        </w:rPr>
      </w:pPr>
      <w:r w:rsidRPr="00283879">
        <w:rPr>
          <w:rFonts w:eastAsia="Times New Roman"/>
          <w:color w:val="000000"/>
          <w:sz w:val="24"/>
          <w:szCs w:val="24"/>
          <w:lang w:val="en-AU"/>
        </w:rPr>
        <w:t xml:space="preserve">Those matters in </w:t>
      </w:r>
      <w:r w:rsidR="000B24C5" w:rsidRPr="00283879">
        <w:rPr>
          <w:rFonts w:eastAsia="Times New Roman"/>
          <w:color w:val="000000"/>
          <w:sz w:val="24"/>
          <w:szCs w:val="24"/>
          <w:lang w:val="en-AU"/>
        </w:rPr>
        <w:t>p</w:t>
      </w:r>
      <w:r w:rsidR="005A3B43" w:rsidRPr="00283879">
        <w:rPr>
          <w:rFonts w:eastAsia="Times New Roman"/>
          <w:color w:val="000000"/>
          <w:sz w:val="24"/>
          <w:szCs w:val="24"/>
          <w:lang w:val="en-AU"/>
        </w:rPr>
        <w:t>aragraph</w:t>
      </w:r>
      <w:r w:rsidRPr="00283879">
        <w:rPr>
          <w:rFonts w:eastAsia="Times New Roman"/>
          <w:color w:val="000000"/>
          <w:sz w:val="24"/>
          <w:szCs w:val="24"/>
          <w:lang w:val="en-AU"/>
        </w:rPr>
        <w:t xml:space="preserve"> 7 of the cover letter, which are also referred to in the penultimate sentence of </w:t>
      </w:r>
      <w:r w:rsidR="000B24C5" w:rsidRPr="00283879">
        <w:rPr>
          <w:rFonts w:eastAsia="Times New Roman"/>
          <w:color w:val="000000"/>
          <w:sz w:val="24"/>
          <w:szCs w:val="24"/>
          <w:lang w:val="en-AU"/>
        </w:rPr>
        <w:t>p</w:t>
      </w:r>
      <w:r w:rsidR="005A3B43" w:rsidRPr="00283879">
        <w:rPr>
          <w:rFonts w:eastAsia="Times New Roman"/>
          <w:color w:val="000000"/>
          <w:sz w:val="24"/>
          <w:szCs w:val="24"/>
          <w:lang w:val="en-AU"/>
        </w:rPr>
        <w:t>aragraph</w:t>
      </w:r>
      <w:r w:rsidRPr="00283879">
        <w:rPr>
          <w:rFonts w:eastAsia="Times New Roman"/>
          <w:color w:val="000000"/>
          <w:sz w:val="24"/>
          <w:szCs w:val="24"/>
          <w:lang w:val="en-AU"/>
        </w:rPr>
        <w:t xml:space="preserve"> 6 of the Closing Submissions.</w:t>
      </w:r>
    </w:p>
    <w:p w14:paraId="61AA4557" w14:textId="77777777" w:rsidR="00532DEA" w:rsidRPr="00283879" w:rsidRDefault="00532DEA" w:rsidP="00337A09">
      <w:pPr>
        <w:pStyle w:val="ac"/>
        <w:widowControl w:val="0"/>
        <w:topLinePunct/>
        <w:adjustRightInd/>
        <w:ind w:left="400"/>
        <w:jc w:val="both"/>
        <w:rPr>
          <w:sz w:val="24"/>
          <w:szCs w:val="24"/>
          <w:lang w:bidi="en-US"/>
        </w:rPr>
      </w:pPr>
    </w:p>
    <w:p w14:paraId="5C32F6C4"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bidi="en-US"/>
        </w:rPr>
      </w:pPr>
      <w:r w:rsidRPr="00283879">
        <w:rPr>
          <w:sz w:val="24"/>
          <w:szCs w:val="24"/>
          <w:lang w:bidi="en-US"/>
        </w:rPr>
        <w:t xml:space="preserve">The Parties were notified of this decision by a letter from the Clerk to the Board dated 18 July 2024.  The Board gave the Commissioner 7 days to file </w:t>
      </w:r>
      <w:r w:rsidRPr="00283879">
        <w:rPr>
          <w:color w:val="000000"/>
          <w:sz w:val="24"/>
          <w:szCs w:val="24"/>
        </w:rPr>
        <w:t xml:space="preserve">succinct reply submissions, if he wished to do so.  The Commissioner replied on 19 July 2024 that he had not seen the Appellant’s documents.  The documents were sent to the Commissioner on 19 July 2024 and the Commissioner was given until 30 July 2024 to respond.  The Commissioner filed short reply submissions on 29 July 2024. </w:t>
      </w:r>
    </w:p>
    <w:p w14:paraId="2A31A714" w14:textId="77777777" w:rsidR="00532DEA" w:rsidRPr="00283879" w:rsidRDefault="00532DEA" w:rsidP="00337A09">
      <w:pPr>
        <w:pStyle w:val="ac"/>
        <w:widowControl w:val="0"/>
        <w:topLinePunct/>
        <w:adjustRightInd/>
        <w:ind w:left="400"/>
        <w:jc w:val="both"/>
        <w:rPr>
          <w:sz w:val="24"/>
          <w:szCs w:val="24"/>
          <w:lang w:bidi="en-US"/>
        </w:rPr>
      </w:pPr>
    </w:p>
    <w:p w14:paraId="4DE376F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bidi="en-US"/>
        </w:rPr>
      </w:pPr>
      <w:r w:rsidRPr="00283879">
        <w:rPr>
          <w:sz w:val="24"/>
          <w:szCs w:val="24"/>
          <w:lang w:bidi="en-US"/>
        </w:rPr>
        <w:t xml:space="preserve">The Board’s reasons for not allowing the Appellant’s application are as follows: </w:t>
      </w:r>
    </w:p>
    <w:p w14:paraId="2B01D235" w14:textId="5CE17C6C" w:rsidR="00A71473" w:rsidRPr="00283879" w:rsidRDefault="00532DEA" w:rsidP="000D2201">
      <w:pPr>
        <w:pStyle w:val="ac"/>
        <w:widowControl w:val="0"/>
        <w:topLinePunct/>
        <w:adjustRightInd/>
        <w:ind w:left="400"/>
        <w:jc w:val="both"/>
        <w:rPr>
          <w:color w:val="000000"/>
          <w:sz w:val="24"/>
          <w:szCs w:val="24"/>
        </w:rPr>
      </w:pPr>
      <w:r w:rsidRPr="00283879">
        <w:rPr>
          <w:rStyle w:val="apple-converted-space"/>
          <w:color w:val="000000"/>
          <w:sz w:val="24"/>
          <w:szCs w:val="24"/>
        </w:rPr>
        <w:t> </w:t>
      </w:r>
    </w:p>
    <w:p w14:paraId="7FEA14A4" w14:textId="77777777" w:rsidR="00532DEA" w:rsidRPr="00283879" w:rsidRDefault="00871A11" w:rsidP="00FF688A">
      <w:pPr>
        <w:pStyle w:val="ac"/>
        <w:widowControl w:val="0"/>
        <w:numPr>
          <w:ilvl w:val="0"/>
          <w:numId w:val="3"/>
        </w:numPr>
        <w:topLinePunct/>
        <w:adjustRightInd/>
        <w:ind w:leftChars="0" w:left="0" w:firstLine="0"/>
        <w:jc w:val="both"/>
        <w:textAlignment w:val="auto"/>
        <w:rPr>
          <w:sz w:val="24"/>
          <w:szCs w:val="24"/>
          <w:lang w:bidi="en-US"/>
        </w:rPr>
      </w:pPr>
      <w:r w:rsidRPr="00283879">
        <w:rPr>
          <w:sz w:val="24"/>
          <w:szCs w:val="24"/>
          <w:lang w:bidi="en-US"/>
        </w:rPr>
        <w:t xml:space="preserve">Section </w:t>
      </w:r>
      <w:r w:rsidR="00532DEA" w:rsidRPr="00283879">
        <w:rPr>
          <w:sz w:val="24"/>
          <w:szCs w:val="24"/>
          <w:lang w:bidi="en-US"/>
        </w:rPr>
        <w:t>68(7) of the Ordinance provides:</w:t>
      </w:r>
    </w:p>
    <w:p w14:paraId="5226CC2A" w14:textId="77777777" w:rsidR="00532DEA" w:rsidRPr="00283879" w:rsidRDefault="00532DEA" w:rsidP="00337A09">
      <w:pPr>
        <w:pStyle w:val="ac"/>
        <w:widowControl w:val="0"/>
        <w:topLinePunct/>
        <w:adjustRightInd/>
        <w:ind w:left="400"/>
        <w:jc w:val="both"/>
        <w:rPr>
          <w:sz w:val="24"/>
          <w:szCs w:val="24"/>
          <w:lang w:bidi="en-US"/>
        </w:rPr>
      </w:pPr>
    </w:p>
    <w:p w14:paraId="35735960" w14:textId="77777777" w:rsidR="00532DEA" w:rsidRPr="00283879" w:rsidRDefault="00F13A0F" w:rsidP="00F1519D">
      <w:pPr>
        <w:pStyle w:val="ac"/>
        <w:widowControl w:val="0"/>
        <w:topLinePunct/>
        <w:adjustRightInd/>
        <w:ind w:leftChars="780" w:left="1560"/>
        <w:jc w:val="both"/>
        <w:rPr>
          <w:i/>
          <w:sz w:val="24"/>
          <w:szCs w:val="24"/>
          <w:lang w:bidi="en-US"/>
        </w:rPr>
      </w:pPr>
      <w:r w:rsidRPr="00283879">
        <w:rPr>
          <w:i/>
          <w:sz w:val="24"/>
          <w:szCs w:val="24"/>
          <w:lang w:bidi="en-US"/>
        </w:rPr>
        <w:t>‘</w:t>
      </w:r>
      <w:r w:rsidR="00532DEA" w:rsidRPr="00283879">
        <w:rPr>
          <w:i/>
          <w:sz w:val="24"/>
          <w:szCs w:val="24"/>
          <w:lang w:bidi="en-US"/>
        </w:rPr>
        <w:t>At the hearing of the appeal the Board may, subject to the provisions of section 66(3), admit or reject any evidence adduced, whether oral or documentary, and the provisions of the Evidence Ordinance (Cap. 8), relating to the admissibility of evidence shall not apply.</w:t>
      </w:r>
      <w:r w:rsidRPr="00283879">
        <w:rPr>
          <w:i/>
          <w:sz w:val="24"/>
          <w:szCs w:val="24"/>
          <w:lang w:bidi="en-US"/>
        </w:rPr>
        <w:t>’</w:t>
      </w:r>
    </w:p>
    <w:p w14:paraId="253883DB" w14:textId="77777777" w:rsidR="00532DEA" w:rsidRPr="00283879" w:rsidRDefault="00532DEA" w:rsidP="00337A09">
      <w:pPr>
        <w:pStyle w:val="ac"/>
        <w:widowControl w:val="0"/>
        <w:topLinePunct/>
        <w:adjustRightInd/>
        <w:ind w:left="400"/>
        <w:jc w:val="both"/>
        <w:rPr>
          <w:sz w:val="24"/>
          <w:szCs w:val="24"/>
          <w:lang w:bidi="en-US"/>
        </w:rPr>
      </w:pPr>
    </w:p>
    <w:p w14:paraId="04272315" w14:textId="77777777" w:rsidR="00532DEA" w:rsidRPr="00283879" w:rsidRDefault="00871A11" w:rsidP="00FF688A">
      <w:pPr>
        <w:pStyle w:val="ac"/>
        <w:widowControl w:val="0"/>
        <w:numPr>
          <w:ilvl w:val="0"/>
          <w:numId w:val="3"/>
        </w:numPr>
        <w:topLinePunct/>
        <w:adjustRightInd/>
        <w:ind w:leftChars="0" w:left="0" w:firstLine="0"/>
        <w:jc w:val="both"/>
        <w:textAlignment w:val="auto"/>
        <w:rPr>
          <w:bCs/>
          <w:sz w:val="24"/>
          <w:szCs w:val="24"/>
          <w:lang w:bidi="en-US"/>
        </w:rPr>
      </w:pPr>
      <w:r w:rsidRPr="00283879">
        <w:rPr>
          <w:bCs/>
          <w:sz w:val="24"/>
          <w:szCs w:val="24"/>
          <w:lang w:bidi="en-US"/>
        </w:rPr>
        <w:t xml:space="preserve">Section </w:t>
      </w:r>
      <w:r w:rsidR="00532DEA" w:rsidRPr="00283879">
        <w:rPr>
          <w:bCs/>
          <w:sz w:val="24"/>
          <w:szCs w:val="24"/>
          <w:lang w:bidi="en-US"/>
        </w:rPr>
        <w:t>66(3) of the Ordinance provides:</w:t>
      </w:r>
    </w:p>
    <w:p w14:paraId="6C798AC8" w14:textId="77777777" w:rsidR="00532DEA" w:rsidRPr="00283879" w:rsidRDefault="00532DEA" w:rsidP="00337A09">
      <w:pPr>
        <w:pStyle w:val="ac"/>
        <w:widowControl w:val="0"/>
        <w:topLinePunct/>
        <w:adjustRightInd/>
        <w:ind w:left="400"/>
        <w:jc w:val="both"/>
        <w:rPr>
          <w:bCs/>
          <w:sz w:val="24"/>
          <w:szCs w:val="24"/>
          <w:lang w:bidi="en-US"/>
        </w:rPr>
      </w:pPr>
    </w:p>
    <w:p w14:paraId="0DCE16AA" w14:textId="77777777" w:rsidR="00532DEA" w:rsidRPr="00283879" w:rsidRDefault="00F13A0F" w:rsidP="00F1519D">
      <w:pPr>
        <w:pStyle w:val="ac"/>
        <w:widowControl w:val="0"/>
        <w:topLinePunct/>
        <w:adjustRightInd/>
        <w:ind w:leftChars="780" w:left="1560"/>
        <w:jc w:val="both"/>
        <w:rPr>
          <w:bCs/>
          <w:i/>
          <w:sz w:val="24"/>
          <w:szCs w:val="24"/>
          <w:lang w:bidi="en-US"/>
        </w:rPr>
      </w:pPr>
      <w:r w:rsidRPr="00283879">
        <w:rPr>
          <w:i/>
          <w:sz w:val="24"/>
          <w:szCs w:val="24"/>
          <w:shd w:val="clear" w:color="auto" w:fill="FFFFFF"/>
        </w:rPr>
        <w:t>‘</w:t>
      </w:r>
      <w:r w:rsidR="00532DEA" w:rsidRPr="00283879">
        <w:rPr>
          <w:i/>
          <w:sz w:val="24"/>
          <w:szCs w:val="24"/>
          <w:shd w:val="clear" w:color="auto" w:fill="FFFFFF"/>
        </w:rPr>
        <w:t>Save with the consent of the Board and on such terms as the Board may determine, an appellant may not at the hearing of his appeal rely on any grounds of appeal other than the grounds contained in his statement of grounds of appeal given in accordance with subsection (1).</w:t>
      </w:r>
      <w:r w:rsidRPr="00283879">
        <w:rPr>
          <w:i/>
          <w:sz w:val="24"/>
          <w:szCs w:val="24"/>
          <w:shd w:val="clear" w:color="auto" w:fill="FFFFFF"/>
        </w:rPr>
        <w:t>’</w:t>
      </w:r>
    </w:p>
    <w:p w14:paraId="364842E9" w14:textId="77777777" w:rsidR="00532DEA" w:rsidRPr="00283879" w:rsidRDefault="00532DEA" w:rsidP="00337A09">
      <w:pPr>
        <w:pStyle w:val="ac"/>
        <w:widowControl w:val="0"/>
        <w:topLinePunct/>
        <w:adjustRightInd/>
        <w:ind w:left="400"/>
        <w:jc w:val="both"/>
        <w:rPr>
          <w:bCs/>
          <w:sz w:val="24"/>
          <w:szCs w:val="24"/>
          <w:lang w:bidi="en-US"/>
        </w:rPr>
      </w:pPr>
    </w:p>
    <w:p w14:paraId="0D3BC59B" w14:textId="77777777" w:rsidR="00532DEA" w:rsidRPr="00283879" w:rsidRDefault="00532DEA" w:rsidP="00FF688A">
      <w:pPr>
        <w:pStyle w:val="ac"/>
        <w:widowControl w:val="0"/>
        <w:numPr>
          <w:ilvl w:val="0"/>
          <w:numId w:val="3"/>
        </w:numPr>
        <w:topLinePunct/>
        <w:adjustRightInd/>
        <w:ind w:leftChars="0" w:left="0" w:firstLine="0"/>
        <w:jc w:val="both"/>
        <w:textAlignment w:val="auto"/>
        <w:rPr>
          <w:bCs/>
          <w:sz w:val="24"/>
          <w:szCs w:val="24"/>
          <w:lang w:bidi="en-US"/>
        </w:rPr>
      </w:pPr>
      <w:r w:rsidRPr="00283879">
        <w:rPr>
          <w:bCs/>
          <w:sz w:val="24"/>
          <w:szCs w:val="24"/>
          <w:lang w:bidi="en-US"/>
        </w:rPr>
        <w:t xml:space="preserve">Under </w:t>
      </w:r>
      <w:r w:rsidR="00871A11" w:rsidRPr="00283879">
        <w:rPr>
          <w:bCs/>
          <w:sz w:val="24"/>
          <w:szCs w:val="24"/>
          <w:lang w:bidi="en-US"/>
        </w:rPr>
        <w:t xml:space="preserve">Section </w:t>
      </w:r>
      <w:r w:rsidRPr="00283879">
        <w:rPr>
          <w:bCs/>
          <w:sz w:val="24"/>
          <w:szCs w:val="24"/>
          <w:lang w:bidi="en-US"/>
        </w:rPr>
        <w:t xml:space="preserve">68 (7), the Board is not bound by strict rules of evidence. Nevertheless, as explained by G Lam J (as he then was) in </w:t>
      </w:r>
      <w:r w:rsidRPr="00283879">
        <w:rPr>
          <w:bCs/>
          <w:iCs/>
          <w:sz w:val="24"/>
          <w:szCs w:val="24"/>
          <w:u w:val="single"/>
          <w:lang w:bidi="en-US"/>
        </w:rPr>
        <w:t>CIR v Crown Brilliance Ltd</w:t>
      </w:r>
      <w:r w:rsidRPr="00283879">
        <w:rPr>
          <w:bCs/>
          <w:sz w:val="24"/>
          <w:szCs w:val="24"/>
          <w:lang w:bidi="en-US"/>
        </w:rPr>
        <w:t xml:space="preserve"> [2016] 3 HKC 140</w:t>
      </w:r>
      <w:r w:rsidRPr="00283879">
        <w:rPr>
          <w:bCs/>
          <w:i/>
          <w:sz w:val="24"/>
          <w:szCs w:val="24"/>
          <w:lang w:bidi="en-US"/>
        </w:rPr>
        <w:t xml:space="preserve"> </w:t>
      </w:r>
      <w:r w:rsidR="00F13A0F" w:rsidRPr="00283879">
        <w:rPr>
          <w:bCs/>
          <w:i/>
          <w:sz w:val="24"/>
          <w:szCs w:val="24"/>
          <w:lang w:bidi="en-US"/>
        </w:rPr>
        <w:t>‘</w:t>
      </w:r>
      <w:r w:rsidRPr="00283879">
        <w:rPr>
          <w:bCs/>
          <w:i/>
          <w:sz w:val="24"/>
          <w:szCs w:val="24"/>
          <w:lang w:val="en-US" w:bidi="en-US"/>
        </w:rPr>
        <w:t>a fact is not proved by its assertion in argument.  It is proved by evidence, oral or documentary.  The representations and oral submissions made [on behalf of a party], without more, do not amount to evidence.</w:t>
      </w:r>
      <w:r w:rsidR="00F13A0F" w:rsidRPr="00283879">
        <w:rPr>
          <w:bCs/>
          <w:i/>
          <w:sz w:val="24"/>
          <w:szCs w:val="24"/>
          <w:lang w:val="en-US" w:bidi="en-US"/>
        </w:rPr>
        <w:t>’</w:t>
      </w:r>
      <w:r w:rsidRPr="00283879">
        <w:rPr>
          <w:bCs/>
          <w:i/>
          <w:sz w:val="24"/>
          <w:szCs w:val="24"/>
          <w:lang w:val="en-US" w:bidi="en-US"/>
        </w:rPr>
        <w:t xml:space="preserve"> </w:t>
      </w:r>
      <w:r w:rsidRPr="00283879">
        <w:rPr>
          <w:bCs/>
          <w:sz w:val="24"/>
          <w:szCs w:val="24"/>
          <w:lang w:val="en-US" w:bidi="en-US"/>
        </w:rPr>
        <w:t xml:space="preserve">However, </w:t>
      </w:r>
      <w:r w:rsidR="00F13A0F" w:rsidRPr="00283879">
        <w:rPr>
          <w:bCs/>
          <w:i/>
          <w:sz w:val="24"/>
          <w:szCs w:val="24"/>
          <w:lang w:val="en-US" w:bidi="en-US"/>
        </w:rPr>
        <w:t>‘</w:t>
      </w:r>
      <w:r w:rsidRPr="00283879">
        <w:rPr>
          <w:bCs/>
          <w:i/>
          <w:sz w:val="24"/>
          <w:szCs w:val="24"/>
          <w:lang w:val="en-US" w:bidi="en-US"/>
        </w:rPr>
        <w:t>contemporaneous documents submitted [on behalf of a party], at any rate those documents whose authenticity is not in dispute, may be considered by the Board as admissible documentary evidence.</w:t>
      </w:r>
      <w:r w:rsidR="00F13A0F" w:rsidRPr="00283879">
        <w:rPr>
          <w:bCs/>
          <w:i/>
          <w:sz w:val="24"/>
          <w:szCs w:val="24"/>
          <w:lang w:val="en-US" w:bidi="en-US"/>
        </w:rPr>
        <w:t>’</w:t>
      </w:r>
    </w:p>
    <w:p w14:paraId="4918806F" w14:textId="77777777" w:rsidR="00532DEA" w:rsidRPr="00283879" w:rsidRDefault="00532DEA" w:rsidP="00337A09">
      <w:pPr>
        <w:pStyle w:val="ac"/>
        <w:widowControl w:val="0"/>
        <w:topLinePunct/>
        <w:adjustRightInd/>
        <w:ind w:left="400"/>
        <w:jc w:val="both"/>
        <w:rPr>
          <w:bCs/>
          <w:sz w:val="24"/>
          <w:szCs w:val="24"/>
          <w:lang w:bidi="en-US"/>
        </w:rPr>
      </w:pPr>
    </w:p>
    <w:p w14:paraId="4C03F3D9" w14:textId="77777777" w:rsidR="00532DEA" w:rsidRPr="00283879" w:rsidRDefault="00532DEA" w:rsidP="00FF688A">
      <w:pPr>
        <w:pStyle w:val="ac"/>
        <w:widowControl w:val="0"/>
        <w:numPr>
          <w:ilvl w:val="0"/>
          <w:numId w:val="3"/>
        </w:numPr>
        <w:topLinePunct/>
        <w:adjustRightInd/>
        <w:ind w:leftChars="0" w:left="0" w:firstLine="0"/>
        <w:jc w:val="both"/>
        <w:textAlignment w:val="auto"/>
        <w:rPr>
          <w:bCs/>
          <w:sz w:val="24"/>
          <w:szCs w:val="24"/>
          <w:lang w:bidi="en-US"/>
        </w:rPr>
      </w:pPr>
      <w:r w:rsidRPr="00283879">
        <w:rPr>
          <w:bCs/>
          <w:sz w:val="24"/>
          <w:szCs w:val="24"/>
          <w:lang w:bidi="en-US"/>
        </w:rPr>
        <w:t xml:space="preserve">The Board is satisfied that it has sufficient evidence before it to determine the matter fairly between the parties.  As far as the Appellant’s submission could be considered to be factual </w:t>
      </w:r>
      <w:proofErr w:type="gramStart"/>
      <w:r w:rsidRPr="00283879">
        <w:rPr>
          <w:bCs/>
          <w:sz w:val="24"/>
          <w:szCs w:val="24"/>
          <w:lang w:bidi="en-US"/>
        </w:rPr>
        <w:t>evidence</w:t>
      </w:r>
      <w:proofErr w:type="gramEnd"/>
      <w:r w:rsidRPr="00283879">
        <w:rPr>
          <w:bCs/>
          <w:sz w:val="24"/>
          <w:szCs w:val="24"/>
          <w:lang w:bidi="en-US"/>
        </w:rPr>
        <w:t xml:space="preserve"> they were for the most part supported by the documentary evidence.  The Commissioner had an opportunity to rebut these submissions by reference to the evidence.  This decision is based on the documentary evidence that was adduced. </w:t>
      </w:r>
    </w:p>
    <w:p w14:paraId="4EAE9749" w14:textId="77777777" w:rsidR="00532DEA" w:rsidRPr="00283879" w:rsidRDefault="00532DEA" w:rsidP="00337A09">
      <w:pPr>
        <w:pStyle w:val="ac"/>
        <w:widowControl w:val="0"/>
        <w:topLinePunct/>
        <w:adjustRightInd/>
        <w:ind w:left="400"/>
        <w:jc w:val="both"/>
        <w:rPr>
          <w:bCs/>
          <w:sz w:val="24"/>
          <w:szCs w:val="24"/>
          <w:lang w:bidi="en-US"/>
        </w:rPr>
      </w:pPr>
    </w:p>
    <w:p w14:paraId="1AEEA1FD" w14:textId="7E77BE04" w:rsidR="00532DEA" w:rsidRPr="00283879" w:rsidRDefault="00532DEA" w:rsidP="00FF688A">
      <w:pPr>
        <w:pStyle w:val="ac"/>
        <w:widowControl w:val="0"/>
        <w:numPr>
          <w:ilvl w:val="0"/>
          <w:numId w:val="3"/>
        </w:numPr>
        <w:topLinePunct/>
        <w:adjustRightInd/>
        <w:ind w:leftChars="0" w:left="0" w:firstLine="0"/>
        <w:jc w:val="both"/>
        <w:textAlignment w:val="auto"/>
        <w:rPr>
          <w:bCs/>
          <w:sz w:val="24"/>
          <w:szCs w:val="24"/>
          <w:lang w:bidi="en-US"/>
        </w:rPr>
      </w:pPr>
      <w:r w:rsidRPr="00283879">
        <w:rPr>
          <w:bCs/>
          <w:sz w:val="24"/>
          <w:szCs w:val="24"/>
          <w:lang w:bidi="en-US"/>
        </w:rPr>
        <w:t xml:space="preserve">The new evidence the Appellant sought to adduce was to establish the Appellant had signed his Termination Agreement later than 20 November 2018 when it was dated.  As explained at footnote 1 to </w:t>
      </w:r>
      <w:r w:rsidR="000B24C5" w:rsidRPr="00283879">
        <w:rPr>
          <w:bCs/>
          <w:sz w:val="24"/>
          <w:szCs w:val="24"/>
          <w:lang w:bidi="en-US"/>
        </w:rPr>
        <w:t>p</w:t>
      </w:r>
      <w:r w:rsidR="005A3B43" w:rsidRPr="00283879">
        <w:rPr>
          <w:bCs/>
          <w:sz w:val="24"/>
          <w:szCs w:val="24"/>
          <w:lang w:bidi="en-US"/>
        </w:rPr>
        <w:t>aragraph</w:t>
      </w:r>
      <w:r w:rsidRPr="00283879">
        <w:rPr>
          <w:bCs/>
          <w:sz w:val="24"/>
          <w:szCs w:val="24"/>
          <w:lang w:bidi="en-US"/>
        </w:rPr>
        <w:t xml:space="preserve"> 2</w:t>
      </w:r>
      <w:r w:rsidR="00C96B7B" w:rsidRPr="00283879">
        <w:rPr>
          <w:bCs/>
          <w:sz w:val="24"/>
          <w:szCs w:val="24"/>
          <w:lang w:bidi="en-US"/>
        </w:rPr>
        <w:t>9</w:t>
      </w:r>
      <w:r w:rsidRPr="00283879">
        <w:rPr>
          <w:bCs/>
          <w:sz w:val="24"/>
          <w:szCs w:val="24"/>
          <w:lang w:bidi="en-US"/>
        </w:rPr>
        <w:t xml:space="preserve"> below, the date of signing is not relevant.  Both parties agree </w:t>
      </w:r>
      <w:r w:rsidR="00C96B7B" w:rsidRPr="00283879">
        <w:rPr>
          <w:bCs/>
          <w:sz w:val="24"/>
          <w:szCs w:val="24"/>
          <w:lang w:bidi="en-US"/>
        </w:rPr>
        <w:t xml:space="preserve">that </w:t>
      </w:r>
      <w:r w:rsidRPr="00283879">
        <w:rPr>
          <w:bCs/>
          <w:sz w:val="24"/>
          <w:szCs w:val="24"/>
          <w:lang w:bidi="en-US"/>
        </w:rPr>
        <w:t xml:space="preserve">it was signed.  </w:t>
      </w:r>
    </w:p>
    <w:p w14:paraId="4FC931EA" w14:textId="77777777" w:rsidR="00532DEA" w:rsidRPr="00283879" w:rsidRDefault="00532DEA" w:rsidP="00337A09">
      <w:pPr>
        <w:pStyle w:val="ac"/>
        <w:widowControl w:val="0"/>
        <w:topLinePunct/>
        <w:adjustRightInd/>
        <w:ind w:left="400"/>
        <w:jc w:val="both"/>
        <w:rPr>
          <w:bCs/>
          <w:sz w:val="24"/>
          <w:szCs w:val="24"/>
          <w:lang w:bidi="en-US"/>
        </w:rPr>
      </w:pPr>
    </w:p>
    <w:p w14:paraId="748CB107" w14:textId="77777777" w:rsidR="00532DEA" w:rsidRPr="00283879" w:rsidRDefault="00871A11" w:rsidP="00FF688A">
      <w:pPr>
        <w:pStyle w:val="ac"/>
        <w:widowControl w:val="0"/>
        <w:numPr>
          <w:ilvl w:val="0"/>
          <w:numId w:val="3"/>
        </w:numPr>
        <w:topLinePunct/>
        <w:adjustRightInd/>
        <w:ind w:leftChars="0" w:left="0" w:firstLine="0"/>
        <w:jc w:val="both"/>
        <w:textAlignment w:val="auto"/>
        <w:rPr>
          <w:bCs/>
          <w:sz w:val="24"/>
          <w:szCs w:val="24"/>
          <w:lang w:bidi="en-US"/>
        </w:rPr>
      </w:pPr>
      <w:r w:rsidRPr="00283879">
        <w:rPr>
          <w:bCs/>
          <w:sz w:val="24"/>
          <w:szCs w:val="24"/>
          <w:lang w:bidi="en-US"/>
        </w:rPr>
        <w:t xml:space="preserve">Section </w:t>
      </w:r>
      <w:r w:rsidR="00532DEA" w:rsidRPr="00283879">
        <w:rPr>
          <w:bCs/>
          <w:sz w:val="24"/>
          <w:szCs w:val="24"/>
          <w:lang w:bidi="en-US"/>
        </w:rPr>
        <w:t xml:space="preserve">66(3) provides that new grounds of appeal may not be raised without leave of the Board.  Unless there are very strong new grounds or good reasons for failing to raise them before, procedural fairness requires all issues be raised before a hearing.  The new grounds could have and should have been raised earlier.  The Board does not consider them to be particularly strong and sees no reason to allow them to be raised.  As the new grounds require an understanding of the facts and legal issues raised, the Board explains why it does not consider them to be strong at the end of this decision. </w:t>
      </w:r>
    </w:p>
    <w:p w14:paraId="54703D46" w14:textId="77777777" w:rsidR="00532DEA" w:rsidRPr="00283879" w:rsidRDefault="00532DEA" w:rsidP="00337A09">
      <w:pPr>
        <w:widowControl w:val="0"/>
        <w:topLinePunct/>
        <w:adjustRightInd/>
        <w:jc w:val="both"/>
        <w:rPr>
          <w:bCs/>
          <w:sz w:val="24"/>
          <w:szCs w:val="24"/>
          <w:lang w:bidi="en-US"/>
        </w:rPr>
      </w:pPr>
    </w:p>
    <w:p w14:paraId="70EB7746" w14:textId="77777777" w:rsidR="00532DEA" w:rsidRPr="00283879" w:rsidRDefault="00532DEA" w:rsidP="00337A09">
      <w:pPr>
        <w:widowControl w:val="0"/>
        <w:topLinePunct/>
        <w:adjustRightInd/>
        <w:jc w:val="both"/>
        <w:rPr>
          <w:b/>
          <w:bCs/>
          <w:i/>
          <w:sz w:val="24"/>
          <w:szCs w:val="24"/>
        </w:rPr>
      </w:pPr>
      <w:r w:rsidRPr="00283879">
        <w:rPr>
          <w:b/>
          <w:bCs/>
          <w:i/>
          <w:sz w:val="24"/>
          <w:szCs w:val="24"/>
        </w:rPr>
        <w:t>Background facts and relevant evidence</w:t>
      </w:r>
    </w:p>
    <w:p w14:paraId="144BB843" w14:textId="77777777" w:rsidR="001B3588" w:rsidRPr="00283879" w:rsidRDefault="001B3588" w:rsidP="00337A09">
      <w:pPr>
        <w:widowControl w:val="0"/>
        <w:topLinePunct/>
        <w:adjustRightInd/>
        <w:jc w:val="both"/>
        <w:rPr>
          <w:b/>
          <w:bCs/>
          <w:sz w:val="24"/>
          <w:szCs w:val="24"/>
          <w:u w:val="single"/>
        </w:rPr>
      </w:pPr>
    </w:p>
    <w:p w14:paraId="37E89152"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The background to this matter and relevant evidence are set out below. </w:t>
      </w:r>
    </w:p>
    <w:p w14:paraId="757BA987" w14:textId="77777777" w:rsidR="00924FD8" w:rsidRPr="00283879" w:rsidRDefault="00924FD8" w:rsidP="00BF7C54">
      <w:pPr>
        <w:widowControl w:val="0"/>
        <w:topLinePunct/>
        <w:adjustRightInd/>
        <w:jc w:val="both"/>
        <w:rPr>
          <w:sz w:val="24"/>
          <w:szCs w:val="24"/>
          <w:lang w:val="en-US"/>
        </w:rPr>
      </w:pPr>
    </w:p>
    <w:p w14:paraId="2423A498" w14:textId="12223CC0"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By an employment contract dated 22 September 2015 (</w:t>
      </w:r>
      <w:r w:rsidR="00F13A0F" w:rsidRPr="00283879">
        <w:rPr>
          <w:sz w:val="24"/>
          <w:szCs w:val="24"/>
          <w:lang w:val="en-US"/>
        </w:rPr>
        <w:t>‘</w:t>
      </w:r>
      <w:r w:rsidRPr="00283879">
        <w:rPr>
          <w:sz w:val="24"/>
          <w:szCs w:val="24"/>
          <w:lang w:val="en-US"/>
        </w:rPr>
        <w:t xml:space="preserve">the </w:t>
      </w:r>
      <w:r w:rsidR="00FD2384" w:rsidRPr="00283879">
        <w:rPr>
          <w:sz w:val="24"/>
          <w:szCs w:val="24"/>
          <w:lang w:val="en-US"/>
        </w:rPr>
        <w:t>Company A</w:t>
      </w:r>
      <w:r w:rsidRPr="00283879">
        <w:rPr>
          <w:sz w:val="24"/>
          <w:szCs w:val="24"/>
          <w:lang w:val="en-US"/>
        </w:rPr>
        <w:t xml:space="preserve"> Contract</w:t>
      </w:r>
      <w:r w:rsidR="00F13A0F" w:rsidRPr="00283879">
        <w:rPr>
          <w:sz w:val="24"/>
          <w:szCs w:val="24"/>
          <w:lang w:val="en-US"/>
        </w:rPr>
        <w:t>’</w:t>
      </w:r>
      <w:r w:rsidRPr="00283879">
        <w:rPr>
          <w:sz w:val="24"/>
          <w:szCs w:val="24"/>
          <w:lang w:val="en-US"/>
        </w:rPr>
        <w:t xml:space="preserve">), the Appellant was employed by </w:t>
      </w:r>
      <w:r w:rsidR="00FD2384" w:rsidRPr="00283879">
        <w:rPr>
          <w:sz w:val="24"/>
          <w:szCs w:val="24"/>
          <w:lang w:val="en-US"/>
        </w:rPr>
        <w:t>Company A</w:t>
      </w:r>
      <w:r w:rsidRPr="00283879">
        <w:rPr>
          <w:sz w:val="24"/>
          <w:szCs w:val="24"/>
          <w:lang w:val="en-US"/>
        </w:rPr>
        <w:t xml:space="preserve"> as </w:t>
      </w:r>
      <w:r w:rsidR="00FD2384" w:rsidRPr="00283879">
        <w:rPr>
          <w:sz w:val="24"/>
          <w:szCs w:val="24"/>
          <w:lang w:val="en-US"/>
        </w:rPr>
        <w:t>Position B</w:t>
      </w:r>
      <w:r w:rsidRPr="00283879">
        <w:rPr>
          <w:sz w:val="24"/>
          <w:szCs w:val="24"/>
          <w:lang w:val="en-US"/>
        </w:rPr>
        <w:t xml:space="preserve"> with effect from 1 November 2015.  The Appellant was at the time the contract was signed</w:t>
      </w:r>
      <w:r w:rsidR="00C06953" w:rsidRPr="00283879">
        <w:rPr>
          <w:sz w:val="24"/>
          <w:szCs w:val="24"/>
          <w:lang w:val="en-US"/>
        </w:rPr>
        <w:t xml:space="preserve"> </w:t>
      </w:r>
      <w:r w:rsidR="00292E14" w:rsidRPr="00283879">
        <w:rPr>
          <w:sz w:val="24"/>
          <w:szCs w:val="24"/>
          <w:lang w:val="en-US"/>
        </w:rPr>
        <w:t>and</w:t>
      </w:r>
      <w:r w:rsidRPr="00283879">
        <w:rPr>
          <w:sz w:val="24"/>
          <w:szCs w:val="24"/>
          <w:lang w:val="en-US"/>
        </w:rPr>
        <w:t xml:space="preserve"> employed by the </w:t>
      </w:r>
      <w:r w:rsidR="00FD2384" w:rsidRPr="00283879">
        <w:rPr>
          <w:sz w:val="24"/>
          <w:szCs w:val="24"/>
          <w:lang w:val="en-US"/>
        </w:rPr>
        <w:t>Company C</w:t>
      </w:r>
      <w:r w:rsidRPr="00283879">
        <w:rPr>
          <w:sz w:val="24"/>
          <w:szCs w:val="24"/>
          <w:lang w:val="en-US"/>
        </w:rPr>
        <w:t xml:space="preserve"> in </w:t>
      </w:r>
      <w:r w:rsidR="00FF2537" w:rsidRPr="00283879">
        <w:rPr>
          <w:sz w:val="24"/>
          <w:szCs w:val="24"/>
          <w:lang w:val="en-US"/>
        </w:rPr>
        <w:t xml:space="preserve">Country </w:t>
      </w:r>
      <w:r w:rsidR="00460EAE" w:rsidRPr="00283879">
        <w:rPr>
          <w:sz w:val="24"/>
          <w:szCs w:val="24"/>
          <w:lang w:val="en-US"/>
        </w:rPr>
        <w:t>E</w:t>
      </w:r>
      <w:r w:rsidRPr="00283879">
        <w:rPr>
          <w:sz w:val="24"/>
          <w:szCs w:val="24"/>
          <w:lang w:val="en-US"/>
        </w:rPr>
        <w:t xml:space="preserve">. </w:t>
      </w:r>
      <w:r w:rsidR="00FD2384" w:rsidRPr="00283879">
        <w:rPr>
          <w:sz w:val="24"/>
          <w:szCs w:val="24"/>
          <w:lang w:val="en-US"/>
        </w:rPr>
        <w:t>Company C</w:t>
      </w:r>
      <w:r w:rsidRPr="00283879">
        <w:rPr>
          <w:sz w:val="24"/>
          <w:szCs w:val="24"/>
          <w:lang w:val="en-US"/>
        </w:rPr>
        <w:t xml:space="preserve"> granted him permission to </w:t>
      </w:r>
      <w:r w:rsidR="00FA2F86" w:rsidRPr="00283879">
        <w:rPr>
          <w:sz w:val="24"/>
          <w:szCs w:val="24"/>
          <w:lang w:val="en-US"/>
        </w:rPr>
        <w:t>take unpaid leave</w:t>
      </w:r>
      <w:r w:rsidRPr="00283879">
        <w:rPr>
          <w:sz w:val="24"/>
          <w:szCs w:val="24"/>
          <w:lang w:val="en-US"/>
        </w:rPr>
        <w:t xml:space="preserve"> from</w:t>
      </w:r>
      <w:r w:rsidR="00FA2F86" w:rsidRPr="00283879">
        <w:rPr>
          <w:sz w:val="24"/>
          <w:szCs w:val="24"/>
          <w:lang w:val="en-US"/>
        </w:rPr>
        <w:t xml:space="preserve"> 1</w:t>
      </w:r>
      <w:r w:rsidRPr="00283879">
        <w:rPr>
          <w:sz w:val="24"/>
          <w:szCs w:val="24"/>
          <w:lang w:val="en-US"/>
        </w:rPr>
        <w:t xml:space="preserve"> December, 2015 to </w:t>
      </w:r>
      <w:r w:rsidR="00FA2F86" w:rsidRPr="00283879">
        <w:rPr>
          <w:sz w:val="24"/>
          <w:szCs w:val="24"/>
          <w:lang w:val="en-US"/>
        </w:rPr>
        <w:t xml:space="preserve">29 </w:t>
      </w:r>
      <w:r w:rsidRPr="00283879">
        <w:rPr>
          <w:sz w:val="24"/>
          <w:szCs w:val="24"/>
          <w:lang w:val="en-US"/>
        </w:rPr>
        <w:t xml:space="preserve">November, 2017 to take up the position with </w:t>
      </w:r>
      <w:r w:rsidR="00FD2384" w:rsidRPr="00283879">
        <w:rPr>
          <w:sz w:val="24"/>
          <w:szCs w:val="24"/>
          <w:lang w:val="en-US"/>
        </w:rPr>
        <w:t>Company A</w:t>
      </w:r>
      <w:r w:rsidRPr="00283879">
        <w:rPr>
          <w:sz w:val="24"/>
          <w:szCs w:val="24"/>
          <w:lang w:val="en-US"/>
        </w:rPr>
        <w:t xml:space="preserve">.  </w:t>
      </w:r>
    </w:p>
    <w:p w14:paraId="066E1B23" w14:textId="77777777" w:rsidR="00532DEA" w:rsidRPr="00283879" w:rsidRDefault="00532DEA" w:rsidP="00337A09">
      <w:pPr>
        <w:pStyle w:val="ac"/>
        <w:widowControl w:val="0"/>
        <w:topLinePunct/>
        <w:adjustRightInd/>
        <w:ind w:left="400"/>
        <w:jc w:val="both"/>
        <w:rPr>
          <w:sz w:val="24"/>
          <w:szCs w:val="24"/>
          <w:lang w:val="en-US"/>
        </w:rPr>
      </w:pPr>
    </w:p>
    <w:p w14:paraId="4913BED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The </w:t>
      </w:r>
      <w:r w:rsidR="00FD2384" w:rsidRPr="00283879">
        <w:rPr>
          <w:sz w:val="24"/>
          <w:szCs w:val="24"/>
          <w:lang w:val="en-US"/>
        </w:rPr>
        <w:t>Company A</w:t>
      </w:r>
      <w:r w:rsidRPr="00283879">
        <w:rPr>
          <w:sz w:val="24"/>
          <w:szCs w:val="24"/>
          <w:lang w:val="en-US"/>
        </w:rPr>
        <w:t xml:space="preserve"> Contract, among other things, had the following terms and conditions:</w:t>
      </w:r>
    </w:p>
    <w:p w14:paraId="158E2A7C" w14:textId="77777777" w:rsidR="001B3588" w:rsidRPr="00283879" w:rsidRDefault="001B3588" w:rsidP="001B3588">
      <w:pPr>
        <w:pStyle w:val="ac"/>
        <w:widowControl w:val="0"/>
        <w:topLinePunct/>
        <w:adjustRightInd/>
        <w:ind w:leftChars="0" w:left="502"/>
        <w:jc w:val="both"/>
        <w:textAlignment w:val="auto"/>
        <w:rPr>
          <w:sz w:val="24"/>
          <w:szCs w:val="24"/>
          <w:lang w:val="en-US"/>
        </w:rPr>
      </w:pPr>
    </w:p>
    <w:p w14:paraId="0A0096BD" w14:textId="77777777" w:rsidR="00532DEA" w:rsidRPr="00283879" w:rsidRDefault="00532DEA" w:rsidP="00172EA2">
      <w:pPr>
        <w:pStyle w:val="ac"/>
        <w:widowControl w:val="0"/>
        <w:numPr>
          <w:ilvl w:val="0"/>
          <w:numId w:val="10"/>
        </w:numPr>
        <w:topLinePunct/>
        <w:adjustRightInd/>
        <w:ind w:leftChars="0" w:left="2127" w:hanging="567"/>
        <w:jc w:val="both"/>
        <w:textAlignment w:val="auto"/>
        <w:rPr>
          <w:sz w:val="24"/>
          <w:szCs w:val="24"/>
          <w:lang w:val="en-US"/>
        </w:rPr>
      </w:pPr>
      <w:r w:rsidRPr="00283879">
        <w:rPr>
          <w:sz w:val="24"/>
          <w:szCs w:val="24"/>
          <w:lang w:val="en-US"/>
        </w:rPr>
        <w:t xml:space="preserve">The Appellant’s position should be based in </w:t>
      </w:r>
      <w:r w:rsidR="00E57B6E" w:rsidRPr="00283879">
        <w:rPr>
          <w:sz w:val="24"/>
          <w:szCs w:val="24"/>
          <w:lang w:val="en-US"/>
        </w:rPr>
        <w:t>City F</w:t>
      </w:r>
      <w:r w:rsidRPr="00283879">
        <w:rPr>
          <w:sz w:val="24"/>
          <w:szCs w:val="24"/>
          <w:lang w:val="en-US"/>
        </w:rPr>
        <w:t xml:space="preserve">, </w:t>
      </w:r>
      <w:r w:rsidR="002805CC" w:rsidRPr="00283879">
        <w:rPr>
          <w:sz w:val="24"/>
          <w:szCs w:val="24"/>
          <w:lang w:val="en-US"/>
        </w:rPr>
        <w:t>Country G</w:t>
      </w:r>
      <w:r w:rsidRPr="00283879">
        <w:rPr>
          <w:sz w:val="24"/>
          <w:szCs w:val="24"/>
          <w:lang w:val="en-US"/>
        </w:rPr>
        <w:t xml:space="preserve">.  However, </w:t>
      </w:r>
      <w:r w:rsidR="00FD2384" w:rsidRPr="00283879">
        <w:rPr>
          <w:sz w:val="24"/>
          <w:szCs w:val="24"/>
          <w:lang w:val="en-US"/>
        </w:rPr>
        <w:t>Company A</w:t>
      </w:r>
      <w:r w:rsidRPr="00283879">
        <w:rPr>
          <w:sz w:val="24"/>
          <w:szCs w:val="24"/>
          <w:lang w:val="en-US"/>
        </w:rPr>
        <w:t xml:space="preserve"> reserved the right to transfer him to a diff</w:t>
      </w:r>
      <w:r w:rsidR="0021127D" w:rsidRPr="00283879">
        <w:rPr>
          <w:sz w:val="24"/>
          <w:szCs w:val="24"/>
          <w:lang w:val="en-US"/>
        </w:rPr>
        <w:t xml:space="preserve">erent place of work if needed. </w:t>
      </w:r>
      <w:r w:rsidRPr="00283879">
        <w:rPr>
          <w:sz w:val="24"/>
          <w:szCs w:val="24"/>
          <w:lang w:val="en-US"/>
        </w:rPr>
        <w:t xml:space="preserve">That reservation of right was also applicable to his employment with another company with the </w:t>
      </w:r>
      <w:r w:rsidR="00C412E3" w:rsidRPr="00283879">
        <w:rPr>
          <w:sz w:val="24"/>
          <w:szCs w:val="24"/>
          <w:lang w:val="en-US"/>
        </w:rPr>
        <w:t>Company A</w:t>
      </w:r>
      <w:r w:rsidRPr="00283879">
        <w:rPr>
          <w:sz w:val="24"/>
          <w:szCs w:val="24"/>
          <w:lang w:val="en-US"/>
        </w:rPr>
        <w:t xml:space="preserve"> Group (</w:t>
      </w:r>
      <w:r w:rsidR="00F13A0F" w:rsidRPr="00283879">
        <w:rPr>
          <w:sz w:val="24"/>
          <w:szCs w:val="24"/>
          <w:lang w:val="en-US"/>
        </w:rPr>
        <w:t>‘</w:t>
      </w:r>
      <w:r w:rsidRPr="00283879">
        <w:rPr>
          <w:sz w:val="24"/>
          <w:szCs w:val="24"/>
          <w:lang w:val="en-US"/>
        </w:rPr>
        <w:t>the Group</w:t>
      </w:r>
      <w:r w:rsidR="00F13A0F" w:rsidRPr="00283879">
        <w:rPr>
          <w:sz w:val="24"/>
          <w:szCs w:val="24"/>
          <w:lang w:val="en-US"/>
        </w:rPr>
        <w:t>’</w:t>
      </w:r>
      <w:r w:rsidRPr="00283879">
        <w:rPr>
          <w:sz w:val="24"/>
          <w:szCs w:val="24"/>
          <w:lang w:val="en-US"/>
        </w:rPr>
        <w:t>). (Clauses 1a, 1b and 1c)</w:t>
      </w:r>
    </w:p>
    <w:p w14:paraId="53A39345" w14:textId="77777777" w:rsidR="001B3588" w:rsidRPr="00283879" w:rsidRDefault="001B3588" w:rsidP="001B3588">
      <w:pPr>
        <w:pStyle w:val="ac"/>
        <w:widowControl w:val="0"/>
        <w:topLinePunct/>
        <w:adjustRightInd/>
        <w:ind w:leftChars="0" w:left="1134"/>
        <w:jc w:val="both"/>
        <w:textAlignment w:val="auto"/>
        <w:rPr>
          <w:sz w:val="24"/>
          <w:szCs w:val="24"/>
          <w:lang w:val="en-US"/>
        </w:rPr>
      </w:pPr>
    </w:p>
    <w:p w14:paraId="4555AA43" w14:textId="77777777" w:rsidR="00532DEA" w:rsidRPr="00283879" w:rsidRDefault="00532DEA" w:rsidP="00172EA2">
      <w:pPr>
        <w:pStyle w:val="ac"/>
        <w:widowControl w:val="0"/>
        <w:numPr>
          <w:ilvl w:val="0"/>
          <w:numId w:val="10"/>
        </w:numPr>
        <w:topLinePunct/>
        <w:adjustRightInd/>
        <w:ind w:leftChars="0" w:left="2127" w:hanging="567"/>
        <w:jc w:val="both"/>
        <w:textAlignment w:val="auto"/>
        <w:rPr>
          <w:sz w:val="24"/>
          <w:szCs w:val="24"/>
          <w:lang w:val="en-US"/>
        </w:rPr>
      </w:pPr>
      <w:r w:rsidRPr="00283879">
        <w:rPr>
          <w:sz w:val="24"/>
          <w:szCs w:val="24"/>
          <w:lang w:val="en-US"/>
        </w:rPr>
        <w:t>In case another company within the Group assumed the Appellant’s scope of duties, the Appellant agreed that his employment including all rights and duties should be transferred to that company. (Clause 1d)</w:t>
      </w:r>
    </w:p>
    <w:p w14:paraId="0271B146" w14:textId="77777777" w:rsidR="001B3588" w:rsidRPr="00283879" w:rsidRDefault="001B3588" w:rsidP="001B3588">
      <w:pPr>
        <w:pStyle w:val="ac"/>
        <w:widowControl w:val="0"/>
        <w:topLinePunct/>
        <w:adjustRightInd/>
        <w:ind w:leftChars="0" w:left="1134"/>
        <w:jc w:val="both"/>
        <w:textAlignment w:val="auto"/>
        <w:rPr>
          <w:sz w:val="24"/>
          <w:szCs w:val="24"/>
          <w:lang w:val="en-US"/>
        </w:rPr>
      </w:pPr>
    </w:p>
    <w:p w14:paraId="5EAA713E" w14:textId="77777777" w:rsidR="00532DEA" w:rsidRPr="00283879" w:rsidRDefault="00532DEA" w:rsidP="00172EA2">
      <w:pPr>
        <w:pStyle w:val="ac"/>
        <w:widowControl w:val="0"/>
        <w:numPr>
          <w:ilvl w:val="0"/>
          <w:numId w:val="10"/>
        </w:numPr>
        <w:topLinePunct/>
        <w:adjustRightInd/>
        <w:ind w:leftChars="0" w:left="2127" w:hanging="567"/>
        <w:jc w:val="both"/>
        <w:textAlignment w:val="auto"/>
        <w:rPr>
          <w:sz w:val="24"/>
          <w:szCs w:val="24"/>
          <w:lang w:val="en-US"/>
        </w:rPr>
      </w:pPr>
      <w:r w:rsidRPr="00283879">
        <w:rPr>
          <w:sz w:val="24"/>
          <w:szCs w:val="24"/>
          <w:lang w:val="en-US"/>
        </w:rPr>
        <w:t>The Appellant’s employment could be terminated by either party with a notice period of three months to take effect at the end of a calendar month.  Any notice of termination should be in writing. (Clauses 13a and 13b)</w:t>
      </w:r>
    </w:p>
    <w:p w14:paraId="4BC734D0" w14:textId="77777777" w:rsidR="00532DEA" w:rsidRPr="00283879" w:rsidRDefault="00532DEA" w:rsidP="00337A09">
      <w:pPr>
        <w:pStyle w:val="ac"/>
        <w:widowControl w:val="0"/>
        <w:topLinePunct/>
        <w:adjustRightInd/>
        <w:ind w:left="400"/>
        <w:jc w:val="both"/>
        <w:rPr>
          <w:sz w:val="24"/>
          <w:szCs w:val="24"/>
          <w:lang w:val="en-US"/>
        </w:rPr>
      </w:pPr>
    </w:p>
    <w:p w14:paraId="3441DF83"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By an International Assignment Contract dated 24 September 2015 (</w:t>
      </w:r>
      <w:r w:rsidR="00F13A0F" w:rsidRPr="00283879">
        <w:rPr>
          <w:sz w:val="24"/>
          <w:szCs w:val="24"/>
          <w:lang w:val="en-US"/>
        </w:rPr>
        <w:t>‘</w:t>
      </w:r>
      <w:r w:rsidRPr="00283879">
        <w:rPr>
          <w:sz w:val="24"/>
          <w:szCs w:val="24"/>
          <w:lang w:val="en-US"/>
        </w:rPr>
        <w:t xml:space="preserve">the </w:t>
      </w:r>
      <w:r w:rsidR="0055337C" w:rsidRPr="00283879">
        <w:rPr>
          <w:sz w:val="24"/>
          <w:szCs w:val="24"/>
          <w:lang w:val="en-US"/>
        </w:rPr>
        <w:t>Company H</w:t>
      </w:r>
      <w:r w:rsidRPr="00283879">
        <w:rPr>
          <w:sz w:val="24"/>
          <w:szCs w:val="24"/>
          <w:lang w:val="en-US"/>
        </w:rPr>
        <w:t xml:space="preserve"> Contract</w:t>
      </w:r>
      <w:r w:rsidR="00F13A0F" w:rsidRPr="00283879">
        <w:rPr>
          <w:sz w:val="24"/>
          <w:szCs w:val="24"/>
          <w:lang w:val="en-US"/>
        </w:rPr>
        <w:t>’</w:t>
      </w:r>
      <w:r w:rsidRPr="00283879">
        <w:rPr>
          <w:sz w:val="24"/>
          <w:szCs w:val="24"/>
          <w:lang w:val="en-US"/>
        </w:rPr>
        <w:t xml:space="preserve">), the Appellant was assigned by </w:t>
      </w:r>
      <w:r w:rsidR="00FD2384" w:rsidRPr="00283879">
        <w:rPr>
          <w:sz w:val="24"/>
          <w:szCs w:val="24"/>
          <w:lang w:val="en-US"/>
        </w:rPr>
        <w:t>Company A</w:t>
      </w:r>
      <w:r w:rsidRPr="00283879">
        <w:rPr>
          <w:sz w:val="24"/>
          <w:szCs w:val="24"/>
          <w:lang w:val="en-US"/>
        </w:rPr>
        <w:t xml:space="preserve"> to </w:t>
      </w:r>
      <w:r w:rsidR="0055337C" w:rsidRPr="00283879">
        <w:rPr>
          <w:sz w:val="24"/>
          <w:szCs w:val="24"/>
          <w:lang w:val="en-US"/>
        </w:rPr>
        <w:t>Company H</w:t>
      </w:r>
      <w:r w:rsidRPr="00283879">
        <w:rPr>
          <w:sz w:val="24"/>
          <w:szCs w:val="24"/>
          <w:lang w:val="en-US"/>
        </w:rPr>
        <w:t xml:space="preserve"> (which changed its name to </w:t>
      </w:r>
      <w:r w:rsidR="000243D1" w:rsidRPr="00283879">
        <w:rPr>
          <w:sz w:val="24"/>
          <w:szCs w:val="24"/>
          <w:lang w:val="en-US"/>
        </w:rPr>
        <w:t xml:space="preserve">Company </w:t>
      </w:r>
      <w:r w:rsidR="00A4551F" w:rsidRPr="00283879">
        <w:rPr>
          <w:sz w:val="24"/>
          <w:szCs w:val="24"/>
          <w:lang w:val="en-US"/>
        </w:rPr>
        <w:t>K</w:t>
      </w:r>
      <w:r w:rsidRPr="00283879">
        <w:rPr>
          <w:sz w:val="24"/>
          <w:szCs w:val="24"/>
          <w:lang w:val="en-US"/>
        </w:rPr>
        <w:t xml:space="preserve"> in July 2017) (</w:t>
      </w:r>
      <w:r w:rsidR="00F13A0F" w:rsidRPr="00283879">
        <w:rPr>
          <w:sz w:val="24"/>
          <w:szCs w:val="24"/>
          <w:lang w:val="en-US"/>
        </w:rPr>
        <w:t>‘</w:t>
      </w:r>
      <w:r w:rsidR="007E5D66" w:rsidRPr="00283879">
        <w:rPr>
          <w:sz w:val="24"/>
          <w:szCs w:val="24"/>
          <w:lang w:val="en-US"/>
        </w:rPr>
        <w:t>Company H</w:t>
      </w:r>
      <w:r w:rsidR="00F13A0F" w:rsidRPr="00283879">
        <w:rPr>
          <w:sz w:val="24"/>
          <w:szCs w:val="24"/>
          <w:lang w:val="en-US"/>
        </w:rPr>
        <w:t>’</w:t>
      </w:r>
      <w:r w:rsidRPr="00283879">
        <w:rPr>
          <w:sz w:val="24"/>
          <w:szCs w:val="24"/>
          <w:lang w:val="en-US"/>
        </w:rPr>
        <w:t xml:space="preserve">) in Hong Kong as </w:t>
      </w:r>
      <w:r w:rsidR="00A8159B" w:rsidRPr="00283879">
        <w:rPr>
          <w:sz w:val="24"/>
          <w:szCs w:val="24"/>
          <w:lang w:val="en-US"/>
        </w:rPr>
        <w:t>Position J</w:t>
      </w:r>
      <w:r w:rsidRPr="00283879">
        <w:rPr>
          <w:sz w:val="24"/>
          <w:szCs w:val="24"/>
          <w:lang w:val="en-US"/>
        </w:rPr>
        <w:t xml:space="preserve"> effective from 1 November 2015 under, among other things, the following terms and conditions:</w:t>
      </w:r>
    </w:p>
    <w:p w14:paraId="5E287729" w14:textId="77777777" w:rsidR="00EB265E" w:rsidRPr="00283879" w:rsidRDefault="00EB265E" w:rsidP="00EB265E">
      <w:pPr>
        <w:pStyle w:val="ac"/>
        <w:widowControl w:val="0"/>
        <w:topLinePunct/>
        <w:adjustRightInd/>
        <w:ind w:leftChars="0" w:left="502"/>
        <w:jc w:val="both"/>
        <w:textAlignment w:val="auto"/>
        <w:rPr>
          <w:sz w:val="24"/>
          <w:szCs w:val="24"/>
          <w:lang w:val="en-US"/>
        </w:rPr>
      </w:pPr>
    </w:p>
    <w:p w14:paraId="5170402D" w14:textId="77777777" w:rsidR="00532DEA" w:rsidRPr="00283879" w:rsidRDefault="00532DEA" w:rsidP="004A4E5E">
      <w:pPr>
        <w:pStyle w:val="ac"/>
        <w:widowControl w:val="0"/>
        <w:numPr>
          <w:ilvl w:val="0"/>
          <w:numId w:val="11"/>
        </w:numPr>
        <w:topLinePunct/>
        <w:adjustRightInd/>
        <w:ind w:leftChars="0" w:left="2127" w:hanging="567"/>
        <w:jc w:val="both"/>
        <w:textAlignment w:val="auto"/>
        <w:rPr>
          <w:sz w:val="24"/>
          <w:szCs w:val="24"/>
          <w:lang w:val="en-US"/>
        </w:rPr>
      </w:pPr>
      <w:r w:rsidRPr="00283879">
        <w:rPr>
          <w:sz w:val="24"/>
          <w:szCs w:val="24"/>
          <w:lang w:val="en-US"/>
        </w:rPr>
        <w:t xml:space="preserve">For the term of the </w:t>
      </w:r>
      <w:r w:rsidR="0055337C" w:rsidRPr="00283879">
        <w:rPr>
          <w:sz w:val="24"/>
          <w:szCs w:val="24"/>
          <w:lang w:val="en-US"/>
        </w:rPr>
        <w:t>Company H</w:t>
      </w:r>
      <w:r w:rsidRPr="00283879">
        <w:rPr>
          <w:sz w:val="24"/>
          <w:szCs w:val="24"/>
          <w:lang w:val="en-US"/>
        </w:rPr>
        <w:t xml:space="preserve"> Contract, the mutual rights and obligations under the </w:t>
      </w:r>
      <w:r w:rsidR="00FD2384" w:rsidRPr="00283879">
        <w:rPr>
          <w:sz w:val="24"/>
          <w:szCs w:val="24"/>
          <w:lang w:val="en-US"/>
        </w:rPr>
        <w:t>Company A</w:t>
      </w:r>
      <w:r w:rsidRPr="00283879">
        <w:rPr>
          <w:sz w:val="24"/>
          <w:szCs w:val="24"/>
          <w:lang w:val="en-US"/>
        </w:rPr>
        <w:t xml:space="preserve"> Contract would be suspended.  </w:t>
      </w:r>
    </w:p>
    <w:p w14:paraId="5A5AE7D8" w14:textId="77777777" w:rsidR="00EB265E" w:rsidRPr="00283879" w:rsidRDefault="00EB265E" w:rsidP="00EB265E">
      <w:pPr>
        <w:pStyle w:val="ac"/>
        <w:widowControl w:val="0"/>
        <w:topLinePunct/>
        <w:adjustRightInd/>
        <w:ind w:leftChars="0" w:left="1134"/>
        <w:jc w:val="both"/>
        <w:textAlignment w:val="auto"/>
        <w:rPr>
          <w:sz w:val="24"/>
          <w:szCs w:val="24"/>
          <w:lang w:val="en-US"/>
        </w:rPr>
      </w:pPr>
    </w:p>
    <w:p w14:paraId="6C7D4014" w14:textId="77777777" w:rsidR="00532DEA" w:rsidRPr="00283879" w:rsidRDefault="00532DEA" w:rsidP="004A4E5E">
      <w:pPr>
        <w:pStyle w:val="ac"/>
        <w:widowControl w:val="0"/>
        <w:numPr>
          <w:ilvl w:val="0"/>
          <w:numId w:val="11"/>
        </w:numPr>
        <w:topLinePunct/>
        <w:adjustRightInd/>
        <w:ind w:leftChars="0" w:left="2127" w:hanging="567"/>
        <w:jc w:val="both"/>
        <w:textAlignment w:val="auto"/>
        <w:rPr>
          <w:sz w:val="24"/>
          <w:szCs w:val="24"/>
          <w:lang w:val="en-US"/>
        </w:rPr>
      </w:pPr>
      <w:r w:rsidRPr="00283879">
        <w:rPr>
          <w:sz w:val="24"/>
          <w:szCs w:val="24"/>
          <w:lang w:val="en-US"/>
        </w:rPr>
        <w:t xml:space="preserve">However, subject to compliance with the stipulations outlined under Article 1.2, all stipulations of the </w:t>
      </w:r>
      <w:r w:rsidR="00FD2384" w:rsidRPr="00283879">
        <w:rPr>
          <w:sz w:val="24"/>
          <w:szCs w:val="24"/>
          <w:lang w:val="en-US"/>
        </w:rPr>
        <w:t>Company A</w:t>
      </w:r>
      <w:r w:rsidRPr="00283879">
        <w:rPr>
          <w:sz w:val="24"/>
          <w:szCs w:val="24"/>
          <w:lang w:val="en-US"/>
        </w:rPr>
        <w:t xml:space="preserve"> Contract regarding the right of the Appellant and </w:t>
      </w:r>
      <w:r w:rsidR="00FD2384" w:rsidRPr="00283879">
        <w:rPr>
          <w:sz w:val="24"/>
          <w:szCs w:val="24"/>
          <w:lang w:val="en-US"/>
        </w:rPr>
        <w:t>Company A</w:t>
      </w:r>
      <w:r w:rsidRPr="00283879">
        <w:rPr>
          <w:sz w:val="24"/>
          <w:szCs w:val="24"/>
          <w:lang w:val="en-US"/>
        </w:rPr>
        <w:t xml:space="preserve"> to terminate the contract would remain in force. (</w:t>
      </w:r>
      <w:r w:rsidR="004F6C96" w:rsidRPr="00283879">
        <w:rPr>
          <w:sz w:val="24"/>
          <w:szCs w:val="24"/>
          <w:lang w:val="en-US"/>
        </w:rPr>
        <w:t>Article</w:t>
      </w:r>
      <w:r w:rsidRPr="00283879">
        <w:rPr>
          <w:sz w:val="24"/>
          <w:szCs w:val="24"/>
          <w:lang w:val="en-US"/>
        </w:rPr>
        <w:t xml:space="preserve"> 1.1)</w:t>
      </w:r>
    </w:p>
    <w:p w14:paraId="1C102DB6" w14:textId="77777777" w:rsidR="00532DEA" w:rsidRPr="00283879" w:rsidRDefault="00532DEA" w:rsidP="00337A09">
      <w:pPr>
        <w:pStyle w:val="ac"/>
        <w:widowControl w:val="0"/>
        <w:topLinePunct/>
        <w:adjustRightInd/>
        <w:ind w:left="400"/>
        <w:jc w:val="both"/>
        <w:rPr>
          <w:sz w:val="24"/>
          <w:szCs w:val="24"/>
          <w:lang w:val="en-US"/>
        </w:rPr>
      </w:pPr>
    </w:p>
    <w:p w14:paraId="33B66F11"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The </w:t>
      </w:r>
      <w:r w:rsidR="0055337C" w:rsidRPr="00283879">
        <w:rPr>
          <w:sz w:val="24"/>
          <w:szCs w:val="24"/>
          <w:lang w:val="en-US"/>
        </w:rPr>
        <w:t>Company H</w:t>
      </w:r>
      <w:r w:rsidRPr="00283879">
        <w:rPr>
          <w:sz w:val="24"/>
          <w:szCs w:val="24"/>
          <w:lang w:val="en-US"/>
        </w:rPr>
        <w:t xml:space="preserve"> Contract was limited to a period of two years.  The </w:t>
      </w:r>
      <w:r w:rsidR="0055337C" w:rsidRPr="00283879">
        <w:rPr>
          <w:sz w:val="24"/>
          <w:szCs w:val="24"/>
          <w:lang w:val="en-US"/>
        </w:rPr>
        <w:t>Company H</w:t>
      </w:r>
      <w:r w:rsidRPr="00283879">
        <w:rPr>
          <w:sz w:val="24"/>
          <w:szCs w:val="24"/>
          <w:lang w:val="en-US"/>
        </w:rPr>
        <w:t xml:space="preserve"> Contract could be terminated by either party by giving notice for a notice period which was equal to the notice period stipulated in the </w:t>
      </w:r>
      <w:r w:rsidR="00FD2384" w:rsidRPr="00283879">
        <w:rPr>
          <w:sz w:val="24"/>
          <w:szCs w:val="24"/>
          <w:lang w:val="en-US"/>
        </w:rPr>
        <w:t>Company A</w:t>
      </w:r>
      <w:r w:rsidRPr="00283879">
        <w:rPr>
          <w:sz w:val="24"/>
          <w:szCs w:val="24"/>
          <w:lang w:val="en-US"/>
        </w:rPr>
        <w:t xml:space="preserve"> Contract.</w:t>
      </w:r>
    </w:p>
    <w:p w14:paraId="78CFB1BE" w14:textId="77777777" w:rsidR="00532DEA" w:rsidRPr="00283879" w:rsidRDefault="00532DEA" w:rsidP="00337A09">
      <w:pPr>
        <w:pStyle w:val="ac"/>
        <w:widowControl w:val="0"/>
        <w:topLinePunct/>
        <w:adjustRightInd/>
        <w:ind w:left="400"/>
        <w:jc w:val="both"/>
        <w:rPr>
          <w:sz w:val="24"/>
          <w:szCs w:val="24"/>
          <w:lang w:val="en-US"/>
        </w:rPr>
      </w:pPr>
    </w:p>
    <w:p w14:paraId="52E2CCAB"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The </w:t>
      </w:r>
      <w:r w:rsidR="0055337C" w:rsidRPr="00283879">
        <w:rPr>
          <w:sz w:val="24"/>
          <w:szCs w:val="24"/>
          <w:lang w:val="en-US"/>
        </w:rPr>
        <w:t>Company H</w:t>
      </w:r>
      <w:r w:rsidRPr="00283879">
        <w:rPr>
          <w:sz w:val="24"/>
          <w:szCs w:val="24"/>
          <w:lang w:val="en-US"/>
        </w:rPr>
        <w:t xml:space="preserve"> Contract would terminate at the same as the </w:t>
      </w:r>
      <w:r w:rsidR="00FD2384" w:rsidRPr="00283879">
        <w:rPr>
          <w:sz w:val="24"/>
          <w:szCs w:val="24"/>
          <w:lang w:val="en-US"/>
        </w:rPr>
        <w:t>Company A</w:t>
      </w:r>
      <w:r w:rsidRPr="00283879">
        <w:rPr>
          <w:sz w:val="24"/>
          <w:szCs w:val="24"/>
          <w:lang w:val="en-US"/>
        </w:rPr>
        <w:t xml:space="preserve"> Contract would terminate.  For termination of employment, the stipulations of the </w:t>
      </w:r>
      <w:r w:rsidR="00FD2384" w:rsidRPr="00283879">
        <w:rPr>
          <w:sz w:val="24"/>
          <w:szCs w:val="24"/>
          <w:lang w:val="en-US"/>
        </w:rPr>
        <w:t>Company A</w:t>
      </w:r>
      <w:r w:rsidRPr="00283879">
        <w:rPr>
          <w:sz w:val="24"/>
          <w:szCs w:val="24"/>
          <w:lang w:val="en-US"/>
        </w:rPr>
        <w:t xml:space="preserve"> Contract applied, in particular but not exclusively regarding the applicable notice period.  The right to terminate the </w:t>
      </w:r>
      <w:r w:rsidR="0055337C" w:rsidRPr="00283879">
        <w:rPr>
          <w:sz w:val="24"/>
          <w:szCs w:val="24"/>
          <w:lang w:val="en-US"/>
        </w:rPr>
        <w:t>Company H</w:t>
      </w:r>
      <w:r w:rsidRPr="00283879">
        <w:rPr>
          <w:sz w:val="24"/>
          <w:szCs w:val="24"/>
          <w:lang w:val="en-US"/>
        </w:rPr>
        <w:t xml:space="preserve"> Contract as well as the </w:t>
      </w:r>
      <w:r w:rsidR="00FD2384" w:rsidRPr="00283879">
        <w:rPr>
          <w:sz w:val="24"/>
          <w:szCs w:val="24"/>
          <w:lang w:val="en-US"/>
        </w:rPr>
        <w:t>Company A</w:t>
      </w:r>
      <w:r w:rsidRPr="00283879">
        <w:rPr>
          <w:sz w:val="24"/>
          <w:szCs w:val="24"/>
          <w:lang w:val="en-US"/>
        </w:rPr>
        <w:t xml:space="preserve"> Contract for good cause should remain unaffected. (</w:t>
      </w:r>
      <w:r w:rsidR="004F6C96" w:rsidRPr="00283879">
        <w:rPr>
          <w:sz w:val="24"/>
          <w:szCs w:val="24"/>
          <w:lang w:val="en-US"/>
        </w:rPr>
        <w:t>Article</w:t>
      </w:r>
      <w:r w:rsidRPr="00283879">
        <w:rPr>
          <w:sz w:val="24"/>
          <w:szCs w:val="24"/>
          <w:lang w:val="en-US"/>
        </w:rPr>
        <w:t xml:space="preserve"> 1.2)  </w:t>
      </w:r>
    </w:p>
    <w:p w14:paraId="61D2A5B1" w14:textId="77777777" w:rsidR="00532DEA" w:rsidRPr="00283879" w:rsidRDefault="00532DEA" w:rsidP="00337A09">
      <w:pPr>
        <w:pStyle w:val="ac"/>
        <w:widowControl w:val="0"/>
        <w:topLinePunct/>
        <w:adjustRightInd/>
        <w:ind w:left="400"/>
        <w:jc w:val="both"/>
        <w:rPr>
          <w:sz w:val="24"/>
          <w:szCs w:val="24"/>
          <w:lang w:val="en-US"/>
        </w:rPr>
      </w:pPr>
    </w:p>
    <w:p w14:paraId="692B74E1"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Both the </w:t>
      </w:r>
      <w:r w:rsidR="00FD2384" w:rsidRPr="00283879">
        <w:rPr>
          <w:sz w:val="24"/>
          <w:szCs w:val="24"/>
          <w:lang w:val="en-US"/>
        </w:rPr>
        <w:t>Company A</w:t>
      </w:r>
      <w:r w:rsidRPr="00283879">
        <w:rPr>
          <w:sz w:val="24"/>
          <w:szCs w:val="24"/>
          <w:lang w:val="en-US"/>
        </w:rPr>
        <w:t xml:space="preserve"> Contract and the </w:t>
      </w:r>
      <w:r w:rsidR="0055337C" w:rsidRPr="00283879">
        <w:rPr>
          <w:sz w:val="24"/>
          <w:szCs w:val="24"/>
          <w:lang w:val="en-US"/>
        </w:rPr>
        <w:t>Company H</w:t>
      </w:r>
      <w:r w:rsidRPr="00283879">
        <w:rPr>
          <w:sz w:val="24"/>
          <w:szCs w:val="24"/>
          <w:lang w:val="en-US"/>
        </w:rPr>
        <w:t xml:space="preserve"> Contract contained, among other things, the following terms:</w:t>
      </w:r>
    </w:p>
    <w:p w14:paraId="432FC610" w14:textId="77777777" w:rsidR="00EB265E" w:rsidRPr="00283879" w:rsidRDefault="00EB265E" w:rsidP="00EB265E">
      <w:pPr>
        <w:pStyle w:val="ac"/>
        <w:widowControl w:val="0"/>
        <w:topLinePunct/>
        <w:adjustRightInd/>
        <w:ind w:leftChars="0" w:left="502"/>
        <w:jc w:val="both"/>
        <w:textAlignment w:val="auto"/>
        <w:rPr>
          <w:sz w:val="24"/>
          <w:szCs w:val="24"/>
          <w:lang w:val="en-US"/>
        </w:rPr>
      </w:pPr>
    </w:p>
    <w:p w14:paraId="1ACE23FD" w14:textId="77777777" w:rsidR="00532DEA" w:rsidRPr="00283879" w:rsidRDefault="00532DEA" w:rsidP="003D45C7">
      <w:pPr>
        <w:pStyle w:val="ac"/>
        <w:widowControl w:val="0"/>
        <w:numPr>
          <w:ilvl w:val="0"/>
          <w:numId w:val="12"/>
        </w:numPr>
        <w:topLinePunct/>
        <w:adjustRightInd/>
        <w:ind w:leftChars="0" w:left="2127" w:hanging="567"/>
        <w:jc w:val="both"/>
        <w:textAlignment w:val="auto"/>
        <w:rPr>
          <w:sz w:val="24"/>
          <w:szCs w:val="24"/>
          <w:lang w:val="en-US"/>
        </w:rPr>
      </w:pPr>
      <w:r w:rsidRPr="00283879">
        <w:rPr>
          <w:sz w:val="24"/>
          <w:szCs w:val="24"/>
          <w:lang w:val="en-US"/>
        </w:rPr>
        <w:t xml:space="preserve">The Appellant’s annual base salary should be </w:t>
      </w:r>
      <w:r w:rsidR="001916DF" w:rsidRPr="00283879">
        <w:rPr>
          <w:sz w:val="24"/>
          <w:szCs w:val="24"/>
          <w:lang w:val="en-US"/>
        </w:rPr>
        <w:t xml:space="preserve">EUR </w:t>
      </w:r>
      <w:r w:rsidRPr="00283879">
        <w:rPr>
          <w:sz w:val="24"/>
          <w:szCs w:val="24"/>
          <w:lang w:val="en-US"/>
        </w:rPr>
        <w:t xml:space="preserve">185,000. (Clause 3a of the </w:t>
      </w:r>
      <w:r w:rsidR="00FD2384" w:rsidRPr="00283879">
        <w:rPr>
          <w:sz w:val="24"/>
          <w:szCs w:val="24"/>
          <w:lang w:val="en-US"/>
        </w:rPr>
        <w:t>Company A</w:t>
      </w:r>
      <w:r w:rsidRPr="00283879">
        <w:rPr>
          <w:sz w:val="24"/>
          <w:szCs w:val="24"/>
          <w:lang w:val="en-US"/>
        </w:rPr>
        <w:t xml:space="preserve"> Contract and </w:t>
      </w:r>
      <w:r w:rsidR="004F6C96" w:rsidRPr="00283879">
        <w:rPr>
          <w:sz w:val="24"/>
          <w:szCs w:val="24"/>
          <w:lang w:val="en-US"/>
        </w:rPr>
        <w:t>Article</w:t>
      </w:r>
      <w:r w:rsidRPr="00283879">
        <w:rPr>
          <w:sz w:val="24"/>
          <w:szCs w:val="24"/>
          <w:lang w:val="en-US"/>
        </w:rPr>
        <w:t xml:space="preserve"> 2.1 of the </w:t>
      </w:r>
      <w:r w:rsidR="0055337C" w:rsidRPr="00283879">
        <w:rPr>
          <w:sz w:val="24"/>
          <w:szCs w:val="24"/>
          <w:lang w:val="en-US"/>
        </w:rPr>
        <w:t>Company H</w:t>
      </w:r>
      <w:r w:rsidRPr="00283879">
        <w:rPr>
          <w:sz w:val="24"/>
          <w:szCs w:val="24"/>
          <w:lang w:val="en-US"/>
        </w:rPr>
        <w:t xml:space="preserve"> Contract) </w:t>
      </w:r>
    </w:p>
    <w:p w14:paraId="71476205" w14:textId="77777777" w:rsidR="00EB265E" w:rsidRPr="00283879" w:rsidRDefault="00EB265E" w:rsidP="00EB265E">
      <w:pPr>
        <w:pStyle w:val="ac"/>
        <w:widowControl w:val="0"/>
        <w:topLinePunct/>
        <w:adjustRightInd/>
        <w:ind w:leftChars="0" w:left="1134"/>
        <w:jc w:val="both"/>
        <w:textAlignment w:val="auto"/>
        <w:rPr>
          <w:sz w:val="24"/>
          <w:szCs w:val="24"/>
          <w:lang w:val="en-US"/>
        </w:rPr>
      </w:pPr>
    </w:p>
    <w:p w14:paraId="5A885419" w14:textId="77777777" w:rsidR="00532DEA" w:rsidRPr="00283879" w:rsidRDefault="00532DEA" w:rsidP="003D45C7">
      <w:pPr>
        <w:pStyle w:val="ac"/>
        <w:widowControl w:val="0"/>
        <w:numPr>
          <w:ilvl w:val="0"/>
          <w:numId w:val="12"/>
        </w:numPr>
        <w:topLinePunct/>
        <w:adjustRightInd/>
        <w:ind w:leftChars="0" w:left="2127" w:hanging="567"/>
        <w:jc w:val="both"/>
        <w:textAlignment w:val="auto"/>
        <w:rPr>
          <w:sz w:val="24"/>
          <w:szCs w:val="24"/>
          <w:lang w:val="en-US"/>
        </w:rPr>
      </w:pPr>
      <w:r w:rsidRPr="00283879">
        <w:rPr>
          <w:sz w:val="24"/>
          <w:szCs w:val="24"/>
          <w:lang w:val="en-US"/>
        </w:rPr>
        <w:t xml:space="preserve">Further to the annual fixed salary, the Appellant might earn a variable compensation (bonus) each business year as follows. </w:t>
      </w:r>
    </w:p>
    <w:p w14:paraId="3B0F2DB5" w14:textId="77777777" w:rsidR="00532DEA" w:rsidRPr="00283879" w:rsidRDefault="00532DEA" w:rsidP="00337A09">
      <w:pPr>
        <w:pStyle w:val="ac"/>
        <w:widowControl w:val="0"/>
        <w:topLinePunct/>
        <w:adjustRightInd/>
        <w:ind w:left="400"/>
        <w:jc w:val="both"/>
        <w:rPr>
          <w:sz w:val="24"/>
          <w:szCs w:val="24"/>
          <w:lang w:val="en-US"/>
        </w:rPr>
      </w:pPr>
    </w:p>
    <w:p w14:paraId="50593E70" w14:textId="116DF934"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A letter dated 1 April 2016 was sent to the Appellant (</w:t>
      </w:r>
      <w:r w:rsidR="00A8159B" w:rsidRPr="00283879">
        <w:rPr>
          <w:sz w:val="24"/>
          <w:szCs w:val="24"/>
          <w:lang w:val="en-US"/>
        </w:rPr>
        <w:t>care of</w:t>
      </w:r>
      <w:r w:rsidRPr="00283879">
        <w:rPr>
          <w:sz w:val="24"/>
          <w:szCs w:val="24"/>
          <w:lang w:val="en-US"/>
        </w:rPr>
        <w:t xml:space="preserve"> </w:t>
      </w:r>
      <w:r w:rsidR="0055337C" w:rsidRPr="00283879">
        <w:rPr>
          <w:sz w:val="24"/>
          <w:szCs w:val="24"/>
          <w:lang w:val="en-US"/>
        </w:rPr>
        <w:t>Company H</w:t>
      </w:r>
      <w:r w:rsidRPr="00283879">
        <w:rPr>
          <w:sz w:val="24"/>
          <w:szCs w:val="24"/>
          <w:lang w:val="en-US"/>
        </w:rPr>
        <w:t xml:space="preserve">) entitled </w:t>
      </w:r>
      <w:r w:rsidR="00783B83" w:rsidRPr="00283879">
        <w:rPr>
          <w:sz w:val="24"/>
          <w:szCs w:val="24"/>
          <w:lang w:val="en-US"/>
        </w:rPr>
        <w:t>Company A</w:t>
      </w:r>
      <w:r w:rsidRPr="00283879">
        <w:rPr>
          <w:sz w:val="24"/>
          <w:szCs w:val="24"/>
          <w:lang w:val="en-US"/>
        </w:rPr>
        <w:t xml:space="preserve"> Cash &amp; Carry Long Term Incentive – Grant Letter.  This informed the Appellant </w:t>
      </w:r>
      <w:r w:rsidR="00AF2786" w:rsidRPr="00283879">
        <w:rPr>
          <w:sz w:val="24"/>
          <w:szCs w:val="24"/>
          <w:lang w:val="en-US"/>
        </w:rPr>
        <w:t xml:space="preserve">that </w:t>
      </w:r>
      <w:r w:rsidRPr="00283879">
        <w:rPr>
          <w:sz w:val="24"/>
          <w:szCs w:val="24"/>
          <w:lang w:val="en-US"/>
        </w:rPr>
        <w:t xml:space="preserve">he was entitled to participate in the </w:t>
      </w:r>
      <w:r w:rsidR="00783B83" w:rsidRPr="00283879">
        <w:rPr>
          <w:sz w:val="24"/>
          <w:szCs w:val="24"/>
          <w:lang w:val="en-US"/>
        </w:rPr>
        <w:t>Company A</w:t>
      </w:r>
      <w:r w:rsidRPr="00283879">
        <w:rPr>
          <w:sz w:val="24"/>
          <w:szCs w:val="24"/>
          <w:lang w:val="en-US"/>
        </w:rPr>
        <w:t xml:space="preserve"> Cash &amp; Carry Long Term Incentive (</w:t>
      </w:r>
      <w:r w:rsidR="00F13A0F" w:rsidRPr="00283879">
        <w:rPr>
          <w:sz w:val="24"/>
          <w:szCs w:val="24"/>
          <w:lang w:val="en-US"/>
        </w:rPr>
        <w:t>‘</w:t>
      </w:r>
      <w:r w:rsidRPr="00283879">
        <w:rPr>
          <w:sz w:val="24"/>
          <w:szCs w:val="24"/>
          <w:lang w:val="en-US"/>
        </w:rPr>
        <w:t>CC</w:t>
      </w:r>
      <w:r w:rsidR="007E3953" w:rsidRPr="00283879">
        <w:rPr>
          <w:sz w:val="24"/>
          <w:szCs w:val="24"/>
          <w:lang w:val="en-US"/>
        </w:rPr>
        <w:t xml:space="preserve"> </w:t>
      </w:r>
      <w:r w:rsidRPr="00283879">
        <w:rPr>
          <w:sz w:val="24"/>
          <w:szCs w:val="24"/>
          <w:lang w:val="en-US"/>
        </w:rPr>
        <w:t>LTI</w:t>
      </w:r>
      <w:r w:rsidR="00F13A0F" w:rsidRPr="00283879">
        <w:rPr>
          <w:sz w:val="24"/>
          <w:szCs w:val="24"/>
          <w:lang w:val="en-US"/>
        </w:rPr>
        <w:t>’</w:t>
      </w:r>
      <w:r w:rsidRPr="00283879">
        <w:rPr>
          <w:sz w:val="24"/>
          <w:szCs w:val="24"/>
          <w:lang w:val="en-US"/>
        </w:rPr>
        <w:t>) program.  This provided for a three year</w:t>
      </w:r>
      <w:r w:rsidR="00123343" w:rsidRPr="00283879">
        <w:rPr>
          <w:sz w:val="24"/>
          <w:szCs w:val="24"/>
          <w:lang w:val="en-US"/>
        </w:rPr>
        <w:t>s</w:t>
      </w:r>
      <w:r w:rsidRPr="00283879">
        <w:rPr>
          <w:sz w:val="24"/>
          <w:szCs w:val="24"/>
          <w:lang w:val="en-US"/>
        </w:rPr>
        <w:t xml:space="preserve"> performance period.  The target amount for the Appellants then current position for the full 36 Month</w:t>
      </w:r>
      <w:r w:rsidR="00CE2FEB" w:rsidRPr="00283879">
        <w:rPr>
          <w:sz w:val="24"/>
          <w:szCs w:val="24"/>
          <w:lang w:val="en-US"/>
        </w:rPr>
        <w:t>s</w:t>
      </w:r>
      <w:r w:rsidRPr="00283879">
        <w:rPr>
          <w:sz w:val="24"/>
          <w:szCs w:val="24"/>
          <w:lang w:val="en-US"/>
        </w:rPr>
        <w:t xml:space="preserve"> Performance Period for the Appellant was EUR 80,000 gross.  The CC LTI program for the Appellant was related to a country portfolio of 70% CC C</w:t>
      </w:r>
      <w:r w:rsidR="00DB26EA" w:rsidRPr="00283879">
        <w:rPr>
          <w:sz w:val="24"/>
          <w:szCs w:val="24"/>
          <w:lang w:val="en-US"/>
        </w:rPr>
        <w:t>HINA</w:t>
      </w:r>
      <w:r w:rsidRPr="00283879">
        <w:rPr>
          <w:sz w:val="24"/>
          <w:szCs w:val="24"/>
          <w:lang w:val="en-US"/>
        </w:rPr>
        <w:t xml:space="preserve"> and 30% CC J</w:t>
      </w:r>
      <w:r w:rsidR="00DB26EA" w:rsidRPr="00283879">
        <w:rPr>
          <w:sz w:val="24"/>
          <w:szCs w:val="24"/>
          <w:lang w:val="en-US"/>
        </w:rPr>
        <w:t>APAN</w:t>
      </w:r>
      <w:r w:rsidRPr="00283879">
        <w:rPr>
          <w:sz w:val="24"/>
          <w:szCs w:val="24"/>
          <w:lang w:val="en-US"/>
        </w:rPr>
        <w:t xml:space="preserve">. The applicable terms and conditions were stated to be set out in a Plan Document dated April 2016.  The grant letter provides that all attachments were an integral part of the grant letter. </w:t>
      </w:r>
    </w:p>
    <w:p w14:paraId="0ABD25AF" w14:textId="77777777" w:rsidR="00532DEA" w:rsidRPr="00283879" w:rsidRDefault="00532DEA" w:rsidP="00337A09">
      <w:pPr>
        <w:pStyle w:val="ac"/>
        <w:widowControl w:val="0"/>
        <w:topLinePunct/>
        <w:adjustRightInd/>
        <w:ind w:left="400"/>
        <w:jc w:val="both"/>
        <w:rPr>
          <w:sz w:val="24"/>
          <w:szCs w:val="24"/>
          <w:lang w:val="en-US"/>
        </w:rPr>
      </w:pPr>
    </w:p>
    <w:p w14:paraId="155B59A2" w14:textId="1480A925"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The Plan Document dated April 2016, provided in </w:t>
      </w:r>
      <w:r w:rsidR="000B24C5" w:rsidRPr="00283879">
        <w:rPr>
          <w:sz w:val="24"/>
          <w:szCs w:val="24"/>
          <w:lang w:val="en-US"/>
        </w:rPr>
        <w:t>p</w:t>
      </w:r>
      <w:r w:rsidR="005A3B43" w:rsidRPr="00283879">
        <w:rPr>
          <w:sz w:val="24"/>
          <w:szCs w:val="24"/>
          <w:lang w:val="en-US"/>
        </w:rPr>
        <w:t>aragraph</w:t>
      </w:r>
      <w:r w:rsidRPr="00283879">
        <w:rPr>
          <w:sz w:val="24"/>
          <w:szCs w:val="24"/>
          <w:lang w:val="en-US"/>
        </w:rPr>
        <w:t xml:space="preserve"> 3.9 that the CC LTI would not be paid out if the employee’s contract with the employing company was terminated.  However, there was a proviso that certain other provisions would apply in certain circumstances.  Of relevance to this Appeal, </w:t>
      </w:r>
      <w:r w:rsidR="00C563B6" w:rsidRPr="00283879">
        <w:rPr>
          <w:sz w:val="24"/>
          <w:szCs w:val="24"/>
          <w:lang w:val="en-US"/>
        </w:rPr>
        <w:t>p</w:t>
      </w:r>
      <w:r w:rsidR="005A3B43" w:rsidRPr="00283879">
        <w:rPr>
          <w:sz w:val="24"/>
          <w:szCs w:val="24"/>
          <w:lang w:val="en-US"/>
        </w:rPr>
        <w:t>aragraph</w:t>
      </w:r>
      <w:r w:rsidRPr="00283879">
        <w:rPr>
          <w:sz w:val="24"/>
          <w:szCs w:val="24"/>
          <w:lang w:val="en-US"/>
        </w:rPr>
        <w:t xml:space="preserve"> 4.6 was stated to apply.  </w:t>
      </w:r>
      <w:r w:rsidR="005A3B43" w:rsidRPr="00283879">
        <w:rPr>
          <w:sz w:val="24"/>
          <w:szCs w:val="24"/>
          <w:lang w:val="en-US"/>
        </w:rPr>
        <w:t>Paragraph</w:t>
      </w:r>
      <w:r w:rsidRPr="00283879">
        <w:rPr>
          <w:sz w:val="24"/>
          <w:szCs w:val="24"/>
          <w:lang w:val="en-US"/>
        </w:rPr>
        <w:t xml:space="preserve"> 4.6 provided that in the case of fixed term contract, the employee will remain entitled to payment in line with the terms of the plan but that he/she would cease to accrue the target amount at the end of the last month which he was employed.  </w:t>
      </w:r>
      <w:r w:rsidR="005A3B43" w:rsidRPr="00283879">
        <w:rPr>
          <w:sz w:val="24"/>
          <w:szCs w:val="24"/>
          <w:lang w:val="en-US"/>
        </w:rPr>
        <w:t>Paragraph</w:t>
      </w:r>
      <w:r w:rsidRPr="00283879">
        <w:rPr>
          <w:sz w:val="24"/>
          <w:szCs w:val="24"/>
          <w:lang w:val="en-US"/>
        </w:rPr>
        <w:t xml:space="preserve"> 3.9 also provided that </w:t>
      </w:r>
      <w:r w:rsidR="00F13A0F" w:rsidRPr="00283879">
        <w:rPr>
          <w:sz w:val="24"/>
          <w:szCs w:val="24"/>
          <w:lang w:val="en-US"/>
        </w:rPr>
        <w:t>‘</w:t>
      </w:r>
      <w:r w:rsidRPr="00283879">
        <w:rPr>
          <w:sz w:val="24"/>
          <w:szCs w:val="24"/>
          <w:lang w:val="en-US"/>
        </w:rPr>
        <w:t>in deviation from the regulation above, the Participant does not lose his right to receive a payout if … his/her employing company was responsible for terminating the contract before the end of the Performance Period.</w:t>
      </w:r>
      <w:r w:rsidR="00F13A0F" w:rsidRPr="00283879">
        <w:rPr>
          <w:sz w:val="24"/>
          <w:szCs w:val="24"/>
          <w:lang w:val="en-US"/>
        </w:rPr>
        <w:t>’</w:t>
      </w:r>
      <w:r w:rsidRPr="00283879">
        <w:rPr>
          <w:sz w:val="24"/>
          <w:szCs w:val="24"/>
          <w:lang w:val="en-US"/>
        </w:rPr>
        <w:t xml:space="preserve">  </w:t>
      </w:r>
      <w:r w:rsidR="00F13A0F" w:rsidRPr="00283879">
        <w:rPr>
          <w:sz w:val="24"/>
          <w:szCs w:val="24"/>
          <w:lang w:val="en-US"/>
        </w:rPr>
        <w:t>‘</w:t>
      </w:r>
      <w:r w:rsidRPr="00283879">
        <w:rPr>
          <w:sz w:val="24"/>
          <w:szCs w:val="24"/>
          <w:lang w:val="en-US"/>
        </w:rPr>
        <w:t>Responsibility</w:t>
      </w:r>
      <w:r w:rsidR="00F13A0F" w:rsidRPr="00283879">
        <w:rPr>
          <w:sz w:val="24"/>
          <w:szCs w:val="24"/>
          <w:lang w:val="en-US"/>
        </w:rPr>
        <w:t>’</w:t>
      </w:r>
      <w:r w:rsidRPr="00283879">
        <w:rPr>
          <w:sz w:val="24"/>
          <w:szCs w:val="24"/>
          <w:lang w:val="en-US"/>
        </w:rPr>
        <w:t xml:space="preserve"> was defined as meaning </w:t>
      </w:r>
      <w:r w:rsidR="00F13A0F" w:rsidRPr="00283879">
        <w:rPr>
          <w:sz w:val="24"/>
          <w:szCs w:val="24"/>
          <w:lang w:val="en-US"/>
        </w:rPr>
        <w:t>‘</w:t>
      </w:r>
      <w:r w:rsidRPr="00283879">
        <w:rPr>
          <w:sz w:val="24"/>
          <w:szCs w:val="24"/>
          <w:lang w:val="en-US"/>
        </w:rPr>
        <w:t>the Participant was entitled to terminate the contract for cause due to a dereliction of duty on the part of the employing company – or in the case of a termination agreement, would have been entitled to do so.</w:t>
      </w:r>
      <w:r w:rsidR="00F13A0F" w:rsidRPr="00283879">
        <w:rPr>
          <w:sz w:val="24"/>
          <w:szCs w:val="24"/>
          <w:lang w:val="en-US"/>
        </w:rPr>
        <w:t>’</w:t>
      </w:r>
    </w:p>
    <w:p w14:paraId="6C8A5206" w14:textId="77777777" w:rsidR="00532DEA" w:rsidRPr="00283879" w:rsidRDefault="00532DEA" w:rsidP="00337A09">
      <w:pPr>
        <w:pStyle w:val="ac"/>
        <w:widowControl w:val="0"/>
        <w:topLinePunct/>
        <w:adjustRightInd/>
        <w:ind w:left="400"/>
        <w:jc w:val="both"/>
        <w:rPr>
          <w:sz w:val="24"/>
          <w:szCs w:val="24"/>
          <w:lang w:val="en-US"/>
        </w:rPr>
      </w:pPr>
    </w:p>
    <w:p w14:paraId="0090BE0B" w14:textId="5796A62F" w:rsidR="00532DEA" w:rsidRPr="00283879" w:rsidRDefault="00532DEA" w:rsidP="00E245B0">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The bonus under the </w:t>
      </w:r>
      <w:r w:rsidR="00FD2384" w:rsidRPr="00283879">
        <w:rPr>
          <w:sz w:val="24"/>
          <w:szCs w:val="24"/>
          <w:lang w:val="en-US"/>
        </w:rPr>
        <w:t>Company A</w:t>
      </w:r>
      <w:r w:rsidRPr="00283879">
        <w:rPr>
          <w:sz w:val="24"/>
          <w:szCs w:val="24"/>
          <w:lang w:val="en-US"/>
        </w:rPr>
        <w:t xml:space="preserve"> and </w:t>
      </w:r>
      <w:r w:rsidR="00DD35FF" w:rsidRPr="00283879">
        <w:rPr>
          <w:sz w:val="24"/>
          <w:szCs w:val="24"/>
          <w:lang w:val="en-US"/>
        </w:rPr>
        <w:t>Company H</w:t>
      </w:r>
      <w:r w:rsidRPr="00283879">
        <w:rPr>
          <w:sz w:val="24"/>
          <w:szCs w:val="24"/>
          <w:lang w:val="en-US"/>
        </w:rPr>
        <w:t xml:space="preserve"> Contracts and the CC LTI program were two separate forms of ince</w:t>
      </w:r>
      <w:r w:rsidR="004D145B" w:rsidRPr="00283879">
        <w:rPr>
          <w:sz w:val="24"/>
          <w:szCs w:val="24"/>
          <w:lang w:val="en-US"/>
        </w:rPr>
        <w:t>ntive offered to the Appellant.</w:t>
      </w:r>
      <w:r w:rsidRPr="00283879">
        <w:rPr>
          <w:sz w:val="24"/>
          <w:szCs w:val="24"/>
          <w:lang w:val="en-US"/>
        </w:rPr>
        <w:t xml:space="preserve"> The Determination could be read that he considered them to be the same incentive program, which is not correct.  However, this appeal was argued by both parties solely in relation to the CC LTI and the Commissioner did not rely on those terms of the contract relating to the payment of a bonus.  </w:t>
      </w:r>
    </w:p>
    <w:p w14:paraId="4BD76F48" w14:textId="77777777" w:rsidR="005B2EAD" w:rsidRPr="00283879" w:rsidRDefault="005B2EAD" w:rsidP="000B3A66">
      <w:pPr>
        <w:widowControl w:val="0"/>
        <w:topLinePunct/>
        <w:adjustRightInd/>
        <w:jc w:val="both"/>
        <w:rPr>
          <w:sz w:val="24"/>
          <w:szCs w:val="24"/>
          <w:lang w:val="en-US"/>
        </w:rPr>
      </w:pPr>
    </w:p>
    <w:p w14:paraId="22D4FB58" w14:textId="2F808BF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That the Commissioner was relying on the CC LTI </w:t>
      </w:r>
      <w:r w:rsidR="004E6453" w:rsidRPr="00283879">
        <w:rPr>
          <w:sz w:val="24"/>
          <w:szCs w:val="24"/>
          <w:lang w:val="en-US"/>
        </w:rPr>
        <w:t>p</w:t>
      </w:r>
      <w:r w:rsidRPr="00283879">
        <w:rPr>
          <w:sz w:val="24"/>
          <w:szCs w:val="24"/>
          <w:lang w:val="en-US"/>
        </w:rPr>
        <w:t>rogram was made clear in the Commissioner’s letter dated 29 July 2024 in response to the Appellant’s closing submission. The letter also stated that the Commissioner’s case was</w:t>
      </w:r>
      <w:r w:rsidR="00911EF8" w:rsidRPr="00283879">
        <w:rPr>
          <w:sz w:val="24"/>
          <w:szCs w:val="24"/>
          <w:lang w:val="en-US"/>
        </w:rPr>
        <w:t xml:space="preserve"> the</w:t>
      </w:r>
      <w:r w:rsidRPr="00283879">
        <w:rPr>
          <w:sz w:val="24"/>
          <w:szCs w:val="24"/>
          <w:lang w:val="en-US"/>
        </w:rPr>
        <w:t xml:space="preserve"> </w:t>
      </w:r>
      <w:r w:rsidR="00956A91" w:rsidRPr="00283879">
        <w:rPr>
          <w:sz w:val="24"/>
          <w:szCs w:val="24"/>
          <w:lang w:val="en-US"/>
        </w:rPr>
        <w:t>p</w:t>
      </w:r>
      <w:r w:rsidRPr="00283879">
        <w:rPr>
          <w:sz w:val="24"/>
          <w:szCs w:val="24"/>
          <w:lang w:val="en-US"/>
        </w:rPr>
        <w:t xml:space="preserve">ayment </w:t>
      </w:r>
      <w:r w:rsidR="00A71143" w:rsidRPr="00283879">
        <w:rPr>
          <w:sz w:val="24"/>
          <w:szCs w:val="24"/>
          <w:lang w:val="en-US"/>
        </w:rPr>
        <w:t>under the CC LTI</w:t>
      </w:r>
      <w:r w:rsidR="00565692" w:rsidRPr="00283879">
        <w:rPr>
          <w:sz w:val="24"/>
          <w:szCs w:val="24"/>
          <w:lang w:val="en-US"/>
        </w:rPr>
        <w:t xml:space="preserve"> </w:t>
      </w:r>
      <w:r w:rsidRPr="00283879">
        <w:rPr>
          <w:sz w:val="24"/>
          <w:szCs w:val="24"/>
          <w:lang w:val="en-US"/>
        </w:rPr>
        <w:t xml:space="preserve">was paid under the proviso to </w:t>
      </w:r>
      <w:r w:rsidR="000B24C5" w:rsidRPr="00283879">
        <w:rPr>
          <w:sz w:val="24"/>
          <w:szCs w:val="24"/>
          <w:lang w:val="en-US"/>
        </w:rPr>
        <w:t>p</w:t>
      </w:r>
      <w:r w:rsidR="005A3B43" w:rsidRPr="00283879">
        <w:rPr>
          <w:sz w:val="24"/>
          <w:szCs w:val="24"/>
          <w:lang w:val="en-US"/>
        </w:rPr>
        <w:t>aragraph</w:t>
      </w:r>
      <w:r w:rsidRPr="00283879">
        <w:rPr>
          <w:sz w:val="24"/>
          <w:szCs w:val="24"/>
          <w:lang w:val="en-US"/>
        </w:rPr>
        <w:t xml:space="preserve"> 3.9 cited above and it was not the Commissioner’s case the LTI Payment had been forfeited on 30 November 2017.</w:t>
      </w:r>
    </w:p>
    <w:p w14:paraId="5FBB2A45" w14:textId="77777777" w:rsidR="00532DEA" w:rsidRPr="00283879" w:rsidRDefault="00532DEA" w:rsidP="00337A09">
      <w:pPr>
        <w:pStyle w:val="ac"/>
        <w:widowControl w:val="0"/>
        <w:topLinePunct/>
        <w:adjustRightInd/>
        <w:ind w:left="400"/>
        <w:jc w:val="both"/>
        <w:rPr>
          <w:sz w:val="24"/>
          <w:szCs w:val="24"/>
          <w:lang w:val="en-US"/>
        </w:rPr>
      </w:pPr>
    </w:p>
    <w:p w14:paraId="2A5187F6" w14:textId="04728C3A"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The </w:t>
      </w:r>
      <w:r w:rsidR="00FD2384" w:rsidRPr="00283879">
        <w:rPr>
          <w:sz w:val="24"/>
          <w:szCs w:val="24"/>
          <w:lang w:val="en-US"/>
        </w:rPr>
        <w:t>Company A</w:t>
      </w:r>
      <w:r w:rsidRPr="00283879">
        <w:rPr>
          <w:sz w:val="24"/>
          <w:szCs w:val="24"/>
          <w:lang w:val="en-US"/>
        </w:rPr>
        <w:t xml:space="preserve"> and </w:t>
      </w:r>
      <w:r w:rsidR="00B00CA7" w:rsidRPr="00283879">
        <w:rPr>
          <w:sz w:val="24"/>
          <w:szCs w:val="24"/>
          <w:lang w:val="en-US"/>
        </w:rPr>
        <w:t>Company H</w:t>
      </w:r>
      <w:r w:rsidRPr="00283879">
        <w:rPr>
          <w:sz w:val="24"/>
          <w:szCs w:val="24"/>
          <w:lang w:val="en-US"/>
        </w:rPr>
        <w:t xml:space="preserve"> Contracts also provided </w:t>
      </w:r>
      <w:r w:rsidR="00565692" w:rsidRPr="00283879">
        <w:rPr>
          <w:sz w:val="24"/>
          <w:szCs w:val="24"/>
          <w:lang w:val="en-US"/>
        </w:rPr>
        <w:t xml:space="preserve">that </w:t>
      </w:r>
      <w:r w:rsidRPr="00283879">
        <w:rPr>
          <w:sz w:val="24"/>
          <w:szCs w:val="24"/>
          <w:lang w:val="en-US"/>
        </w:rPr>
        <w:t xml:space="preserve">the Appellant should hold any and all company business and operational secrets confidential and should not disclose to any other matters and business activities which he became aware of in the course of his employment.  He should ensure that third parties did not receive unauthorized information relating to business and operation secrets.  The restriction imposed on the Appellant regarding the confidentiality would continue after termination of his employment. (Clause 11d of the </w:t>
      </w:r>
      <w:r w:rsidR="00FD2384" w:rsidRPr="00283879">
        <w:rPr>
          <w:sz w:val="24"/>
          <w:szCs w:val="24"/>
          <w:lang w:val="en-US"/>
        </w:rPr>
        <w:t>Company A</w:t>
      </w:r>
      <w:r w:rsidRPr="00283879">
        <w:rPr>
          <w:sz w:val="24"/>
          <w:szCs w:val="24"/>
          <w:lang w:val="en-US"/>
        </w:rPr>
        <w:t xml:space="preserve"> Contract and </w:t>
      </w:r>
      <w:r w:rsidR="004F6C96" w:rsidRPr="00283879">
        <w:rPr>
          <w:sz w:val="24"/>
          <w:szCs w:val="24"/>
          <w:lang w:val="en-US"/>
        </w:rPr>
        <w:t>Article</w:t>
      </w:r>
      <w:r w:rsidRPr="00283879">
        <w:rPr>
          <w:sz w:val="24"/>
          <w:szCs w:val="24"/>
          <w:lang w:val="en-US"/>
        </w:rPr>
        <w:t xml:space="preserve"> 20.5 of the </w:t>
      </w:r>
      <w:r w:rsidR="0055337C" w:rsidRPr="00283879">
        <w:rPr>
          <w:sz w:val="24"/>
          <w:szCs w:val="24"/>
          <w:lang w:val="en-US"/>
        </w:rPr>
        <w:t>Company H</w:t>
      </w:r>
      <w:r w:rsidRPr="00283879">
        <w:rPr>
          <w:sz w:val="24"/>
          <w:szCs w:val="24"/>
          <w:lang w:val="en-US"/>
        </w:rPr>
        <w:t xml:space="preserve"> Contract)</w:t>
      </w:r>
    </w:p>
    <w:p w14:paraId="14D9BB9E" w14:textId="77777777" w:rsidR="00532DEA" w:rsidRPr="00283879" w:rsidRDefault="00532DEA" w:rsidP="00337A09">
      <w:pPr>
        <w:pStyle w:val="ac"/>
        <w:widowControl w:val="0"/>
        <w:topLinePunct/>
        <w:adjustRightInd/>
        <w:ind w:left="400"/>
        <w:jc w:val="both"/>
        <w:rPr>
          <w:sz w:val="24"/>
          <w:szCs w:val="24"/>
          <w:lang w:val="en-US"/>
        </w:rPr>
      </w:pPr>
    </w:p>
    <w:p w14:paraId="7FFF484E" w14:textId="6571A2B6"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The Appellant’s two year</w:t>
      </w:r>
      <w:r w:rsidR="009A2B50" w:rsidRPr="00283879">
        <w:rPr>
          <w:sz w:val="24"/>
          <w:szCs w:val="24"/>
        </w:rPr>
        <w:t>s</w:t>
      </w:r>
      <w:r w:rsidRPr="00283879">
        <w:rPr>
          <w:sz w:val="24"/>
          <w:szCs w:val="24"/>
        </w:rPr>
        <w:t xml:space="preserve"> contract with </w:t>
      </w:r>
      <w:r w:rsidR="0055337C" w:rsidRPr="00283879">
        <w:rPr>
          <w:sz w:val="24"/>
          <w:szCs w:val="24"/>
        </w:rPr>
        <w:t>Company H</w:t>
      </w:r>
      <w:r w:rsidRPr="00283879">
        <w:rPr>
          <w:sz w:val="24"/>
          <w:szCs w:val="24"/>
        </w:rPr>
        <w:t xml:space="preserve"> was extended for an extra month. It was terminated with effect from 30 November 2017.  He left Hong Kong immediately and returned to work for </w:t>
      </w:r>
      <w:r w:rsidR="00FD2384" w:rsidRPr="00283879">
        <w:rPr>
          <w:sz w:val="24"/>
          <w:szCs w:val="24"/>
        </w:rPr>
        <w:t>Company C</w:t>
      </w:r>
      <w:r w:rsidRPr="00283879">
        <w:rPr>
          <w:sz w:val="24"/>
          <w:szCs w:val="24"/>
        </w:rPr>
        <w:t xml:space="preserve"> from December 2017.  His contract with </w:t>
      </w:r>
      <w:r w:rsidR="001B02AE" w:rsidRPr="00283879">
        <w:rPr>
          <w:sz w:val="24"/>
          <w:szCs w:val="24"/>
        </w:rPr>
        <w:t>Company A</w:t>
      </w:r>
      <w:r w:rsidRPr="00283879">
        <w:rPr>
          <w:sz w:val="24"/>
          <w:szCs w:val="24"/>
        </w:rPr>
        <w:t xml:space="preserve"> remained extant. </w:t>
      </w:r>
    </w:p>
    <w:p w14:paraId="7F85C31B" w14:textId="77777777" w:rsidR="00532DEA" w:rsidRPr="00283879" w:rsidRDefault="00532DEA" w:rsidP="00337A09">
      <w:pPr>
        <w:widowControl w:val="0"/>
        <w:topLinePunct/>
        <w:adjustRightInd/>
        <w:jc w:val="both"/>
        <w:rPr>
          <w:sz w:val="24"/>
          <w:szCs w:val="24"/>
        </w:rPr>
      </w:pPr>
    </w:p>
    <w:p w14:paraId="499ADCD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By a termination agreement dated 20 November 2018</w:t>
      </w:r>
      <w:r w:rsidRPr="00283879">
        <w:rPr>
          <w:rStyle w:val="aa"/>
          <w:sz w:val="24"/>
          <w:szCs w:val="24"/>
        </w:rPr>
        <w:footnoteReference w:id="1"/>
      </w:r>
      <w:r w:rsidRPr="00283879">
        <w:rPr>
          <w:sz w:val="24"/>
          <w:szCs w:val="24"/>
        </w:rPr>
        <w:t xml:space="preserve"> (</w:t>
      </w:r>
      <w:r w:rsidR="00F13A0F" w:rsidRPr="00283879">
        <w:rPr>
          <w:sz w:val="24"/>
          <w:szCs w:val="24"/>
        </w:rPr>
        <w:t>‘</w:t>
      </w:r>
      <w:r w:rsidRPr="00283879">
        <w:rPr>
          <w:sz w:val="24"/>
          <w:szCs w:val="24"/>
        </w:rPr>
        <w:t>the Termination Agreement</w:t>
      </w:r>
      <w:r w:rsidR="00F13A0F" w:rsidRPr="00283879">
        <w:rPr>
          <w:sz w:val="24"/>
          <w:szCs w:val="24"/>
        </w:rPr>
        <w:t>’</w:t>
      </w:r>
      <w:r w:rsidRPr="00283879">
        <w:rPr>
          <w:sz w:val="24"/>
          <w:szCs w:val="24"/>
        </w:rPr>
        <w:t xml:space="preserve">), </w:t>
      </w:r>
      <w:r w:rsidRPr="00283879">
        <w:rPr>
          <w:sz w:val="24"/>
          <w:szCs w:val="24"/>
          <w:lang w:eastAsia="zh-HK"/>
        </w:rPr>
        <w:t xml:space="preserve">the Appellant’s employment with </w:t>
      </w:r>
      <w:r w:rsidR="00FD2384" w:rsidRPr="00283879">
        <w:rPr>
          <w:sz w:val="24"/>
          <w:szCs w:val="24"/>
        </w:rPr>
        <w:t>Company A</w:t>
      </w:r>
      <w:r w:rsidRPr="00283879">
        <w:rPr>
          <w:sz w:val="24"/>
          <w:szCs w:val="24"/>
        </w:rPr>
        <w:t xml:space="preserve"> was terminated with effect from 31 December 2018 under, among other things, the following terms and conditions:</w:t>
      </w:r>
    </w:p>
    <w:p w14:paraId="55180671" w14:textId="77777777" w:rsidR="00EB265E" w:rsidRPr="00283879" w:rsidRDefault="00EB265E" w:rsidP="00EB265E">
      <w:pPr>
        <w:pStyle w:val="ac"/>
        <w:widowControl w:val="0"/>
        <w:topLinePunct/>
        <w:adjustRightInd/>
        <w:ind w:leftChars="0" w:left="502"/>
        <w:jc w:val="both"/>
        <w:textAlignment w:val="auto"/>
        <w:rPr>
          <w:sz w:val="24"/>
          <w:szCs w:val="24"/>
        </w:rPr>
      </w:pPr>
    </w:p>
    <w:p w14:paraId="15BBF612" w14:textId="77777777" w:rsidR="00532DEA" w:rsidRPr="00283879" w:rsidRDefault="00532DEA" w:rsidP="00EB36C3">
      <w:pPr>
        <w:widowControl w:val="0"/>
        <w:numPr>
          <w:ilvl w:val="0"/>
          <w:numId w:val="4"/>
        </w:numPr>
        <w:tabs>
          <w:tab w:val="left" w:pos="709"/>
        </w:tabs>
        <w:topLinePunct/>
        <w:adjustRightInd/>
        <w:ind w:left="2268" w:hanging="709"/>
        <w:jc w:val="both"/>
        <w:textAlignment w:val="auto"/>
        <w:rPr>
          <w:sz w:val="24"/>
          <w:szCs w:val="24"/>
        </w:rPr>
      </w:pPr>
      <w:r w:rsidRPr="00283879">
        <w:rPr>
          <w:sz w:val="24"/>
          <w:szCs w:val="24"/>
        </w:rPr>
        <w:t xml:space="preserve">The employment relationship between the Appellant and </w:t>
      </w:r>
      <w:r w:rsidR="00FD2384" w:rsidRPr="00283879">
        <w:rPr>
          <w:sz w:val="24"/>
          <w:szCs w:val="24"/>
        </w:rPr>
        <w:t>Company A</w:t>
      </w:r>
      <w:r w:rsidRPr="00283879">
        <w:rPr>
          <w:sz w:val="24"/>
          <w:szCs w:val="24"/>
        </w:rPr>
        <w:t xml:space="preserve"> should terminate on 31 December 2018 at </w:t>
      </w:r>
      <w:r w:rsidR="00FD2384" w:rsidRPr="00283879">
        <w:rPr>
          <w:sz w:val="24"/>
          <w:szCs w:val="24"/>
        </w:rPr>
        <w:t>Company A</w:t>
      </w:r>
      <w:r w:rsidRPr="00283879">
        <w:rPr>
          <w:sz w:val="24"/>
          <w:szCs w:val="24"/>
        </w:rPr>
        <w:t>’s instigation for avoidance of an otherwise inevitable forced redundancy. (Clause 1(1))</w:t>
      </w:r>
    </w:p>
    <w:p w14:paraId="66DBBBEC" w14:textId="77777777" w:rsidR="00EB265E" w:rsidRPr="00283879" w:rsidRDefault="00EB265E" w:rsidP="00EB265E">
      <w:pPr>
        <w:widowControl w:val="0"/>
        <w:tabs>
          <w:tab w:val="left" w:pos="709"/>
          <w:tab w:val="left" w:pos="1418"/>
        </w:tabs>
        <w:topLinePunct/>
        <w:adjustRightInd/>
        <w:ind w:left="1418"/>
        <w:jc w:val="both"/>
        <w:textAlignment w:val="auto"/>
        <w:rPr>
          <w:sz w:val="24"/>
          <w:szCs w:val="24"/>
        </w:rPr>
      </w:pPr>
    </w:p>
    <w:p w14:paraId="16C52D18" w14:textId="77777777" w:rsidR="00532DEA" w:rsidRPr="00283879" w:rsidRDefault="00532DEA" w:rsidP="00EB36C3">
      <w:pPr>
        <w:widowControl w:val="0"/>
        <w:numPr>
          <w:ilvl w:val="0"/>
          <w:numId w:val="4"/>
        </w:numPr>
        <w:tabs>
          <w:tab w:val="left" w:pos="709"/>
        </w:tabs>
        <w:topLinePunct/>
        <w:adjustRightInd/>
        <w:ind w:left="2268" w:hanging="709"/>
        <w:jc w:val="both"/>
        <w:textAlignment w:val="auto"/>
        <w:rPr>
          <w:sz w:val="24"/>
          <w:szCs w:val="24"/>
        </w:rPr>
      </w:pPr>
      <w:r w:rsidRPr="00283879">
        <w:rPr>
          <w:sz w:val="24"/>
          <w:szCs w:val="24"/>
        </w:rPr>
        <w:t xml:space="preserve">On 31 December 2018, any and all other service and employment relationships the Appellant might have with other </w:t>
      </w:r>
      <w:r w:rsidR="00783B83" w:rsidRPr="00283879">
        <w:rPr>
          <w:sz w:val="24"/>
          <w:szCs w:val="24"/>
        </w:rPr>
        <w:t>Company A</w:t>
      </w:r>
      <w:r w:rsidRPr="00283879">
        <w:rPr>
          <w:sz w:val="24"/>
          <w:szCs w:val="24"/>
        </w:rPr>
        <w:t xml:space="preserve"> companies should likewise terminate. (Clause 1(3))</w:t>
      </w:r>
    </w:p>
    <w:p w14:paraId="255FBBD3" w14:textId="77777777" w:rsidR="00EB265E" w:rsidRPr="00283879" w:rsidRDefault="00EB265E" w:rsidP="00EB265E">
      <w:pPr>
        <w:widowControl w:val="0"/>
        <w:tabs>
          <w:tab w:val="left" w:pos="709"/>
          <w:tab w:val="left" w:pos="1418"/>
        </w:tabs>
        <w:topLinePunct/>
        <w:adjustRightInd/>
        <w:ind w:left="1418"/>
        <w:jc w:val="both"/>
        <w:textAlignment w:val="auto"/>
        <w:rPr>
          <w:sz w:val="24"/>
          <w:szCs w:val="24"/>
        </w:rPr>
      </w:pPr>
    </w:p>
    <w:p w14:paraId="64B559C7" w14:textId="77777777" w:rsidR="00532DEA" w:rsidRPr="00283879" w:rsidRDefault="00532DEA" w:rsidP="00EB36C3">
      <w:pPr>
        <w:widowControl w:val="0"/>
        <w:numPr>
          <w:ilvl w:val="0"/>
          <w:numId w:val="4"/>
        </w:numPr>
        <w:tabs>
          <w:tab w:val="left" w:pos="709"/>
        </w:tabs>
        <w:topLinePunct/>
        <w:adjustRightInd/>
        <w:ind w:left="2268" w:hanging="709"/>
        <w:jc w:val="both"/>
        <w:textAlignment w:val="auto"/>
        <w:rPr>
          <w:sz w:val="24"/>
          <w:szCs w:val="24"/>
        </w:rPr>
      </w:pPr>
      <w:r w:rsidRPr="00283879">
        <w:rPr>
          <w:sz w:val="24"/>
          <w:szCs w:val="24"/>
        </w:rPr>
        <w:t xml:space="preserve">The Appellant should keep secret confidential and should not disclose to a third party any business and operational secrets of </w:t>
      </w:r>
      <w:r w:rsidR="00FD2384" w:rsidRPr="00283879">
        <w:rPr>
          <w:sz w:val="24"/>
          <w:szCs w:val="24"/>
        </w:rPr>
        <w:t>Company A</w:t>
      </w:r>
      <w:r w:rsidRPr="00283879">
        <w:rPr>
          <w:sz w:val="24"/>
          <w:szCs w:val="24"/>
        </w:rPr>
        <w:t xml:space="preserve"> and any other companies within the Group even after termination of his employment. (Clause 9)</w:t>
      </w:r>
    </w:p>
    <w:p w14:paraId="1C42161D" w14:textId="77777777" w:rsidR="00EB265E" w:rsidRPr="00283879" w:rsidRDefault="00EB265E" w:rsidP="00EB265E">
      <w:pPr>
        <w:widowControl w:val="0"/>
        <w:tabs>
          <w:tab w:val="left" w:pos="709"/>
          <w:tab w:val="left" w:pos="1418"/>
        </w:tabs>
        <w:topLinePunct/>
        <w:adjustRightInd/>
        <w:ind w:left="1418"/>
        <w:jc w:val="both"/>
        <w:textAlignment w:val="auto"/>
        <w:rPr>
          <w:sz w:val="24"/>
          <w:szCs w:val="24"/>
        </w:rPr>
      </w:pPr>
    </w:p>
    <w:p w14:paraId="2E5722D0" w14:textId="77777777" w:rsidR="00532DEA" w:rsidRPr="00283879" w:rsidRDefault="00532DEA" w:rsidP="00EB36C3">
      <w:pPr>
        <w:widowControl w:val="0"/>
        <w:numPr>
          <w:ilvl w:val="0"/>
          <w:numId w:val="4"/>
        </w:numPr>
        <w:tabs>
          <w:tab w:val="left" w:pos="709"/>
        </w:tabs>
        <w:topLinePunct/>
        <w:adjustRightInd/>
        <w:ind w:left="2268" w:hanging="709"/>
        <w:jc w:val="both"/>
        <w:textAlignment w:val="auto"/>
        <w:rPr>
          <w:sz w:val="24"/>
          <w:szCs w:val="24"/>
        </w:rPr>
      </w:pPr>
      <w:r w:rsidRPr="00283879">
        <w:rPr>
          <w:sz w:val="24"/>
          <w:szCs w:val="24"/>
        </w:rPr>
        <w:t>Upon signing of the Termination Agreement, all mutual claims of the parties from the employment relationship or in connection with its termination as well as any other legal reason were compensated and settled except for claims arising from the Termination Agreement. (Clause 10(1))</w:t>
      </w:r>
    </w:p>
    <w:p w14:paraId="5FDF5BF4" w14:textId="77777777" w:rsidR="00EB265E" w:rsidRPr="00283879" w:rsidRDefault="00EB265E" w:rsidP="00EB265E">
      <w:pPr>
        <w:widowControl w:val="0"/>
        <w:tabs>
          <w:tab w:val="left" w:pos="709"/>
          <w:tab w:val="left" w:pos="1418"/>
        </w:tabs>
        <w:topLinePunct/>
        <w:adjustRightInd/>
        <w:ind w:left="1418"/>
        <w:jc w:val="both"/>
        <w:textAlignment w:val="auto"/>
        <w:rPr>
          <w:sz w:val="24"/>
          <w:szCs w:val="24"/>
        </w:rPr>
      </w:pPr>
    </w:p>
    <w:p w14:paraId="16D78A0B" w14:textId="77777777" w:rsidR="00532DEA" w:rsidRPr="00283879" w:rsidRDefault="00532DEA" w:rsidP="00EB36C3">
      <w:pPr>
        <w:widowControl w:val="0"/>
        <w:numPr>
          <w:ilvl w:val="0"/>
          <w:numId w:val="4"/>
        </w:numPr>
        <w:tabs>
          <w:tab w:val="left" w:pos="709"/>
        </w:tabs>
        <w:topLinePunct/>
        <w:adjustRightInd/>
        <w:ind w:left="2268" w:hanging="709"/>
        <w:jc w:val="both"/>
        <w:textAlignment w:val="auto"/>
        <w:rPr>
          <w:sz w:val="24"/>
          <w:szCs w:val="24"/>
        </w:rPr>
      </w:pPr>
      <w:r w:rsidRPr="00283879">
        <w:rPr>
          <w:sz w:val="24"/>
          <w:szCs w:val="24"/>
        </w:rPr>
        <w:t>A mutual agreement as to good conduct providing that neither party would make depreciatory remarks about each other. (Clause 12)</w:t>
      </w:r>
    </w:p>
    <w:p w14:paraId="65D778C6" w14:textId="77777777" w:rsidR="00532DEA" w:rsidRPr="00283879" w:rsidRDefault="00532DEA" w:rsidP="00337A09">
      <w:pPr>
        <w:widowControl w:val="0"/>
        <w:tabs>
          <w:tab w:val="left" w:pos="709"/>
          <w:tab w:val="left" w:pos="1418"/>
        </w:tabs>
        <w:topLinePunct/>
        <w:adjustRightInd/>
        <w:ind w:left="1418"/>
        <w:jc w:val="both"/>
        <w:rPr>
          <w:sz w:val="24"/>
          <w:szCs w:val="24"/>
        </w:rPr>
      </w:pPr>
    </w:p>
    <w:p w14:paraId="1641274A"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Of most importance to this appeal, the Termination Agreement provided at Clause 2(1):</w:t>
      </w:r>
    </w:p>
    <w:p w14:paraId="5C8CEFD0" w14:textId="77777777" w:rsidR="00532DEA" w:rsidRPr="00283879" w:rsidRDefault="00532DEA" w:rsidP="00337A09">
      <w:pPr>
        <w:widowControl w:val="0"/>
        <w:tabs>
          <w:tab w:val="left" w:pos="709"/>
          <w:tab w:val="left" w:pos="1418"/>
        </w:tabs>
        <w:topLinePunct/>
        <w:adjustRightInd/>
        <w:ind w:left="709"/>
        <w:jc w:val="both"/>
        <w:rPr>
          <w:sz w:val="24"/>
          <w:szCs w:val="24"/>
        </w:rPr>
      </w:pPr>
    </w:p>
    <w:p w14:paraId="25D8E5AA" w14:textId="5A507AEA" w:rsidR="00532DEA" w:rsidRPr="00283879" w:rsidRDefault="00F13A0F" w:rsidP="00F1519D">
      <w:pPr>
        <w:widowControl w:val="0"/>
        <w:tabs>
          <w:tab w:val="left" w:pos="709"/>
          <w:tab w:val="left" w:pos="1418"/>
        </w:tabs>
        <w:topLinePunct/>
        <w:adjustRightInd/>
        <w:ind w:left="1560"/>
        <w:jc w:val="both"/>
        <w:rPr>
          <w:sz w:val="24"/>
          <w:szCs w:val="24"/>
        </w:rPr>
      </w:pPr>
      <w:r w:rsidRPr="00283879">
        <w:rPr>
          <w:sz w:val="24"/>
          <w:szCs w:val="24"/>
        </w:rPr>
        <w:t>‘</w:t>
      </w:r>
      <w:r w:rsidR="00532DEA" w:rsidRPr="00283879">
        <w:rPr>
          <w:sz w:val="24"/>
          <w:szCs w:val="24"/>
        </w:rPr>
        <w:t>In deviation from the plan conditions of the CC LT</w:t>
      </w:r>
      <w:r w:rsidR="00565692" w:rsidRPr="00283879">
        <w:rPr>
          <w:sz w:val="24"/>
          <w:szCs w:val="24"/>
        </w:rPr>
        <w:t>I</w:t>
      </w:r>
      <w:r w:rsidR="00532DEA" w:rsidRPr="00283879">
        <w:rPr>
          <w:sz w:val="24"/>
          <w:szCs w:val="24"/>
        </w:rPr>
        <w:t xml:space="preserve">, the payment entitlement from the plan does not expire upon conclusion of this termination agreement. You remain entitled to payment with the target amount of </w:t>
      </w:r>
      <w:r w:rsidR="001916DF" w:rsidRPr="00283879">
        <w:rPr>
          <w:b/>
          <w:bCs/>
          <w:sz w:val="24"/>
          <w:szCs w:val="24"/>
        </w:rPr>
        <w:t xml:space="preserve">EUR </w:t>
      </w:r>
      <w:r w:rsidR="000B3A66" w:rsidRPr="00283879">
        <w:rPr>
          <w:b/>
          <w:bCs/>
          <w:sz w:val="24"/>
          <w:szCs w:val="24"/>
        </w:rPr>
        <w:t>44,444</w:t>
      </w:r>
      <w:r w:rsidR="00532DEA" w:rsidRPr="00283879">
        <w:rPr>
          <w:b/>
          <w:bCs/>
          <w:sz w:val="24"/>
          <w:szCs w:val="24"/>
        </w:rPr>
        <w:t xml:space="preserve">.44 </w:t>
      </w:r>
      <w:r w:rsidR="00532DEA" w:rsidRPr="00283879">
        <w:rPr>
          <w:sz w:val="24"/>
          <w:szCs w:val="24"/>
        </w:rPr>
        <w:t xml:space="preserve">accumulated up to the exemption date (30 November 2017). Payment will be made in accordance with the plan conditions after the plan term of the </w:t>
      </w:r>
      <w:r w:rsidR="00783B83" w:rsidRPr="00283879">
        <w:rPr>
          <w:sz w:val="24"/>
          <w:szCs w:val="24"/>
        </w:rPr>
        <w:t xml:space="preserve">Company </w:t>
      </w:r>
      <w:proofErr w:type="gramStart"/>
      <w:r w:rsidR="00783B83" w:rsidRPr="00283879">
        <w:rPr>
          <w:sz w:val="24"/>
          <w:szCs w:val="24"/>
        </w:rPr>
        <w:t>A</w:t>
      </w:r>
      <w:proofErr w:type="gramEnd"/>
      <w:r w:rsidR="00532DEA" w:rsidRPr="00283879">
        <w:rPr>
          <w:sz w:val="24"/>
          <w:szCs w:val="24"/>
        </w:rPr>
        <w:t xml:space="preserve"> Long Term Incentive.</w:t>
      </w:r>
      <w:r w:rsidRPr="00283879">
        <w:rPr>
          <w:sz w:val="24"/>
          <w:szCs w:val="24"/>
        </w:rPr>
        <w:t>’</w:t>
      </w:r>
    </w:p>
    <w:p w14:paraId="0CEF8234" w14:textId="77777777" w:rsidR="00532DEA" w:rsidRPr="00283879" w:rsidRDefault="00532DEA" w:rsidP="00337A09">
      <w:pPr>
        <w:widowControl w:val="0"/>
        <w:tabs>
          <w:tab w:val="left" w:pos="709"/>
          <w:tab w:val="left" w:pos="1418"/>
        </w:tabs>
        <w:topLinePunct/>
        <w:adjustRightInd/>
        <w:jc w:val="both"/>
        <w:rPr>
          <w:sz w:val="24"/>
          <w:szCs w:val="24"/>
        </w:rPr>
      </w:pPr>
    </w:p>
    <w:p w14:paraId="5B62B764" w14:textId="70C4A1F6"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By a letter dated 25 April 2019 headed </w:t>
      </w:r>
      <w:r w:rsidR="00F13A0F" w:rsidRPr="00283879">
        <w:rPr>
          <w:sz w:val="24"/>
          <w:szCs w:val="24"/>
        </w:rPr>
        <w:t>‘</w:t>
      </w:r>
      <w:r w:rsidRPr="00283879">
        <w:rPr>
          <w:sz w:val="24"/>
          <w:szCs w:val="24"/>
        </w:rPr>
        <w:t>CC LTI – Your individual payout</w:t>
      </w:r>
      <w:r w:rsidR="00F13A0F" w:rsidRPr="00283879">
        <w:rPr>
          <w:sz w:val="24"/>
          <w:szCs w:val="24"/>
        </w:rPr>
        <w:t>’</w:t>
      </w:r>
      <w:r w:rsidRPr="00283879">
        <w:rPr>
          <w:sz w:val="24"/>
          <w:szCs w:val="24"/>
        </w:rPr>
        <w:t xml:space="preserve"> (</w:t>
      </w:r>
      <w:r w:rsidR="00F13A0F" w:rsidRPr="00283879">
        <w:rPr>
          <w:sz w:val="24"/>
          <w:szCs w:val="24"/>
        </w:rPr>
        <w:t>‘</w:t>
      </w:r>
      <w:r w:rsidRPr="00283879">
        <w:rPr>
          <w:sz w:val="24"/>
          <w:szCs w:val="24"/>
        </w:rPr>
        <w:t>the Payout Award Letter</w:t>
      </w:r>
      <w:r w:rsidR="00F13A0F" w:rsidRPr="00283879">
        <w:rPr>
          <w:sz w:val="24"/>
          <w:szCs w:val="24"/>
        </w:rPr>
        <w:t>’</w:t>
      </w:r>
      <w:r w:rsidRPr="00283879">
        <w:rPr>
          <w:rStyle w:val="aa"/>
          <w:sz w:val="24"/>
          <w:szCs w:val="24"/>
        </w:rPr>
        <w:footnoteReference w:id="2"/>
      </w:r>
      <w:r w:rsidRPr="00283879">
        <w:rPr>
          <w:sz w:val="24"/>
          <w:szCs w:val="24"/>
        </w:rPr>
        <w:t xml:space="preserve">), </w:t>
      </w:r>
      <w:r w:rsidR="00FD2384" w:rsidRPr="00283879">
        <w:rPr>
          <w:sz w:val="24"/>
          <w:szCs w:val="24"/>
        </w:rPr>
        <w:t>Company A</w:t>
      </w:r>
      <w:r w:rsidRPr="00283879">
        <w:rPr>
          <w:sz w:val="24"/>
          <w:szCs w:val="24"/>
        </w:rPr>
        <w:t xml:space="preserve"> informed the Appellant, among other things, the following details in respect of his payout under the CC LTI:</w:t>
      </w:r>
    </w:p>
    <w:p w14:paraId="75226180" w14:textId="77777777" w:rsidR="00EB265E" w:rsidRPr="00283879" w:rsidRDefault="00EB265E" w:rsidP="00EB265E">
      <w:pPr>
        <w:widowControl w:val="0"/>
        <w:tabs>
          <w:tab w:val="left" w:pos="709"/>
          <w:tab w:val="left" w:pos="1418"/>
        </w:tabs>
        <w:topLinePunct/>
        <w:adjustRightInd/>
        <w:ind w:left="567"/>
        <w:jc w:val="both"/>
        <w:textAlignment w:val="auto"/>
        <w:rPr>
          <w:sz w:val="24"/>
          <w:szCs w:val="24"/>
        </w:rPr>
      </w:pPr>
    </w:p>
    <w:p w14:paraId="4303541A" w14:textId="42865DDE" w:rsidR="00532DEA" w:rsidRPr="00283879" w:rsidRDefault="00532DEA" w:rsidP="001B02AE">
      <w:pPr>
        <w:pStyle w:val="ac"/>
        <w:widowControl w:val="0"/>
        <w:numPr>
          <w:ilvl w:val="0"/>
          <w:numId w:val="6"/>
        </w:numPr>
        <w:tabs>
          <w:tab w:val="left" w:pos="1985"/>
        </w:tabs>
        <w:topLinePunct/>
        <w:adjustRightInd/>
        <w:ind w:leftChars="0" w:left="1985" w:hanging="567"/>
        <w:jc w:val="both"/>
        <w:textAlignment w:val="auto"/>
        <w:rPr>
          <w:sz w:val="24"/>
          <w:szCs w:val="24"/>
        </w:rPr>
      </w:pPr>
      <w:r w:rsidRPr="00283879">
        <w:rPr>
          <w:sz w:val="24"/>
          <w:szCs w:val="24"/>
        </w:rPr>
        <w:t>The performance period of the CC LTI had ended on 31 March 2019.  That specific LTI was developed along its New Operating Model and based on VCP target achievement of the countries in 2016.</w:t>
      </w:r>
    </w:p>
    <w:p w14:paraId="71BE32CC" w14:textId="77777777" w:rsidR="00EB265E" w:rsidRPr="00283879" w:rsidRDefault="00EB265E" w:rsidP="00EB265E">
      <w:pPr>
        <w:pStyle w:val="ac"/>
        <w:widowControl w:val="0"/>
        <w:tabs>
          <w:tab w:val="left" w:pos="1985"/>
        </w:tabs>
        <w:topLinePunct/>
        <w:adjustRightInd/>
        <w:ind w:leftChars="0" w:left="1134"/>
        <w:jc w:val="both"/>
        <w:textAlignment w:val="auto"/>
        <w:rPr>
          <w:sz w:val="24"/>
          <w:szCs w:val="24"/>
        </w:rPr>
      </w:pPr>
    </w:p>
    <w:p w14:paraId="28AFB5A5" w14:textId="77777777" w:rsidR="00532DEA" w:rsidRPr="00283879" w:rsidRDefault="00532DEA" w:rsidP="001B02AE">
      <w:pPr>
        <w:pStyle w:val="ac"/>
        <w:widowControl w:val="0"/>
        <w:numPr>
          <w:ilvl w:val="0"/>
          <w:numId w:val="6"/>
        </w:numPr>
        <w:tabs>
          <w:tab w:val="left" w:pos="1985"/>
        </w:tabs>
        <w:topLinePunct/>
        <w:adjustRightInd/>
        <w:ind w:leftChars="0" w:left="1985" w:hanging="567"/>
        <w:jc w:val="both"/>
        <w:textAlignment w:val="auto"/>
        <w:rPr>
          <w:sz w:val="24"/>
          <w:szCs w:val="24"/>
        </w:rPr>
      </w:pPr>
      <w:r w:rsidRPr="00283879">
        <w:rPr>
          <w:sz w:val="24"/>
          <w:szCs w:val="24"/>
        </w:rPr>
        <w:t>The Appell</w:t>
      </w:r>
      <w:r w:rsidR="00DC36B3" w:rsidRPr="00283879">
        <w:rPr>
          <w:sz w:val="24"/>
          <w:szCs w:val="24"/>
        </w:rPr>
        <w:t>ant was entitled to a payout of</w:t>
      </w:r>
      <w:r w:rsidR="00D20732" w:rsidRPr="00283879">
        <w:rPr>
          <w:sz w:val="24"/>
          <w:szCs w:val="24"/>
        </w:rPr>
        <w:t xml:space="preserve"> </w:t>
      </w:r>
      <w:r w:rsidR="001916DF" w:rsidRPr="00283879">
        <w:rPr>
          <w:sz w:val="24"/>
          <w:szCs w:val="24"/>
        </w:rPr>
        <w:t xml:space="preserve">EUR </w:t>
      </w:r>
      <w:r w:rsidRPr="00283879">
        <w:rPr>
          <w:sz w:val="24"/>
          <w:szCs w:val="24"/>
        </w:rPr>
        <w:t>112,444.43 (equivalent to HK$976,902) (</w:t>
      </w:r>
      <w:r w:rsidR="00F13A0F" w:rsidRPr="00283879">
        <w:rPr>
          <w:sz w:val="24"/>
          <w:szCs w:val="24"/>
        </w:rPr>
        <w:t>‘</w:t>
      </w:r>
      <w:r w:rsidRPr="00283879">
        <w:rPr>
          <w:sz w:val="24"/>
          <w:szCs w:val="24"/>
        </w:rPr>
        <w:t>the LTI Payout</w:t>
      </w:r>
      <w:r w:rsidR="00F13A0F" w:rsidRPr="00283879">
        <w:rPr>
          <w:sz w:val="24"/>
          <w:szCs w:val="24"/>
        </w:rPr>
        <w:t>’</w:t>
      </w:r>
      <w:r w:rsidRPr="00283879">
        <w:rPr>
          <w:sz w:val="24"/>
          <w:szCs w:val="24"/>
        </w:rPr>
        <w:t xml:space="preserve">). </w:t>
      </w:r>
    </w:p>
    <w:p w14:paraId="77D84664" w14:textId="77777777" w:rsidR="00EB265E" w:rsidRPr="00283879" w:rsidRDefault="00EB265E" w:rsidP="00EB265E">
      <w:pPr>
        <w:pStyle w:val="ac"/>
        <w:widowControl w:val="0"/>
        <w:tabs>
          <w:tab w:val="left" w:pos="1985"/>
        </w:tabs>
        <w:topLinePunct/>
        <w:adjustRightInd/>
        <w:ind w:leftChars="0" w:left="1134"/>
        <w:jc w:val="both"/>
        <w:textAlignment w:val="auto"/>
        <w:rPr>
          <w:sz w:val="24"/>
          <w:szCs w:val="24"/>
        </w:rPr>
      </w:pPr>
    </w:p>
    <w:p w14:paraId="3F116729" w14:textId="77777777" w:rsidR="00532DEA" w:rsidRPr="00283879" w:rsidRDefault="00FD2384" w:rsidP="001B02AE">
      <w:pPr>
        <w:pStyle w:val="ac"/>
        <w:widowControl w:val="0"/>
        <w:numPr>
          <w:ilvl w:val="0"/>
          <w:numId w:val="6"/>
        </w:numPr>
        <w:tabs>
          <w:tab w:val="left" w:pos="1985"/>
        </w:tabs>
        <w:topLinePunct/>
        <w:adjustRightInd/>
        <w:ind w:leftChars="0" w:left="1985" w:hanging="567"/>
        <w:jc w:val="both"/>
        <w:textAlignment w:val="auto"/>
        <w:rPr>
          <w:sz w:val="24"/>
          <w:szCs w:val="24"/>
        </w:rPr>
      </w:pPr>
      <w:r w:rsidRPr="00283879">
        <w:rPr>
          <w:sz w:val="24"/>
          <w:szCs w:val="24"/>
        </w:rPr>
        <w:t>Company A</w:t>
      </w:r>
      <w:r w:rsidR="00532DEA" w:rsidRPr="00283879">
        <w:rPr>
          <w:sz w:val="24"/>
          <w:szCs w:val="24"/>
        </w:rPr>
        <w:t xml:space="preserve"> thanked the Appellant and his teams for the strong contribution to the success of </w:t>
      </w:r>
      <w:r w:rsidRPr="00283879">
        <w:rPr>
          <w:sz w:val="24"/>
          <w:szCs w:val="24"/>
        </w:rPr>
        <w:t>Company A</w:t>
      </w:r>
      <w:r w:rsidR="00532DEA" w:rsidRPr="00283879">
        <w:rPr>
          <w:sz w:val="24"/>
          <w:szCs w:val="24"/>
        </w:rPr>
        <w:t xml:space="preserve"> and the transformation in the preceding three years. </w:t>
      </w:r>
    </w:p>
    <w:p w14:paraId="19AF5B0D" w14:textId="77777777" w:rsidR="00532DEA" w:rsidRPr="00283879" w:rsidRDefault="00532DEA" w:rsidP="00337A09">
      <w:pPr>
        <w:pStyle w:val="ac"/>
        <w:widowControl w:val="0"/>
        <w:tabs>
          <w:tab w:val="left" w:pos="709"/>
          <w:tab w:val="left" w:pos="1418"/>
        </w:tabs>
        <w:topLinePunct/>
        <w:adjustRightInd/>
        <w:ind w:left="400"/>
        <w:jc w:val="both"/>
        <w:rPr>
          <w:sz w:val="24"/>
          <w:szCs w:val="24"/>
        </w:rPr>
      </w:pPr>
    </w:p>
    <w:p w14:paraId="7744BC50"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A calculation sheet attached to the Payout Award Letter showed, among other things, the Appellant’s target achievements and calculation of the Payout as follows:</w:t>
      </w:r>
    </w:p>
    <w:p w14:paraId="22F94AEA" w14:textId="77777777" w:rsidR="00532DEA" w:rsidRPr="00283879" w:rsidRDefault="00532DEA" w:rsidP="00337A09">
      <w:pPr>
        <w:pStyle w:val="ac"/>
        <w:widowControl w:val="0"/>
        <w:tabs>
          <w:tab w:val="left" w:pos="709"/>
          <w:tab w:val="left" w:pos="1418"/>
        </w:tabs>
        <w:topLinePunct/>
        <w:adjustRightInd/>
        <w:ind w:left="400"/>
        <w:jc w:val="both"/>
        <w:rPr>
          <w:sz w:val="24"/>
          <w:szCs w:val="24"/>
        </w:rPr>
      </w:pPr>
    </w:p>
    <w:p w14:paraId="50BBC49B" w14:textId="77777777" w:rsidR="00532DEA" w:rsidRPr="00283879" w:rsidRDefault="00532DEA" w:rsidP="005D40AB">
      <w:pPr>
        <w:widowControl w:val="0"/>
        <w:numPr>
          <w:ilvl w:val="0"/>
          <w:numId w:val="5"/>
        </w:numPr>
        <w:tabs>
          <w:tab w:val="left" w:pos="709"/>
          <w:tab w:val="left" w:pos="1418"/>
          <w:tab w:val="left" w:pos="1985"/>
        </w:tabs>
        <w:topLinePunct/>
        <w:adjustRightInd/>
        <w:ind w:left="2268"/>
        <w:jc w:val="both"/>
        <w:textAlignment w:val="auto"/>
        <w:rPr>
          <w:sz w:val="24"/>
          <w:szCs w:val="24"/>
        </w:rPr>
      </w:pPr>
      <w:r w:rsidRPr="00283879">
        <w:rPr>
          <w:sz w:val="24"/>
          <w:szCs w:val="24"/>
        </w:rPr>
        <w:t>Target value</w:t>
      </w:r>
    </w:p>
    <w:p w14:paraId="4E7240BB" w14:textId="77777777" w:rsidR="001B62CB" w:rsidRPr="00283879" w:rsidRDefault="001B62CB" w:rsidP="001B62CB">
      <w:pPr>
        <w:widowControl w:val="0"/>
        <w:tabs>
          <w:tab w:val="left" w:pos="709"/>
          <w:tab w:val="left" w:pos="1418"/>
          <w:tab w:val="left" w:pos="1985"/>
        </w:tabs>
        <w:topLinePunct/>
        <w:adjustRightInd/>
        <w:ind w:left="2268"/>
        <w:jc w:val="both"/>
        <w:textAlignment w:val="auto"/>
        <w:rPr>
          <w:sz w:val="24"/>
          <w:szCs w:val="24"/>
        </w:rPr>
      </w:pPr>
    </w:p>
    <w:tbl>
      <w:tblPr>
        <w:tblW w:w="7121" w:type="dxa"/>
        <w:tblInd w:w="1951" w:type="dxa"/>
        <w:tblLook w:val="04A0" w:firstRow="1" w:lastRow="0" w:firstColumn="1" w:lastColumn="0" w:noHBand="0" w:noVBand="1"/>
      </w:tblPr>
      <w:tblGrid>
        <w:gridCol w:w="1647"/>
        <w:gridCol w:w="1647"/>
        <w:gridCol w:w="1913"/>
        <w:gridCol w:w="1914"/>
      </w:tblGrid>
      <w:tr w:rsidR="00532DEA" w:rsidRPr="00283879" w14:paraId="2F83F323" w14:textId="77777777" w:rsidTr="00545C77">
        <w:tc>
          <w:tcPr>
            <w:tcW w:w="1647" w:type="dxa"/>
          </w:tcPr>
          <w:p w14:paraId="102A1848" w14:textId="77777777" w:rsidR="00532DEA" w:rsidRPr="00283879" w:rsidRDefault="00532DEA" w:rsidP="00337A09">
            <w:pPr>
              <w:widowControl w:val="0"/>
              <w:topLinePunct/>
              <w:adjustRightInd/>
              <w:jc w:val="both"/>
              <w:rPr>
                <w:sz w:val="24"/>
                <w:szCs w:val="24"/>
              </w:rPr>
            </w:pPr>
            <w:r w:rsidRPr="00283879">
              <w:rPr>
                <w:sz w:val="24"/>
                <w:szCs w:val="24"/>
              </w:rPr>
              <w:t>Valid from</w:t>
            </w:r>
          </w:p>
        </w:tc>
        <w:tc>
          <w:tcPr>
            <w:tcW w:w="1647" w:type="dxa"/>
          </w:tcPr>
          <w:p w14:paraId="39F24D89" w14:textId="77777777" w:rsidR="00532DEA" w:rsidRPr="00283879" w:rsidRDefault="00532DEA" w:rsidP="00337A09">
            <w:pPr>
              <w:widowControl w:val="0"/>
              <w:topLinePunct/>
              <w:adjustRightInd/>
              <w:jc w:val="both"/>
              <w:rPr>
                <w:sz w:val="24"/>
                <w:szCs w:val="24"/>
              </w:rPr>
            </w:pPr>
            <w:r w:rsidRPr="00283879">
              <w:rPr>
                <w:sz w:val="24"/>
                <w:szCs w:val="24"/>
              </w:rPr>
              <w:t>Valid to</w:t>
            </w:r>
          </w:p>
        </w:tc>
        <w:tc>
          <w:tcPr>
            <w:tcW w:w="1913" w:type="dxa"/>
          </w:tcPr>
          <w:p w14:paraId="1F955045" w14:textId="77777777" w:rsidR="00532DEA" w:rsidRPr="00283879" w:rsidRDefault="00532DEA" w:rsidP="00337A09">
            <w:pPr>
              <w:widowControl w:val="0"/>
              <w:topLinePunct/>
              <w:adjustRightInd/>
              <w:jc w:val="both"/>
              <w:rPr>
                <w:sz w:val="24"/>
                <w:szCs w:val="24"/>
              </w:rPr>
            </w:pPr>
            <w:r w:rsidRPr="00283879">
              <w:rPr>
                <w:sz w:val="24"/>
                <w:szCs w:val="24"/>
              </w:rPr>
              <w:t xml:space="preserve">Target value </w:t>
            </w:r>
          </w:p>
          <w:p w14:paraId="3E353631" w14:textId="77777777" w:rsidR="00532DEA" w:rsidRPr="00283879" w:rsidRDefault="00532DEA" w:rsidP="00337A09">
            <w:pPr>
              <w:widowControl w:val="0"/>
              <w:topLinePunct/>
              <w:adjustRightInd/>
              <w:jc w:val="both"/>
              <w:rPr>
                <w:sz w:val="24"/>
                <w:szCs w:val="24"/>
              </w:rPr>
            </w:pPr>
            <w:r w:rsidRPr="00283879">
              <w:rPr>
                <w:sz w:val="24"/>
                <w:szCs w:val="24"/>
              </w:rPr>
              <w:t>(36 months)</w:t>
            </w:r>
          </w:p>
        </w:tc>
        <w:tc>
          <w:tcPr>
            <w:tcW w:w="1914" w:type="dxa"/>
          </w:tcPr>
          <w:p w14:paraId="1A6CC873" w14:textId="77777777" w:rsidR="00532DEA" w:rsidRPr="00283879" w:rsidRDefault="00532DEA" w:rsidP="00337A09">
            <w:pPr>
              <w:widowControl w:val="0"/>
              <w:topLinePunct/>
              <w:adjustRightInd/>
              <w:jc w:val="both"/>
              <w:rPr>
                <w:sz w:val="24"/>
                <w:szCs w:val="24"/>
              </w:rPr>
            </w:pPr>
            <w:r w:rsidRPr="00283879">
              <w:rPr>
                <w:sz w:val="24"/>
                <w:szCs w:val="24"/>
              </w:rPr>
              <w:t xml:space="preserve">Target value </w:t>
            </w:r>
          </w:p>
          <w:p w14:paraId="5A52A4AA" w14:textId="77777777" w:rsidR="00532DEA" w:rsidRPr="00283879" w:rsidRDefault="00532DEA" w:rsidP="00337A09">
            <w:pPr>
              <w:widowControl w:val="0"/>
              <w:topLinePunct/>
              <w:adjustRightInd/>
              <w:jc w:val="both"/>
              <w:rPr>
                <w:sz w:val="24"/>
                <w:szCs w:val="24"/>
              </w:rPr>
            </w:pPr>
            <w:r w:rsidRPr="00283879">
              <w:rPr>
                <w:sz w:val="24"/>
                <w:szCs w:val="24"/>
              </w:rPr>
              <w:t>(pro rata)</w:t>
            </w:r>
          </w:p>
        </w:tc>
      </w:tr>
      <w:tr w:rsidR="00532DEA" w:rsidRPr="00283879" w14:paraId="77566321" w14:textId="77777777" w:rsidTr="00545C77">
        <w:tc>
          <w:tcPr>
            <w:tcW w:w="1647" w:type="dxa"/>
          </w:tcPr>
          <w:p w14:paraId="74135656" w14:textId="77777777" w:rsidR="00532DEA" w:rsidRPr="00283879" w:rsidRDefault="00532DEA" w:rsidP="00337A09">
            <w:pPr>
              <w:widowControl w:val="0"/>
              <w:topLinePunct/>
              <w:adjustRightInd/>
              <w:jc w:val="both"/>
              <w:rPr>
                <w:sz w:val="24"/>
                <w:szCs w:val="24"/>
              </w:rPr>
            </w:pPr>
            <w:r w:rsidRPr="00283879">
              <w:rPr>
                <w:sz w:val="24"/>
                <w:szCs w:val="24"/>
              </w:rPr>
              <w:t>1 Apr 2016</w:t>
            </w:r>
          </w:p>
        </w:tc>
        <w:tc>
          <w:tcPr>
            <w:tcW w:w="1647" w:type="dxa"/>
          </w:tcPr>
          <w:p w14:paraId="24E40C2B" w14:textId="77777777" w:rsidR="00532DEA" w:rsidRPr="00283879" w:rsidRDefault="00532DEA" w:rsidP="00337A09">
            <w:pPr>
              <w:widowControl w:val="0"/>
              <w:topLinePunct/>
              <w:adjustRightInd/>
              <w:jc w:val="both"/>
              <w:rPr>
                <w:sz w:val="24"/>
                <w:szCs w:val="24"/>
              </w:rPr>
            </w:pPr>
            <w:r w:rsidRPr="00283879">
              <w:rPr>
                <w:sz w:val="24"/>
                <w:szCs w:val="24"/>
              </w:rPr>
              <w:t>30 Nov 2017</w:t>
            </w:r>
          </w:p>
        </w:tc>
        <w:tc>
          <w:tcPr>
            <w:tcW w:w="1913" w:type="dxa"/>
          </w:tcPr>
          <w:p w14:paraId="5BB388E3" w14:textId="77777777" w:rsidR="00532DEA" w:rsidRPr="00283879" w:rsidRDefault="001916DF" w:rsidP="00337A09">
            <w:pPr>
              <w:widowControl w:val="0"/>
              <w:topLinePunct/>
              <w:adjustRightInd/>
              <w:jc w:val="both"/>
              <w:rPr>
                <w:sz w:val="24"/>
                <w:szCs w:val="24"/>
              </w:rPr>
            </w:pPr>
            <w:r w:rsidRPr="00283879">
              <w:rPr>
                <w:sz w:val="24"/>
                <w:szCs w:val="24"/>
              </w:rPr>
              <w:t xml:space="preserve">EUR </w:t>
            </w:r>
            <w:r w:rsidR="00532DEA" w:rsidRPr="00283879">
              <w:rPr>
                <w:sz w:val="24"/>
                <w:szCs w:val="24"/>
              </w:rPr>
              <w:t>80,000.00</w:t>
            </w:r>
          </w:p>
        </w:tc>
        <w:tc>
          <w:tcPr>
            <w:tcW w:w="1914" w:type="dxa"/>
          </w:tcPr>
          <w:p w14:paraId="1197604F" w14:textId="77777777" w:rsidR="00532DEA" w:rsidRPr="00283879" w:rsidRDefault="001916DF" w:rsidP="00337A09">
            <w:pPr>
              <w:widowControl w:val="0"/>
              <w:topLinePunct/>
              <w:adjustRightInd/>
              <w:jc w:val="both"/>
              <w:rPr>
                <w:sz w:val="24"/>
                <w:szCs w:val="24"/>
              </w:rPr>
            </w:pPr>
            <w:r w:rsidRPr="00283879">
              <w:rPr>
                <w:sz w:val="24"/>
                <w:szCs w:val="24"/>
              </w:rPr>
              <w:t xml:space="preserve">EUR </w:t>
            </w:r>
            <w:r w:rsidR="00532DEA" w:rsidRPr="00283879">
              <w:rPr>
                <w:sz w:val="24"/>
                <w:szCs w:val="24"/>
              </w:rPr>
              <w:t>44,444.44</w:t>
            </w:r>
          </w:p>
        </w:tc>
      </w:tr>
    </w:tbl>
    <w:p w14:paraId="6FC9417B" w14:textId="060DC130" w:rsidR="00532DEA" w:rsidRPr="00283879" w:rsidRDefault="00532DEA" w:rsidP="00384A20">
      <w:pPr>
        <w:overflowPunct/>
        <w:autoSpaceDE/>
        <w:autoSpaceDN/>
        <w:adjustRightInd/>
        <w:textAlignment w:val="auto"/>
        <w:rPr>
          <w:sz w:val="24"/>
          <w:szCs w:val="24"/>
        </w:rPr>
      </w:pPr>
    </w:p>
    <w:p w14:paraId="16E2036C" w14:textId="77777777" w:rsidR="00532DEA" w:rsidRPr="00283879" w:rsidRDefault="00532DEA" w:rsidP="005D40AB">
      <w:pPr>
        <w:widowControl w:val="0"/>
        <w:numPr>
          <w:ilvl w:val="0"/>
          <w:numId w:val="5"/>
        </w:numPr>
        <w:tabs>
          <w:tab w:val="left" w:pos="709"/>
          <w:tab w:val="left" w:pos="1418"/>
          <w:tab w:val="left" w:pos="1985"/>
        </w:tabs>
        <w:topLinePunct/>
        <w:adjustRightInd/>
        <w:ind w:left="2268"/>
        <w:jc w:val="both"/>
        <w:textAlignment w:val="auto"/>
        <w:rPr>
          <w:sz w:val="24"/>
          <w:szCs w:val="24"/>
        </w:rPr>
      </w:pPr>
      <w:r w:rsidRPr="00283879">
        <w:rPr>
          <w:sz w:val="24"/>
          <w:szCs w:val="24"/>
        </w:rPr>
        <w:t>Calculation of the Payout</w:t>
      </w:r>
    </w:p>
    <w:p w14:paraId="77AA03E6" w14:textId="77777777" w:rsidR="00D85041" w:rsidRPr="00283879" w:rsidRDefault="00D85041" w:rsidP="00D07AFD">
      <w:pPr>
        <w:widowControl w:val="0"/>
        <w:tabs>
          <w:tab w:val="left" w:pos="709"/>
          <w:tab w:val="left" w:pos="1418"/>
          <w:tab w:val="left" w:pos="1985"/>
        </w:tabs>
        <w:topLinePunct/>
        <w:adjustRightInd/>
        <w:jc w:val="both"/>
        <w:textAlignment w:val="auto"/>
        <w:rPr>
          <w:sz w:val="24"/>
          <w:szCs w:val="24"/>
        </w:rPr>
      </w:pPr>
    </w:p>
    <w:tbl>
      <w:tblPr>
        <w:tblW w:w="7087" w:type="dxa"/>
        <w:tblInd w:w="1985" w:type="dxa"/>
        <w:tblLook w:val="04A0" w:firstRow="1" w:lastRow="0" w:firstColumn="1" w:lastColumn="0" w:noHBand="0" w:noVBand="1"/>
      </w:tblPr>
      <w:tblGrid>
        <w:gridCol w:w="2362"/>
        <w:gridCol w:w="1040"/>
        <w:gridCol w:w="3685"/>
      </w:tblGrid>
      <w:tr w:rsidR="00532DEA" w:rsidRPr="00283879" w14:paraId="3950A440" w14:textId="77777777" w:rsidTr="00545C77">
        <w:tc>
          <w:tcPr>
            <w:tcW w:w="2362" w:type="dxa"/>
          </w:tcPr>
          <w:p w14:paraId="50647B33" w14:textId="77777777" w:rsidR="00532DEA" w:rsidRPr="00283879" w:rsidRDefault="00532DEA" w:rsidP="00337A09">
            <w:pPr>
              <w:widowControl w:val="0"/>
              <w:topLinePunct/>
              <w:adjustRightInd/>
              <w:jc w:val="both"/>
              <w:rPr>
                <w:sz w:val="24"/>
                <w:szCs w:val="24"/>
              </w:rPr>
            </w:pPr>
            <w:r w:rsidRPr="00283879">
              <w:rPr>
                <w:sz w:val="24"/>
                <w:szCs w:val="24"/>
              </w:rPr>
              <w:t>Target value (pro rata)</w:t>
            </w:r>
          </w:p>
        </w:tc>
        <w:tc>
          <w:tcPr>
            <w:tcW w:w="1040" w:type="dxa"/>
          </w:tcPr>
          <w:p w14:paraId="39D73C0E" w14:textId="77777777" w:rsidR="00532DEA" w:rsidRPr="00283879" w:rsidRDefault="00532DEA" w:rsidP="00337A09">
            <w:pPr>
              <w:widowControl w:val="0"/>
              <w:topLinePunct/>
              <w:adjustRightInd/>
              <w:jc w:val="both"/>
              <w:rPr>
                <w:sz w:val="24"/>
                <w:szCs w:val="24"/>
              </w:rPr>
            </w:pPr>
            <w:r w:rsidRPr="00283879">
              <w:rPr>
                <w:sz w:val="24"/>
                <w:szCs w:val="24"/>
              </w:rPr>
              <w:t>Factor</w:t>
            </w:r>
          </w:p>
        </w:tc>
        <w:tc>
          <w:tcPr>
            <w:tcW w:w="3685" w:type="dxa"/>
          </w:tcPr>
          <w:p w14:paraId="1127A77A" w14:textId="77777777" w:rsidR="00532DEA" w:rsidRPr="00283879" w:rsidRDefault="00532DEA" w:rsidP="00337A09">
            <w:pPr>
              <w:widowControl w:val="0"/>
              <w:topLinePunct/>
              <w:adjustRightInd/>
              <w:jc w:val="both"/>
              <w:rPr>
                <w:sz w:val="24"/>
                <w:szCs w:val="24"/>
              </w:rPr>
            </w:pPr>
            <w:r w:rsidRPr="00283879">
              <w:rPr>
                <w:sz w:val="24"/>
                <w:szCs w:val="24"/>
              </w:rPr>
              <w:t>Calculated bonus</w:t>
            </w:r>
            <w:r w:rsidRPr="00283879">
              <w:rPr>
                <w:sz w:val="24"/>
                <w:szCs w:val="24"/>
                <w:vertAlign w:val="superscript"/>
              </w:rPr>
              <w:footnoteReference w:id="3"/>
            </w:r>
          </w:p>
        </w:tc>
      </w:tr>
      <w:tr w:rsidR="00532DEA" w:rsidRPr="00283879" w14:paraId="5C6BF4B3" w14:textId="77777777" w:rsidTr="00545C77">
        <w:tc>
          <w:tcPr>
            <w:tcW w:w="2362" w:type="dxa"/>
          </w:tcPr>
          <w:p w14:paraId="65B9F62D" w14:textId="77777777" w:rsidR="00532DEA" w:rsidRPr="00283879" w:rsidRDefault="001916DF" w:rsidP="00337A09">
            <w:pPr>
              <w:widowControl w:val="0"/>
              <w:topLinePunct/>
              <w:adjustRightInd/>
              <w:jc w:val="both"/>
              <w:rPr>
                <w:sz w:val="24"/>
                <w:szCs w:val="24"/>
              </w:rPr>
            </w:pPr>
            <w:r w:rsidRPr="00283879">
              <w:rPr>
                <w:sz w:val="24"/>
                <w:szCs w:val="24"/>
              </w:rPr>
              <w:t xml:space="preserve">EUR </w:t>
            </w:r>
            <w:r w:rsidR="00532DEA" w:rsidRPr="00283879">
              <w:rPr>
                <w:sz w:val="24"/>
                <w:szCs w:val="24"/>
              </w:rPr>
              <w:t>44,444.44</w:t>
            </w:r>
          </w:p>
        </w:tc>
        <w:tc>
          <w:tcPr>
            <w:tcW w:w="1040" w:type="dxa"/>
          </w:tcPr>
          <w:p w14:paraId="2A260EC4" w14:textId="77777777" w:rsidR="00532DEA" w:rsidRPr="00283879" w:rsidRDefault="00532DEA" w:rsidP="00337A09">
            <w:pPr>
              <w:widowControl w:val="0"/>
              <w:topLinePunct/>
              <w:adjustRightInd/>
              <w:jc w:val="both"/>
              <w:rPr>
                <w:sz w:val="24"/>
                <w:szCs w:val="24"/>
              </w:rPr>
            </w:pPr>
            <w:r w:rsidRPr="00283879">
              <w:rPr>
                <w:sz w:val="24"/>
                <w:szCs w:val="24"/>
              </w:rPr>
              <w:t>2.53</w:t>
            </w:r>
          </w:p>
        </w:tc>
        <w:tc>
          <w:tcPr>
            <w:tcW w:w="3685" w:type="dxa"/>
          </w:tcPr>
          <w:p w14:paraId="111136B2" w14:textId="77777777" w:rsidR="00532DEA" w:rsidRPr="00283879" w:rsidRDefault="001916DF" w:rsidP="00337A09">
            <w:pPr>
              <w:widowControl w:val="0"/>
              <w:topLinePunct/>
              <w:adjustRightInd/>
              <w:jc w:val="both"/>
              <w:rPr>
                <w:sz w:val="24"/>
                <w:szCs w:val="24"/>
              </w:rPr>
            </w:pPr>
            <w:r w:rsidRPr="00283879">
              <w:rPr>
                <w:sz w:val="24"/>
                <w:szCs w:val="24"/>
              </w:rPr>
              <w:t xml:space="preserve">EUR </w:t>
            </w:r>
            <w:r w:rsidR="00532DEA" w:rsidRPr="00283879">
              <w:rPr>
                <w:sz w:val="24"/>
                <w:szCs w:val="24"/>
              </w:rPr>
              <w:t xml:space="preserve">112,444.43 </w:t>
            </w:r>
          </w:p>
        </w:tc>
      </w:tr>
    </w:tbl>
    <w:p w14:paraId="34974D0C" w14:textId="77777777" w:rsidR="00532DEA" w:rsidRPr="00283879" w:rsidRDefault="00532DEA" w:rsidP="00337A09">
      <w:pPr>
        <w:pStyle w:val="ac"/>
        <w:widowControl w:val="0"/>
        <w:tabs>
          <w:tab w:val="left" w:pos="709"/>
        </w:tabs>
        <w:topLinePunct/>
        <w:adjustRightInd/>
        <w:ind w:left="400"/>
        <w:jc w:val="both"/>
        <w:rPr>
          <w:sz w:val="24"/>
          <w:szCs w:val="24"/>
        </w:rPr>
      </w:pPr>
    </w:p>
    <w:p w14:paraId="2B738CEB" w14:textId="0B98102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Target </w:t>
      </w:r>
      <w:proofErr w:type="spellStart"/>
      <w:r w:rsidRPr="00283879">
        <w:rPr>
          <w:sz w:val="24"/>
          <w:szCs w:val="24"/>
        </w:rPr>
        <w:t>Center</w:t>
      </w:r>
      <w:proofErr w:type="spellEnd"/>
      <w:r w:rsidR="00657B99" w:rsidRPr="00283879">
        <w:rPr>
          <w:rStyle w:val="aa"/>
          <w:sz w:val="24"/>
          <w:szCs w:val="24"/>
        </w:rPr>
        <w:footnoteReference w:id="4"/>
      </w:r>
      <w:r w:rsidRPr="00283879">
        <w:rPr>
          <w:sz w:val="24"/>
          <w:szCs w:val="24"/>
        </w:rPr>
        <w:t xml:space="preserve"> identified in the letter with a 100% weighting was</w:t>
      </w:r>
      <w:r w:rsidR="00DB26EA" w:rsidRPr="00283879">
        <w:rPr>
          <w:sz w:val="24"/>
          <w:szCs w:val="24"/>
        </w:rPr>
        <w:t xml:space="preserve"> CC</w:t>
      </w:r>
      <w:r w:rsidRPr="00283879">
        <w:rPr>
          <w:sz w:val="24"/>
          <w:szCs w:val="24"/>
        </w:rPr>
        <w:t xml:space="preserve"> CHINA. (The Appellant noted that this was different to the initial grant letter where the performance of </w:t>
      </w:r>
      <w:r w:rsidR="00DB26EA" w:rsidRPr="00283879">
        <w:rPr>
          <w:sz w:val="24"/>
          <w:szCs w:val="24"/>
        </w:rPr>
        <w:t xml:space="preserve">CC </w:t>
      </w:r>
      <w:r w:rsidRPr="00283879">
        <w:rPr>
          <w:sz w:val="24"/>
          <w:szCs w:val="24"/>
        </w:rPr>
        <w:t>C</w:t>
      </w:r>
      <w:r w:rsidR="002D027C" w:rsidRPr="00283879">
        <w:rPr>
          <w:sz w:val="24"/>
          <w:szCs w:val="24"/>
        </w:rPr>
        <w:t>HINA</w:t>
      </w:r>
      <w:r w:rsidRPr="00283879">
        <w:rPr>
          <w:sz w:val="24"/>
          <w:szCs w:val="24"/>
        </w:rPr>
        <w:t xml:space="preserve"> (70%) and </w:t>
      </w:r>
      <w:r w:rsidR="00DB26EA" w:rsidRPr="00283879">
        <w:rPr>
          <w:sz w:val="24"/>
          <w:szCs w:val="24"/>
        </w:rPr>
        <w:t xml:space="preserve">CC </w:t>
      </w:r>
      <w:r w:rsidRPr="00283879">
        <w:rPr>
          <w:sz w:val="24"/>
          <w:szCs w:val="24"/>
        </w:rPr>
        <w:t>J</w:t>
      </w:r>
      <w:r w:rsidR="002D027C" w:rsidRPr="00283879">
        <w:rPr>
          <w:sz w:val="24"/>
          <w:szCs w:val="24"/>
        </w:rPr>
        <w:t>APAN</w:t>
      </w:r>
      <w:r w:rsidRPr="00283879">
        <w:rPr>
          <w:sz w:val="24"/>
          <w:szCs w:val="24"/>
        </w:rPr>
        <w:t xml:space="preserve"> (30%) would be taken into account.)</w:t>
      </w:r>
    </w:p>
    <w:p w14:paraId="0AF1D8C2" w14:textId="77777777" w:rsidR="00532DEA" w:rsidRPr="00283879" w:rsidRDefault="00532DEA" w:rsidP="00337A09">
      <w:pPr>
        <w:pStyle w:val="ac"/>
        <w:widowControl w:val="0"/>
        <w:tabs>
          <w:tab w:val="left" w:pos="709"/>
        </w:tabs>
        <w:topLinePunct/>
        <w:adjustRightInd/>
        <w:ind w:left="400"/>
        <w:jc w:val="both"/>
        <w:rPr>
          <w:sz w:val="24"/>
          <w:szCs w:val="24"/>
        </w:rPr>
      </w:pPr>
    </w:p>
    <w:p w14:paraId="7B154597"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Appellant was assessed for salaries tax for the year of assessment 2017/18.  This was paid.  After the LTI Payout was paid </w:t>
      </w:r>
      <w:r w:rsidR="007E5D66" w:rsidRPr="00283879">
        <w:rPr>
          <w:sz w:val="24"/>
          <w:szCs w:val="24"/>
        </w:rPr>
        <w:t>Company H</w:t>
      </w:r>
      <w:r w:rsidRPr="00283879">
        <w:rPr>
          <w:sz w:val="24"/>
          <w:szCs w:val="24"/>
          <w:lang w:eastAsia="zh-HK"/>
        </w:rPr>
        <w:t xml:space="preserve"> furnished an additional notification for the year of assessment 2017/18 in respect of the Appellant reporting, among other things, the following particulars:</w:t>
      </w:r>
    </w:p>
    <w:p w14:paraId="7A1BBE1E" w14:textId="77777777" w:rsidR="00532DEA" w:rsidRPr="00283879" w:rsidRDefault="00532DEA" w:rsidP="00337A09">
      <w:pPr>
        <w:widowControl w:val="0"/>
        <w:tabs>
          <w:tab w:val="left" w:pos="709"/>
        </w:tabs>
        <w:topLinePunct/>
        <w:adjustRightInd/>
        <w:ind w:left="709"/>
        <w:jc w:val="both"/>
        <w:rPr>
          <w:sz w:val="24"/>
          <w:szCs w:val="24"/>
        </w:rPr>
      </w:pPr>
    </w:p>
    <w:tbl>
      <w:tblPr>
        <w:tblW w:w="6378" w:type="dxa"/>
        <w:tblInd w:w="1560" w:type="dxa"/>
        <w:tblLook w:val="04A0" w:firstRow="1" w:lastRow="0" w:firstColumn="1" w:lastColumn="0" w:noHBand="0" w:noVBand="1"/>
      </w:tblPr>
      <w:tblGrid>
        <w:gridCol w:w="708"/>
        <w:gridCol w:w="4111"/>
        <w:gridCol w:w="1559"/>
      </w:tblGrid>
      <w:tr w:rsidR="00532DEA" w:rsidRPr="00283879" w14:paraId="4062923E" w14:textId="77777777" w:rsidTr="00F46F92">
        <w:tc>
          <w:tcPr>
            <w:tcW w:w="708" w:type="dxa"/>
          </w:tcPr>
          <w:p w14:paraId="1559864D" w14:textId="77777777" w:rsidR="00532DEA" w:rsidRPr="00283879" w:rsidRDefault="00532DEA" w:rsidP="00337A09">
            <w:pPr>
              <w:widowControl w:val="0"/>
              <w:topLinePunct/>
              <w:adjustRightInd/>
              <w:jc w:val="both"/>
              <w:rPr>
                <w:sz w:val="24"/>
                <w:szCs w:val="24"/>
              </w:rPr>
            </w:pPr>
            <w:r w:rsidRPr="00283879">
              <w:rPr>
                <w:sz w:val="24"/>
                <w:szCs w:val="24"/>
              </w:rPr>
              <w:t>(a)</w:t>
            </w:r>
          </w:p>
        </w:tc>
        <w:tc>
          <w:tcPr>
            <w:tcW w:w="4111" w:type="dxa"/>
          </w:tcPr>
          <w:p w14:paraId="26820620" w14:textId="77777777" w:rsidR="00532DEA" w:rsidRPr="00283879" w:rsidRDefault="00532DEA" w:rsidP="00337A09">
            <w:pPr>
              <w:widowControl w:val="0"/>
              <w:topLinePunct/>
              <w:adjustRightInd/>
              <w:jc w:val="both"/>
              <w:rPr>
                <w:sz w:val="24"/>
                <w:szCs w:val="24"/>
              </w:rPr>
            </w:pPr>
            <w:r w:rsidRPr="00283879">
              <w:rPr>
                <w:sz w:val="24"/>
                <w:szCs w:val="24"/>
              </w:rPr>
              <w:t>Income:</w:t>
            </w:r>
          </w:p>
        </w:tc>
        <w:tc>
          <w:tcPr>
            <w:tcW w:w="1559" w:type="dxa"/>
          </w:tcPr>
          <w:p w14:paraId="6531BE68" w14:textId="77777777" w:rsidR="00532DEA" w:rsidRPr="00283879" w:rsidRDefault="00532DEA" w:rsidP="00337A09">
            <w:pPr>
              <w:widowControl w:val="0"/>
              <w:topLinePunct/>
              <w:adjustRightInd/>
              <w:jc w:val="both"/>
              <w:rPr>
                <w:sz w:val="24"/>
                <w:szCs w:val="24"/>
              </w:rPr>
            </w:pPr>
          </w:p>
        </w:tc>
      </w:tr>
      <w:tr w:rsidR="00532DEA" w:rsidRPr="00283879" w14:paraId="1D6AAD9D" w14:textId="77777777" w:rsidTr="00F46F92">
        <w:tc>
          <w:tcPr>
            <w:tcW w:w="708" w:type="dxa"/>
          </w:tcPr>
          <w:p w14:paraId="20913509" w14:textId="77777777" w:rsidR="00532DEA" w:rsidRPr="00283879" w:rsidRDefault="00532DEA" w:rsidP="00337A09">
            <w:pPr>
              <w:widowControl w:val="0"/>
              <w:topLinePunct/>
              <w:adjustRightInd/>
              <w:jc w:val="both"/>
              <w:rPr>
                <w:sz w:val="24"/>
                <w:szCs w:val="24"/>
              </w:rPr>
            </w:pPr>
          </w:p>
        </w:tc>
        <w:tc>
          <w:tcPr>
            <w:tcW w:w="4111" w:type="dxa"/>
          </w:tcPr>
          <w:p w14:paraId="7DAC4BF2" w14:textId="77777777" w:rsidR="00532DEA" w:rsidRPr="00283879" w:rsidRDefault="00532DEA" w:rsidP="007E5D66">
            <w:pPr>
              <w:widowControl w:val="0"/>
              <w:topLinePunct/>
              <w:adjustRightInd/>
              <w:ind w:leftChars="-93" w:left="-186" w:firstLineChars="77" w:firstLine="185"/>
              <w:jc w:val="both"/>
              <w:rPr>
                <w:sz w:val="24"/>
                <w:szCs w:val="24"/>
              </w:rPr>
            </w:pPr>
            <w:r w:rsidRPr="00283879">
              <w:rPr>
                <w:sz w:val="24"/>
                <w:szCs w:val="24"/>
              </w:rPr>
              <w:t xml:space="preserve">The LTI Payout </w:t>
            </w:r>
          </w:p>
        </w:tc>
        <w:tc>
          <w:tcPr>
            <w:tcW w:w="1559" w:type="dxa"/>
          </w:tcPr>
          <w:p w14:paraId="55EA6D29" w14:textId="77777777" w:rsidR="00532DEA" w:rsidRPr="00283879" w:rsidRDefault="00532DEA" w:rsidP="00337A09">
            <w:pPr>
              <w:widowControl w:val="0"/>
              <w:topLinePunct/>
              <w:adjustRightInd/>
              <w:jc w:val="both"/>
              <w:rPr>
                <w:sz w:val="24"/>
                <w:szCs w:val="24"/>
              </w:rPr>
            </w:pPr>
            <w:r w:rsidRPr="00283879">
              <w:rPr>
                <w:sz w:val="24"/>
                <w:szCs w:val="24"/>
              </w:rPr>
              <w:t>$976,902</w:t>
            </w:r>
          </w:p>
        </w:tc>
      </w:tr>
      <w:tr w:rsidR="00644404" w:rsidRPr="00283879" w14:paraId="0C5C7AEF" w14:textId="77777777" w:rsidTr="00F46F92">
        <w:tc>
          <w:tcPr>
            <w:tcW w:w="708" w:type="dxa"/>
          </w:tcPr>
          <w:p w14:paraId="20933335" w14:textId="77777777" w:rsidR="00644404" w:rsidRPr="00283879" w:rsidRDefault="00644404" w:rsidP="00337A09">
            <w:pPr>
              <w:widowControl w:val="0"/>
              <w:topLinePunct/>
              <w:adjustRightInd/>
              <w:jc w:val="both"/>
              <w:rPr>
                <w:sz w:val="24"/>
                <w:szCs w:val="24"/>
              </w:rPr>
            </w:pPr>
          </w:p>
        </w:tc>
        <w:tc>
          <w:tcPr>
            <w:tcW w:w="4111" w:type="dxa"/>
          </w:tcPr>
          <w:p w14:paraId="4A20438E" w14:textId="77777777" w:rsidR="00644404" w:rsidRPr="00283879" w:rsidRDefault="00644404" w:rsidP="007E5D66">
            <w:pPr>
              <w:widowControl w:val="0"/>
              <w:topLinePunct/>
              <w:adjustRightInd/>
              <w:ind w:leftChars="-93" w:left="-186" w:firstLineChars="77" w:firstLine="185"/>
              <w:jc w:val="both"/>
              <w:rPr>
                <w:sz w:val="24"/>
                <w:szCs w:val="24"/>
              </w:rPr>
            </w:pPr>
          </w:p>
        </w:tc>
        <w:tc>
          <w:tcPr>
            <w:tcW w:w="1559" w:type="dxa"/>
          </w:tcPr>
          <w:p w14:paraId="52CC8D7B" w14:textId="77777777" w:rsidR="00644404" w:rsidRPr="00283879" w:rsidRDefault="00644404" w:rsidP="00337A09">
            <w:pPr>
              <w:widowControl w:val="0"/>
              <w:topLinePunct/>
              <w:adjustRightInd/>
              <w:jc w:val="both"/>
              <w:rPr>
                <w:sz w:val="24"/>
                <w:szCs w:val="24"/>
              </w:rPr>
            </w:pPr>
          </w:p>
        </w:tc>
      </w:tr>
      <w:tr w:rsidR="00532DEA" w:rsidRPr="00283879" w14:paraId="2C6CEEA0" w14:textId="77777777" w:rsidTr="00F46F92">
        <w:tc>
          <w:tcPr>
            <w:tcW w:w="708" w:type="dxa"/>
          </w:tcPr>
          <w:p w14:paraId="52E4CEBB" w14:textId="77777777" w:rsidR="00532DEA" w:rsidRPr="00283879" w:rsidRDefault="00532DEA" w:rsidP="00337A09">
            <w:pPr>
              <w:widowControl w:val="0"/>
              <w:topLinePunct/>
              <w:adjustRightInd/>
              <w:jc w:val="both"/>
              <w:rPr>
                <w:sz w:val="24"/>
                <w:szCs w:val="24"/>
              </w:rPr>
            </w:pPr>
            <w:r w:rsidRPr="00283879">
              <w:rPr>
                <w:sz w:val="24"/>
                <w:szCs w:val="24"/>
              </w:rPr>
              <w:t>(b)</w:t>
            </w:r>
          </w:p>
        </w:tc>
        <w:tc>
          <w:tcPr>
            <w:tcW w:w="4111" w:type="dxa"/>
          </w:tcPr>
          <w:p w14:paraId="2EDBC6B5" w14:textId="77777777" w:rsidR="00532DEA" w:rsidRPr="00283879" w:rsidRDefault="00532DEA" w:rsidP="00337A09">
            <w:pPr>
              <w:widowControl w:val="0"/>
              <w:topLinePunct/>
              <w:adjustRightInd/>
              <w:jc w:val="both"/>
              <w:rPr>
                <w:sz w:val="24"/>
                <w:szCs w:val="24"/>
              </w:rPr>
            </w:pPr>
            <w:r w:rsidRPr="00283879">
              <w:rPr>
                <w:sz w:val="24"/>
                <w:szCs w:val="24"/>
              </w:rPr>
              <w:t>Whether the employee’s Salaries Tax</w:t>
            </w:r>
            <w:r w:rsidRPr="00283879">
              <w:rPr>
                <w:sz w:val="24"/>
                <w:szCs w:val="24"/>
              </w:rPr>
              <w:br/>
              <w:t>liabilities will be borne by employer:</w:t>
            </w:r>
          </w:p>
        </w:tc>
        <w:tc>
          <w:tcPr>
            <w:tcW w:w="1559" w:type="dxa"/>
          </w:tcPr>
          <w:p w14:paraId="4062E160" w14:textId="77777777" w:rsidR="00532DEA" w:rsidRPr="00283879" w:rsidRDefault="00532DEA" w:rsidP="00337A09">
            <w:pPr>
              <w:widowControl w:val="0"/>
              <w:topLinePunct/>
              <w:adjustRightInd/>
              <w:jc w:val="both"/>
              <w:rPr>
                <w:sz w:val="24"/>
                <w:szCs w:val="24"/>
              </w:rPr>
            </w:pPr>
            <w:r w:rsidRPr="00283879">
              <w:rPr>
                <w:sz w:val="24"/>
                <w:szCs w:val="24"/>
              </w:rPr>
              <w:t> No</w:t>
            </w:r>
          </w:p>
        </w:tc>
      </w:tr>
    </w:tbl>
    <w:p w14:paraId="6A0B464A" w14:textId="77777777" w:rsidR="00532DEA" w:rsidRPr="00283879" w:rsidRDefault="00532DEA" w:rsidP="00337A09">
      <w:pPr>
        <w:pStyle w:val="ac"/>
        <w:widowControl w:val="0"/>
        <w:tabs>
          <w:tab w:val="left" w:pos="709"/>
        </w:tabs>
        <w:topLinePunct/>
        <w:adjustRightInd/>
        <w:ind w:left="400"/>
        <w:jc w:val="both"/>
        <w:rPr>
          <w:sz w:val="24"/>
          <w:szCs w:val="24"/>
        </w:rPr>
      </w:pPr>
    </w:p>
    <w:p w14:paraId="4D9480BD"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lang w:eastAsia="zh-HK"/>
        </w:rPr>
        <w:t>Based on the additional notification, the Assessor raised on the Appellant the following Additional Salaries Tax Assessment for the year of assessment 2017/18</w:t>
      </w:r>
      <w:r w:rsidRPr="00283879">
        <w:rPr>
          <w:sz w:val="24"/>
          <w:szCs w:val="24"/>
        </w:rPr>
        <w:t>:</w:t>
      </w:r>
    </w:p>
    <w:p w14:paraId="551BB62A" w14:textId="77777777" w:rsidR="00532DEA" w:rsidRPr="00283879" w:rsidRDefault="00532DEA" w:rsidP="00337A09">
      <w:pPr>
        <w:pStyle w:val="ac"/>
        <w:widowControl w:val="0"/>
        <w:tabs>
          <w:tab w:val="left" w:pos="709"/>
        </w:tabs>
        <w:topLinePunct/>
        <w:adjustRightInd/>
        <w:ind w:left="400"/>
        <w:jc w:val="both"/>
        <w:rPr>
          <w:sz w:val="24"/>
          <w:szCs w:val="24"/>
        </w:rPr>
      </w:pPr>
    </w:p>
    <w:tbl>
      <w:tblPr>
        <w:tblW w:w="7324" w:type="dxa"/>
        <w:tblInd w:w="1418" w:type="dxa"/>
        <w:tblLayout w:type="fixed"/>
        <w:tblLook w:val="04A0" w:firstRow="1" w:lastRow="0" w:firstColumn="1" w:lastColumn="0" w:noHBand="0" w:noVBand="1"/>
      </w:tblPr>
      <w:tblGrid>
        <w:gridCol w:w="6014"/>
        <w:gridCol w:w="1310"/>
      </w:tblGrid>
      <w:tr w:rsidR="00532DEA" w:rsidRPr="00283879" w14:paraId="75700441" w14:textId="77777777" w:rsidTr="00F46F92">
        <w:tc>
          <w:tcPr>
            <w:tcW w:w="6014" w:type="dxa"/>
          </w:tcPr>
          <w:p w14:paraId="23284B7E" w14:textId="77777777" w:rsidR="00532DEA" w:rsidRPr="00283879" w:rsidRDefault="00532DEA" w:rsidP="00337A09">
            <w:pPr>
              <w:widowControl w:val="0"/>
              <w:topLinePunct/>
              <w:adjustRightInd/>
              <w:jc w:val="both"/>
              <w:rPr>
                <w:sz w:val="24"/>
                <w:szCs w:val="24"/>
              </w:rPr>
            </w:pPr>
          </w:p>
        </w:tc>
        <w:tc>
          <w:tcPr>
            <w:tcW w:w="1310" w:type="dxa"/>
          </w:tcPr>
          <w:p w14:paraId="5BE4D945" w14:textId="77777777" w:rsidR="00532DEA" w:rsidRPr="00283879" w:rsidRDefault="00532DEA" w:rsidP="00337A09">
            <w:pPr>
              <w:widowControl w:val="0"/>
              <w:topLinePunct/>
              <w:adjustRightInd/>
              <w:jc w:val="both"/>
              <w:rPr>
                <w:sz w:val="24"/>
                <w:szCs w:val="24"/>
              </w:rPr>
            </w:pPr>
            <w:r w:rsidRPr="00283879">
              <w:rPr>
                <w:sz w:val="24"/>
                <w:szCs w:val="24"/>
              </w:rPr>
              <w:t>$</w:t>
            </w:r>
          </w:p>
        </w:tc>
      </w:tr>
      <w:tr w:rsidR="00532DEA" w:rsidRPr="00283879" w14:paraId="1BA3B4AC" w14:textId="77777777" w:rsidTr="00175EB3">
        <w:trPr>
          <w:trHeight w:val="80"/>
        </w:trPr>
        <w:tc>
          <w:tcPr>
            <w:tcW w:w="6014" w:type="dxa"/>
          </w:tcPr>
          <w:p w14:paraId="656029CC" w14:textId="77777777" w:rsidR="00532DEA" w:rsidRPr="00283879" w:rsidRDefault="00532DEA" w:rsidP="00337A09">
            <w:pPr>
              <w:widowControl w:val="0"/>
              <w:topLinePunct/>
              <w:adjustRightInd/>
              <w:jc w:val="both"/>
              <w:rPr>
                <w:sz w:val="24"/>
                <w:szCs w:val="24"/>
              </w:rPr>
            </w:pPr>
            <w:r w:rsidRPr="00283879">
              <w:rPr>
                <w:sz w:val="24"/>
                <w:szCs w:val="24"/>
              </w:rPr>
              <w:t>The LTI Payout</w:t>
            </w:r>
          </w:p>
        </w:tc>
        <w:tc>
          <w:tcPr>
            <w:tcW w:w="1310" w:type="dxa"/>
          </w:tcPr>
          <w:p w14:paraId="35305E70" w14:textId="77777777" w:rsidR="00532DEA" w:rsidRPr="00283879" w:rsidRDefault="00532DEA" w:rsidP="00337A09">
            <w:pPr>
              <w:widowControl w:val="0"/>
              <w:topLinePunct/>
              <w:adjustRightInd/>
              <w:jc w:val="both"/>
              <w:rPr>
                <w:sz w:val="24"/>
                <w:szCs w:val="24"/>
              </w:rPr>
            </w:pPr>
            <w:r w:rsidRPr="00283879">
              <w:rPr>
                <w:sz w:val="24"/>
                <w:szCs w:val="24"/>
              </w:rPr>
              <w:t>976,902</w:t>
            </w:r>
          </w:p>
        </w:tc>
      </w:tr>
      <w:tr w:rsidR="00532DEA" w:rsidRPr="00283879" w14:paraId="064F9882" w14:textId="77777777" w:rsidTr="00F46F92">
        <w:tc>
          <w:tcPr>
            <w:tcW w:w="6014" w:type="dxa"/>
          </w:tcPr>
          <w:p w14:paraId="7256F6FC" w14:textId="77777777" w:rsidR="00532DEA" w:rsidRPr="00283879" w:rsidRDefault="00532DEA" w:rsidP="00337A09">
            <w:pPr>
              <w:widowControl w:val="0"/>
              <w:topLinePunct/>
              <w:adjustRightInd/>
              <w:jc w:val="both"/>
              <w:rPr>
                <w:sz w:val="24"/>
                <w:szCs w:val="24"/>
              </w:rPr>
            </w:pPr>
            <w:r w:rsidRPr="00283879">
              <w:rPr>
                <w:sz w:val="24"/>
                <w:szCs w:val="24"/>
              </w:rPr>
              <w:t>Add: Additional rental value ($976,902 x 10%)</w:t>
            </w:r>
          </w:p>
        </w:tc>
        <w:tc>
          <w:tcPr>
            <w:tcW w:w="1310" w:type="dxa"/>
          </w:tcPr>
          <w:p w14:paraId="0D4E0CD9" w14:textId="77777777" w:rsidR="00532DEA" w:rsidRPr="00283879" w:rsidRDefault="00532DEA" w:rsidP="00337A09">
            <w:pPr>
              <w:widowControl w:val="0"/>
              <w:topLinePunct/>
              <w:adjustRightInd/>
              <w:jc w:val="both"/>
              <w:rPr>
                <w:sz w:val="24"/>
                <w:szCs w:val="24"/>
                <w:u w:val="single"/>
              </w:rPr>
            </w:pPr>
            <w:r w:rsidRPr="00283879">
              <w:rPr>
                <w:sz w:val="24"/>
                <w:szCs w:val="24"/>
                <w:u w:val="single"/>
              </w:rPr>
              <w:t>97,691</w:t>
            </w:r>
          </w:p>
        </w:tc>
      </w:tr>
      <w:tr w:rsidR="00532DEA" w:rsidRPr="00283879" w14:paraId="4B67647F" w14:textId="77777777" w:rsidTr="00F46F92">
        <w:tc>
          <w:tcPr>
            <w:tcW w:w="6014" w:type="dxa"/>
          </w:tcPr>
          <w:p w14:paraId="369A6521" w14:textId="77777777" w:rsidR="00532DEA" w:rsidRPr="00283879" w:rsidRDefault="00532DEA" w:rsidP="00337A09">
            <w:pPr>
              <w:widowControl w:val="0"/>
              <w:topLinePunct/>
              <w:adjustRightInd/>
              <w:jc w:val="both"/>
              <w:rPr>
                <w:sz w:val="24"/>
                <w:szCs w:val="24"/>
              </w:rPr>
            </w:pPr>
            <w:r w:rsidRPr="00283879">
              <w:rPr>
                <w:sz w:val="24"/>
                <w:szCs w:val="24"/>
              </w:rPr>
              <w:t>Additional Net Chargeable Income</w:t>
            </w:r>
          </w:p>
        </w:tc>
        <w:tc>
          <w:tcPr>
            <w:tcW w:w="1310" w:type="dxa"/>
          </w:tcPr>
          <w:p w14:paraId="5C267BC7" w14:textId="77777777" w:rsidR="00532DEA" w:rsidRPr="00283879" w:rsidRDefault="00532DEA" w:rsidP="00337A09">
            <w:pPr>
              <w:widowControl w:val="0"/>
              <w:topLinePunct/>
              <w:adjustRightInd/>
              <w:jc w:val="both"/>
              <w:rPr>
                <w:sz w:val="24"/>
                <w:szCs w:val="24"/>
                <w:u w:val="double"/>
              </w:rPr>
            </w:pPr>
            <w:r w:rsidRPr="00283879">
              <w:rPr>
                <w:sz w:val="24"/>
                <w:szCs w:val="24"/>
                <w:u w:val="double"/>
              </w:rPr>
              <w:t>1,074,593</w:t>
            </w:r>
          </w:p>
        </w:tc>
      </w:tr>
      <w:tr w:rsidR="00532DEA" w:rsidRPr="00283879" w14:paraId="5FADBC9C" w14:textId="77777777" w:rsidTr="00F46F92">
        <w:tc>
          <w:tcPr>
            <w:tcW w:w="6014" w:type="dxa"/>
          </w:tcPr>
          <w:p w14:paraId="588748DB" w14:textId="77777777" w:rsidR="00532DEA" w:rsidRPr="00283879" w:rsidRDefault="00532DEA" w:rsidP="00337A09">
            <w:pPr>
              <w:widowControl w:val="0"/>
              <w:topLinePunct/>
              <w:adjustRightInd/>
              <w:jc w:val="both"/>
              <w:rPr>
                <w:sz w:val="24"/>
                <w:szCs w:val="24"/>
              </w:rPr>
            </w:pPr>
          </w:p>
        </w:tc>
        <w:tc>
          <w:tcPr>
            <w:tcW w:w="1310" w:type="dxa"/>
          </w:tcPr>
          <w:p w14:paraId="5902E8E7" w14:textId="77777777" w:rsidR="00532DEA" w:rsidRPr="00283879" w:rsidRDefault="00532DEA" w:rsidP="00337A09">
            <w:pPr>
              <w:widowControl w:val="0"/>
              <w:topLinePunct/>
              <w:adjustRightInd/>
              <w:jc w:val="both"/>
              <w:rPr>
                <w:sz w:val="24"/>
                <w:szCs w:val="24"/>
              </w:rPr>
            </w:pPr>
          </w:p>
        </w:tc>
      </w:tr>
      <w:tr w:rsidR="00532DEA" w:rsidRPr="00283879" w14:paraId="0CC261E0" w14:textId="77777777" w:rsidTr="00F46F92">
        <w:tc>
          <w:tcPr>
            <w:tcW w:w="6014" w:type="dxa"/>
          </w:tcPr>
          <w:p w14:paraId="27298C95" w14:textId="77777777" w:rsidR="00532DEA" w:rsidRPr="00283879" w:rsidRDefault="00532DEA" w:rsidP="00337A09">
            <w:pPr>
              <w:widowControl w:val="0"/>
              <w:topLinePunct/>
              <w:adjustRightInd/>
              <w:jc w:val="both"/>
              <w:rPr>
                <w:sz w:val="24"/>
                <w:szCs w:val="24"/>
              </w:rPr>
            </w:pPr>
            <w:r w:rsidRPr="00283879">
              <w:rPr>
                <w:sz w:val="24"/>
                <w:szCs w:val="24"/>
              </w:rPr>
              <w:t xml:space="preserve">Additional Tax Payable thereon </w:t>
            </w:r>
          </w:p>
        </w:tc>
        <w:tc>
          <w:tcPr>
            <w:tcW w:w="1310" w:type="dxa"/>
          </w:tcPr>
          <w:p w14:paraId="0002F6CA" w14:textId="77777777" w:rsidR="00532DEA" w:rsidRPr="00283879" w:rsidRDefault="00532DEA" w:rsidP="00337A09">
            <w:pPr>
              <w:widowControl w:val="0"/>
              <w:topLinePunct/>
              <w:adjustRightInd/>
              <w:jc w:val="both"/>
              <w:rPr>
                <w:sz w:val="24"/>
                <w:szCs w:val="24"/>
                <w:u w:val="double"/>
              </w:rPr>
            </w:pPr>
            <w:r w:rsidRPr="00283879">
              <w:rPr>
                <w:sz w:val="24"/>
                <w:szCs w:val="24"/>
                <w:u w:val="double"/>
              </w:rPr>
              <w:t>172,879</w:t>
            </w:r>
          </w:p>
        </w:tc>
      </w:tr>
    </w:tbl>
    <w:p w14:paraId="18319496" w14:textId="77777777" w:rsidR="00532DEA" w:rsidRPr="00283879" w:rsidRDefault="00532DEA" w:rsidP="00337A09">
      <w:pPr>
        <w:widowControl w:val="0"/>
        <w:topLinePunct/>
        <w:adjustRightInd/>
        <w:jc w:val="both"/>
        <w:rPr>
          <w:sz w:val="24"/>
          <w:szCs w:val="24"/>
        </w:rPr>
      </w:pPr>
    </w:p>
    <w:p w14:paraId="411E075F"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Appellant objected to the Additional Assessment on the principal basis that the ground that the LTI Payout was a termination payment and should not be chargeable to Salaries Tax. He relied on a number of grounds which were also argued before the Board. These will be dealt with in the Board’s decision below.  </w:t>
      </w:r>
    </w:p>
    <w:p w14:paraId="380D8FD1" w14:textId="77777777" w:rsidR="00532DEA" w:rsidRPr="00283879" w:rsidRDefault="00532DEA" w:rsidP="00337A09">
      <w:pPr>
        <w:pStyle w:val="ac"/>
        <w:widowControl w:val="0"/>
        <w:topLinePunct/>
        <w:adjustRightInd/>
        <w:ind w:left="400"/>
        <w:jc w:val="both"/>
        <w:rPr>
          <w:sz w:val="24"/>
          <w:szCs w:val="24"/>
        </w:rPr>
      </w:pPr>
    </w:p>
    <w:p w14:paraId="7B5329A0"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Commissioner confirmed the additional assessment by way of a Determination dated 1 November 2023.  </w:t>
      </w:r>
    </w:p>
    <w:p w14:paraId="4070E41F" w14:textId="77777777" w:rsidR="00532DEA" w:rsidRPr="00283879" w:rsidRDefault="00532DEA" w:rsidP="00337A09">
      <w:pPr>
        <w:widowControl w:val="0"/>
        <w:topLinePunct/>
        <w:adjustRightInd/>
        <w:jc w:val="both"/>
        <w:rPr>
          <w:sz w:val="24"/>
          <w:szCs w:val="24"/>
        </w:rPr>
      </w:pPr>
    </w:p>
    <w:p w14:paraId="45EC62FC" w14:textId="77777777" w:rsidR="00EB265E" w:rsidRPr="00283879" w:rsidRDefault="00532DEA" w:rsidP="00337A09">
      <w:pPr>
        <w:widowControl w:val="0"/>
        <w:topLinePunct/>
        <w:adjustRightInd/>
        <w:jc w:val="both"/>
        <w:rPr>
          <w:b/>
          <w:bCs/>
          <w:i/>
          <w:sz w:val="24"/>
          <w:szCs w:val="24"/>
        </w:rPr>
      </w:pPr>
      <w:r w:rsidRPr="00283879">
        <w:rPr>
          <w:b/>
          <w:bCs/>
          <w:i/>
          <w:sz w:val="24"/>
          <w:szCs w:val="24"/>
        </w:rPr>
        <w:t>Grounds of Appeal</w:t>
      </w:r>
    </w:p>
    <w:p w14:paraId="189E42B4" w14:textId="77777777" w:rsidR="00EB265E" w:rsidRPr="00283879" w:rsidRDefault="00EB265E" w:rsidP="00337A09">
      <w:pPr>
        <w:widowControl w:val="0"/>
        <w:topLinePunct/>
        <w:adjustRightInd/>
        <w:jc w:val="both"/>
        <w:rPr>
          <w:b/>
          <w:bCs/>
          <w:sz w:val="24"/>
          <w:szCs w:val="24"/>
          <w:u w:val="single"/>
        </w:rPr>
      </w:pPr>
    </w:p>
    <w:p w14:paraId="46579618" w14:textId="4551FC42" w:rsidR="00532DEA" w:rsidRPr="00283879" w:rsidRDefault="00532DEA" w:rsidP="008A39E7">
      <w:pPr>
        <w:pStyle w:val="ac"/>
        <w:widowControl w:val="0"/>
        <w:numPr>
          <w:ilvl w:val="0"/>
          <w:numId w:val="3"/>
        </w:numPr>
        <w:topLinePunct/>
        <w:adjustRightInd/>
        <w:ind w:leftChars="0" w:left="0" w:firstLine="0"/>
        <w:jc w:val="both"/>
        <w:textAlignment w:val="auto"/>
        <w:rPr>
          <w:b/>
          <w:bCs/>
          <w:sz w:val="24"/>
          <w:szCs w:val="24"/>
          <w:u w:val="single"/>
        </w:rPr>
      </w:pPr>
      <w:r w:rsidRPr="00283879">
        <w:rPr>
          <w:sz w:val="24"/>
          <w:szCs w:val="24"/>
        </w:rPr>
        <w:t xml:space="preserve">The Appellant lodged a Notice of Appeal on 28 November 2023 </w:t>
      </w:r>
      <w:r w:rsidRPr="00283879">
        <w:rPr>
          <w:sz w:val="24"/>
          <w:szCs w:val="24"/>
          <w:lang w:val="en-US"/>
        </w:rPr>
        <w:t xml:space="preserve">appealing to the Board against the Determination claiming that LTI Payout should not be chargeable to Salaries Tax.  This was a detailed document setting out full grounds.  </w:t>
      </w:r>
    </w:p>
    <w:p w14:paraId="2925F727" w14:textId="77777777" w:rsidR="0090706E" w:rsidRPr="00283879" w:rsidRDefault="0090706E" w:rsidP="00337A09">
      <w:pPr>
        <w:pStyle w:val="ac"/>
        <w:widowControl w:val="0"/>
        <w:topLinePunct/>
        <w:adjustRightInd/>
        <w:ind w:left="400"/>
        <w:jc w:val="both"/>
        <w:rPr>
          <w:b/>
          <w:bCs/>
          <w:sz w:val="24"/>
          <w:szCs w:val="24"/>
          <w:u w:val="single"/>
        </w:rPr>
      </w:pPr>
    </w:p>
    <w:p w14:paraId="3087643E" w14:textId="77777777" w:rsidR="00532DEA" w:rsidRPr="00283879" w:rsidRDefault="00532DEA" w:rsidP="00FF688A">
      <w:pPr>
        <w:pStyle w:val="ac"/>
        <w:widowControl w:val="0"/>
        <w:numPr>
          <w:ilvl w:val="0"/>
          <w:numId w:val="3"/>
        </w:numPr>
        <w:topLinePunct/>
        <w:adjustRightInd/>
        <w:ind w:leftChars="0" w:left="0" w:firstLine="0"/>
        <w:jc w:val="both"/>
        <w:textAlignment w:val="auto"/>
        <w:rPr>
          <w:b/>
          <w:bCs/>
          <w:sz w:val="24"/>
          <w:szCs w:val="24"/>
          <w:u w:val="single"/>
        </w:rPr>
      </w:pPr>
      <w:r w:rsidRPr="00283879">
        <w:rPr>
          <w:sz w:val="24"/>
          <w:szCs w:val="24"/>
        </w:rPr>
        <w:t>The Appellant’s grounds were summarised by the Commissioner’s representative in her written submissions for the hearing as follows</w:t>
      </w:r>
      <w:r w:rsidRPr="00283879">
        <w:rPr>
          <w:rStyle w:val="aa"/>
          <w:sz w:val="24"/>
          <w:szCs w:val="24"/>
        </w:rPr>
        <w:footnoteReference w:id="5"/>
      </w:r>
      <w:r w:rsidRPr="00283879">
        <w:rPr>
          <w:sz w:val="24"/>
          <w:szCs w:val="24"/>
        </w:rPr>
        <w:t xml:space="preserve">:  </w:t>
      </w:r>
    </w:p>
    <w:p w14:paraId="551D6687" w14:textId="77777777" w:rsidR="00EB265E" w:rsidRPr="00283879" w:rsidRDefault="00EB265E" w:rsidP="00EB265E">
      <w:pPr>
        <w:pStyle w:val="ac"/>
        <w:widowControl w:val="0"/>
        <w:topLinePunct/>
        <w:adjustRightInd/>
        <w:ind w:leftChars="0" w:left="502"/>
        <w:jc w:val="both"/>
        <w:textAlignment w:val="auto"/>
        <w:rPr>
          <w:b/>
          <w:bCs/>
          <w:sz w:val="24"/>
          <w:szCs w:val="24"/>
          <w:u w:val="single"/>
        </w:rPr>
      </w:pPr>
    </w:p>
    <w:p w14:paraId="63F3383C" w14:textId="77777777" w:rsidR="00532DEA" w:rsidRPr="00283879" w:rsidRDefault="00532DEA" w:rsidP="00931CF9">
      <w:pPr>
        <w:pStyle w:val="ac"/>
        <w:widowControl w:val="0"/>
        <w:numPr>
          <w:ilvl w:val="0"/>
          <w:numId w:val="7"/>
        </w:numPr>
        <w:topLinePunct/>
        <w:adjustRightInd/>
        <w:ind w:leftChars="0" w:left="2127" w:hanging="567"/>
        <w:jc w:val="both"/>
        <w:textAlignment w:val="auto"/>
        <w:rPr>
          <w:rFonts w:eastAsia="華康楷書體W5"/>
          <w:sz w:val="24"/>
          <w:szCs w:val="24"/>
        </w:rPr>
      </w:pPr>
      <w:r w:rsidRPr="00283879">
        <w:rPr>
          <w:rFonts w:eastAsia="華康楷書體W5"/>
          <w:sz w:val="24"/>
          <w:szCs w:val="24"/>
        </w:rPr>
        <w:t xml:space="preserve">The </w:t>
      </w:r>
      <w:r w:rsidRPr="00283879">
        <w:rPr>
          <w:sz w:val="24"/>
          <w:szCs w:val="24"/>
        </w:rPr>
        <w:t>LTI Payout</w:t>
      </w:r>
      <w:r w:rsidRPr="00283879">
        <w:rPr>
          <w:rFonts w:eastAsia="華康楷書體W5"/>
          <w:sz w:val="24"/>
          <w:szCs w:val="24"/>
        </w:rPr>
        <w:t xml:space="preserve"> was paid to him for entering into the Termination Agreement which contained the </w:t>
      </w:r>
      <w:r w:rsidR="00F13A0F" w:rsidRPr="00283879">
        <w:rPr>
          <w:rFonts w:eastAsia="華康楷書體W5"/>
          <w:sz w:val="24"/>
          <w:szCs w:val="24"/>
        </w:rPr>
        <w:t>‘</w:t>
      </w:r>
      <w:r w:rsidRPr="00283879">
        <w:rPr>
          <w:rFonts w:eastAsia="華康楷書體W5"/>
          <w:sz w:val="24"/>
          <w:szCs w:val="24"/>
        </w:rPr>
        <w:t>Settlement and Waiver</w:t>
      </w:r>
      <w:r w:rsidR="00F13A0F" w:rsidRPr="00283879">
        <w:rPr>
          <w:rFonts w:eastAsia="華康楷書體W5"/>
          <w:sz w:val="24"/>
          <w:szCs w:val="24"/>
        </w:rPr>
        <w:t>’</w:t>
      </w:r>
      <w:r w:rsidRPr="00283879">
        <w:rPr>
          <w:rFonts w:eastAsia="華康楷書體W5"/>
          <w:sz w:val="24"/>
          <w:szCs w:val="24"/>
        </w:rPr>
        <w:t xml:space="preserve"> clause (</w:t>
      </w:r>
      <w:proofErr w:type="spellStart"/>
      <w:r w:rsidR="000D74C4" w:rsidRPr="00283879">
        <w:rPr>
          <w:rFonts w:eastAsia="華康楷書體W5"/>
          <w:sz w:val="24"/>
          <w:szCs w:val="24"/>
        </w:rPr>
        <w:t>ie</w:t>
      </w:r>
      <w:proofErr w:type="spellEnd"/>
      <w:r w:rsidRPr="00283879">
        <w:rPr>
          <w:rFonts w:eastAsia="華康楷書體W5"/>
          <w:sz w:val="24"/>
          <w:szCs w:val="24"/>
        </w:rPr>
        <w:t xml:space="preserve"> Clause 10) and </w:t>
      </w:r>
      <w:r w:rsidR="00F13A0F" w:rsidRPr="00283879">
        <w:rPr>
          <w:rFonts w:eastAsia="華康楷書體W5"/>
          <w:sz w:val="24"/>
          <w:szCs w:val="24"/>
        </w:rPr>
        <w:t>‘</w:t>
      </w:r>
      <w:r w:rsidRPr="00283879">
        <w:rPr>
          <w:rFonts w:eastAsia="華康楷書體W5"/>
          <w:sz w:val="24"/>
          <w:szCs w:val="24"/>
        </w:rPr>
        <w:t>Good Conduct</w:t>
      </w:r>
      <w:r w:rsidR="00F13A0F" w:rsidRPr="00283879">
        <w:rPr>
          <w:rFonts w:eastAsia="華康楷書體W5"/>
          <w:sz w:val="24"/>
          <w:szCs w:val="24"/>
        </w:rPr>
        <w:t>’</w:t>
      </w:r>
      <w:r w:rsidRPr="00283879">
        <w:rPr>
          <w:rFonts w:eastAsia="華康楷書體W5"/>
          <w:sz w:val="24"/>
          <w:szCs w:val="24"/>
        </w:rPr>
        <w:t xml:space="preserve"> clause (</w:t>
      </w:r>
      <w:proofErr w:type="spellStart"/>
      <w:r w:rsidR="000D74C4" w:rsidRPr="00283879">
        <w:rPr>
          <w:rFonts w:eastAsia="華康楷書體W5"/>
          <w:sz w:val="24"/>
          <w:szCs w:val="24"/>
        </w:rPr>
        <w:t>ie</w:t>
      </w:r>
      <w:proofErr w:type="spellEnd"/>
      <w:r w:rsidRPr="00283879">
        <w:rPr>
          <w:rFonts w:eastAsia="華康楷書體W5"/>
          <w:sz w:val="24"/>
          <w:szCs w:val="24"/>
        </w:rPr>
        <w:t xml:space="preserve"> Clause 12</w:t>
      </w:r>
      <w:proofErr w:type="gramStart"/>
      <w:r w:rsidRPr="00283879">
        <w:rPr>
          <w:rFonts w:eastAsia="華康楷書體W5"/>
          <w:sz w:val="24"/>
          <w:szCs w:val="24"/>
        </w:rPr>
        <w:t>).</w:t>
      </w:r>
      <w:r w:rsidRPr="00283879">
        <w:rPr>
          <w:rFonts w:eastAsia="華康楷書體W5"/>
          <w:i/>
          <w:sz w:val="24"/>
          <w:szCs w:val="24"/>
          <w:vertAlign w:val="subscript"/>
        </w:rPr>
        <w:t>.</w:t>
      </w:r>
      <w:proofErr w:type="gramEnd"/>
      <w:r w:rsidRPr="00283879">
        <w:rPr>
          <w:rFonts w:eastAsia="華康楷書體W5"/>
          <w:sz w:val="24"/>
          <w:szCs w:val="24"/>
          <w:vertAlign w:val="subscript"/>
        </w:rPr>
        <w:t xml:space="preserve">  </w:t>
      </w:r>
      <w:r w:rsidRPr="00283879">
        <w:rPr>
          <w:sz w:val="24"/>
          <w:szCs w:val="24"/>
        </w:rPr>
        <w:t xml:space="preserve">The Appellant further asserted that the breach of an alleged verbal agreement between </w:t>
      </w:r>
      <w:r w:rsidR="001B02AE" w:rsidRPr="00283879">
        <w:rPr>
          <w:sz w:val="24"/>
          <w:szCs w:val="24"/>
        </w:rPr>
        <w:t>Company A</w:t>
      </w:r>
      <w:r w:rsidRPr="00283879">
        <w:rPr>
          <w:sz w:val="24"/>
          <w:szCs w:val="24"/>
        </w:rPr>
        <w:t xml:space="preserve"> and him to return to the Group six months after the Cessation Date and his then current employment with </w:t>
      </w:r>
      <w:r w:rsidR="00FD2384" w:rsidRPr="00283879">
        <w:rPr>
          <w:sz w:val="24"/>
          <w:szCs w:val="24"/>
        </w:rPr>
        <w:t>Company C</w:t>
      </w:r>
      <w:r w:rsidRPr="00283879">
        <w:rPr>
          <w:sz w:val="24"/>
          <w:szCs w:val="24"/>
        </w:rPr>
        <w:t xml:space="preserve"> which had business relationship with the Group led to the conclusions of these two clauses and payment of the LTI Payout.</w:t>
      </w:r>
      <w:r w:rsidRPr="00283879">
        <w:rPr>
          <w:sz w:val="24"/>
          <w:szCs w:val="24"/>
          <w:lang w:eastAsia="zh-HK"/>
        </w:rPr>
        <w:t xml:space="preserve">   </w:t>
      </w:r>
    </w:p>
    <w:p w14:paraId="04C144EB" w14:textId="77777777" w:rsidR="00EB265E" w:rsidRPr="00283879" w:rsidRDefault="00EB265E" w:rsidP="00EB265E">
      <w:pPr>
        <w:pStyle w:val="ac"/>
        <w:widowControl w:val="0"/>
        <w:topLinePunct/>
        <w:adjustRightInd/>
        <w:ind w:leftChars="0" w:left="1134"/>
        <w:jc w:val="both"/>
        <w:textAlignment w:val="auto"/>
        <w:rPr>
          <w:rFonts w:eastAsia="華康楷書體W5"/>
          <w:sz w:val="24"/>
          <w:szCs w:val="24"/>
        </w:rPr>
      </w:pPr>
    </w:p>
    <w:p w14:paraId="057DAD29" w14:textId="19F8FA05" w:rsidR="00532DEA" w:rsidRPr="00283879" w:rsidRDefault="00532DEA" w:rsidP="00931CF9">
      <w:pPr>
        <w:pStyle w:val="ac"/>
        <w:widowControl w:val="0"/>
        <w:numPr>
          <w:ilvl w:val="0"/>
          <w:numId w:val="7"/>
        </w:numPr>
        <w:topLinePunct/>
        <w:adjustRightInd/>
        <w:ind w:leftChars="0" w:left="2127" w:hanging="567"/>
        <w:jc w:val="both"/>
        <w:textAlignment w:val="auto"/>
        <w:rPr>
          <w:rFonts w:eastAsia="華康楷書體W5"/>
          <w:i/>
          <w:color w:val="0066FF"/>
          <w:sz w:val="24"/>
          <w:szCs w:val="24"/>
          <w:vertAlign w:val="subscript"/>
        </w:rPr>
      </w:pPr>
      <w:r w:rsidRPr="00283879">
        <w:rPr>
          <w:rFonts w:eastAsia="華康楷書體W5"/>
          <w:sz w:val="24"/>
          <w:szCs w:val="24"/>
        </w:rPr>
        <w:t>The LTI Payout was not income from employment.</w:t>
      </w:r>
      <w:r w:rsidRPr="00283879">
        <w:rPr>
          <w:rFonts w:eastAsia="華康楷書體W5"/>
          <w:sz w:val="24"/>
          <w:szCs w:val="24"/>
          <w:vertAlign w:val="subscript"/>
        </w:rPr>
        <w:t xml:space="preserve">  </w:t>
      </w:r>
      <w:r w:rsidRPr="00283879">
        <w:rPr>
          <w:rFonts w:eastAsia="華康楷書體W5"/>
          <w:sz w:val="24"/>
          <w:szCs w:val="24"/>
        </w:rPr>
        <w:t xml:space="preserve">The LTI Payout was not a payment under the CC LTI </w:t>
      </w:r>
      <w:r w:rsidR="0051450B" w:rsidRPr="00283879">
        <w:rPr>
          <w:rFonts w:eastAsia="華康楷書體W5"/>
          <w:sz w:val="24"/>
          <w:szCs w:val="24"/>
        </w:rPr>
        <w:t>p</w:t>
      </w:r>
      <w:r w:rsidRPr="00283879">
        <w:rPr>
          <w:rFonts w:eastAsia="華康楷書體W5"/>
          <w:sz w:val="24"/>
          <w:szCs w:val="24"/>
        </w:rPr>
        <w:t xml:space="preserve">lan, it was a </w:t>
      </w:r>
      <w:r w:rsidR="00F13A0F" w:rsidRPr="00283879">
        <w:rPr>
          <w:rFonts w:eastAsia="華康楷書體W5"/>
          <w:sz w:val="24"/>
          <w:szCs w:val="24"/>
        </w:rPr>
        <w:t>‘</w:t>
      </w:r>
      <w:r w:rsidRPr="00283879">
        <w:rPr>
          <w:rFonts w:eastAsia="華康楷書體W5"/>
          <w:sz w:val="24"/>
          <w:szCs w:val="24"/>
        </w:rPr>
        <w:t>Termination Payment</w:t>
      </w:r>
      <w:r w:rsidR="00F13A0F" w:rsidRPr="00283879">
        <w:rPr>
          <w:rFonts w:eastAsia="華康楷書體W5"/>
          <w:sz w:val="24"/>
          <w:szCs w:val="24"/>
        </w:rPr>
        <w:t>’</w:t>
      </w:r>
      <w:r w:rsidRPr="00283879">
        <w:rPr>
          <w:rFonts w:eastAsia="華康楷書體W5"/>
          <w:sz w:val="24"/>
          <w:szCs w:val="24"/>
        </w:rPr>
        <w:t xml:space="preserve"> agreed by him and </w:t>
      </w:r>
      <w:r w:rsidR="001B02AE" w:rsidRPr="00283879">
        <w:rPr>
          <w:rFonts w:eastAsia="華康楷書體W5"/>
          <w:sz w:val="24"/>
          <w:szCs w:val="24"/>
        </w:rPr>
        <w:t>Company A</w:t>
      </w:r>
      <w:r w:rsidRPr="00283879">
        <w:rPr>
          <w:rFonts w:eastAsia="華康楷書體W5"/>
          <w:sz w:val="24"/>
          <w:szCs w:val="24"/>
        </w:rPr>
        <w:t xml:space="preserve"> which used </w:t>
      </w:r>
      <w:r w:rsidR="009751E5" w:rsidRPr="00283879">
        <w:rPr>
          <w:rFonts w:eastAsia="華康楷書體W5"/>
          <w:sz w:val="24"/>
          <w:szCs w:val="24"/>
        </w:rPr>
        <w:t xml:space="preserve">the </w:t>
      </w:r>
      <w:r w:rsidRPr="00283879">
        <w:rPr>
          <w:rFonts w:eastAsia="華康楷書體W5"/>
          <w:sz w:val="24"/>
          <w:szCs w:val="24"/>
        </w:rPr>
        <w:t xml:space="preserve">CC LTI’s mechanism for calculation purpose only. </w:t>
      </w:r>
    </w:p>
    <w:p w14:paraId="4168C3CE" w14:textId="77777777" w:rsidR="00532DEA" w:rsidRPr="00283879" w:rsidRDefault="00532DEA" w:rsidP="00337A09">
      <w:pPr>
        <w:pStyle w:val="ac"/>
        <w:widowControl w:val="0"/>
        <w:topLinePunct/>
        <w:adjustRightInd/>
        <w:ind w:left="400"/>
        <w:jc w:val="both"/>
        <w:rPr>
          <w:sz w:val="24"/>
          <w:szCs w:val="24"/>
        </w:rPr>
      </w:pPr>
    </w:p>
    <w:p w14:paraId="6B2C7B5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At the hearing the Appellant basically agreed that these formulated his principal grounds of appeal. He added:</w:t>
      </w:r>
    </w:p>
    <w:p w14:paraId="2485B492" w14:textId="77777777" w:rsidR="00EB265E" w:rsidRPr="00283879" w:rsidRDefault="00EB265E" w:rsidP="00EB265E">
      <w:pPr>
        <w:pStyle w:val="ac"/>
        <w:widowControl w:val="0"/>
        <w:topLinePunct/>
        <w:adjustRightInd/>
        <w:ind w:leftChars="0" w:left="502"/>
        <w:jc w:val="both"/>
        <w:textAlignment w:val="auto"/>
        <w:rPr>
          <w:sz w:val="24"/>
          <w:szCs w:val="24"/>
        </w:rPr>
      </w:pPr>
    </w:p>
    <w:p w14:paraId="386CFC69" w14:textId="4A2503C8" w:rsidR="00532DEA" w:rsidRPr="00283879" w:rsidRDefault="00532DEA" w:rsidP="00C264B7">
      <w:pPr>
        <w:pStyle w:val="ac"/>
        <w:widowControl w:val="0"/>
        <w:numPr>
          <w:ilvl w:val="0"/>
          <w:numId w:val="8"/>
        </w:numPr>
        <w:topLinePunct/>
        <w:adjustRightInd/>
        <w:ind w:leftChars="0" w:left="2127" w:hanging="567"/>
        <w:jc w:val="both"/>
        <w:textAlignment w:val="auto"/>
        <w:rPr>
          <w:sz w:val="24"/>
          <w:szCs w:val="24"/>
        </w:rPr>
      </w:pPr>
      <w:r w:rsidRPr="00283879">
        <w:rPr>
          <w:sz w:val="24"/>
          <w:szCs w:val="24"/>
        </w:rPr>
        <w:t xml:space="preserve">The geographic </w:t>
      </w:r>
      <w:proofErr w:type="spellStart"/>
      <w:r w:rsidRPr="00283879">
        <w:rPr>
          <w:sz w:val="24"/>
          <w:szCs w:val="24"/>
        </w:rPr>
        <w:t>connex</w:t>
      </w:r>
      <w:proofErr w:type="spellEnd"/>
      <w:r w:rsidRPr="00283879">
        <w:rPr>
          <w:sz w:val="24"/>
          <w:szCs w:val="24"/>
        </w:rPr>
        <w:t xml:space="preserve"> was missing from the Commissioner’s summary.  It was agreed that he left Hong Kong on 29 November 2017. At the time he left he did not have a right to the termination payment or payment under the CC LTI plan.  </w:t>
      </w:r>
    </w:p>
    <w:p w14:paraId="481C2AE6" w14:textId="77777777" w:rsidR="00EB265E" w:rsidRPr="00283879" w:rsidRDefault="00EB265E" w:rsidP="00EB265E">
      <w:pPr>
        <w:pStyle w:val="ac"/>
        <w:widowControl w:val="0"/>
        <w:topLinePunct/>
        <w:adjustRightInd/>
        <w:ind w:leftChars="0" w:left="1134"/>
        <w:jc w:val="both"/>
        <w:textAlignment w:val="auto"/>
        <w:rPr>
          <w:sz w:val="24"/>
          <w:szCs w:val="24"/>
        </w:rPr>
      </w:pPr>
    </w:p>
    <w:p w14:paraId="7BA6A2D3" w14:textId="73A41EF7" w:rsidR="00532DEA" w:rsidRPr="00283879" w:rsidRDefault="00532DEA" w:rsidP="00C264B7">
      <w:pPr>
        <w:pStyle w:val="ac"/>
        <w:widowControl w:val="0"/>
        <w:numPr>
          <w:ilvl w:val="0"/>
          <w:numId w:val="8"/>
        </w:numPr>
        <w:topLinePunct/>
        <w:adjustRightInd/>
        <w:ind w:leftChars="0" w:left="2127" w:hanging="567"/>
        <w:jc w:val="both"/>
        <w:textAlignment w:val="auto"/>
        <w:rPr>
          <w:sz w:val="24"/>
          <w:szCs w:val="24"/>
        </w:rPr>
      </w:pPr>
      <w:r w:rsidRPr="00283879">
        <w:rPr>
          <w:sz w:val="24"/>
          <w:szCs w:val="24"/>
        </w:rPr>
        <w:t xml:space="preserve">The subsequent work of negotiating this payment happened outside of Hong Kong.  So, there is really no </w:t>
      </w:r>
      <w:proofErr w:type="spellStart"/>
      <w:r w:rsidRPr="00283879">
        <w:rPr>
          <w:sz w:val="24"/>
          <w:szCs w:val="24"/>
        </w:rPr>
        <w:t>connex</w:t>
      </w:r>
      <w:proofErr w:type="spellEnd"/>
      <w:r w:rsidRPr="00283879">
        <w:rPr>
          <w:sz w:val="24"/>
          <w:szCs w:val="24"/>
        </w:rPr>
        <w:t xml:space="preserve"> to Hong Kong.  The element of the time when the agreement was reached well after he left Hong Kong is not present in all the other cases cited. In </w:t>
      </w:r>
      <w:r w:rsidRPr="00283879">
        <w:rPr>
          <w:sz w:val="24"/>
          <w:szCs w:val="24"/>
          <w:u w:val="single"/>
        </w:rPr>
        <w:t>Elliot</w:t>
      </w:r>
      <w:r w:rsidRPr="00283879">
        <w:rPr>
          <w:rStyle w:val="aa"/>
          <w:sz w:val="24"/>
          <w:szCs w:val="24"/>
          <w:u w:val="single"/>
        </w:rPr>
        <w:footnoteReference w:id="6"/>
      </w:r>
      <w:r w:rsidRPr="00283879">
        <w:rPr>
          <w:sz w:val="24"/>
          <w:szCs w:val="24"/>
        </w:rPr>
        <w:t xml:space="preserve">, </w:t>
      </w:r>
      <w:r w:rsidRPr="00283879">
        <w:rPr>
          <w:sz w:val="24"/>
          <w:szCs w:val="24"/>
          <w:u w:val="single"/>
        </w:rPr>
        <w:t>Poon</w:t>
      </w:r>
      <w:r w:rsidRPr="00283879">
        <w:rPr>
          <w:rStyle w:val="aa"/>
          <w:sz w:val="24"/>
          <w:szCs w:val="24"/>
          <w:u w:val="single"/>
        </w:rPr>
        <w:footnoteReference w:id="7"/>
      </w:r>
      <w:r w:rsidRPr="00283879">
        <w:rPr>
          <w:sz w:val="24"/>
          <w:szCs w:val="24"/>
        </w:rPr>
        <w:t xml:space="preserve">, </w:t>
      </w:r>
      <w:r w:rsidRPr="00283879">
        <w:rPr>
          <w:sz w:val="24"/>
          <w:szCs w:val="24"/>
          <w:u w:val="single"/>
        </w:rPr>
        <w:t>Fuchs</w:t>
      </w:r>
      <w:r w:rsidRPr="00283879">
        <w:rPr>
          <w:rStyle w:val="aa"/>
          <w:sz w:val="24"/>
          <w:szCs w:val="24"/>
        </w:rPr>
        <w:footnoteReference w:id="8"/>
      </w:r>
      <w:r w:rsidRPr="00283879">
        <w:rPr>
          <w:sz w:val="24"/>
          <w:szCs w:val="24"/>
        </w:rPr>
        <w:t>, the termination, the negotiation, the agreement of the termination agreements in all those cases and the payment all happened in or around the same time.  Whereas, in the Appellant’s case</w:t>
      </w:r>
      <w:r w:rsidR="003438C4" w:rsidRPr="00283879">
        <w:rPr>
          <w:sz w:val="24"/>
          <w:szCs w:val="24"/>
        </w:rPr>
        <w:t>,</w:t>
      </w:r>
      <w:r w:rsidRPr="00283879">
        <w:rPr>
          <w:sz w:val="24"/>
          <w:szCs w:val="24"/>
        </w:rPr>
        <w:t xml:space="preserve"> there is a one and half year gap between the negotiation of the termination agreement</w:t>
      </w:r>
      <w:r w:rsidR="0090706E" w:rsidRPr="00283879">
        <w:rPr>
          <w:sz w:val="24"/>
          <w:szCs w:val="24"/>
        </w:rPr>
        <w:t xml:space="preserve"> and the subsequent payment.</w:t>
      </w:r>
      <w:r w:rsidRPr="00283879">
        <w:rPr>
          <w:sz w:val="24"/>
          <w:szCs w:val="24"/>
        </w:rPr>
        <w:t xml:space="preserve"> The Appellant confirmed </w:t>
      </w:r>
      <w:r w:rsidR="002A7043" w:rsidRPr="00283879">
        <w:rPr>
          <w:sz w:val="24"/>
          <w:szCs w:val="24"/>
        </w:rPr>
        <w:t xml:space="preserve">that </w:t>
      </w:r>
      <w:r w:rsidRPr="00283879">
        <w:rPr>
          <w:sz w:val="24"/>
          <w:szCs w:val="24"/>
        </w:rPr>
        <w:t xml:space="preserve">he was referring to the time gap of about 1 year between 30 November 2017 when he left </w:t>
      </w:r>
      <w:r w:rsidR="0055337C" w:rsidRPr="00283879">
        <w:rPr>
          <w:sz w:val="24"/>
          <w:szCs w:val="24"/>
        </w:rPr>
        <w:t>Company H</w:t>
      </w:r>
      <w:r w:rsidRPr="00283879">
        <w:rPr>
          <w:sz w:val="24"/>
          <w:szCs w:val="24"/>
        </w:rPr>
        <w:t xml:space="preserve"> and 20 November 2018, the date of the Termination Agreement. </w:t>
      </w:r>
    </w:p>
    <w:p w14:paraId="42C180B9" w14:textId="77777777" w:rsidR="00532DEA" w:rsidRPr="00283879" w:rsidRDefault="00532DEA" w:rsidP="00337A09">
      <w:pPr>
        <w:pStyle w:val="ac"/>
        <w:widowControl w:val="0"/>
        <w:topLinePunct/>
        <w:adjustRightInd/>
        <w:ind w:left="400"/>
        <w:jc w:val="both"/>
        <w:rPr>
          <w:sz w:val="24"/>
          <w:szCs w:val="24"/>
        </w:rPr>
      </w:pPr>
    </w:p>
    <w:p w14:paraId="14740DA7"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The Appellant filed Closing Submissions.  While not requested by the Board, given the Appellant was unrepresented, as set out above, it will consider the Closing Submissions as far as they relate to the substance of the case and relate to grounds in the Notice of Appeal.  The Commissioner was given an opportunity to reply to these submissions and did so on 29 July 2024.</w:t>
      </w:r>
    </w:p>
    <w:p w14:paraId="433C8E58" w14:textId="77777777" w:rsidR="00532DEA" w:rsidRPr="00283879" w:rsidRDefault="00532DEA" w:rsidP="00337A09">
      <w:pPr>
        <w:pStyle w:val="ac"/>
        <w:widowControl w:val="0"/>
        <w:topLinePunct/>
        <w:adjustRightInd/>
        <w:ind w:left="400"/>
        <w:jc w:val="both"/>
        <w:rPr>
          <w:sz w:val="24"/>
          <w:szCs w:val="24"/>
        </w:rPr>
      </w:pPr>
    </w:p>
    <w:p w14:paraId="052D952C"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In </w:t>
      </w:r>
      <w:r w:rsidR="000B24C5" w:rsidRPr="00283879">
        <w:rPr>
          <w:sz w:val="24"/>
          <w:szCs w:val="24"/>
          <w:lang w:val="en-US"/>
        </w:rPr>
        <w:t>p</w:t>
      </w:r>
      <w:r w:rsidR="005A3B43" w:rsidRPr="00283879">
        <w:rPr>
          <w:sz w:val="24"/>
          <w:szCs w:val="24"/>
          <w:lang w:val="en-US"/>
        </w:rPr>
        <w:t>aragraph</w:t>
      </w:r>
      <w:r w:rsidRPr="00283879">
        <w:rPr>
          <w:sz w:val="24"/>
          <w:szCs w:val="24"/>
        </w:rPr>
        <w:t xml:space="preserve"> 3 of the covering email to his Closing Submission the Appellant summarised his position more forcefully as follows:</w:t>
      </w:r>
    </w:p>
    <w:p w14:paraId="40C06C3C" w14:textId="77777777" w:rsidR="00532DEA" w:rsidRPr="00283879" w:rsidRDefault="00532DEA" w:rsidP="00337A09">
      <w:pPr>
        <w:pStyle w:val="ac"/>
        <w:widowControl w:val="0"/>
        <w:topLinePunct/>
        <w:adjustRightInd/>
        <w:ind w:left="400"/>
        <w:jc w:val="both"/>
        <w:rPr>
          <w:sz w:val="24"/>
          <w:szCs w:val="24"/>
        </w:rPr>
      </w:pPr>
    </w:p>
    <w:p w14:paraId="31051CEE" w14:textId="71B9C220" w:rsidR="00532DEA" w:rsidRPr="00283879" w:rsidRDefault="00F13A0F" w:rsidP="00F1519D">
      <w:pPr>
        <w:pStyle w:val="ac"/>
        <w:widowControl w:val="0"/>
        <w:topLinePunct/>
        <w:adjustRightInd/>
        <w:ind w:leftChars="780" w:left="1560"/>
        <w:jc w:val="both"/>
        <w:rPr>
          <w:sz w:val="24"/>
          <w:szCs w:val="24"/>
        </w:rPr>
      </w:pPr>
      <w:r w:rsidRPr="00283879">
        <w:rPr>
          <w:sz w:val="24"/>
          <w:szCs w:val="24"/>
        </w:rPr>
        <w:t>‘</w:t>
      </w:r>
      <w:r w:rsidR="00532DEA" w:rsidRPr="00283879">
        <w:rPr>
          <w:sz w:val="24"/>
          <w:szCs w:val="24"/>
        </w:rPr>
        <w:t>[The Commissioner] is attempting to introduce a bold, novel doctrine into Hong Kong tax law. To summarise [the Commissioner’s] claim in the broadest:  A settlement or termination payment based on a settlement or termination agreement between an employee who has never held permanent residency in Hong Kong and at the time of entering into the agreement was not a resident of Hong Kong with a non-Hong Kong based company about an employment relationship outside of Hong Kong that gets paid outside of Hong Kong in a currency other than Hong Kong dollars is fully taxable in Hong Kong as long as sometimes in the past the employee was a tax resident of Hong Kong.</w:t>
      </w:r>
      <w:r w:rsidRPr="00283879">
        <w:rPr>
          <w:sz w:val="24"/>
          <w:szCs w:val="24"/>
        </w:rPr>
        <w:t>’</w:t>
      </w:r>
      <w:r w:rsidR="00532DEA" w:rsidRPr="00283879">
        <w:rPr>
          <w:sz w:val="24"/>
          <w:szCs w:val="24"/>
        </w:rPr>
        <w:t xml:space="preserve"> </w:t>
      </w:r>
    </w:p>
    <w:p w14:paraId="2C3395DA" w14:textId="77777777" w:rsidR="00532DEA" w:rsidRPr="00283879" w:rsidRDefault="00532DEA" w:rsidP="00337A09">
      <w:pPr>
        <w:widowControl w:val="0"/>
        <w:topLinePunct/>
        <w:adjustRightInd/>
        <w:jc w:val="both"/>
        <w:rPr>
          <w:sz w:val="24"/>
          <w:szCs w:val="24"/>
        </w:rPr>
      </w:pPr>
    </w:p>
    <w:p w14:paraId="5208994C" w14:textId="77777777" w:rsidR="00532DEA" w:rsidRPr="00283879" w:rsidRDefault="00532DEA" w:rsidP="00337A09">
      <w:pPr>
        <w:widowControl w:val="0"/>
        <w:topLinePunct/>
        <w:adjustRightInd/>
        <w:jc w:val="both"/>
        <w:rPr>
          <w:b/>
          <w:bCs/>
          <w:sz w:val="24"/>
          <w:szCs w:val="24"/>
        </w:rPr>
      </w:pPr>
      <w:r w:rsidRPr="00283879">
        <w:rPr>
          <w:b/>
          <w:bCs/>
          <w:sz w:val="24"/>
          <w:szCs w:val="24"/>
        </w:rPr>
        <w:t>Relevant statutory provisions and case law</w:t>
      </w:r>
    </w:p>
    <w:p w14:paraId="2EEDCEEE" w14:textId="77777777" w:rsidR="00EB265E" w:rsidRPr="00283879" w:rsidRDefault="00EB265E" w:rsidP="00337A09">
      <w:pPr>
        <w:widowControl w:val="0"/>
        <w:topLinePunct/>
        <w:adjustRightInd/>
        <w:jc w:val="both"/>
        <w:rPr>
          <w:b/>
          <w:bCs/>
          <w:sz w:val="24"/>
          <w:szCs w:val="24"/>
        </w:rPr>
      </w:pPr>
    </w:p>
    <w:p w14:paraId="74283D86"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Section </w:t>
      </w:r>
      <w:r w:rsidRPr="00283879">
        <w:rPr>
          <w:sz w:val="24"/>
          <w:szCs w:val="24"/>
          <w:lang w:eastAsia="zh-HK"/>
        </w:rPr>
        <w:t>8(1)</w:t>
      </w:r>
      <w:r w:rsidRPr="00283879">
        <w:rPr>
          <w:sz w:val="24"/>
          <w:szCs w:val="24"/>
        </w:rPr>
        <w:t xml:space="preserve"> of the Ordinance provides that</w:t>
      </w:r>
      <w:r w:rsidRPr="00283879">
        <w:rPr>
          <w:sz w:val="24"/>
          <w:szCs w:val="24"/>
          <w:lang w:eastAsia="zh-HK"/>
        </w:rPr>
        <w:t>: -</w:t>
      </w:r>
      <w:r w:rsidRPr="00283879">
        <w:rPr>
          <w:sz w:val="24"/>
          <w:szCs w:val="24"/>
        </w:rPr>
        <w:t xml:space="preserve"> </w:t>
      </w:r>
    </w:p>
    <w:p w14:paraId="46CD3F4E" w14:textId="77777777" w:rsidR="00532DEA" w:rsidRPr="00283879" w:rsidRDefault="00532DEA" w:rsidP="00337A09">
      <w:pPr>
        <w:pStyle w:val="ac"/>
        <w:widowControl w:val="0"/>
        <w:tabs>
          <w:tab w:val="left" w:pos="720"/>
        </w:tabs>
        <w:topLinePunct/>
        <w:adjustRightInd/>
        <w:ind w:left="400"/>
        <w:jc w:val="both"/>
        <w:rPr>
          <w:sz w:val="24"/>
          <w:szCs w:val="24"/>
        </w:rPr>
      </w:pPr>
    </w:p>
    <w:p w14:paraId="4B027677" w14:textId="77777777" w:rsidR="00532DEA" w:rsidRPr="00283879" w:rsidRDefault="00F13A0F" w:rsidP="00F1519D">
      <w:pPr>
        <w:pStyle w:val="ac"/>
        <w:widowControl w:val="0"/>
        <w:topLinePunct/>
        <w:adjustRightInd/>
        <w:ind w:leftChars="780" w:left="1560"/>
        <w:jc w:val="both"/>
        <w:rPr>
          <w:i/>
          <w:sz w:val="24"/>
          <w:szCs w:val="24"/>
        </w:rPr>
      </w:pPr>
      <w:r w:rsidRPr="00283879">
        <w:rPr>
          <w:i/>
          <w:sz w:val="24"/>
          <w:szCs w:val="24"/>
        </w:rPr>
        <w:t>‘</w:t>
      </w:r>
      <w:r w:rsidR="00532DEA" w:rsidRPr="00283879">
        <w:rPr>
          <w:i/>
          <w:sz w:val="24"/>
          <w:szCs w:val="24"/>
        </w:rPr>
        <w:t>Salaries tax shall … be charged for each year of assessment on every person in respect of his income arising in or derived from Hong Kong from … any office or employment of profit …</w:t>
      </w:r>
      <w:r w:rsidRPr="00283879">
        <w:rPr>
          <w:i/>
          <w:sz w:val="24"/>
          <w:szCs w:val="24"/>
        </w:rPr>
        <w:t>’</w:t>
      </w:r>
    </w:p>
    <w:p w14:paraId="388798FC" w14:textId="77777777" w:rsidR="00532DEA" w:rsidRPr="00283879" w:rsidRDefault="00532DEA" w:rsidP="00337A09">
      <w:pPr>
        <w:pStyle w:val="ac"/>
        <w:widowControl w:val="0"/>
        <w:topLinePunct/>
        <w:adjustRightInd/>
        <w:ind w:left="400"/>
        <w:jc w:val="both"/>
        <w:rPr>
          <w:i/>
          <w:sz w:val="24"/>
          <w:szCs w:val="24"/>
        </w:rPr>
      </w:pPr>
    </w:p>
    <w:p w14:paraId="4504C8A6"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Section</w:t>
      </w:r>
      <w:r w:rsidRPr="00283879">
        <w:rPr>
          <w:sz w:val="24"/>
          <w:szCs w:val="24"/>
          <w:lang w:eastAsia="zh-HK"/>
        </w:rPr>
        <w:t xml:space="preserve"> 9(1)(a) of the </w:t>
      </w:r>
      <w:r w:rsidRPr="00283879">
        <w:rPr>
          <w:sz w:val="24"/>
          <w:szCs w:val="24"/>
        </w:rPr>
        <w:t xml:space="preserve">Ordinance </w:t>
      </w:r>
      <w:r w:rsidRPr="00283879">
        <w:rPr>
          <w:sz w:val="24"/>
          <w:szCs w:val="24"/>
          <w:lang w:eastAsia="zh-HK"/>
        </w:rPr>
        <w:t xml:space="preserve">defines </w:t>
      </w:r>
      <w:r w:rsidRPr="00283879">
        <w:rPr>
          <w:iCs/>
          <w:sz w:val="24"/>
          <w:szCs w:val="24"/>
          <w:lang w:eastAsia="zh-HK"/>
        </w:rPr>
        <w:t>income from any office or employment to include</w:t>
      </w:r>
      <w:r w:rsidRPr="00283879">
        <w:rPr>
          <w:sz w:val="24"/>
          <w:szCs w:val="24"/>
          <w:lang w:eastAsia="zh-HK"/>
        </w:rPr>
        <w:t>: -</w:t>
      </w:r>
      <w:r w:rsidRPr="00283879">
        <w:rPr>
          <w:sz w:val="24"/>
          <w:szCs w:val="24"/>
        </w:rPr>
        <w:t xml:space="preserve"> </w:t>
      </w:r>
    </w:p>
    <w:p w14:paraId="63925E9F" w14:textId="77777777" w:rsidR="00532DEA" w:rsidRPr="00283879" w:rsidRDefault="00532DEA" w:rsidP="00337A09">
      <w:pPr>
        <w:pStyle w:val="ac"/>
        <w:widowControl w:val="0"/>
        <w:tabs>
          <w:tab w:val="left" w:pos="720"/>
        </w:tabs>
        <w:topLinePunct/>
        <w:adjustRightInd/>
        <w:ind w:left="400"/>
        <w:jc w:val="both"/>
        <w:rPr>
          <w:sz w:val="24"/>
          <w:szCs w:val="24"/>
        </w:rPr>
      </w:pPr>
    </w:p>
    <w:p w14:paraId="0144DD32" w14:textId="77777777" w:rsidR="00532DEA" w:rsidRPr="00283879" w:rsidRDefault="00F13A0F" w:rsidP="00F1519D">
      <w:pPr>
        <w:pStyle w:val="ac"/>
        <w:widowControl w:val="0"/>
        <w:topLinePunct/>
        <w:adjustRightInd/>
        <w:ind w:leftChars="780" w:left="1560"/>
        <w:jc w:val="both"/>
        <w:rPr>
          <w:i/>
          <w:sz w:val="24"/>
          <w:szCs w:val="24"/>
        </w:rPr>
      </w:pPr>
      <w:r w:rsidRPr="00283879">
        <w:rPr>
          <w:i/>
          <w:sz w:val="24"/>
          <w:szCs w:val="24"/>
        </w:rPr>
        <w:t>‘</w:t>
      </w:r>
      <w:proofErr w:type="gramStart"/>
      <w:r w:rsidR="00532DEA" w:rsidRPr="00283879">
        <w:rPr>
          <w:i/>
          <w:sz w:val="24"/>
          <w:szCs w:val="24"/>
        </w:rPr>
        <w:t>any</w:t>
      </w:r>
      <w:proofErr w:type="gramEnd"/>
      <w:r w:rsidR="00532DEA" w:rsidRPr="00283879">
        <w:rPr>
          <w:i/>
          <w:sz w:val="24"/>
          <w:szCs w:val="24"/>
        </w:rPr>
        <w:t xml:space="preserve"> wages, salary, leave pay, fee, commission, bonus, gratuity, perquisite, or allowance, whether derived from the employer or others …</w:t>
      </w:r>
      <w:r w:rsidRPr="00283879">
        <w:rPr>
          <w:i/>
          <w:sz w:val="24"/>
          <w:szCs w:val="24"/>
        </w:rPr>
        <w:t>’</w:t>
      </w:r>
      <w:r w:rsidR="00532DEA" w:rsidRPr="00283879">
        <w:rPr>
          <w:i/>
          <w:sz w:val="24"/>
          <w:szCs w:val="24"/>
        </w:rPr>
        <w:t xml:space="preserve"> </w:t>
      </w:r>
    </w:p>
    <w:p w14:paraId="49E67C10" w14:textId="77777777" w:rsidR="00532DEA" w:rsidRPr="00283879" w:rsidRDefault="00532DEA" w:rsidP="00337A09">
      <w:pPr>
        <w:pStyle w:val="ac"/>
        <w:widowControl w:val="0"/>
        <w:tabs>
          <w:tab w:val="left" w:pos="720"/>
        </w:tabs>
        <w:topLinePunct/>
        <w:adjustRightInd/>
        <w:ind w:left="400"/>
        <w:jc w:val="both"/>
        <w:rPr>
          <w:sz w:val="24"/>
          <w:szCs w:val="24"/>
        </w:rPr>
      </w:pPr>
    </w:p>
    <w:p w14:paraId="2A3254CC"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Section 11B provides that the assessable income of a person in any year of assessment shall be the aggregate amount of income accruing to him from all sources in that year of assessment.</w:t>
      </w:r>
    </w:p>
    <w:p w14:paraId="67EBD306" w14:textId="77777777" w:rsidR="00532DEA" w:rsidRPr="00283879" w:rsidRDefault="00532DEA" w:rsidP="00337A09">
      <w:pPr>
        <w:pStyle w:val="ac"/>
        <w:widowControl w:val="0"/>
        <w:topLinePunct/>
        <w:adjustRightInd/>
        <w:ind w:left="400"/>
        <w:jc w:val="both"/>
        <w:rPr>
          <w:sz w:val="24"/>
          <w:szCs w:val="24"/>
        </w:rPr>
      </w:pPr>
    </w:p>
    <w:p w14:paraId="5D0B80D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For the </w:t>
      </w:r>
      <w:r w:rsidRPr="00283879">
        <w:rPr>
          <w:rFonts w:eastAsia="華康楷書體W5"/>
          <w:sz w:val="24"/>
          <w:szCs w:val="24"/>
        </w:rPr>
        <w:t>purpose</w:t>
      </w:r>
      <w:r w:rsidRPr="00283879">
        <w:rPr>
          <w:sz w:val="24"/>
          <w:szCs w:val="24"/>
        </w:rPr>
        <w:t xml:space="preserve"> of section 11B:</w:t>
      </w:r>
    </w:p>
    <w:p w14:paraId="1D5BAFE0" w14:textId="77777777" w:rsidR="00532DEA" w:rsidRPr="00283879" w:rsidRDefault="00532DEA" w:rsidP="00337A09">
      <w:pPr>
        <w:pStyle w:val="ac"/>
        <w:widowControl w:val="0"/>
        <w:tabs>
          <w:tab w:val="left" w:pos="720"/>
        </w:tabs>
        <w:topLinePunct/>
        <w:adjustRightInd/>
        <w:ind w:left="400"/>
        <w:jc w:val="both"/>
        <w:rPr>
          <w:sz w:val="24"/>
          <w:szCs w:val="24"/>
        </w:rPr>
      </w:pPr>
    </w:p>
    <w:p w14:paraId="6176D514" w14:textId="77777777" w:rsidR="00532DEA" w:rsidRPr="00283879" w:rsidRDefault="00532DEA" w:rsidP="00C264B7">
      <w:pPr>
        <w:pStyle w:val="ac"/>
        <w:widowControl w:val="0"/>
        <w:numPr>
          <w:ilvl w:val="0"/>
          <w:numId w:val="13"/>
        </w:numPr>
        <w:tabs>
          <w:tab w:val="left" w:pos="567"/>
        </w:tabs>
        <w:topLinePunct/>
        <w:adjustRightInd/>
        <w:ind w:leftChars="0" w:left="2127" w:hanging="567"/>
        <w:jc w:val="both"/>
        <w:textAlignment w:val="auto"/>
        <w:rPr>
          <w:sz w:val="24"/>
          <w:szCs w:val="24"/>
        </w:rPr>
      </w:pPr>
      <w:r w:rsidRPr="00283879">
        <w:rPr>
          <w:sz w:val="24"/>
          <w:szCs w:val="24"/>
        </w:rPr>
        <w:t xml:space="preserve">section </w:t>
      </w:r>
      <w:r w:rsidRPr="00283879">
        <w:rPr>
          <w:rFonts w:eastAsia="華康楷書體W5"/>
          <w:sz w:val="24"/>
          <w:szCs w:val="24"/>
        </w:rPr>
        <w:t>11C</w:t>
      </w:r>
      <w:r w:rsidRPr="00283879">
        <w:rPr>
          <w:sz w:val="24"/>
          <w:szCs w:val="24"/>
        </w:rPr>
        <w:t xml:space="preserve"> provides that a person shall be deemed to commence or cease, as the case may be, to derive income from a source whenever and as often as he commences or ceases to hold any office or employment of profit;</w:t>
      </w:r>
      <w:r w:rsidRPr="00283879">
        <w:rPr>
          <w:i/>
          <w:color w:val="0000FF"/>
          <w:sz w:val="24"/>
          <w:szCs w:val="24"/>
          <w:vertAlign w:val="subscript"/>
        </w:rPr>
        <w:t xml:space="preserve"> </w:t>
      </w:r>
    </w:p>
    <w:p w14:paraId="26D93CA7" w14:textId="77777777" w:rsidR="00532DEA" w:rsidRPr="00283879" w:rsidRDefault="00532DEA" w:rsidP="00337A09">
      <w:pPr>
        <w:pStyle w:val="ac"/>
        <w:widowControl w:val="0"/>
        <w:tabs>
          <w:tab w:val="left" w:pos="567"/>
        </w:tabs>
        <w:topLinePunct/>
        <w:adjustRightInd/>
        <w:ind w:left="400"/>
        <w:jc w:val="both"/>
        <w:rPr>
          <w:sz w:val="24"/>
          <w:szCs w:val="24"/>
        </w:rPr>
      </w:pPr>
    </w:p>
    <w:p w14:paraId="76F8AB15" w14:textId="77777777" w:rsidR="00532DEA" w:rsidRPr="00283879" w:rsidRDefault="00532DEA" w:rsidP="00C264B7">
      <w:pPr>
        <w:pStyle w:val="ac"/>
        <w:widowControl w:val="0"/>
        <w:numPr>
          <w:ilvl w:val="0"/>
          <w:numId w:val="13"/>
        </w:numPr>
        <w:tabs>
          <w:tab w:val="left" w:pos="567"/>
        </w:tabs>
        <w:topLinePunct/>
        <w:adjustRightInd/>
        <w:ind w:leftChars="0" w:left="2127" w:hanging="567"/>
        <w:jc w:val="both"/>
        <w:textAlignment w:val="auto"/>
        <w:rPr>
          <w:sz w:val="24"/>
          <w:szCs w:val="24"/>
        </w:rPr>
      </w:pPr>
      <w:r w:rsidRPr="00283879">
        <w:rPr>
          <w:sz w:val="24"/>
          <w:szCs w:val="24"/>
        </w:rPr>
        <w:t>proviso (ii) to section 11D(b) further provides that any payment made by an employer to a person after that person has ceased to derive income which, if it had been made on the last day of the period during which he derived income, would have been included in that person’s assessable income for the year of assessment in which he ceased to derive income from that employment, shall be deemed to have accrued to that person on the last day of that employment.</w:t>
      </w:r>
    </w:p>
    <w:p w14:paraId="3CC82B5B" w14:textId="77777777" w:rsidR="00532DEA" w:rsidRPr="00283879" w:rsidRDefault="00532DEA" w:rsidP="00337A09">
      <w:pPr>
        <w:widowControl w:val="0"/>
        <w:tabs>
          <w:tab w:val="left" w:pos="567"/>
        </w:tabs>
        <w:topLinePunct/>
        <w:adjustRightInd/>
        <w:jc w:val="both"/>
        <w:rPr>
          <w:sz w:val="24"/>
          <w:szCs w:val="24"/>
        </w:rPr>
      </w:pPr>
    </w:p>
    <w:p w14:paraId="66341D18"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The proviso (ii) to section 11D(b) is the reason the Commissioner determined that the LTI Payout received should be calculated in the 2017/18 year of employment, even though the money was only received in 2019 long after the Appellant had ceased to be employed in Hong Kong.</w:t>
      </w:r>
      <w:bookmarkStart w:id="0" w:name="_Ref116457403"/>
    </w:p>
    <w:p w14:paraId="784D1627" w14:textId="77777777" w:rsidR="00532DEA" w:rsidRPr="00283879" w:rsidRDefault="00532DEA" w:rsidP="00337A09">
      <w:pPr>
        <w:pStyle w:val="ac"/>
        <w:widowControl w:val="0"/>
        <w:tabs>
          <w:tab w:val="left" w:pos="567"/>
        </w:tabs>
        <w:topLinePunct/>
        <w:adjustRightInd/>
        <w:ind w:left="400"/>
        <w:jc w:val="both"/>
        <w:rPr>
          <w:sz w:val="24"/>
          <w:szCs w:val="24"/>
        </w:rPr>
      </w:pPr>
    </w:p>
    <w:p w14:paraId="4057E0B6"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rFonts w:eastAsia="華康楷書體W5"/>
          <w:sz w:val="24"/>
          <w:szCs w:val="24"/>
        </w:rPr>
        <w:t xml:space="preserve">In </w:t>
      </w:r>
      <w:r w:rsidRPr="00283879">
        <w:rPr>
          <w:rFonts w:eastAsia="華康楷書體W5"/>
          <w:bCs/>
          <w:sz w:val="24"/>
          <w:szCs w:val="24"/>
          <w:u w:val="single"/>
        </w:rPr>
        <w:t>Fuchs v Commissioner of Inland Revenue</w:t>
      </w:r>
      <w:r w:rsidRPr="00283879">
        <w:rPr>
          <w:rFonts w:eastAsia="華康楷書體W5"/>
          <w:b/>
          <w:i/>
          <w:sz w:val="24"/>
          <w:szCs w:val="24"/>
        </w:rPr>
        <w:t xml:space="preserve"> </w:t>
      </w:r>
      <w:r w:rsidRPr="00283879">
        <w:rPr>
          <w:rFonts w:eastAsia="華康楷書體W5"/>
          <w:sz w:val="24"/>
          <w:szCs w:val="24"/>
        </w:rPr>
        <w:t xml:space="preserve">(2011) 14 HKCFAR 74, Ribeiro PJ held (at </w:t>
      </w:r>
      <w:r w:rsidR="000B24C5" w:rsidRPr="00283879">
        <w:rPr>
          <w:sz w:val="24"/>
          <w:szCs w:val="24"/>
          <w:lang w:val="en-US"/>
        </w:rPr>
        <w:t>p</w:t>
      </w:r>
      <w:r w:rsidR="005A3B43" w:rsidRPr="00283879">
        <w:rPr>
          <w:sz w:val="24"/>
          <w:szCs w:val="24"/>
          <w:lang w:val="en-US"/>
        </w:rPr>
        <w:t>aragraph</w:t>
      </w:r>
      <w:r w:rsidRPr="00283879">
        <w:rPr>
          <w:rFonts w:eastAsia="華康楷書體W5"/>
          <w:sz w:val="24"/>
          <w:szCs w:val="24"/>
        </w:rPr>
        <w:t xml:space="preserve"> 14) that whether a payment is chargeable to Salaries Tax turns on the construction of section (8)(1) of IRO.  The test is whether such payment is ‘</w:t>
      </w:r>
      <w:r w:rsidRPr="00283879">
        <w:rPr>
          <w:rFonts w:eastAsia="華康楷書體W5"/>
          <w:i/>
          <w:sz w:val="24"/>
          <w:szCs w:val="24"/>
        </w:rPr>
        <w:t xml:space="preserve">income … from … any office or employment of </w:t>
      </w:r>
      <w:proofErr w:type="gramStart"/>
      <w:r w:rsidRPr="00283879">
        <w:rPr>
          <w:rFonts w:eastAsia="華康楷書體W5"/>
          <w:i/>
          <w:sz w:val="24"/>
          <w:szCs w:val="24"/>
        </w:rPr>
        <w:t>profits</w:t>
      </w:r>
      <w:r w:rsidRPr="00283879">
        <w:rPr>
          <w:rFonts w:eastAsia="華康楷書體W5"/>
          <w:sz w:val="24"/>
          <w:szCs w:val="24"/>
        </w:rPr>
        <w:t>’</w:t>
      </w:r>
      <w:proofErr w:type="gramEnd"/>
      <w:r w:rsidRPr="00283879">
        <w:rPr>
          <w:rFonts w:eastAsia="華康楷書體W5"/>
          <w:sz w:val="24"/>
          <w:szCs w:val="24"/>
        </w:rPr>
        <w:t>.</w:t>
      </w:r>
      <w:r w:rsidRPr="00283879">
        <w:rPr>
          <w:sz w:val="24"/>
          <w:szCs w:val="24"/>
          <w:vertAlign w:val="subscript"/>
        </w:rPr>
        <w:t xml:space="preserve"> </w:t>
      </w:r>
      <w:r w:rsidRPr="00283879">
        <w:rPr>
          <w:i/>
          <w:color w:val="0000FF"/>
          <w:sz w:val="24"/>
          <w:szCs w:val="24"/>
          <w:vertAlign w:val="subscript"/>
        </w:rPr>
        <w:t xml:space="preserve"> </w:t>
      </w:r>
      <w:bookmarkStart w:id="1" w:name="_Ref116457405"/>
      <w:bookmarkEnd w:id="0"/>
    </w:p>
    <w:p w14:paraId="06547A6A" w14:textId="77777777" w:rsidR="00532DEA" w:rsidRPr="00283879" w:rsidRDefault="00532DEA" w:rsidP="00337A09">
      <w:pPr>
        <w:widowControl w:val="0"/>
        <w:tabs>
          <w:tab w:val="left" w:pos="567"/>
        </w:tabs>
        <w:topLinePunct/>
        <w:adjustRightInd/>
        <w:jc w:val="both"/>
        <w:rPr>
          <w:sz w:val="24"/>
          <w:szCs w:val="24"/>
        </w:rPr>
      </w:pPr>
    </w:p>
    <w:p w14:paraId="71E8F53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rFonts w:eastAsia="華康楷書體W5"/>
          <w:sz w:val="24"/>
          <w:szCs w:val="24"/>
        </w:rPr>
        <w:t xml:space="preserve">The following principles were set out in </w:t>
      </w:r>
      <w:bookmarkEnd w:id="1"/>
      <w:r w:rsidRPr="00283879">
        <w:rPr>
          <w:rFonts w:eastAsia="華康楷書體W5"/>
          <w:bCs/>
          <w:sz w:val="24"/>
          <w:szCs w:val="24"/>
          <w:u w:val="single"/>
        </w:rPr>
        <w:t>Fuchs</w:t>
      </w:r>
      <w:r w:rsidRPr="00283879">
        <w:rPr>
          <w:rFonts w:eastAsia="華康楷書體W5"/>
          <w:sz w:val="24"/>
          <w:szCs w:val="24"/>
        </w:rPr>
        <w:t>: -</w:t>
      </w:r>
      <w:r w:rsidRPr="00283879">
        <w:rPr>
          <w:i/>
          <w:sz w:val="24"/>
          <w:szCs w:val="24"/>
          <w:vertAlign w:val="subscript"/>
        </w:rPr>
        <w:t xml:space="preserve"> </w:t>
      </w:r>
    </w:p>
    <w:p w14:paraId="11154955" w14:textId="77777777" w:rsidR="00EB265E" w:rsidRPr="00283879" w:rsidRDefault="00EB265E" w:rsidP="00EB265E">
      <w:pPr>
        <w:pStyle w:val="ac"/>
        <w:widowControl w:val="0"/>
        <w:topLinePunct/>
        <w:adjustRightInd/>
        <w:ind w:leftChars="0" w:left="502"/>
        <w:jc w:val="both"/>
        <w:textAlignment w:val="auto"/>
        <w:rPr>
          <w:sz w:val="24"/>
          <w:szCs w:val="24"/>
        </w:rPr>
      </w:pPr>
    </w:p>
    <w:p w14:paraId="78AAF474" w14:textId="77777777" w:rsidR="00532DEA" w:rsidRPr="00283879" w:rsidRDefault="00532DEA" w:rsidP="00C264B7">
      <w:pPr>
        <w:pStyle w:val="ac"/>
        <w:widowControl w:val="0"/>
        <w:numPr>
          <w:ilvl w:val="0"/>
          <w:numId w:val="9"/>
        </w:numPr>
        <w:topLinePunct/>
        <w:adjustRightInd/>
        <w:ind w:leftChars="0" w:left="1985"/>
        <w:jc w:val="both"/>
        <w:textAlignment w:val="auto"/>
        <w:rPr>
          <w:rFonts w:eastAsia="華康楷書體W5"/>
          <w:iCs/>
          <w:sz w:val="24"/>
          <w:szCs w:val="24"/>
        </w:rPr>
      </w:pPr>
      <w:r w:rsidRPr="00283879">
        <w:rPr>
          <w:sz w:val="24"/>
          <w:szCs w:val="24"/>
          <w:lang w:eastAsia="zh-HK"/>
        </w:rPr>
        <w:t>Income</w:t>
      </w:r>
      <w:r w:rsidRPr="00283879">
        <w:rPr>
          <w:rFonts w:eastAsia="華康楷書體W5"/>
          <w:sz w:val="24"/>
          <w:szCs w:val="24"/>
        </w:rPr>
        <w:t xml:space="preserve"> </w:t>
      </w:r>
      <w:r w:rsidRPr="00283879">
        <w:rPr>
          <w:rFonts w:eastAsia="華康楷書體W5"/>
          <w:sz w:val="24"/>
          <w:szCs w:val="24"/>
          <w:lang w:eastAsia="zh-HK"/>
        </w:rPr>
        <w:t>chargeable</w:t>
      </w:r>
      <w:r w:rsidRPr="00283879">
        <w:rPr>
          <w:rFonts w:eastAsia="華康楷書體W5"/>
          <w:sz w:val="24"/>
          <w:szCs w:val="24"/>
        </w:rPr>
        <w:t xml:space="preserve"> under section 8(1) is not confined to income earned in the </w:t>
      </w:r>
      <w:r w:rsidRPr="00283879">
        <w:rPr>
          <w:sz w:val="24"/>
          <w:szCs w:val="24"/>
        </w:rPr>
        <w:t>course</w:t>
      </w:r>
      <w:r w:rsidRPr="00283879">
        <w:rPr>
          <w:rFonts w:eastAsia="華康楷書體W5"/>
          <w:sz w:val="24"/>
          <w:szCs w:val="24"/>
        </w:rPr>
        <w:t xml:space="preserve"> of employment </w:t>
      </w:r>
      <w:r w:rsidRPr="00283879">
        <w:rPr>
          <w:sz w:val="24"/>
          <w:szCs w:val="24"/>
        </w:rPr>
        <w:t>but embraces payments made</w:t>
      </w:r>
      <w:r w:rsidRPr="00283879">
        <w:rPr>
          <w:b/>
          <w:i/>
          <w:sz w:val="24"/>
          <w:szCs w:val="24"/>
        </w:rPr>
        <w:t xml:space="preserve"> </w:t>
      </w:r>
      <w:r w:rsidRPr="00283879">
        <w:rPr>
          <w:sz w:val="24"/>
          <w:szCs w:val="24"/>
        </w:rPr>
        <w:t>(</w:t>
      </w:r>
      <w:proofErr w:type="spellStart"/>
      <w:r w:rsidRPr="00283879">
        <w:rPr>
          <w:sz w:val="24"/>
          <w:szCs w:val="24"/>
        </w:rPr>
        <w:t>i</w:t>
      </w:r>
      <w:proofErr w:type="spellEnd"/>
      <w:r w:rsidRPr="00283879">
        <w:rPr>
          <w:sz w:val="24"/>
          <w:szCs w:val="24"/>
        </w:rPr>
        <w:t>) in return for acting as or being an employee; (ii) as a reward for past services or (iii) as an inducement to enter into employment and provide future services</w:t>
      </w:r>
      <w:r w:rsidRPr="00283879">
        <w:rPr>
          <w:i/>
          <w:sz w:val="24"/>
          <w:szCs w:val="24"/>
        </w:rPr>
        <w:t xml:space="preserve">. </w:t>
      </w:r>
      <w:r w:rsidRPr="00283879">
        <w:rPr>
          <w:iCs/>
          <w:sz w:val="24"/>
          <w:szCs w:val="24"/>
        </w:rPr>
        <w:t>(</w:t>
      </w:r>
      <w:r w:rsidR="005A3B43" w:rsidRPr="00283879">
        <w:rPr>
          <w:iCs/>
          <w:sz w:val="24"/>
          <w:szCs w:val="24"/>
        </w:rPr>
        <w:t>Paragraph</w:t>
      </w:r>
      <w:r w:rsidRPr="00283879">
        <w:rPr>
          <w:iCs/>
          <w:sz w:val="24"/>
          <w:szCs w:val="24"/>
        </w:rPr>
        <w:t xml:space="preserve"> 17)</w:t>
      </w:r>
    </w:p>
    <w:p w14:paraId="5170F748" w14:textId="77777777" w:rsidR="00532DEA" w:rsidRPr="00283879" w:rsidRDefault="00532DEA" w:rsidP="00337A09">
      <w:pPr>
        <w:pStyle w:val="ac"/>
        <w:widowControl w:val="0"/>
        <w:topLinePunct/>
        <w:adjustRightInd/>
        <w:ind w:left="400"/>
        <w:jc w:val="both"/>
        <w:rPr>
          <w:rFonts w:eastAsia="華康楷書體W5"/>
          <w:sz w:val="24"/>
          <w:szCs w:val="24"/>
        </w:rPr>
      </w:pPr>
    </w:p>
    <w:p w14:paraId="75CB69C8" w14:textId="77777777" w:rsidR="00532DEA" w:rsidRPr="00283879" w:rsidRDefault="00532DEA" w:rsidP="00C264B7">
      <w:pPr>
        <w:pStyle w:val="ac"/>
        <w:widowControl w:val="0"/>
        <w:numPr>
          <w:ilvl w:val="0"/>
          <w:numId w:val="9"/>
        </w:numPr>
        <w:topLinePunct/>
        <w:adjustRightInd/>
        <w:ind w:leftChars="0" w:left="1985"/>
        <w:jc w:val="both"/>
        <w:textAlignment w:val="auto"/>
        <w:rPr>
          <w:rFonts w:eastAsia="華康楷書體W5"/>
          <w:sz w:val="24"/>
          <w:szCs w:val="24"/>
        </w:rPr>
      </w:pPr>
      <w:r w:rsidRPr="00283879">
        <w:rPr>
          <w:rFonts w:eastAsia="華康楷書體W5"/>
          <w:sz w:val="24"/>
          <w:szCs w:val="24"/>
        </w:rPr>
        <w:t xml:space="preserve">It is </w:t>
      </w:r>
      <w:r w:rsidRPr="00283879">
        <w:rPr>
          <w:sz w:val="24"/>
          <w:szCs w:val="24"/>
        </w:rPr>
        <w:t>crucial</w:t>
      </w:r>
      <w:r w:rsidRPr="00283879">
        <w:rPr>
          <w:rFonts w:eastAsia="華康楷書體W5"/>
          <w:sz w:val="24"/>
          <w:szCs w:val="24"/>
        </w:rPr>
        <w:t xml:space="preserve"> to ascertain the purpose of the sum and should not be distracted by its label.  If a payment, viewed as a matter of substance and not merely of form and without being </w:t>
      </w:r>
      <w:r w:rsidR="00F13A0F" w:rsidRPr="00283879">
        <w:rPr>
          <w:rFonts w:eastAsia="華康楷書體W5"/>
          <w:i/>
          <w:sz w:val="24"/>
          <w:szCs w:val="24"/>
        </w:rPr>
        <w:t>‘</w:t>
      </w:r>
      <w:r w:rsidRPr="00283879">
        <w:rPr>
          <w:rFonts w:eastAsia="華康楷書體W5"/>
          <w:i/>
          <w:sz w:val="24"/>
          <w:szCs w:val="24"/>
        </w:rPr>
        <w:t>blinded by some formulae which the parties may have used</w:t>
      </w:r>
      <w:r w:rsidR="00F13A0F" w:rsidRPr="00283879">
        <w:rPr>
          <w:rFonts w:eastAsia="華康楷書體W5"/>
          <w:i/>
          <w:sz w:val="24"/>
          <w:szCs w:val="24"/>
          <w:lang w:eastAsia="zh-HK"/>
        </w:rPr>
        <w:t>’</w:t>
      </w:r>
      <w:r w:rsidRPr="00283879">
        <w:rPr>
          <w:rFonts w:eastAsia="華康楷書體W5"/>
          <w:sz w:val="24"/>
          <w:szCs w:val="24"/>
        </w:rPr>
        <w:t>, is found to be derived from the Appellant’s employment in the abovementioned sense, it is assessable. This approach properly gives effect to the language of section 8(1).</w:t>
      </w:r>
      <w:bookmarkStart w:id="2" w:name="_Ref115300132"/>
      <w:r w:rsidRPr="00283879">
        <w:rPr>
          <w:rFonts w:eastAsia="華康楷書體W5"/>
          <w:sz w:val="24"/>
          <w:szCs w:val="24"/>
        </w:rPr>
        <w:t xml:space="preserve"> (</w:t>
      </w:r>
      <w:r w:rsidR="005A3B43" w:rsidRPr="00283879">
        <w:rPr>
          <w:rFonts w:eastAsia="華康楷書體W5"/>
          <w:sz w:val="24"/>
          <w:szCs w:val="24"/>
        </w:rPr>
        <w:t>Paragraph</w:t>
      </w:r>
      <w:r w:rsidRPr="00283879">
        <w:rPr>
          <w:rFonts w:eastAsia="華康楷書體W5"/>
          <w:sz w:val="24"/>
          <w:szCs w:val="24"/>
        </w:rPr>
        <w:t xml:space="preserve"> 17) </w:t>
      </w:r>
    </w:p>
    <w:p w14:paraId="17A61BB0" w14:textId="77777777" w:rsidR="00532DEA" w:rsidRPr="00283879" w:rsidRDefault="00532DEA" w:rsidP="00337A09">
      <w:pPr>
        <w:widowControl w:val="0"/>
        <w:topLinePunct/>
        <w:adjustRightInd/>
        <w:jc w:val="both"/>
        <w:rPr>
          <w:rFonts w:eastAsia="華康楷書體W5"/>
          <w:sz w:val="24"/>
          <w:szCs w:val="24"/>
        </w:rPr>
      </w:pPr>
    </w:p>
    <w:p w14:paraId="5A80F67E" w14:textId="77777777" w:rsidR="00532DEA" w:rsidRPr="00283879" w:rsidRDefault="00532DEA" w:rsidP="00C264B7">
      <w:pPr>
        <w:pStyle w:val="ac"/>
        <w:widowControl w:val="0"/>
        <w:numPr>
          <w:ilvl w:val="0"/>
          <w:numId w:val="9"/>
        </w:numPr>
        <w:topLinePunct/>
        <w:adjustRightInd/>
        <w:ind w:leftChars="0" w:left="1985"/>
        <w:jc w:val="both"/>
        <w:textAlignment w:val="auto"/>
        <w:rPr>
          <w:rFonts w:eastAsia="華康楷書體W5"/>
          <w:color w:val="000000" w:themeColor="text1"/>
          <w:sz w:val="24"/>
          <w:szCs w:val="24"/>
        </w:rPr>
      </w:pPr>
      <w:r w:rsidRPr="00283879">
        <w:rPr>
          <w:sz w:val="24"/>
          <w:szCs w:val="24"/>
          <w:lang w:eastAsia="zh-HK"/>
        </w:rPr>
        <w:t>Where</w:t>
      </w:r>
      <w:r w:rsidRPr="00283879">
        <w:rPr>
          <w:sz w:val="24"/>
          <w:szCs w:val="24"/>
        </w:rPr>
        <w:t xml:space="preserve"> a </w:t>
      </w:r>
      <w:r w:rsidRPr="00283879">
        <w:rPr>
          <w:rFonts w:eastAsia="華康楷書體W5"/>
          <w:sz w:val="24"/>
          <w:szCs w:val="24"/>
        </w:rPr>
        <w:t>payment</w:t>
      </w:r>
      <w:r w:rsidRPr="00283879">
        <w:rPr>
          <w:sz w:val="24"/>
          <w:szCs w:val="24"/>
        </w:rPr>
        <w:t xml:space="preserve"> falls within the operative test, it is assessable and the fact that, as a matter of language, it is described in some other terms, such as ‘compensation for loss of office’, does not displace liability to tax.  The applicable test gives effect to the statutory language; other possible characterizations of the payment are beside the point if, applying the test, the payment is ‘from employment’</w:t>
      </w:r>
      <w:r w:rsidRPr="00283879">
        <w:rPr>
          <w:i/>
          <w:color w:val="0000FF"/>
          <w:sz w:val="24"/>
          <w:szCs w:val="24"/>
          <w:vertAlign w:val="subscript"/>
        </w:rPr>
        <w:t xml:space="preserve"> </w:t>
      </w:r>
      <w:r w:rsidRPr="00283879">
        <w:rPr>
          <w:rFonts w:eastAsia="華康楷書體W5"/>
          <w:color w:val="000000" w:themeColor="text1"/>
          <w:sz w:val="24"/>
          <w:szCs w:val="24"/>
        </w:rPr>
        <w:t>(</w:t>
      </w:r>
      <w:r w:rsidR="005A3B43" w:rsidRPr="00283879">
        <w:rPr>
          <w:rFonts w:eastAsia="華康楷書體W5"/>
          <w:color w:val="000000" w:themeColor="text1"/>
          <w:sz w:val="24"/>
          <w:szCs w:val="24"/>
        </w:rPr>
        <w:t>Paragraph</w:t>
      </w:r>
      <w:r w:rsidRPr="00283879">
        <w:rPr>
          <w:rFonts w:eastAsia="華康楷書體W5"/>
          <w:color w:val="000000" w:themeColor="text1"/>
          <w:sz w:val="24"/>
          <w:szCs w:val="24"/>
        </w:rPr>
        <w:t>s 18 and 22)</w:t>
      </w:r>
    </w:p>
    <w:p w14:paraId="207D2B86" w14:textId="77777777" w:rsidR="00532DEA" w:rsidRPr="00283879" w:rsidRDefault="00532DEA" w:rsidP="00337A09">
      <w:pPr>
        <w:widowControl w:val="0"/>
        <w:topLinePunct/>
        <w:adjustRightInd/>
        <w:jc w:val="both"/>
        <w:rPr>
          <w:rFonts w:eastAsia="華康楷書體W5"/>
          <w:sz w:val="24"/>
          <w:szCs w:val="24"/>
        </w:rPr>
      </w:pPr>
    </w:p>
    <w:p w14:paraId="7CFB6ECB" w14:textId="77777777" w:rsidR="00532DEA" w:rsidRPr="00283879" w:rsidRDefault="00532DEA" w:rsidP="00C264B7">
      <w:pPr>
        <w:pStyle w:val="ac"/>
        <w:widowControl w:val="0"/>
        <w:numPr>
          <w:ilvl w:val="0"/>
          <w:numId w:val="9"/>
        </w:numPr>
        <w:topLinePunct/>
        <w:adjustRightInd/>
        <w:ind w:leftChars="0" w:left="1985"/>
        <w:jc w:val="both"/>
        <w:textAlignment w:val="auto"/>
        <w:rPr>
          <w:rFonts w:eastAsia="華康楷書體W5"/>
          <w:color w:val="0000FF"/>
          <w:sz w:val="24"/>
          <w:szCs w:val="24"/>
        </w:rPr>
      </w:pPr>
      <w:r w:rsidRPr="00283879">
        <w:rPr>
          <w:rFonts w:eastAsia="華康楷書體W5"/>
          <w:sz w:val="24"/>
          <w:szCs w:val="24"/>
        </w:rPr>
        <w:t xml:space="preserve">A payment that is concluded as being ‘for something else’ does not come within the above test and is not assessable.  Insofar as it is contended that a payment was not made in return for </w:t>
      </w:r>
      <w:proofErr w:type="gramStart"/>
      <w:r w:rsidRPr="00283879">
        <w:rPr>
          <w:rFonts w:eastAsia="華康楷書體W5"/>
          <w:sz w:val="24"/>
          <w:szCs w:val="24"/>
        </w:rPr>
        <w:t>a</w:t>
      </w:r>
      <w:proofErr w:type="gramEnd"/>
      <w:r w:rsidRPr="00283879">
        <w:rPr>
          <w:rFonts w:eastAsia="華康楷書體W5"/>
          <w:sz w:val="24"/>
          <w:szCs w:val="24"/>
        </w:rPr>
        <w:t xml:space="preserve"> Appellant acting as or being an employee, but as consideration for </w:t>
      </w:r>
      <w:r w:rsidR="00F13A0F" w:rsidRPr="00283879">
        <w:rPr>
          <w:rFonts w:eastAsia="華康楷書體W5"/>
          <w:sz w:val="24"/>
          <w:szCs w:val="24"/>
        </w:rPr>
        <w:t>‘</w:t>
      </w:r>
      <w:r w:rsidRPr="00283879">
        <w:rPr>
          <w:rFonts w:eastAsia="華康楷書體W5"/>
          <w:sz w:val="24"/>
          <w:szCs w:val="24"/>
        </w:rPr>
        <w:t>abrogating</w:t>
      </w:r>
      <w:r w:rsidR="00F13A0F" w:rsidRPr="00283879">
        <w:rPr>
          <w:rFonts w:eastAsia="華康楷書體W5"/>
          <w:sz w:val="24"/>
          <w:szCs w:val="24"/>
        </w:rPr>
        <w:t>’</w:t>
      </w:r>
      <w:r w:rsidRPr="00283879">
        <w:rPr>
          <w:rFonts w:eastAsia="華康楷書體W5"/>
          <w:sz w:val="24"/>
          <w:szCs w:val="24"/>
        </w:rPr>
        <w:t xml:space="preserve"> his rights under the contract of employment, the operative test must always be the test identified above, reflecting the statutory language.  A conclusion may be reached in the </w:t>
      </w:r>
      <w:r w:rsidR="00F13A0F" w:rsidRPr="00283879">
        <w:rPr>
          <w:rFonts w:eastAsia="華康楷書體W5"/>
          <w:sz w:val="24"/>
          <w:szCs w:val="24"/>
        </w:rPr>
        <w:t>‘</w:t>
      </w:r>
      <w:r w:rsidRPr="00283879">
        <w:rPr>
          <w:rFonts w:eastAsia="華康楷書體W5"/>
          <w:sz w:val="24"/>
          <w:szCs w:val="24"/>
        </w:rPr>
        <w:t>abrogation</w:t>
      </w:r>
      <w:r w:rsidR="00F13A0F" w:rsidRPr="00283879">
        <w:rPr>
          <w:rFonts w:eastAsia="華康楷書體W5"/>
          <w:sz w:val="24"/>
          <w:szCs w:val="24"/>
        </w:rPr>
        <w:t>’</w:t>
      </w:r>
      <w:r w:rsidRPr="00283879">
        <w:rPr>
          <w:rFonts w:eastAsia="華康楷書體W5"/>
          <w:sz w:val="24"/>
          <w:szCs w:val="24"/>
        </w:rPr>
        <w:t xml:space="preserve"> examples that a payment is made in consideration of an employee agreeing to surrender or forego his pre-existing contractual rights, but </w:t>
      </w:r>
      <w:r w:rsidR="00F13A0F" w:rsidRPr="00283879">
        <w:rPr>
          <w:rFonts w:eastAsia="華康楷書體W5"/>
          <w:sz w:val="24"/>
          <w:szCs w:val="24"/>
        </w:rPr>
        <w:t>‘</w:t>
      </w:r>
      <w:r w:rsidRPr="00283879">
        <w:rPr>
          <w:rFonts w:eastAsia="華康楷書體W5"/>
          <w:sz w:val="24"/>
          <w:szCs w:val="24"/>
        </w:rPr>
        <w:t>abrogation of contractual rights</w:t>
      </w:r>
      <w:r w:rsidR="00F13A0F" w:rsidRPr="00283879">
        <w:rPr>
          <w:rFonts w:eastAsia="華康楷書體W5"/>
          <w:sz w:val="24"/>
          <w:szCs w:val="24"/>
        </w:rPr>
        <w:t>’</w:t>
      </w:r>
      <w:r w:rsidRPr="00283879">
        <w:rPr>
          <w:rFonts w:eastAsia="華康楷書體W5"/>
          <w:sz w:val="24"/>
          <w:szCs w:val="24"/>
        </w:rPr>
        <w:t xml:space="preserve"> is not itself the test of chargeability in every case. </w:t>
      </w:r>
      <w:bookmarkEnd w:id="2"/>
      <w:r w:rsidRPr="00283879">
        <w:rPr>
          <w:rFonts w:eastAsia="華康楷書體W5"/>
          <w:sz w:val="24"/>
          <w:szCs w:val="24"/>
        </w:rPr>
        <w:t xml:space="preserve"> The test remains that of the purpose of the payment at the relevant time. (</w:t>
      </w:r>
      <w:r w:rsidR="005A3B43" w:rsidRPr="00283879">
        <w:rPr>
          <w:rFonts w:eastAsia="華康楷書體W5"/>
          <w:sz w:val="24"/>
          <w:szCs w:val="24"/>
        </w:rPr>
        <w:t>Paragraph</w:t>
      </w:r>
      <w:r w:rsidRPr="00283879">
        <w:rPr>
          <w:rFonts w:eastAsia="華康楷書體W5"/>
          <w:sz w:val="24"/>
          <w:szCs w:val="24"/>
        </w:rPr>
        <w:t>s 18 and 22)</w:t>
      </w:r>
    </w:p>
    <w:p w14:paraId="54D66E03" w14:textId="77777777" w:rsidR="00532DEA" w:rsidRPr="00283879" w:rsidRDefault="00532DEA" w:rsidP="00337A09">
      <w:pPr>
        <w:pStyle w:val="ac"/>
        <w:widowControl w:val="0"/>
        <w:topLinePunct/>
        <w:adjustRightInd/>
        <w:ind w:left="400"/>
        <w:jc w:val="both"/>
        <w:rPr>
          <w:rFonts w:eastAsia="華康楷書體W5"/>
          <w:sz w:val="24"/>
          <w:szCs w:val="24"/>
        </w:rPr>
      </w:pPr>
    </w:p>
    <w:p w14:paraId="41474421"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bookmarkStart w:id="3" w:name="_Ref116458035"/>
      <w:r w:rsidRPr="00283879">
        <w:rPr>
          <w:sz w:val="24"/>
          <w:szCs w:val="24"/>
        </w:rPr>
        <w:t>The Court of Final Appeal</w:t>
      </w:r>
      <w:r w:rsidRPr="00283879">
        <w:rPr>
          <w:sz w:val="24"/>
          <w:szCs w:val="24"/>
          <w:lang w:eastAsia="zh-HK"/>
        </w:rPr>
        <w:t xml:space="preserve"> in </w:t>
      </w:r>
      <w:r w:rsidRPr="00283879">
        <w:rPr>
          <w:rFonts w:eastAsia="華康楷書體W5"/>
          <w:bCs/>
          <w:sz w:val="24"/>
          <w:szCs w:val="24"/>
          <w:u w:val="single"/>
        </w:rPr>
        <w:t>Commissioner of Inland Revenue v Poon Cho Ming, John</w:t>
      </w:r>
      <w:r w:rsidRPr="00283879">
        <w:rPr>
          <w:rFonts w:eastAsia="華康楷書體W5"/>
          <w:sz w:val="24"/>
          <w:szCs w:val="24"/>
        </w:rPr>
        <w:t xml:space="preserve"> (</w:t>
      </w:r>
      <w:r w:rsidRPr="00283879">
        <w:rPr>
          <w:sz w:val="24"/>
          <w:szCs w:val="24"/>
        </w:rPr>
        <w:t>2019) 22 HKCFAR 344</w:t>
      </w:r>
      <w:r w:rsidRPr="00283879">
        <w:rPr>
          <w:i/>
          <w:color w:val="0000FF"/>
          <w:sz w:val="24"/>
          <w:szCs w:val="24"/>
          <w:vertAlign w:val="subscript"/>
        </w:rPr>
        <w:t xml:space="preserve">, </w:t>
      </w:r>
      <w:r w:rsidRPr="00283879">
        <w:rPr>
          <w:sz w:val="24"/>
          <w:szCs w:val="24"/>
        </w:rPr>
        <w:t xml:space="preserve">reaffirmed the principles and approach set out in </w:t>
      </w:r>
      <w:r w:rsidRPr="00283879">
        <w:rPr>
          <w:sz w:val="24"/>
          <w:szCs w:val="24"/>
          <w:u w:val="single"/>
        </w:rPr>
        <w:t>Fuchs</w:t>
      </w:r>
      <w:bookmarkEnd w:id="3"/>
      <w:r w:rsidRPr="00283879">
        <w:rPr>
          <w:sz w:val="24"/>
          <w:szCs w:val="24"/>
        </w:rPr>
        <w:t>.</w:t>
      </w:r>
    </w:p>
    <w:p w14:paraId="660D7410" w14:textId="77777777" w:rsidR="00532DEA" w:rsidRPr="00283879" w:rsidRDefault="00532DEA" w:rsidP="00337A09">
      <w:pPr>
        <w:pStyle w:val="ac"/>
        <w:widowControl w:val="0"/>
        <w:tabs>
          <w:tab w:val="left" w:pos="714"/>
        </w:tabs>
        <w:topLinePunct/>
        <w:adjustRightInd/>
        <w:ind w:left="400"/>
        <w:jc w:val="both"/>
        <w:rPr>
          <w:sz w:val="24"/>
          <w:szCs w:val="24"/>
        </w:rPr>
      </w:pPr>
    </w:p>
    <w:p w14:paraId="2D2A6DF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Other cases and decisions of this board were cited by the Commissioner. However, these all turned on their facts.  </w:t>
      </w:r>
    </w:p>
    <w:p w14:paraId="4FCA7D7E" w14:textId="77777777" w:rsidR="00532DEA" w:rsidRPr="00283879" w:rsidRDefault="00532DEA" w:rsidP="00337A09">
      <w:pPr>
        <w:widowControl w:val="0"/>
        <w:tabs>
          <w:tab w:val="left" w:pos="714"/>
        </w:tabs>
        <w:topLinePunct/>
        <w:adjustRightInd/>
        <w:jc w:val="both"/>
        <w:rPr>
          <w:sz w:val="24"/>
          <w:szCs w:val="24"/>
        </w:rPr>
      </w:pPr>
    </w:p>
    <w:p w14:paraId="263D2AE9" w14:textId="71DA9709"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rPr>
        <w:t>At the hearing</w:t>
      </w:r>
      <w:r w:rsidR="00FF0CC4" w:rsidRPr="00283879">
        <w:rPr>
          <w:sz w:val="24"/>
          <w:szCs w:val="24"/>
        </w:rPr>
        <w:t>,</w:t>
      </w:r>
      <w:r w:rsidRPr="00283879">
        <w:rPr>
          <w:sz w:val="24"/>
          <w:szCs w:val="24"/>
        </w:rPr>
        <w:t xml:space="preserve"> the Appellant also made a brief reference to </w:t>
      </w:r>
      <w:r w:rsidRPr="00283879">
        <w:rPr>
          <w:iCs/>
          <w:sz w:val="24"/>
          <w:szCs w:val="24"/>
          <w:u w:val="single"/>
          <w:lang w:val="en-US"/>
        </w:rPr>
        <w:t>Commissioner of Inland Revenue v Elliot, Stewart William George</w:t>
      </w:r>
      <w:r w:rsidRPr="00283879">
        <w:rPr>
          <w:sz w:val="24"/>
          <w:szCs w:val="24"/>
          <w:lang w:val="en-US"/>
        </w:rPr>
        <w:t xml:space="preserve"> </w:t>
      </w:r>
      <w:r w:rsidRPr="00283879">
        <w:rPr>
          <w:sz w:val="24"/>
          <w:szCs w:val="24"/>
        </w:rPr>
        <w:t>[2007] 1 HKLRD 297.  (In his Closing Submissions</w:t>
      </w:r>
      <w:r w:rsidR="007D3E9E" w:rsidRPr="00283879">
        <w:rPr>
          <w:sz w:val="24"/>
          <w:szCs w:val="24"/>
        </w:rPr>
        <w:t>,</w:t>
      </w:r>
      <w:r w:rsidRPr="00283879">
        <w:rPr>
          <w:sz w:val="24"/>
          <w:szCs w:val="24"/>
        </w:rPr>
        <w:t xml:space="preserve"> he made a further submission based on this case, which the Board has not allowed because it was a new ground of appeal.) In that case, the Court of Appeal held that a payment of US$11 million under a termination agreement to the taxpayer where in exchange the taxpayer gave up the rights to certain bonus units was not taxable. </w:t>
      </w:r>
    </w:p>
    <w:p w14:paraId="13A3E1D9" w14:textId="77777777" w:rsidR="00532DEA" w:rsidRPr="00283879" w:rsidRDefault="00532DEA" w:rsidP="00337A09">
      <w:pPr>
        <w:widowControl w:val="0"/>
        <w:tabs>
          <w:tab w:val="left" w:pos="714"/>
        </w:tabs>
        <w:topLinePunct/>
        <w:adjustRightInd/>
        <w:jc w:val="both"/>
        <w:rPr>
          <w:sz w:val="24"/>
          <w:szCs w:val="24"/>
          <w:lang w:val="en-US"/>
        </w:rPr>
      </w:pPr>
    </w:p>
    <w:p w14:paraId="111BF3F6" w14:textId="77777777" w:rsidR="00532DEA" w:rsidRPr="00283879" w:rsidRDefault="00532DEA" w:rsidP="00337A09">
      <w:pPr>
        <w:widowControl w:val="0"/>
        <w:tabs>
          <w:tab w:val="left" w:pos="714"/>
        </w:tabs>
        <w:topLinePunct/>
        <w:adjustRightInd/>
        <w:jc w:val="both"/>
        <w:rPr>
          <w:b/>
          <w:bCs/>
          <w:sz w:val="24"/>
          <w:szCs w:val="24"/>
        </w:rPr>
      </w:pPr>
      <w:r w:rsidRPr="00283879">
        <w:rPr>
          <w:b/>
          <w:bCs/>
          <w:sz w:val="24"/>
          <w:szCs w:val="24"/>
        </w:rPr>
        <w:t>Consideration of the Appellant’s Grounds of Appeal</w:t>
      </w:r>
    </w:p>
    <w:p w14:paraId="786AEBB2" w14:textId="77777777" w:rsidR="00532DEA" w:rsidRPr="00283879" w:rsidRDefault="00532DEA" w:rsidP="00337A09">
      <w:pPr>
        <w:pStyle w:val="ac"/>
        <w:widowControl w:val="0"/>
        <w:topLinePunct/>
        <w:adjustRightInd/>
        <w:ind w:left="400"/>
        <w:jc w:val="both"/>
        <w:rPr>
          <w:sz w:val="24"/>
          <w:szCs w:val="24"/>
        </w:rPr>
      </w:pPr>
    </w:p>
    <w:p w14:paraId="38E108DF" w14:textId="53CF5E45"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Appellant’s principal ground of appeal is that the payment of the LTI Payout was an agreed termination payment of his </w:t>
      </w:r>
      <w:r w:rsidR="00FD2384" w:rsidRPr="00283879">
        <w:rPr>
          <w:sz w:val="24"/>
          <w:szCs w:val="24"/>
        </w:rPr>
        <w:t>Company A</w:t>
      </w:r>
      <w:r w:rsidRPr="00283879">
        <w:rPr>
          <w:sz w:val="24"/>
          <w:szCs w:val="24"/>
        </w:rPr>
        <w:t xml:space="preserve"> Contact and not his </w:t>
      </w:r>
      <w:r w:rsidR="0055337C" w:rsidRPr="00283879">
        <w:rPr>
          <w:sz w:val="24"/>
          <w:szCs w:val="24"/>
        </w:rPr>
        <w:t>Company H</w:t>
      </w:r>
      <w:r w:rsidRPr="00283879">
        <w:rPr>
          <w:sz w:val="24"/>
          <w:szCs w:val="24"/>
        </w:rPr>
        <w:t xml:space="preserve"> Contract.  </w:t>
      </w:r>
      <w:r w:rsidR="000B6BC9" w:rsidRPr="00283879">
        <w:rPr>
          <w:sz w:val="24"/>
          <w:szCs w:val="24"/>
        </w:rPr>
        <w:t xml:space="preserve">(‘Termination Payment’) </w:t>
      </w:r>
      <w:r w:rsidR="00FD2384" w:rsidRPr="00283879">
        <w:rPr>
          <w:sz w:val="24"/>
          <w:szCs w:val="24"/>
        </w:rPr>
        <w:t>Company A</w:t>
      </w:r>
      <w:r w:rsidRPr="00283879">
        <w:rPr>
          <w:sz w:val="24"/>
          <w:szCs w:val="24"/>
        </w:rPr>
        <w:t xml:space="preserve"> had said that they would offer him another position but had not done so.  There had then been negotiations to terminate the contract and the parties had reached the Termination Agreement. </w:t>
      </w:r>
    </w:p>
    <w:p w14:paraId="2C1E1A92" w14:textId="77777777" w:rsidR="00532DEA" w:rsidRPr="00283879" w:rsidRDefault="00532DEA" w:rsidP="00337A09">
      <w:pPr>
        <w:pStyle w:val="ac"/>
        <w:widowControl w:val="0"/>
        <w:tabs>
          <w:tab w:val="left" w:pos="714"/>
        </w:tabs>
        <w:topLinePunct/>
        <w:adjustRightInd/>
        <w:ind w:left="400"/>
        <w:jc w:val="both"/>
        <w:rPr>
          <w:sz w:val="24"/>
          <w:szCs w:val="24"/>
        </w:rPr>
      </w:pPr>
    </w:p>
    <w:p w14:paraId="19EE186D" w14:textId="7F9C55FF"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Appellant submitted that the reason for referring back to the CC LTI to calculate the Termination Payment was that he </w:t>
      </w:r>
      <w:r w:rsidR="00F13A0F" w:rsidRPr="00283879">
        <w:rPr>
          <w:sz w:val="24"/>
          <w:szCs w:val="24"/>
        </w:rPr>
        <w:t>‘</w:t>
      </w:r>
      <w:r w:rsidRPr="00283879">
        <w:rPr>
          <w:sz w:val="24"/>
          <w:szCs w:val="24"/>
        </w:rPr>
        <w:t>preferred an alignment of settlement payment and economic performance of the other party as a way to extract a higher settlement amount based on expected value considerations. As such, rather than a smaller fixed lump sum payment [he] agreed to a higher expected value Termination Payment based on the economic performance of the other settlement party.</w:t>
      </w:r>
      <w:r w:rsidR="00F13A0F" w:rsidRPr="00283879">
        <w:rPr>
          <w:sz w:val="24"/>
          <w:szCs w:val="24"/>
        </w:rPr>
        <w:t>’</w:t>
      </w:r>
    </w:p>
    <w:p w14:paraId="5E2BC8B7" w14:textId="77777777" w:rsidR="00532DEA" w:rsidRPr="00283879" w:rsidRDefault="00532DEA" w:rsidP="00337A09">
      <w:pPr>
        <w:pStyle w:val="ac"/>
        <w:widowControl w:val="0"/>
        <w:topLinePunct/>
        <w:adjustRightInd/>
        <w:ind w:left="400"/>
        <w:jc w:val="both"/>
        <w:rPr>
          <w:sz w:val="24"/>
          <w:szCs w:val="24"/>
        </w:rPr>
      </w:pPr>
    </w:p>
    <w:p w14:paraId="50BFFA62" w14:textId="3A0C131B"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In </w:t>
      </w:r>
      <w:r w:rsidR="000B24C5" w:rsidRPr="00283879">
        <w:rPr>
          <w:sz w:val="24"/>
          <w:szCs w:val="24"/>
        </w:rPr>
        <w:t>p</w:t>
      </w:r>
      <w:r w:rsidR="005A3B43" w:rsidRPr="00283879">
        <w:rPr>
          <w:sz w:val="24"/>
          <w:szCs w:val="24"/>
        </w:rPr>
        <w:t>aragraph</w:t>
      </w:r>
      <w:r w:rsidRPr="00283879">
        <w:rPr>
          <w:sz w:val="24"/>
          <w:szCs w:val="24"/>
        </w:rPr>
        <w:t xml:space="preserve">s 6 and 15 of his Notice of Appeal the Appellant stated that the Termination Payment was based on the future performance of </w:t>
      </w:r>
      <w:r w:rsidR="007A48B2" w:rsidRPr="00283879">
        <w:rPr>
          <w:sz w:val="24"/>
          <w:szCs w:val="24"/>
        </w:rPr>
        <w:t xml:space="preserve">CC </w:t>
      </w:r>
      <w:r w:rsidRPr="00283879">
        <w:rPr>
          <w:sz w:val="24"/>
          <w:szCs w:val="24"/>
        </w:rPr>
        <w:t>C</w:t>
      </w:r>
      <w:r w:rsidR="007C3AF3" w:rsidRPr="00283879">
        <w:rPr>
          <w:sz w:val="24"/>
          <w:szCs w:val="24"/>
        </w:rPr>
        <w:t>HINA</w:t>
      </w:r>
      <w:r w:rsidRPr="00283879">
        <w:rPr>
          <w:sz w:val="24"/>
          <w:szCs w:val="24"/>
        </w:rPr>
        <w:t xml:space="preserve">. The reason the CC LTI plan was referred to was that it did not make sense to re-invent the wheel to develop a bespoke method of calculation.  The CC LTI plan was administered by a third party (EY) and was therefore neutral and not open to be manipulated.  The agreement to use the CC LTI plan had the benefits of low administration costs for </w:t>
      </w:r>
      <w:r w:rsidR="001B02AE" w:rsidRPr="00283879">
        <w:rPr>
          <w:sz w:val="24"/>
          <w:szCs w:val="24"/>
        </w:rPr>
        <w:t>Company A</w:t>
      </w:r>
      <w:r w:rsidRPr="00283879">
        <w:rPr>
          <w:sz w:val="24"/>
          <w:szCs w:val="24"/>
        </w:rPr>
        <w:t xml:space="preserve"> and certainty for the Appellant that the calculations were neutral. </w:t>
      </w:r>
    </w:p>
    <w:p w14:paraId="6FF55CA3" w14:textId="77777777" w:rsidR="00532DEA" w:rsidRPr="00283879" w:rsidRDefault="00532DEA" w:rsidP="00337A09">
      <w:pPr>
        <w:pStyle w:val="ac"/>
        <w:widowControl w:val="0"/>
        <w:topLinePunct/>
        <w:adjustRightInd/>
        <w:ind w:left="400"/>
        <w:jc w:val="both"/>
        <w:rPr>
          <w:sz w:val="24"/>
          <w:szCs w:val="24"/>
        </w:rPr>
      </w:pPr>
    </w:p>
    <w:p w14:paraId="32EFCDA8"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Appellant further submitted that the Termination Agreement includes settlement and waiver and a non-disparagement clause which was not present in the </w:t>
      </w:r>
      <w:r w:rsidR="00FD2384" w:rsidRPr="00283879">
        <w:rPr>
          <w:sz w:val="24"/>
          <w:szCs w:val="24"/>
        </w:rPr>
        <w:t>Company A</w:t>
      </w:r>
      <w:r w:rsidRPr="00283879">
        <w:rPr>
          <w:sz w:val="24"/>
          <w:szCs w:val="24"/>
        </w:rPr>
        <w:t xml:space="preserve"> Contract.  There was therefore an additional restriction imposed on him by the Termination Agreement. </w:t>
      </w:r>
    </w:p>
    <w:p w14:paraId="34B163FF" w14:textId="77777777" w:rsidR="00532DEA" w:rsidRPr="00283879" w:rsidRDefault="00532DEA" w:rsidP="00337A09">
      <w:pPr>
        <w:widowControl w:val="0"/>
        <w:tabs>
          <w:tab w:val="left" w:pos="714"/>
        </w:tabs>
        <w:topLinePunct/>
        <w:adjustRightInd/>
        <w:jc w:val="both"/>
        <w:rPr>
          <w:sz w:val="24"/>
          <w:szCs w:val="24"/>
        </w:rPr>
      </w:pPr>
    </w:p>
    <w:p w14:paraId="14560FCC" w14:textId="58021604" w:rsidR="00532DEA" w:rsidRPr="00283879" w:rsidRDefault="00532DEA" w:rsidP="00DE4E78">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There is evidence in a letter from EY to the Commissioner dated 29 June 2021 that </w:t>
      </w:r>
      <w:r w:rsidR="00FD2384" w:rsidRPr="00283879">
        <w:rPr>
          <w:sz w:val="24"/>
          <w:szCs w:val="24"/>
        </w:rPr>
        <w:t>Company A</w:t>
      </w:r>
      <w:r w:rsidRPr="00283879">
        <w:rPr>
          <w:sz w:val="24"/>
          <w:szCs w:val="24"/>
        </w:rPr>
        <w:t xml:space="preserve"> tried to identify a job opportunity for him within the group.  The letter states no opportunity could be identified and there were then discussions with the Appellant over the official termination of the </w:t>
      </w:r>
      <w:r w:rsidR="00FD2384" w:rsidRPr="00283879">
        <w:rPr>
          <w:sz w:val="24"/>
          <w:szCs w:val="24"/>
        </w:rPr>
        <w:t>Company A</w:t>
      </w:r>
      <w:r w:rsidRPr="00283879">
        <w:rPr>
          <w:sz w:val="24"/>
          <w:szCs w:val="24"/>
        </w:rPr>
        <w:t xml:space="preserve"> Contract.  </w:t>
      </w:r>
      <w:r w:rsidR="001B02AE" w:rsidRPr="00283879">
        <w:rPr>
          <w:sz w:val="24"/>
          <w:szCs w:val="24"/>
        </w:rPr>
        <w:t>Company A</w:t>
      </w:r>
      <w:r w:rsidRPr="00283879">
        <w:rPr>
          <w:sz w:val="24"/>
          <w:szCs w:val="24"/>
        </w:rPr>
        <w:t xml:space="preserve"> and the Appellant negotiated and agreed the Termination Agreement. EY stated that the payment was discretionary and on top of what </w:t>
      </w:r>
      <w:r w:rsidR="0055337C" w:rsidRPr="00283879">
        <w:rPr>
          <w:sz w:val="24"/>
          <w:szCs w:val="24"/>
        </w:rPr>
        <w:t>Company H</w:t>
      </w:r>
      <w:r w:rsidRPr="00283879">
        <w:rPr>
          <w:sz w:val="24"/>
          <w:szCs w:val="24"/>
        </w:rPr>
        <w:t xml:space="preserve"> or </w:t>
      </w:r>
      <w:r w:rsidR="001B02AE" w:rsidRPr="00283879">
        <w:rPr>
          <w:sz w:val="24"/>
          <w:szCs w:val="24"/>
        </w:rPr>
        <w:t>Company A</w:t>
      </w:r>
      <w:r w:rsidRPr="00283879">
        <w:rPr>
          <w:sz w:val="24"/>
          <w:szCs w:val="24"/>
        </w:rPr>
        <w:t xml:space="preserve"> were obliged to pay.</w:t>
      </w:r>
    </w:p>
    <w:p w14:paraId="44A8B6A3" w14:textId="77777777" w:rsidR="00F45AD3" w:rsidRPr="00283879" w:rsidRDefault="00F45AD3" w:rsidP="00337A09">
      <w:pPr>
        <w:pStyle w:val="ac"/>
        <w:widowControl w:val="0"/>
        <w:topLinePunct/>
        <w:adjustRightInd/>
        <w:ind w:left="400"/>
        <w:jc w:val="both"/>
        <w:rPr>
          <w:sz w:val="24"/>
          <w:szCs w:val="24"/>
        </w:rPr>
      </w:pPr>
    </w:p>
    <w:p w14:paraId="17736788"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EY also stated in the same letter that neither of </w:t>
      </w:r>
      <w:r w:rsidR="0055337C" w:rsidRPr="00283879">
        <w:rPr>
          <w:sz w:val="24"/>
          <w:szCs w:val="24"/>
        </w:rPr>
        <w:t>Company H</w:t>
      </w:r>
      <w:r w:rsidRPr="00283879">
        <w:rPr>
          <w:sz w:val="24"/>
          <w:szCs w:val="24"/>
        </w:rPr>
        <w:t xml:space="preserve"> nor </w:t>
      </w:r>
      <w:r w:rsidR="001B02AE" w:rsidRPr="00283879">
        <w:rPr>
          <w:sz w:val="24"/>
          <w:szCs w:val="24"/>
        </w:rPr>
        <w:t>Company A</w:t>
      </w:r>
      <w:r w:rsidRPr="00283879">
        <w:rPr>
          <w:sz w:val="24"/>
          <w:szCs w:val="24"/>
        </w:rPr>
        <w:t xml:space="preserve"> were in breach of any terms of the original employment contract with the Appellant. The Board does not place much weight on this latter statement in itself because, as the Appellant submitted, they are unlikely to admit any breach.  Nor was this a matter which EY would necessarily have knowledge of. </w:t>
      </w:r>
    </w:p>
    <w:p w14:paraId="4157777E" w14:textId="77777777" w:rsidR="00532DEA" w:rsidRPr="00283879" w:rsidRDefault="00532DEA" w:rsidP="00337A09">
      <w:pPr>
        <w:widowControl w:val="0"/>
        <w:tabs>
          <w:tab w:val="left" w:pos="714"/>
        </w:tabs>
        <w:topLinePunct/>
        <w:adjustRightInd/>
        <w:jc w:val="both"/>
        <w:rPr>
          <w:sz w:val="24"/>
          <w:szCs w:val="24"/>
        </w:rPr>
      </w:pPr>
    </w:p>
    <w:p w14:paraId="538FE142" w14:textId="77777777" w:rsidR="00532DEA" w:rsidRPr="00283879" w:rsidRDefault="00532DEA" w:rsidP="00337A09">
      <w:pPr>
        <w:widowControl w:val="0"/>
        <w:tabs>
          <w:tab w:val="left" w:pos="714"/>
        </w:tabs>
        <w:topLinePunct/>
        <w:adjustRightInd/>
        <w:jc w:val="both"/>
        <w:rPr>
          <w:b/>
          <w:bCs/>
          <w:i/>
          <w:sz w:val="24"/>
          <w:szCs w:val="24"/>
        </w:rPr>
      </w:pPr>
      <w:r w:rsidRPr="00283879">
        <w:rPr>
          <w:b/>
          <w:bCs/>
          <w:i/>
          <w:sz w:val="24"/>
          <w:szCs w:val="24"/>
        </w:rPr>
        <w:t>Consideration by the Board</w:t>
      </w:r>
    </w:p>
    <w:p w14:paraId="51C17B90" w14:textId="77777777" w:rsidR="00532DEA" w:rsidRPr="00283879" w:rsidRDefault="00532DEA" w:rsidP="00337A09">
      <w:pPr>
        <w:pStyle w:val="ac"/>
        <w:widowControl w:val="0"/>
        <w:topLinePunct/>
        <w:adjustRightInd/>
        <w:ind w:left="400"/>
        <w:jc w:val="both"/>
        <w:rPr>
          <w:sz w:val="24"/>
          <w:szCs w:val="24"/>
        </w:rPr>
      </w:pPr>
    </w:p>
    <w:p w14:paraId="06AE344F" w14:textId="5AF5952E"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The Board accepts that an employer may make a termination payment as part of a final termination agreement even if not directly related to the employee’s employment. This can be done for a number of reasons, including to achieve a peaceful departure and to agree additional terms, such as a non-disparagement clause.  For management level employees</w:t>
      </w:r>
      <w:r w:rsidR="007670E9" w:rsidRPr="00283879">
        <w:rPr>
          <w:sz w:val="24"/>
          <w:szCs w:val="24"/>
        </w:rPr>
        <w:t>,</w:t>
      </w:r>
      <w:r w:rsidRPr="00283879">
        <w:rPr>
          <w:sz w:val="24"/>
          <w:szCs w:val="24"/>
        </w:rPr>
        <w:t xml:space="preserve"> these discussions may well not include any overt threat of legal action. </w:t>
      </w:r>
    </w:p>
    <w:p w14:paraId="64196AE0" w14:textId="77777777" w:rsidR="00532DEA" w:rsidRPr="00283879" w:rsidRDefault="00532DEA" w:rsidP="00337A09">
      <w:pPr>
        <w:pStyle w:val="ac"/>
        <w:widowControl w:val="0"/>
        <w:topLinePunct/>
        <w:adjustRightInd/>
        <w:ind w:left="400"/>
        <w:jc w:val="both"/>
        <w:rPr>
          <w:sz w:val="24"/>
          <w:szCs w:val="24"/>
        </w:rPr>
      </w:pPr>
    </w:p>
    <w:p w14:paraId="3E260BB6" w14:textId="18187D9B"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In this case, there is the additional feature, not present in the other cases cited by the Commissioner, that the Termination Agreement was dated almost a year after the Appellant left Hong Kong.  The Termination Agreement was also with a non-Hong Kong company and governed by</w:t>
      </w:r>
      <w:r w:rsidR="00DA7C7E" w:rsidRPr="00283879">
        <w:rPr>
          <w:sz w:val="24"/>
          <w:szCs w:val="24"/>
        </w:rPr>
        <w:t xml:space="preserve"> the law of</w:t>
      </w:r>
      <w:r w:rsidRPr="00283879">
        <w:rPr>
          <w:sz w:val="24"/>
          <w:szCs w:val="24"/>
        </w:rPr>
        <w:t xml:space="preserve"> </w:t>
      </w:r>
      <w:r w:rsidR="00130E36" w:rsidRPr="00283879">
        <w:rPr>
          <w:sz w:val="24"/>
          <w:szCs w:val="24"/>
        </w:rPr>
        <w:t>Country G</w:t>
      </w:r>
      <w:r w:rsidRPr="00283879">
        <w:rPr>
          <w:sz w:val="24"/>
          <w:szCs w:val="24"/>
        </w:rPr>
        <w:t xml:space="preserve">. </w:t>
      </w:r>
    </w:p>
    <w:p w14:paraId="549C1404" w14:textId="77777777" w:rsidR="00532DEA" w:rsidRPr="00283879" w:rsidRDefault="00532DEA" w:rsidP="00337A09">
      <w:pPr>
        <w:pStyle w:val="ac"/>
        <w:widowControl w:val="0"/>
        <w:topLinePunct/>
        <w:adjustRightInd/>
        <w:ind w:left="400"/>
        <w:jc w:val="both"/>
        <w:rPr>
          <w:sz w:val="24"/>
          <w:szCs w:val="24"/>
        </w:rPr>
      </w:pPr>
    </w:p>
    <w:p w14:paraId="02B8C190"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All of the above factors are all in favour of the Appellant’s case that the Termination Payment should not be taxable in Hong Kong.  </w:t>
      </w:r>
    </w:p>
    <w:p w14:paraId="04E65834" w14:textId="77777777" w:rsidR="00532DEA" w:rsidRPr="00283879" w:rsidRDefault="00532DEA" w:rsidP="00337A09">
      <w:pPr>
        <w:pStyle w:val="ac"/>
        <w:widowControl w:val="0"/>
        <w:topLinePunct/>
        <w:adjustRightInd/>
        <w:ind w:left="400"/>
        <w:jc w:val="both"/>
        <w:rPr>
          <w:sz w:val="24"/>
          <w:szCs w:val="24"/>
        </w:rPr>
      </w:pPr>
    </w:p>
    <w:p w14:paraId="13D280C9" w14:textId="390C3155"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However, the question this Board has to ask itself under </w:t>
      </w:r>
      <w:r w:rsidR="00871A11" w:rsidRPr="00283879">
        <w:rPr>
          <w:sz w:val="24"/>
          <w:szCs w:val="24"/>
        </w:rPr>
        <w:t xml:space="preserve">Section </w:t>
      </w:r>
      <w:r w:rsidRPr="00283879">
        <w:rPr>
          <w:sz w:val="24"/>
          <w:szCs w:val="24"/>
        </w:rPr>
        <w:t xml:space="preserve">8 of the Ordinance is: was the Termination Payment </w:t>
      </w:r>
      <w:r w:rsidR="00F13A0F" w:rsidRPr="00283879">
        <w:rPr>
          <w:i/>
          <w:sz w:val="24"/>
          <w:szCs w:val="24"/>
        </w:rPr>
        <w:t>‘</w:t>
      </w:r>
      <w:r w:rsidRPr="00283879">
        <w:rPr>
          <w:i/>
          <w:sz w:val="24"/>
          <w:szCs w:val="24"/>
        </w:rPr>
        <w:t>income arising in or derived from Hong Kong from … any office or employment of profit</w:t>
      </w:r>
      <w:r w:rsidR="00F13A0F" w:rsidRPr="00283879">
        <w:rPr>
          <w:i/>
          <w:sz w:val="24"/>
          <w:szCs w:val="24"/>
        </w:rPr>
        <w:t>’</w:t>
      </w:r>
      <w:r w:rsidRPr="00283879">
        <w:rPr>
          <w:sz w:val="24"/>
          <w:szCs w:val="24"/>
        </w:rPr>
        <w:t xml:space="preserve"> or, was it </w:t>
      </w:r>
      <w:r w:rsidR="003E2EF9" w:rsidRPr="00283879">
        <w:rPr>
          <w:sz w:val="24"/>
          <w:szCs w:val="24"/>
        </w:rPr>
        <w:t>as</w:t>
      </w:r>
      <w:r w:rsidRPr="00283879">
        <w:rPr>
          <w:sz w:val="24"/>
          <w:szCs w:val="24"/>
        </w:rPr>
        <w:t xml:space="preserve"> the Court of Final Appeal put it in </w:t>
      </w:r>
      <w:r w:rsidRPr="00283879">
        <w:rPr>
          <w:iCs/>
          <w:sz w:val="24"/>
          <w:szCs w:val="24"/>
          <w:u w:val="single"/>
        </w:rPr>
        <w:t>Fuchs</w:t>
      </w:r>
      <w:r w:rsidRPr="00283879">
        <w:rPr>
          <w:sz w:val="24"/>
          <w:szCs w:val="24"/>
          <w:u w:val="single"/>
        </w:rPr>
        <w:t>,</w:t>
      </w:r>
      <w:r w:rsidRPr="00283879">
        <w:rPr>
          <w:sz w:val="24"/>
          <w:szCs w:val="24"/>
        </w:rPr>
        <w:t xml:space="preserve"> </w:t>
      </w:r>
      <w:r w:rsidR="00F13A0F" w:rsidRPr="00283879">
        <w:rPr>
          <w:i/>
          <w:sz w:val="24"/>
          <w:szCs w:val="24"/>
        </w:rPr>
        <w:t>‘</w:t>
      </w:r>
      <w:r w:rsidRPr="00283879">
        <w:rPr>
          <w:i/>
          <w:sz w:val="24"/>
          <w:szCs w:val="24"/>
        </w:rPr>
        <w:t>for something else</w:t>
      </w:r>
      <w:r w:rsidR="00F13A0F" w:rsidRPr="00283879">
        <w:rPr>
          <w:i/>
          <w:sz w:val="24"/>
          <w:szCs w:val="24"/>
        </w:rPr>
        <w:t>’</w:t>
      </w:r>
      <w:r w:rsidRPr="00283879">
        <w:rPr>
          <w:sz w:val="24"/>
          <w:szCs w:val="24"/>
        </w:rPr>
        <w:t>?</w:t>
      </w:r>
    </w:p>
    <w:p w14:paraId="0DA36AD7" w14:textId="77777777" w:rsidR="00532DEA" w:rsidRPr="00283879" w:rsidRDefault="00532DEA" w:rsidP="00337A09">
      <w:pPr>
        <w:pStyle w:val="ac"/>
        <w:widowControl w:val="0"/>
        <w:topLinePunct/>
        <w:adjustRightInd/>
        <w:ind w:left="400"/>
        <w:jc w:val="both"/>
        <w:rPr>
          <w:sz w:val="24"/>
          <w:szCs w:val="24"/>
        </w:rPr>
      </w:pPr>
    </w:p>
    <w:p w14:paraId="51467DCD"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fact the Termination Payment was paid by </w:t>
      </w:r>
      <w:r w:rsidR="00FD2384" w:rsidRPr="00283879">
        <w:rPr>
          <w:sz w:val="24"/>
          <w:szCs w:val="24"/>
        </w:rPr>
        <w:t>Company A</w:t>
      </w:r>
      <w:r w:rsidRPr="00283879">
        <w:rPr>
          <w:sz w:val="24"/>
          <w:szCs w:val="24"/>
        </w:rPr>
        <w:t xml:space="preserve"> is not a directly relevant factor because </w:t>
      </w:r>
      <w:r w:rsidR="00871A11" w:rsidRPr="00283879">
        <w:rPr>
          <w:sz w:val="24"/>
          <w:szCs w:val="24"/>
        </w:rPr>
        <w:t xml:space="preserve">Section </w:t>
      </w:r>
      <w:r w:rsidRPr="00283879">
        <w:rPr>
          <w:sz w:val="24"/>
          <w:szCs w:val="24"/>
        </w:rPr>
        <w:t xml:space="preserve">9 makes it clear that the payments may come from others.  </w:t>
      </w:r>
    </w:p>
    <w:p w14:paraId="185512CE" w14:textId="77777777" w:rsidR="00532DEA" w:rsidRPr="00283879" w:rsidRDefault="00532DEA" w:rsidP="00337A09">
      <w:pPr>
        <w:pStyle w:val="ac"/>
        <w:widowControl w:val="0"/>
        <w:topLinePunct/>
        <w:adjustRightInd/>
        <w:ind w:left="400"/>
        <w:jc w:val="both"/>
        <w:rPr>
          <w:sz w:val="24"/>
          <w:szCs w:val="24"/>
        </w:rPr>
      </w:pPr>
    </w:p>
    <w:p w14:paraId="12BF253B"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starting point for consideration is the terms of the Termination Agreement itself.  </w:t>
      </w:r>
    </w:p>
    <w:p w14:paraId="4A040B58" w14:textId="77777777" w:rsidR="00532DEA" w:rsidRPr="00283879" w:rsidRDefault="00532DEA" w:rsidP="00337A09">
      <w:pPr>
        <w:pStyle w:val="ac"/>
        <w:widowControl w:val="0"/>
        <w:topLinePunct/>
        <w:adjustRightInd/>
        <w:ind w:left="400"/>
        <w:jc w:val="both"/>
        <w:rPr>
          <w:sz w:val="24"/>
          <w:szCs w:val="24"/>
        </w:rPr>
      </w:pPr>
    </w:p>
    <w:p w14:paraId="183410A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Clause 14 of the Termination Agreement specifically states that the Termination Agreement </w:t>
      </w:r>
      <w:r w:rsidR="00F13A0F" w:rsidRPr="00283879">
        <w:rPr>
          <w:sz w:val="24"/>
          <w:szCs w:val="24"/>
        </w:rPr>
        <w:t>‘</w:t>
      </w:r>
      <w:r w:rsidRPr="00283879">
        <w:rPr>
          <w:sz w:val="24"/>
          <w:szCs w:val="24"/>
        </w:rPr>
        <w:t>contains the entire understanding of the Parties with respect to the subject matter hereof.</w:t>
      </w:r>
      <w:r w:rsidR="00F13A0F" w:rsidRPr="00283879">
        <w:rPr>
          <w:sz w:val="24"/>
          <w:szCs w:val="24"/>
        </w:rPr>
        <w:t>’</w:t>
      </w:r>
      <w:r w:rsidRPr="00283879">
        <w:rPr>
          <w:sz w:val="24"/>
          <w:szCs w:val="24"/>
        </w:rPr>
        <w:t xml:space="preserve">  The parties have therefore agreed that the Agreement sets out the terms which have been agreed by them. </w:t>
      </w:r>
    </w:p>
    <w:p w14:paraId="2070914B" w14:textId="77777777" w:rsidR="00532DEA" w:rsidRPr="00283879" w:rsidRDefault="00532DEA" w:rsidP="00337A09">
      <w:pPr>
        <w:pStyle w:val="ac"/>
        <w:widowControl w:val="0"/>
        <w:topLinePunct/>
        <w:adjustRightInd/>
        <w:ind w:left="400"/>
        <w:jc w:val="both"/>
        <w:rPr>
          <w:sz w:val="24"/>
          <w:szCs w:val="24"/>
        </w:rPr>
      </w:pPr>
    </w:p>
    <w:p w14:paraId="1982B8EC"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Clause 2 of the Termination Agreement provides (with emphasis added):</w:t>
      </w:r>
    </w:p>
    <w:p w14:paraId="46FD04EF" w14:textId="77777777" w:rsidR="00532DEA" w:rsidRPr="00283879" w:rsidRDefault="00532DEA" w:rsidP="00337A09">
      <w:pPr>
        <w:pStyle w:val="ac"/>
        <w:widowControl w:val="0"/>
        <w:topLinePunct/>
        <w:adjustRightInd/>
        <w:ind w:left="400"/>
        <w:jc w:val="both"/>
        <w:rPr>
          <w:sz w:val="24"/>
          <w:szCs w:val="24"/>
        </w:rPr>
      </w:pPr>
    </w:p>
    <w:p w14:paraId="73B31E70" w14:textId="5693EFCD" w:rsidR="00532DEA" w:rsidRPr="00283879" w:rsidRDefault="00F13A0F" w:rsidP="00F1519D">
      <w:pPr>
        <w:pStyle w:val="ac"/>
        <w:widowControl w:val="0"/>
        <w:topLinePunct/>
        <w:adjustRightInd/>
        <w:ind w:leftChars="780" w:left="1560"/>
        <w:jc w:val="both"/>
        <w:rPr>
          <w:sz w:val="24"/>
          <w:szCs w:val="24"/>
        </w:rPr>
      </w:pPr>
      <w:r w:rsidRPr="00283879">
        <w:rPr>
          <w:sz w:val="24"/>
          <w:szCs w:val="24"/>
        </w:rPr>
        <w:t>‘</w:t>
      </w:r>
      <w:r w:rsidR="00532DEA" w:rsidRPr="00283879">
        <w:rPr>
          <w:sz w:val="24"/>
          <w:szCs w:val="24"/>
        </w:rPr>
        <w:t xml:space="preserve">In </w:t>
      </w:r>
      <w:r w:rsidR="00532DEA" w:rsidRPr="00283879">
        <w:rPr>
          <w:b/>
          <w:bCs/>
          <w:sz w:val="24"/>
          <w:szCs w:val="24"/>
        </w:rPr>
        <w:t>deviation</w:t>
      </w:r>
      <w:r w:rsidR="00532DEA" w:rsidRPr="00283879">
        <w:rPr>
          <w:sz w:val="24"/>
          <w:szCs w:val="24"/>
        </w:rPr>
        <w:t xml:space="preserve"> from the plan conditions of the CC LT</w:t>
      </w:r>
      <w:r w:rsidR="008D13EF" w:rsidRPr="00283879">
        <w:rPr>
          <w:sz w:val="24"/>
          <w:szCs w:val="24"/>
        </w:rPr>
        <w:t>I</w:t>
      </w:r>
      <w:r w:rsidR="00532DEA" w:rsidRPr="00283879">
        <w:rPr>
          <w:sz w:val="24"/>
          <w:szCs w:val="24"/>
        </w:rPr>
        <w:t xml:space="preserve">, </w:t>
      </w:r>
      <w:r w:rsidR="00532DEA" w:rsidRPr="00283879">
        <w:rPr>
          <w:b/>
          <w:bCs/>
          <w:sz w:val="24"/>
          <w:szCs w:val="24"/>
        </w:rPr>
        <w:t>the payment entitlement from the plan does not expire upon conclusion of this termination agreement</w:t>
      </w:r>
      <w:r w:rsidR="00532DEA" w:rsidRPr="00283879">
        <w:rPr>
          <w:sz w:val="24"/>
          <w:szCs w:val="24"/>
        </w:rPr>
        <w:t xml:space="preserve">. </w:t>
      </w:r>
      <w:r w:rsidR="00532DEA" w:rsidRPr="00283879">
        <w:rPr>
          <w:b/>
          <w:bCs/>
          <w:sz w:val="24"/>
          <w:szCs w:val="24"/>
        </w:rPr>
        <w:t>You remain entitled to payment</w:t>
      </w:r>
      <w:r w:rsidR="00532DEA" w:rsidRPr="00283879">
        <w:rPr>
          <w:sz w:val="24"/>
          <w:szCs w:val="24"/>
        </w:rPr>
        <w:t xml:space="preserve"> with the target amount of </w:t>
      </w:r>
      <w:r w:rsidR="001916DF" w:rsidRPr="00283879">
        <w:rPr>
          <w:sz w:val="24"/>
          <w:szCs w:val="24"/>
        </w:rPr>
        <w:t xml:space="preserve">EUR </w:t>
      </w:r>
      <w:r w:rsidR="00532DEA" w:rsidRPr="00283879">
        <w:rPr>
          <w:sz w:val="24"/>
          <w:szCs w:val="24"/>
        </w:rPr>
        <w:t>44,444.44</w:t>
      </w:r>
      <w:r w:rsidR="00532DEA" w:rsidRPr="00283879">
        <w:rPr>
          <w:b/>
          <w:bCs/>
          <w:sz w:val="24"/>
          <w:szCs w:val="24"/>
        </w:rPr>
        <w:t xml:space="preserve"> accumulated up to the exemption date (30 November 2017</w:t>
      </w:r>
      <w:r w:rsidR="00532DEA" w:rsidRPr="00283879">
        <w:rPr>
          <w:sz w:val="24"/>
          <w:szCs w:val="24"/>
        </w:rPr>
        <w:t xml:space="preserve">). Payment will be made in accordance with the plan conditions after the plan term of the </w:t>
      </w:r>
      <w:r w:rsidR="00783B83" w:rsidRPr="00283879">
        <w:rPr>
          <w:sz w:val="24"/>
          <w:szCs w:val="24"/>
        </w:rPr>
        <w:t xml:space="preserve">Company </w:t>
      </w:r>
      <w:proofErr w:type="gramStart"/>
      <w:r w:rsidR="00783B83" w:rsidRPr="00283879">
        <w:rPr>
          <w:sz w:val="24"/>
          <w:szCs w:val="24"/>
        </w:rPr>
        <w:t>A</w:t>
      </w:r>
      <w:proofErr w:type="gramEnd"/>
      <w:r w:rsidR="00532DEA" w:rsidRPr="00283879">
        <w:rPr>
          <w:sz w:val="24"/>
          <w:szCs w:val="24"/>
        </w:rPr>
        <w:t xml:space="preserve"> Long Term Incentive.</w:t>
      </w:r>
      <w:r w:rsidRPr="00283879">
        <w:rPr>
          <w:sz w:val="24"/>
          <w:szCs w:val="24"/>
        </w:rPr>
        <w:t>’</w:t>
      </w:r>
      <w:r w:rsidR="00532DEA" w:rsidRPr="00283879">
        <w:rPr>
          <w:sz w:val="24"/>
          <w:szCs w:val="24"/>
        </w:rPr>
        <w:t xml:space="preserve">  </w:t>
      </w:r>
    </w:p>
    <w:p w14:paraId="39A391D1" w14:textId="77777777" w:rsidR="00532DEA" w:rsidRPr="00283879" w:rsidRDefault="00532DEA" w:rsidP="00337A09">
      <w:pPr>
        <w:pStyle w:val="ac"/>
        <w:widowControl w:val="0"/>
        <w:topLinePunct/>
        <w:adjustRightInd/>
        <w:ind w:left="400"/>
        <w:jc w:val="both"/>
        <w:rPr>
          <w:sz w:val="24"/>
          <w:szCs w:val="24"/>
        </w:rPr>
      </w:pPr>
    </w:p>
    <w:p w14:paraId="531DE4C1"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The highlighted wording shows:</w:t>
      </w:r>
    </w:p>
    <w:p w14:paraId="3CDD942F" w14:textId="77777777" w:rsidR="00EB265E" w:rsidRPr="00283879" w:rsidRDefault="00EB265E" w:rsidP="00EB265E">
      <w:pPr>
        <w:pStyle w:val="ac"/>
        <w:widowControl w:val="0"/>
        <w:topLinePunct/>
        <w:adjustRightInd/>
        <w:ind w:leftChars="0" w:left="502"/>
        <w:jc w:val="both"/>
        <w:textAlignment w:val="auto"/>
        <w:rPr>
          <w:sz w:val="24"/>
          <w:szCs w:val="24"/>
        </w:rPr>
      </w:pPr>
    </w:p>
    <w:p w14:paraId="1B8AA146" w14:textId="04636E02" w:rsidR="00532DEA" w:rsidRPr="00283879" w:rsidRDefault="00532DEA" w:rsidP="009926CC">
      <w:pPr>
        <w:widowControl w:val="0"/>
        <w:topLinePunct/>
        <w:adjustRightInd/>
        <w:ind w:left="2127" w:hanging="567"/>
        <w:jc w:val="both"/>
        <w:rPr>
          <w:sz w:val="24"/>
          <w:szCs w:val="24"/>
        </w:rPr>
      </w:pPr>
      <w:r w:rsidRPr="00283879">
        <w:rPr>
          <w:sz w:val="24"/>
          <w:szCs w:val="24"/>
        </w:rPr>
        <w:t xml:space="preserve">(a) </w:t>
      </w:r>
      <w:r w:rsidRPr="00283879">
        <w:rPr>
          <w:sz w:val="24"/>
          <w:szCs w:val="24"/>
        </w:rPr>
        <w:tab/>
        <w:t>The payment was a deviation from the CC LTI plan conditions that he would lose his entitlement under the Termination Agreement;</w:t>
      </w:r>
    </w:p>
    <w:p w14:paraId="3059B7DF" w14:textId="77777777" w:rsidR="00EB265E" w:rsidRPr="00283879" w:rsidRDefault="00EB265E" w:rsidP="00EB265E">
      <w:pPr>
        <w:widowControl w:val="0"/>
        <w:topLinePunct/>
        <w:adjustRightInd/>
        <w:jc w:val="both"/>
        <w:rPr>
          <w:sz w:val="24"/>
          <w:szCs w:val="24"/>
        </w:rPr>
      </w:pPr>
    </w:p>
    <w:p w14:paraId="7CEFBDC0" w14:textId="77777777" w:rsidR="00532DEA" w:rsidRPr="00283879" w:rsidRDefault="00532DEA" w:rsidP="009926CC">
      <w:pPr>
        <w:widowControl w:val="0"/>
        <w:topLinePunct/>
        <w:adjustRightInd/>
        <w:ind w:left="2127" w:hanging="567"/>
        <w:jc w:val="both"/>
        <w:rPr>
          <w:sz w:val="24"/>
          <w:szCs w:val="24"/>
        </w:rPr>
      </w:pPr>
      <w:r w:rsidRPr="00283879">
        <w:rPr>
          <w:sz w:val="24"/>
          <w:szCs w:val="24"/>
        </w:rPr>
        <w:t>(b)</w:t>
      </w:r>
      <w:r w:rsidRPr="00283879">
        <w:rPr>
          <w:sz w:val="24"/>
          <w:szCs w:val="24"/>
        </w:rPr>
        <w:tab/>
        <w:t>The payment entitlement that had accrued (or accumulated) would not expire;</w:t>
      </w:r>
    </w:p>
    <w:p w14:paraId="144F637E" w14:textId="77777777" w:rsidR="00EB265E" w:rsidRPr="00283879" w:rsidRDefault="00EB265E" w:rsidP="00337A09">
      <w:pPr>
        <w:widowControl w:val="0"/>
        <w:topLinePunct/>
        <w:adjustRightInd/>
        <w:ind w:left="1134" w:hanging="567"/>
        <w:jc w:val="both"/>
        <w:rPr>
          <w:sz w:val="24"/>
          <w:szCs w:val="24"/>
        </w:rPr>
      </w:pPr>
    </w:p>
    <w:p w14:paraId="44A88C40" w14:textId="77777777" w:rsidR="00532DEA" w:rsidRPr="00283879" w:rsidRDefault="00532DEA" w:rsidP="009926CC">
      <w:pPr>
        <w:widowControl w:val="0"/>
        <w:topLinePunct/>
        <w:adjustRightInd/>
        <w:ind w:left="2127" w:hanging="567"/>
        <w:jc w:val="both"/>
        <w:rPr>
          <w:sz w:val="24"/>
          <w:szCs w:val="24"/>
        </w:rPr>
      </w:pPr>
      <w:r w:rsidRPr="00283879">
        <w:rPr>
          <w:sz w:val="24"/>
          <w:szCs w:val="24"/>
        </w:rPr>
        <w:t>(c)</w:t>
      </w:r>
      <w:r w:rsidRPr="00283879">
        <w:rPr>
          <w:sz w:val="24"/>
          <w:szCs w:val="24"/>
        </w:rPr>
        <w:tab/>
        <w:t xml:space="preserve">The Appellant would </w:t>
      </w:r>
      <w:r w:rsidRPr="00283879">
        <w:rPr>
          <w:b/>
          <w:bCs/>
          <w:sz w:val="24"/>
          <w:szCs w:val="24"/>
        </w:rPr>
        <w:t>remain entitled to payment</w:t>
      </w:r>
      <w:r w:rsidRPr="00283879">
        <w:rPr>
          <w:sz w:val="24"/>
          <w:szCs w:val="24"/>
        </w:rPr>
        <w:t>;</w:t>
      </w:r>
    </w:p>
    <w:p w14:paraId="111944ED" w14:textId="77777777" w:rsidR="00EB265E" w:rsidRPr="00283879" w:rsidRDefault="00EB265E" w:rsidP="00337A09">
      <w:pPr>
        <w:widowControl w:val="0"/>
        <w:topLinePunct/>
        <w:adjustRightInd/>
        <w:ind w:left="1134" w:hanging="567"/>
        <w:jc w:val="both"/>
        <w:rPr>
          <w:sz w:val="24"/>
          <w:szCs w:val="24"/>
        </w:rPr>
      </w:pPr>
    </w:p>
    <w:p w14:paraId="1175EB21" w14:textId="77777777" w:rsidR="00532DEA" w:rsidRPr="00283879" w:rsidRDefault="00532DEA" w:rsidP="009926CC">
      <w:pPr>
        <w:widowControl w:val="0"/>
        <w:topLinePunct/>
        <w:adjustRightInd/>
        <w:ind w:left="2127" w:hanging="567"/>
        <w:jc w:val="both"/>
        <w:rPr>
          <w:sz w:val="24"/>
          <w:szCs w:val="24"/>
        </w:rPr>
      </w:pPr>
      <w:r w:rsidRPr="00283879">
        <w:rPr>
          <w:sz w:val="24"/>
          <w:szCs w:val="24"/>
        </w:rPr>
        <w:t>(d)</w:t>
      </w:r>
      <w:r w:rsidRPr="00283879">
        <w:rPr>
          <w:sz w:val="24"/>
          <w:szCs w:val="24"/>
        </w:rPr>
        <w:tab/>
        <w:t xml:space="preserve">The amount was calculated up to his last day of employment in Hong Kong. </w:t>
      </w:r>
    </w:p>
    <w:p w14:paraId="73C9F8D9" w14:textId="77777777" w:rsidR="00532DEA" w:rsidRPr="00283879" w:rsidRDefault="00532DEA" w:rsidP="00337A09">
      <w:pPr>
        <w:widowControl w:val="0"/>
        <w:topLinePunct/>
        <w:adjustRightInd/>
        <w:jc w:val="both"/>
        <w:rPr>
          <w:sz w:val="24"/>
          <w:szCs w:val="24"/>
        </w:rPr>
      </w:pPr>
    </w:p>
    <w:p w14:paraId="265C8EF3" w14:textId="071C4F2F"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wording of the Termination Agreement is clear.  Subjectively, the Appellant may, as he submitted, have seen this agreement as a simple way to maximise his payment by using the </w:t>
      </w:r>
      <w:r w:rsidR="00783B83" w:rsidRPr="00283879">
        <w:rPr>
          <w:sz w:val="24"/>
          <w:szCs w:val="24"/>
        </w:rPr>
        <w:t>Company A</w:t>
      </w:r>
      <w:r w:rsidRPr="00283879">
        <w:rPr>
          <w:sz w:val="24"/>
          <w:szCs w:val="24"/>
        </w:rPr>
        <w:t xml:space="preserve"> Group’s performance to make the calculation using the pre-existing CC LTI as a base.   </w:t>
      </w:r>
    </w:p>
    <w:p w14:paraId="47E4CC54" w14:textId="77777777" w:rsidR="00532DEA" w:rsidRPr="00283879" w:rsidRDefault="00532DEA" w:rsidP="00337A09">
      <w:pPr>
        <w:pStyle w:val="ac"/>
        <w:widowControl w:val="0"/>
        <w:topLinePunct/>
        <w:adjustRightInd/>
        <w:ind w:left="400"/>
        <w:jc w:val="both"/>
        <w:rPr>
          <w:sz w:val="24"/>
          <w:szCs w:val="24"/>
        </w:rPr>
      </w:pPr>
    </w:p>
    <w:p w14:paraId="2F7F9A5E" w14:textId="05D0F01F"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However, objectively, the Appellant is under the Termination Agreement quite clearly agreeing to receive payment that had accrued (or, accumulated, to use the wording in the translation of the Termination Agreement) during his employment in Hong Kong. The wording that the Appellant would </w:t>
      </w:r>
      <w:r w:rsidR="00F13A0F" w:rsidRPr="00283879">
        <w:rPr>
          <w:sz w:val="24"/>
          <w:szCs w:val="24"/>
        </w:rPr>
        <w:t>‘</w:t>
      </w:r>
      <w:r w:rsidRPr="00283879">
        <w:rPr>
          <w:sz w:val="24"/>
          <w:szCs w:val="24"/>
        </w:rPr>
        <w:t>remain entitled to payment</w:t>
      </w:r>
      <w:r w:rsidR="00F13A0F" w:rsidRPr="00283879">
        <w:rPr>
          <w:sz w:val="24"/>
          <w:szCs w:val="24"/>
        </w:rPr>
        <w:t>’</w:t>
      </w:r>
      <w:r w:rsidRPr="00283879">
        <w:rPr>
          <w:sz w:val="24"/>
          <w:szCs w:val="24"/>
        </w:rPr>
        <w:t xml:space="preserve"> makes this clear.  The payment actually made to the Appellant was specifically calculated based on the time he had been a member of the CC LTI plan, </w:t>
      </w:r>
      <w:proofErr w:type="spellStart"/>
      <w:r w:rsidR="000D74C4" w:rsidRPr="00283879">
        <w:rPr>
          <w:sz w:val="24"/>
          <w:szCs w:val="24"/>
        </w:rPr>
        <w:t>ie</w:t>
      </w:r>
      <w:proofErr w:type="spellEnd"/>
      <w:r w:rsidRPr="00283879">
        <w:rPr>
          <w:sz w:val="24"/>
          <w:szCs w:val="24"/>
        </w:rPr>
        <w:t xml:space="preserve"> from April 2016 to November 2017.  The Board does note that there appears to be a change in that </w:t>
      </w:r>
      <w:r w:rsidR="007A48B2" w:rsidRPr="00283879">
        <w:rPr>
          <w:sz w:val="24"/>
          <w:szCs w:val="24"/>
        </w:rPr>
        <w:t xml:space="preserve">CC </w:t>
      </w:r>
      <w:r w:rsidRPr="00283879">
        <w:rPr>
          <w:sz w:val="24"/>
          <w:szCs w:val="24"/>
        </w:rPr>
        <w:t>C</w:t>
      </w:r>
      <w:r w:rsidR="00654A6A" w:rsidRPr="00283879">
        <w:rPr>
          <w:sz w:val="24"/>
          <w:szCs w:val="24"/>
        </w:rPr>
        <w:t>HINA</w:t>
      </w:r>
      <w:r w:rsidRPr="00283879">
        <w:rPr>
          <w:sz w:val="24"/>
          <w:szCs w:val="24"/>
        </w:rPr>
        <w:t xml:space="preserve"> is given 100% weighting whereas the grant letter gave </w:t>
      </w:r>
      <w:r w:rsidR="007A48B2" w:rsidRPr="00283879">
        <w:rPr>
          <w:sz w:val="24"/>
          <w:szCs w:val="24"/>
        </w:rPr>
        <w:t xml:space="preserve">CC </w:t>
      </w:r>
      <w:r w:rsidRPr="00283879">
        <w:rPr>
          <w:sz w:val="24"/>
          <w:szCs w:val="24"/>
        </w:rPr>
        <w:t>C</w:t>
      </w:r>
      <w:r w:rsidR="00F224CF" w:rsidRPr="00283879">
        <w:rPr>
          <w:sz w:val="24"/>
          <w:szCs w:val="24"/>
        </w:rPr>
        <w:t>HINA</w:t>
      </w:r>
      <w:r w:rsidRPr="00283879">
        <w:rPr>
          <w:sz w:val="24"/>
          <w:szCs w:val="24"/>
        </w:rPr>
        <w:t xml:space="preserve"> a weighting of 70% and </w:t>
      </w:r>
      <w:r w:rsidR="007A48B2" w:rsidRPr="00283879">
        <w:rPr>
          <w:sz w:val="24"/>
          <w:szCs w:val="24"/>
        </w:rPr>
        <w:t xml:space="preserve">CC </w:t>
      </w:r>
      <w:r w:rsidRPr="00283879">
        <w:rPr>
          <w:sz w:val="24"/>
          <w:szCs w:val="24"/>
        </w:rPr>
        <w:t>J</w:t>
      </w:r>
      <w:r w:rsidR="001B37E4" w:rsidRPr="00283879">
        <w:rPr>
          <w:sz w:val="24"/>
          <w:szCs w:val="24"/>
        </w:rPr>
        <w:t>APAN</w:t>
      </w:r>
      <w:r w:rsidRPr="00283879">
        <w:rPr>
          <w:sz w:val="24"/>
          <w:szCs w:val="24"/>
        </w:rPr>
        <w:t xml:space="preserve"> a weighting of 30%.  There is no evidence to explain this change.  However, the wording of the Clause 2(1) of the Termination Agreement makes it clear, the Appellant was being paid what he was entitled to for the period April 2016 to November 2017. </w:t>
      </w:r>
    </w:p>
    <w:p w14:paraId="4D51D88C" w14:textId="77777777" w:rsidR="00532DEA" w:rsidRPr="00283879" w:rsidRDefault="00532DEA" w:rsidP="00337A09">
      <w:pPr>
        <w:pStyle w:val="ac"/>
        <w:widowControl w:val="0"/>
        <w:topLinePunct/>
        <w:adjustRightInd/>
        <w:ind w:left="400"/>
        <w:jc w:val="both"/>
        <w:rPr>
          <w:sz w:val="24"/>
          <w:szCs w:val="24"/>
        </w:rPr>
      </w:pPr>
    </w:p>
    <w:p w14:paraId="57ED48E0" w14:textId="3816A2B8"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One issue before the Board has been whether the Appellant had somehow lost the entitlement to a payment under the LTI </w:t>
      </w:r>
      <w:r w:rsidR="00AB0AEB" w:rsidRPr="00283879">
        <w:rPr>
          <w:sz w:val="24"/>
          <w:szCs w:val="24"/>
        </w:rPr>
        <w:t>p</w:t>
      </w:r>
      <w:r w:rsidRPr="00283879">
        <w:rPr>
          <w:sz w:val="24"/>
          <w:szCs w:val="24"/>
        </w:rPr>
        <w:t xml:space="preserve">rogram when his employment in Hong Kong terminated.  The wording to the Termination Agreement specifically states the payment is a deviation from the plan but also states the Appellant would remain entitled to payment.  The Commissioner in his letter of 29 July 2024 stated it was the Commissioner’s case that the Appellant had not lost his entitlement.  The letter from EY to the Commissioner referred to in </w:t>
      </w:r>
      <w:r w:rsidR="000B24C5" w:rsidRPr="00283879">
        <w:rPr>
          <w:sz w:val="24"/>
          <w:szCs w:val="24"/>
        </w:rPr>
        <w:t>p</w:t>
      </w:r>
      <w:r w:rsidR="005A3B43" w:rsidRPr="00283879">
        <w:rPr>
          <w:sz w:val="24"/>
          <w:szCs w:val="24"/>
        </w:rPr>
        <w:t>aragraph</w:t>
      </w:r>
      <w:r w:rsidRPr="00283879">
        <w:rPr>
          <w:sz w:val="24"/>
          <w:szCs w:val="24"/>
        </w:rPr>
        <w:t xml:space="preserve"> 37 above suggests he had lost the entitlement to the payment.  EY stated that the payment was discretionary and on top of what </w:t>
      </w:r>
      <w:r w:rsidR="0055337C" w:rsidRPr="00283879">
        <w:rPr>
          <w:sz w:val="24"/>
          <w:szCs w:val="24"/>
        </w:rPr>
        <w:t>Company H</w:t>
      </w:r>
      <w:r w:rsidRPr="00283879">
        <w:rPr>
          <w:sz w:val="24"/>
          <w:szCs w:val="24"/>
        </w:rPr>
        <w:t xml:space="preserve"> or </w:t>
      </w:r>
      <w:r w:rsidR="001B02AE" w:rsidRPr="00283879">
        <w:rPr>
          <w:sz w:val="24"/>
          <w:szCs w:val="24"/>
        </w:rPr>
        <w:t>Company A</w:t>
      </w:r>
      <w:r w:rsidRPr="00283879">
        <w:rPr>
          <w:sz w:val="24"/>
          <w:szCs w:val="24"/>
        </w:rPr>
        <w:t xml:space="preserve"> were obliged to pay.  It is not necessary for the Board to determine the point.  The wording of the Termination Agreement is clear that both the </w:t>
      </w:r>
      <w:r w:rsidR="001B02AE" w:rsidRPr="00283879">
        <w:rPr>
          <w:sz w:val="24"/>
          <w:szCs w:val="24"/>
        </w:rPr>
        <w:t>Company A</w:t>
      </w:r>
      <w:r w:rsidRPr="00283879">
        <w:rPr>
          <w:sz w:val="24"/>
          <w:szCs w:val="24"/>
        </w:rPr>
        <w:t xml:space="preserve"> and the Appellant have agreed that the Appellant is to be paid an amount that had accrued during his employment in Hong Kong. </w:t>
      </w:r>
    </w:p>
    <w:p w14:paraId="4511A74B" w14:textId="77777777" w:rsidR="00532DEA" w:rsidRPr="00283879" w:rsidRDefault="00532DEA" w:rsidP="00337A09">
      <w:pPr>
        <w:pStyle w:val="ac"/>
        <w:widowControl w:val="0"/>
        <w:topLinePunct/>
        <w:adjustRightInd/>
        <w:ind w:left="400"/>
        <w:jc w:val="both"/>
        <w:rPr>
          <w:sz w:val="24"/>
          <w:szCs w:val="24"/>
        </w:rPr>
      </w:pPr>
    </w:p>
    <w:p w14:paraId="514BD3FE" w14:textId="77777777" w:rsidR="00532DEA" w:rsidRPr="00283879" w:rsidRDefault="00532DEA" w:rsidP="00FF688A">
      <w:pPr>
        <w:pStyle w:val="ac"/>
        <w:widowControl w:val="0"/>
        <w:numPr>
          <w:ilvl w:val="0"/>
          <w:numId w:val="3"/>
        </w:numPr>
        <w:topLinePunct/>
        <w:adjustRightInd/>
        <w:ind w:leftChars="0" w:left="0" w:firstLine="0"/>
        <w:jc w:val="both"/>
        <w:textAlignment w:val="auto"/>
        <w:rPr>
          <w:sz w:val="24"/>
          <w:szCs w:val="24"/>
        </w:rPr>
      </w:pPr>
      <w:r w:rsidRPr="00283879">
        <w:rPr>
          <w:sz w:val="24"/>
          <w:szCs w:val="24"/>
        </w:rPr>
        <w:t xml:space="preserve">The Board appreciates that Clause 10 of the Termination Agreement provided for settlement and waiver and that the Clause 12 provided for good conduct.  While these are indicia to show the Termination Agreement was made to resolve any current or future disputes (even if not articulated), the fact remains the basis for the LTI Payout was directly stated in the Termination Agreement to payment of entitlement that had accrued (or accumulated) when the Appellant was employed in Hong Kong. </w:t>
      </w:r>
    </w:p>
    <w:p w14:paraId="651098C1" w14:textId="77777777" w:rsidR="00532DEA" w:rsidRPr="00283879" w:rsidRDefault="00532DEA" w:rsidP="00337A09">
      <w:pPr>
        <w:pStyle w:val="ac"/>
        <w:widowControl w:val="0"/>
        <w:topLinePunct/>
        <w:adjustRightInd/>
        <w:ind w:left="400"/>
        <w:jc w:val="both"/>
        <w:rPr>
          <w:sz w:val="24"/>
          <w:szCs w:val="24"/>
        </w:rPr>
      </w:pPr>
    </w:p>
    <w:p w14:paraId="48C10A04" w14:textId="1F949D1A" w:rsidR="00532DEA" w:rsidRPr="00283879" w:rsidRDefault="00532DEA" w:rsidP="00662878">
      <w:pPr>
        <w:pStyle w:val="ac"/>
        <w:widowControl w:val="0"/>
        <w:numPr>
          <w:ilvl w:val="0"/>
          <w:numId w:val="3"/>
        </w:numPr>
        <w:topLinePunct/>
        <w:adjustRightInd/>
        <w:ind w:leftChars="0" w:left="0" w:firstLine="0"/>
        <w:jc w:val="both"/>
        <w:textAlignment w:val="auto"/>
        <w:rPr>
          <w:sz w:val="24"/>
          <w:szCs w:val="24"/>
        </w:rPr>
      </w:pPr>
      <w:r w:rsidRPr="00283879">
        <w:rPr>
          <w:sz w:val="24"/>
          <w:szCs w:val="24"/>
        </w:rPr>
        <w:t>The LTI Pay</w:t>
      </w:r>
      <w:r w:rsidR="007A48B2" w:rsidRPr="00283879">
        <w:rPr>
          <w:sz w:val="24"/>
          <w:szCs w:val="24"/>
        </w:rPr>
        <w:t>out</w:t>
      </w:r>
      <w:r w:rsidRPr="00283879">
        <w:rPr>
          <w:sz w:val="24"/>
          <w:szCs w:val="24"/>
        </w:rPr>
        <w:t xml:space="preserve"> was therefore </w:t>
      </w:r>
      <w:r w:rsidR="00F13A0F" w:rsidRPr="00283879">
        <w:rPr>
          <w:sz w:val="24"/>
          <w:szCs w:val="24"/>
        </w:rPr>
        <w:t>‘</w:t>
      </w:r>
      <w:r w:rsidRPr="00283879">
        <w:rPr>
          <w:sz w:val="24"/>
          <w:szCs w:val="24"/>
        </w:rPr>
        <w:t>derived</w:t>
      </w:r>
      <w:r w:rsidR="00F13A0F" w:rsidRPr="00283879">
        <w:rPr>
          <w:sz w:val="24"/>
          <w:szCs w:val="24"/>
        </w:rPr>
        <w:t>’</w:t>
      </w:r>
      <w:r w:rsidRPr="00283879">
        <w:rPr>
          <w:sz w:val="24"/>
          <w:szCs w:val="24"/>
        </w:rPr>
        <w:t xml:space="preserve"> from the time the Appellant worked in Hong Kong and is subject to tax under </w:t>
      </w:r>
      <w:r w:rsidR="00871A11" w:rsidRPr="00283879">
        <w:rPr>
          <w:sz w:val="24"/>
          <w:szCs w:val="24"/>
        </w:rPr>
        <w:t xml:space="preserve">Section </w:t>
      </w:r>
      <w:r w:rsidRPr="00283879">
        <w:rPr>
          <w:sz w:val="24"/>
          <w:szCs w:val="24"/>
        </w:rPr>
        <w:t>8(1).</w:t>
      </w:r>
    </w:p>
    <w:p w14:paraId="30AA167E" w14:textId="77777777" w:rsidR="00532DEA" w:rsidRPr="00283879" w:rsidRDefault="00532DEA" w:rsidP="00337A09">
      <w:pPr>
        <w:pStyle w:val="ac"/>
        <w:widowControl w:val="0"/>
        <w:topLinePunct/>
        <w:adjustRightInd/>
        <w:ind w:left="400"/>
        <w:jc w:val="both"/>
        <w:rPr>
          <w:sz w:val="24"/>
          <w:szCs w:val="24"/>
        </w:rPr>
      </w:pPr>
    </w:p>
    <w:p w14:paraId="082DADDA" w14:textId="77777777" w:rsidR="00532DEA" w:rsidRPr="00283879" w:rsidRDefault="00532DEA" w:rsidP="00662878">
      <w:pPr>
        <w:pStyle w:val="ac"/>
        <w:widowControl w:val="0"/>
        <w:numPr>
          <w:ilvl w:val="0"/>
          <w:numId w:val="3"/>
        </w:numPr>
        <w:topLinePunct/>
        <w:adjustRightInd/>
        <w:ind w:leftChars="0" w:left="0" w:firstLine="0"/>
        <w:jc w:val="both"/>
        <w:textAlignment w:val="auto"/>
        <w:rPr>
          <w:sz w:val="24"/>
          <w:szCs w:val="24"/>
        </w:rPr>
      </w:pPr>
      <w:r w:rsidRPr="00283879">
        <w:rPr>
          <w:sz w:val="24"/>
          <w:szCs w:val="24"/>
        </w:rPr>
        <w:t>For completeness, as set out above, the Board also deals briefly with two new issues raised in the Appellant’s Closing Submissions:</w:t>
      </w:r>
    </w:p>
    <w:p w14:paraId="5B734203" w14:textId="77777777" w:rsidR="00532DEA" w:rsidRPr="00283879" w:rsidRDefault="00532DEA" w:rsidP="00337A09">
      <w:pPr>
        <w:pStyle w:val="ac"/>
        <w:widowControl w:val="0"/>
        <w:topLinePunct/>
        <w:adjustRightInd/>
        <w:ind w:left="400"/>
        <w:jc w:val="both"/>
        <w:rPr>
          <w:sz w:val="24"/>
          <w:szCs w:val="24"/>
        </w:rPr>
      </w:pPr>
    </w:p>
    <w:p w14:paraId="6FB8414F" w14:textId="1AC53F4F" w:rsidR="00532DEA" w:rsidRPr="00283879" w:rsidRDefault="00532DEA" w:rsidP="00821FA8">
      <w:pPr>
        <w:pStyle w:val="ac"/>
        <w:widowControl w:val="0"/>
        <w:numPr>
          <w:ilvl w:val="0"/>
          <w:numId w:val="14"/>
        </w:numPr>
        <w:topLinePunct/>
        <w:adjustRightInd/>
        <w:ind w:leftChars="0" w:left="2127" w:hanging="567"/>
        <w:jc w:val="both"/>
        <w:textAlignment w:val="auto"/>
        <w:rPr>
          <w:sz w:val="24"/>
          <w:szCs w:val="24"/>
        </w:rPr>
      </w:pPr>
      <w:r w:rsidRPr="00283879">
        <w:rPr>
          <w:sz w:val="24"/>
          <w:szCs w:val="24"/>
        </w:rPr>
        <w:t xml:space="preserve">It does not matter that the </w:t>
      </w:r>
      <w:r w:rsidR="003E0943" w:rsidRPr="00283879">
        <w:rPr>
          <w:sz w:val="24"/>
          <w:szCs w:val="24"/>
        </w:rPr>
        <w:t>Company A</w:t>
      </w:r>
      <w:r w:rsidRPr="00283879">
        <w:rPr>
          <w:sz w:val="24"/>
          <w:szCs w:val="24"/>
        </w:rPr>
        <w:t xml:space="preserve"> </w:t>
      </w:r>
      <w:r w:rsidR="002067CC" w:rsidRPr="00283879">
        <w:rPr>
          <w:sz w:val="24"/>
          <w:szCs w:val="24"/>
        </w:rPr>
        <w:t xml:space="preserve">group </w:t>
      </w:r>
      <w:r w:rsidRPr="00283879">
        <w:rPr>
          <w:sz w:val="24"/>
          <w:szCs w:val="24"/>
        </w:rPr>
        <w:t>for which the LTI Payout was calculated (</w:t>
      </w:r>
      <w:r w:rsidR="00250665" w:rsidRPr="00283879">
        <w:rPr>
          <w:sz w:val="24"/>
          <w:szCs w:val="24"/>
        </w:rPr>
        <w:t xml:space="preserve">CC </w:t>
      </w:r>
      <w:r w:rsidRPr="00283879">
        <w:rPr>
          <w:sz w:val="24"/>
          <w:szCs w:val="24"/>
        </w:rPr>
        <w:t>C</w:t>
      </w:r>
      <w:r w:rsidR="005C20F3" w:rsidRPr="00283879">
        <w:rPr>
          <w:sz w:val="24"/>
          <w:szCs w:val="24"/>
        </w:rPr>
        <w:t>HINA</w:t>
      </w:r>
      <w:r w:rsidRPr="00283879">
        <w:rPr>
          <w:sz w:val="24"/>
          <w:szCs w:val="24"/>
        </w:rPr>
        <w:t>) was based outside Hong Kong.  The Appellant’s employment contract was in Hong Kong and payment had accrued under that contract. Nor does it matter that the Target Factor</w:t>
      </w:r>
      <w:r w:rsidR="00F61939" w:rsidRPr="00283879">
        <w:rPr>
          <w:rStyle w:val="aa"/>
          <w:sz w:val="24"/>
          <w:szCs w:val="24"/>
        </w:rPr>
        <w:footnoteReference w:id="9"/>
      </w:r>
      <w:r w:rsidRPr="00283879">
        <w:rPr>
          <w:sz w:val="24"/>
          <w:szCs w:val="24"/>
        </w:rPr>
        <w:t xml:space="preserve"> accumulates over the full period. This was part of the design of the plan.  Again, the Appellant’s employment contract was in Hong Kong and payment had accrued under that contract.</w:t>
      </w:r>
    </w:p>
    <w:p w14:paraId="0AAE53D6" w14:textId="77777777" w:rsidR="00EB265E" w:rsidRPr="00283879" w:rsidRDefault="00EB265E" w:rsidP="00EB265E">
      <w:pPr>
        <w:pStyle w:val="ac"/>
        <w:widowControl w:val="0"/>
        <w:topLinePunct/>
        <w:adjustRightInd/>
        <w:ind w:leftChars="0" w:left="1134"/>
        <w:jc w:val="both"/>
        <w:textAlignment w:val="auto"/>
        <w:rPr>
          <w:sz w:val="24"/>
          <w:szCs w:val="24"/>
        </w:rPr>
      </w:pPr>
    </w:p>
    <w:p w14:paraId="5CD2EE04" w14:textId="0AEB9C97" w:rsidR="00532DEA" w:rsidRPr="00283879" w:rsidRDefault="00532DEA" w:rsidP="00821FA8">
      <w:pPr>
        <w:pStyle w:val="ac"/>
        <w:widowControl w:val="0"/>
        <w:numPr>
          <w:ilvl w:val="0"/>
          <w:numId w:val="14"/>
        </w:numPr>
        <w:topLinePunct/>
        <w:adjustRightInd/>
        <w:ind w:leftChars="0" w:left="2127" w:hanging="567"/>
        <w:jc w:val="both"/>
        <w:textAlignment w:val="auto"/>
        <w:rPr>
          <w:sz w:val="24"/>
          <w:szCs w:val="24"/>
        </w:rPr>
      </w:pPr>
      <w:r w:rsidRPr="00283879">
        <w:rPr>
          <w:sz w:val="24"/>
          <w:szCs w:val="24"/>
        </w:rPr>
        <w:t xml:space="preserve">The Appellant relied on </w:t>
      </w:r>
      <w:r w:rsidRPr="00283879">
        <w:rPr>
          <w:iCs/>
          <w:sz w:val="24"/>
          <w:szCs w:val="24"/>
          <w:u w:val="single"/>
        </w:rPr>
        <w:t>CIR v Elliot</w:t>
      </w:r>
      <w:r w:rsidRPr="00283879">
        <w:rPr>
          <w:sz w:val="24"/>
          <w:szCs w:val="24"/>
          <w:u w:val="single"/>
        </w:rPr>
        <w:t xml:space="preserve"> </w:t>
      </w:r>
      <w:r w:rsidRPr="00283879">
        <w:rPr>
          <w:sz w:val="24"/>
          <w:szCs w:val="24"/>
        </w:rPr>
        <w:t xml:space="preserve">(cited above) to argue that at the date of termination of his agreement, the value of the </w:t>
      </w:r>
      <w:r w:rsidR="001E3292" w:rsidRPr="00283879">
        <w:rPr>
          <w:sz w:val="24"/>
          <w:szCs w:val="24"/>
        </w:rPr>
        <w:t>CC LTI</w:t>
      </w:r>
      <w:r w:rsidRPr="00283879">
        <w:rPr>
          <w:sz w:val="24"/>
          <w:szCs w:val="24"/>
        </w:rPr>
        <w:t xml:space="preserve"> was zero on the basis it was a contingent right. The decision in </w:t>
      </w:r>
      <w:r w:rsidRPr="00283879">
        <w:rPr>
          <w:iCs/>
          <w:sz w:val="24"/>
          <w:szCs w:val="24"/>
          <w:u w:val="single"/>
        </w:rPr>
        <w:t>CIR v Elliot</w:t>
      </w:r>
      <w:r w:rsidRPr="00283879">
        <w:rPr>
          <w:sz w:val="24"/>
          <w:szCs w:val="24"/>
        </w:rPr>
        <w:t xml:space="preserve"> also d</w:t>
      </w:r>
      <w:r w:rsidR="00ED04FC" w:rsidRPr="00283879">
        <w:rPr>
          <w:sz w:val="24"/>
          <w:szCs w:val="24"/>
        </w:rPr>
        <w:t xml:space="preserve">oes not assist the Appellant.  </w:t>
      </w:r>
      <w:r w:rsidRPr="00283879">
        <w:rPr>
          <w:sz w:val="24"/>
          <w:szCs w:val="24"/>
        </w:rPr>
        <w:t>In that case</w:t>
      </w:r>
      <w:r w:rsidR="00E74B87" w:rsidRPr="00283879">
        <w:rPr>
          <w:sz w:val="24"/>
          <w:szCs w:val="24"/>
        </w:rPr>
        <w:t>,</w:t>
      </w:r>
      <w:r w:rsidRPr="00283879">
        <w:rPr>
          <w:sz w:val="24"/>
          <w:szCs w:val="24"/>
        </w:rPr>
        <w:t xml:space="preserve"> the taxpayer gave up the right to payments under his agreement in return for a lump sum.  In this case</w:t>
      </w:r>
      <w:r w:rsidR="00E74B87" w:rsidRPr="00283879">
        <w:rPr>
          <w:sz w:val="24"/>
          <w:szCs w:val="24"/>
        </w:rPr>
        <w:t>,</w:t>
      </w:r>
      <w:r w:rsidRPr="00283879">
        <w:rPr>
          <w:sz w:val="24"/>
          <w:szCs w:val="24"/>
        </w:rPr>
        <w:t xml:space="preserve"> the taxpayer received the amount that accrued under his employment agreement. The fact that it was a contingent amount when he left Hong Kong is not relevant.  The amount was calculated and paid subsequently under an agreement that referenced back to his employment in Hong Kong. </w:t>
      </w:r>
    </w:p>
    <w:p w14:paraId="2301EEEA" w14:textId="77777777" w:rsidR="00532DEA" w:rsidRPr="00283879" w:rsidRDefault="00532DEA" w:rsidP="00337A09">
      <w:pPr>
        <w:widowControl w:val="0"/>
        <w:topLinePunct/>
        <w:adjustRightInd/>
        <w:jc w:val="both"/>
        <w:rPr>
          <w:sz w:val="24"/>
          <w:szCs w:val="24"/>
        </w:rPr>
      </w:pPr>
    </w:p>
    <w:p w14:paraId="68E9EC08" w14:textId="77777777" w:rsidR="00DE120B" w:rsidRPr="00283879" w:rsidRDefault="00DE120B" w:rsidP="00337A09">
      <w:pPr>
        <w:widowControl w:val="0"/>
        <w:topLinePunct/>
        <w:adjustRightInd/>
        <w:jc w:val="both"/>
        <w:rPr>
          <w:sz w:val="24"/>
          <w:szCs w:val="24"/>
        </w:rPr>
      </w:pPr>
    </w:p>
    <w:p w14:paraId="1C374A39" w14:textId="77777777" w:rsidR="00532DEA" w:rsidRPr="00283879" w:rsidRDefault="00532DEA" w:rsidP="00337A09">
      <w:pPr>
        <w:widowControl w:val="0"/>
        <w:topLinePunct/>
        <w:adjustRightInd/>
        <w:jc w:val="both"/>
        <w:rPr>
          <w:b/>
          <w:sz w:val="24"/>
          <w:szCs w:val="24"/>
          <w:lang w:val="en-US"/>
        </w:rPr>
      </w:pPr>
      <w:r w:rsidRPr="00283879">
        <w:rPr>
          <w:b/>
          <w:sz w:val="24"/>
          <w:szCs w:val="24"/>
          <w:lang w:val="en-US"/>
        </w:rPr>
        <w:t>Conclusion and Disposition</w:t>
      </w:r>
    </w:p>
    <w:p w14:paraId="10271D90" w14:textId="77777777" w:rsidR="00EB265E" w:rsidRPr="00283879" w:rsidRDefault="00EB265E" w:rsidP="00337A09">
      <w:pPr>
        <w:widowControl w:val="0"/>
        <w:topLinePunct/>
        <w:adjustRightInd/>
        <w:jc w:val="both"/>
        <w:rPr>
          <w:b/>
          <w:sz w:val="24"/>
          <w:szCs w:val="24"/>
          <w:lang w:val="en-US"/>
        </w:rPr>
      </w:pPr>
    </w:p>
    <w:p w14:paraId="47A5E146" w14:textId="77777777" w:rsidR="00532DEA" w:rsidRPr="00283879" w:rsidRDefault="00532DEA" w:rsidP="00662878">
      <w:pPr>
        <w:pStyle w:val="ac"/>
        <w:widowControl w:val="0"/>
        <w:numPr>
          <w:ilvl w:val="0"/>
          <w:numId w:val="3"/>
        </w:numPr>
        <w:topLinePunct/>
        <w:adjustRightInd/>
        <w:ind w:leftChars="0" w:left="0" w:firstLine="0"/>
        <w:jc w:val="both"/>
        <w:textAlignment w:val="auto"/>
        <w:rPr>
          <w:sz w:val="24"/>
          <w:szCs w:val="24"/>
        </w:rPr>
      </w:pPr>
      <w:r w:rsidRPr="00283879">
        <w:rPr>
          <w:sz w:val="24"/>
          <w:szCs w:val="24"/>
        </w:rPr>
        <w:t>In conclusion, the Board determines the LTI Payout was derived from the Appellant’s employment in Hong Kong and is</w:t>
      </w:r>
      <w:r w:rsidRPr="00283879">
        <w:rPr>
          <w:bCs/>
          <w:sz w:val="24"/>
          <w:szCs w:val="24"/>
        </w:rPr>
        <w:t xml:space="preserve"> chargeable to Salaries Tax in the year of assessment 2017/2018</w:t>
      </w:r>
      <w:r w:rsidRPr="00283879">
        <w:rPr>
          <w:sz w:val="24"/>
          <w:szCs w:val="24"/>
        </w:rPr>
        <w:t>.</w:t>
      </w:r>
    </w:p>
    <w:p w14:paraId="41C00A9A" w14:textId="77777777" w:rsidR="00532DEA" w:rsidRPr="00283879" w:rsidRDefault="00532DEA" w:rsidP="00337A09">
      <w:pPr>
        <w:pStyle w:val="ac"/>
        <w:widowControl w:val="0"/>
        <w:topLinePunct/>
        <w:adjustRightInd/>
        <w:ind w:left="400"/>
        <w:jc w:val="both"/>
        <w:rPr>
          <w:sz w:val="24"/>
          <w:szCs w:val="24"/>
          <w:lang w:val="en-US"/>
        </w:rPr>
      </w:pPr>
    </w:p>
    <w:p w14:paraId="7F639D6B" w14:textId="77777777" w:rsidR="00532DEA" w:rsidRPr="00283879" w:rsidRDefault="00532DEA" w:rsidP="00662878">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The Board dismisses the Appeal and confirms the Additional Salaries Tax Assessment.</w:t>
      </w:r>
    </w:p>
    <w:p w14:paraId="2B9B0C28" w14:textId="6E97CF06" w:rsidR="001C67B0" w:rsidRPr="00283879" w:rsidRDefault="001C67B0">
      <w:pPr>
        <w:overflowPunct/>
        <w:autoSpaceDE/>
        <w:autoSpaceDN/>
        <w:adjustRightInd/>
        <w:textAlignment w:val="auto"/>
        <w:rPr>
          <w:sz w:val="24"/>
          <w:szCs w:val="24"/>
          <w:lang w:val="en-US"/>
        </w:rPr>
      </w:pPr>
    </w:p>
    <w:p w14:paraId="762E1ECA" w14:textId="77777777" w:rsidR="00532DEA" w:rsidRPr="00283879" w:rsidRDefault="00532DEA" w:rsidP="00337A09">
      <w:pPr>
        <w:widowControl w:val="0"/>
        <w:topLinePunct/>
        <w:adjustRightInd/>
        <w:jc w:val="both"/>
        <w:rPr>
          <w:b/>
          <w:sz w:val="24"/>
          <w:szCs w:val="24"/>
          <w:lang w:val="en-US"/>
        </w:rPr>
      </w:pPr>
      <w:r w:rsidRPr="00283879">
        <w:rPr>
          <w:b/>
          <w:sz w:val="24"/>
          <w:szCs w:val="24"/>
          <w:lang w:val="en-US"/>
        </w:rPr>
        <w:t>Costs</w:t>
      </w:r>
    </w:p>
    <w:p w14:paraId="6260176D" w14:textId="77777777" w:rsidR="00EB265E" w:rsidRPr="00283879" w:rsidRDefault="00EB265E" w:rsidP="00337A09">
      <w:pPr>
        <w:widowControl w:val="0"/>
        <w:topLinePunct/>
        <w:adjustRightInd/>
        <w:jc w:val="both"/>
        <w:rPr>
          <w:b/>
          <w:sz w:val="24"/>
          <w:szCs w:val="24"/>
          <w:lang w:val="en-US"/>
        </w:rPr>
      </w:pPr>
    </w:p>
    <w:p w14:paraId="1B6FAE1B" w14:textId="77777777" w:rsidR="00532DEA" w:rsidRPr="00283879" w:rsidRDefault="00532DEA" w:rsidP="00662878">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The Commissioner did not seek costs.  The Board does not consider this a case where the Appellant should be ordered to pay costs.  There will be no order as to costs.</w:t>
      </w:r>
    </w:p>
    <w:p w14:paraId="2676FECD" w14:textId="77777777" w:rsidR="00532DEA" w:rsidRPr="00283879" w:rsidRDefault="00532DEA" w:rsidP="00337A09">
      <w:pPr>
        <w:widowControl w:val="0"/>
        <w:topLinePunct/>
        <w:adjustRightInd/>
        <w:jc w:val="both"/>
        <w:rPr>
          <w:sz w:val="24"/>
          <w:szCs w:val="24"/>
          <w:lang w:val="en-US"/>
        </w:rPr>
      </w:pPr>
    </w:p>
    <w:p w14:paraId="3E19D2C4" w14:textId="77777777" w:rsidR="00532DEA" w:rsidRPr="00283879" w:rsidRDefault="00532DEA" w:rsidP="00337A09">
      <w:pPr>
        <w:pStyle w:val="ac"/>
        <w:widowControl w:val="0"/>
        <w:numPr>
          <w:ilvl w:val="0"/>
          <w:numId w:val="3"/>
        </w:numPr>
        <w:topLinePunct/>
        <w:adjustRightInd/>
        <w:ind w:leftChars="0" w:left="0" w:firstLine="0"/>
        <w:jc w:val="both"/>
        <w:textAlignment w:val="auto"/>
        <w:rPr>
          <w:sz w:val="24"/>
          <w:szCs w:val="24"/>
          <w:lang w:val="en-US"/>
        </w:rPr>
      </w:pPr>
      <w:r w:rsidRPr="00283879">
        <w:rPr>
          <w:sz w:val="24"/>
          <w:szCs w:val="24"/>
          <w:lang w:val="en-US"/>
        </w:rPr>
        <w:t xml:space="preserve">Finally, the board thanks both the Appellant and the Commissioner’s representative for their measured and well-argued submissions.  </w:t>
      </w:r>
    </w:p>
    <w:sectPr w:rsidR="00532DEA" w:rsidRPr="00283879" w:rsidSect="00A74B10">
      <w:headerReference w:type="default" r:id="rId8"/>
      <w:footerReference w:type="default" r:id="rId9"/>
      <w:pgSz w:w="11906" w:h="16838" w:code="9"/>
      <w:pgMar w:top="1985" w:right="1588" w:bottom="1701" w:left="1588" w:header="1361" w:footer="9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05594" w14:textId="77777777" w:rsidR="00A83959" w:rsidRDefault="00A83959" w:rsidP="00CA6261">
      <w:r>
        <w:separator/>
      </w:r>
    </w:p>
  </w:endnote>
  <w:endnote w:type="continuationSeparator" w:id="0">
    <w:p w14:paraId="3BFE0E7E" w14:textId="77777777" w:rsidR="00A83959" w:rsidRDefault="00A83959" w:rsidP="00CA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華康楷書體W5">
    <w:altName w:val="Malgun Gothic Semilight"/>
    <w:charset w:val="88"/>
    <w:family w:val="script"/>
    <w:pitch w:val="fixed"/>
    <w:sig w:usb0="00000000" w:usb1="38CFFDFA" w:usb2="00000016" w:usb3="00000000" w:csb0="0016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24F7" w14:textId="77777777" w:rsidR="00CA6261" w:rsidRPr="00CA6261" w:rsidRDefault="00CA6261" w:rsidP="00CA6261">
    <w:pPr>
      <w:pStyle w:val="a5"/>
      <w:jc w:val="center"/>
    </w:pPr>
    <w:r w:rsidRPr="00CA6261">
      <w:fldChar w:fldCharType="begin"/>
    </w:r>
    <w:r w:rsidRPr="00CA6261">
      <w:instrText>PAGE   \* MERGEFORMAT</w:instrText>
    </w:r>
    <w:r w:rsidRPr="00CA6261">
      <w:fldChar w:fldCharType="separate"/>
    </w:r>
    <w:r w:rsidR="004D145B" w:rsidRPr="00AF04F3">
      <w:rPr>
        <w:noProof/>
        <w:lang w:val="en-HK"/>
      </w:rPr>
      <w:t>16</w:t>
    </w:r>
    <w:r w:rsidRPr="00CA6261">
      <w:fldChar w:fldCharType="end"/>
    </w:r>
  </w:p>
  <w:p w14:paraId="6CECE8CD" w14:textId="77777777" w:rsidR="00CA6261" w:rsidRDefault="00CA6261" w:rsidP="00CA6261">
    <w:pPr>
      <w:pStyle w:val="a5"/>
      <w:tabs>
        <w:tab w:val="center" w:pos="4395"/>
        <w:tab w:val="right" w:pos="8647"/>
      </w:tabs>
      <w:rPr>
        <w:sz w:val="6"/>
        <w:szCs w:val="6"/>
      </w:rPr>
    </w:pPr>
  </w:p>
  <w:p w14:paraId="57ABEED7" w14:textId="77777777" w:rsidR="00CA6261" w:rsidRDefault="00CA6261" w:rsidP="00CA6261">
    <w:pPr>
      <w:pStyle w:val="a5"/>
      <w:tabs>
        <w:tab w:val="center" w:pos="4395"/>
        <w:tab w:val="right" w:pos="8647"/>
      </w:tabs>
      <w:rPr>
        <w:sz w:val="6"/>
        <w:szCs w:val="6"/>
      </w:rPr>
    </w:pPr>
  </w:p>
  <w:p w14:paraId="79F69D5F" w14:textId="77777777" w:rsidR="00CA6261" w:rsidRPr="00CA6261" w:rsidRDefault="00CA6261" w:rsidP="00CA6261">
    <w:pPr>
      <w:pStyle w:val="a5"/>
      <w:tabs>
        <w:tab w:val="center" w:pos="4395"/>
        <w:tab w:val="right" w:pos="8647"/>
      </w:tabs>
      <w:rPr>
        <w:sz w:val="6"/>
        <w:szCs w:val="6"/>
      </w:rPr>
    </w:pPr>
  </w:p>
  <w:p w14:paraId="05003B9A" w14:textId="77777777" w:rsidR="00CA6261" w:rsidRPr="00CA6261" w:rsidRDefault="00CA6261" w:rsidP="00CA6261">
    <w:pPr>
      <w:pStyle w:val="a5"/>
      <w:tabs>
        <w:tab w:val="clear" w:pos="4153"/>
        <w:tab w:val="clear" w:pos="8306"/>
        <w:tab w:val="center" w:pos="4395"/>
        <w:tab w:val="right" w:pos="8647"/>
      </w:tabs>
    </w:pPr>
    <w:r w:rsidRPr="00CA6261">
      <w:rPr>
        <w:rFonts w:eastAsia="DengXian"/>
      </w:rPr>
      <w:tab/>
      <w:t>Verified Copy</w:t>
    </w:r>
    <w:r w:rsidRPr="00CA6261">
      <w:rPr>
        <w:rFonts w:eastAsia="DengXian"/>
      </w:rPr>
      <w:tab/>
      <w:t xml:space="preserve">Last reviewed date: </w:t>
    </w:r>
    <w:r w:rsidR="00264197" w:rsidRPr="00264197">
      <w:rPr>
        <w:rFonts w:eastAsia="DengXian"/>
      </w:rPr>
      <w:t>September</w:t>
    </w:r>
    <w:r w:rsidRPr="00264197">
      <w:rPr>
        <w:rFonts w:eastAsia="DengXian"/>
      </w:rPr>
      <w:t xml:space="preserve"> 20</w:t>
    </w:r>
    <w:r w:rsidR="00264197" w:rsidRPr="00264197">
      <w:rPr>
        <w:rFonts w:eastAsia="DengXian"/>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60E5" w14:textId="77777777" w:rsidR="00A83959" w:rsidRDefault="00A83959" w:rsidP="00CA6261">
      <w:r>
        <w:separator/>
      </w:r>
    </w:p>
  </w:footnote>
  <w:footnote w:type="continuationSeparator" w:id="0">
    <w:p w14:paraId="12EE2BFD" w14:textId="77777777" w:rsidR="00A83959" w:rsidRDefault="00A83959" w:rsidP="00CA6261">
      <w:r>
        <w:continuationSeparator/>
      </w:r>
    </w:p>
  </w:footnote>
  <w:footnote w:id="1">
    <w:p w14:paraId="723C44F3" w14:textId="77777777" w:rsidR="00532DEA" w:rsidRPr="00EC7C2B" w:rsidRDefault="00532DEA" w:rsidP="00532DEA">
      <w:pPr>
        <w:pStyle w:val="a8"/>
        <w:jc w:val="both"/>
      </w:pPr>
      <w:r w:rsidRPr="00EC7C2B">
        <w:rPr>
          <w:rStyle w:val="aa"/>
        </w:rPr>
        <w:footnoteRef/>
      </w:r>
      <w:r w:rsidRPr="00EC7C2B">
        <w:t xml:space="preserve"> In his closing submissions, the Appellant said that he only signed the Termination Agreement on 1 March 2019 and presented some email evidence to support this. The Commissioner objected to the admission of this evidence.  The Board notes that in all his submissions to the Commissioner and in this Appeal he had not challenged the date of the Termination Agreement as being 20 November 2018.  (See for example his letter date 22 February 2021 to the Commissioner and </w:t>
      </w:r>
      <w:r w:rsidR="000B24C5">
        <w:t>p</w:t>
      </w:r>
      <w:r w:rsidR="005A3B43">
        <w:t>aragraph</w:t>
      </w:r>
      <w:r w:rsidRPr="00EC7C2B">
        <w:t xml:space="preserve"> 24 of the Notice of Appeal (which states the Agreement was signed on or around 20 November 2018)). The Board does not consider the date of signature to be material.  It is accepted by both parties the Termination Agreement was signed. </w:t>
      </w:r>
    </w:p>
  </w:footnote>
  <w:footnote w:id="2">
    <w:p w14:paraId="0D2E0708" w14:textId="70A65254" w:rsidR="00532DEA" w:rsidRPr="00EC7C2B" w:rsidRDefault="00532DEA" w:rsidP="00532DEA">
      <w:pPr>
        <w:pStyle w:val="a8"/>
        <w:jc w:val="both"/>
      </w:pPr>
      <w:r w:rsidRPr="00EC7C2B">
        <w:rPr>
          <w:rStyle w:val="aa"/>
        </w:rPr>
        <w:footnoteRef/>
      </w:r>
      <w:r w:rsidRPr="00EC7C2B">
        <w:t xml:space="preserve"> The Commissioner in </w:t>
      </w:r>
      <w:r w:rsidR="000609A4">
        <w:t>the</w:t>
      </w:r>
      <w:r w:rsidRPr="00EC7C2B">
        <w:t xml:space="preserve"> Determination referred to this as a </w:t>
      </w:r>
      <w:r w:rsidR="00F13A0F">
        <w:t>‘</w:t>
      </w:r>
      <w:r w:rsidRPr="00EC7C2B">
        <w:t>Bonus Award Letter</w:t>
      </w:r>
      <w:r w:rsidR="00F13A0F">
        <w:t>’</w:t>
      </w:r>
      <w:r w:rsidRPr="00EC7C2B">
        <w:t xml:space="preserve">.  To avoid any confusion with the Bonuses to be paid under the contract, </w:t>
      </w:r>
      <w:r w:rsidR="00F13A0F">
        <w:t>‘</w:t>
      </w:r>
      <w:r w:rsidRPr="00EC7C2B">
        <w:t>Payout Award Letter</w:t>
      </w:r>
      <w:r w:rsidR="00F13A0F">
        <w:t>’</w:t>
      </w:r>
      <w:r w:rsidRPr="00EC7C2B">
        <w:t xml:space="preserve"> is used. The letter itself in the calculation sheet did refer to a </w:t>
      </w:r>
      <w:r w:rsidR="00F13A0F">
        <w:t>‘</w:t>
      </w:r>
      <w:r w:rsidRPr="00EC7C2B">
        <w:t>Calculated Bonus</w:t>
      </w:r>
      <w:r w:rsidR="00F13A0F">
        <w:t>’</w:t>
      </w:r>
      <w:r w:rsidRPr="00EC7C2B">
        <w:t>.</w:t>
      </w:r>
    </w:p>
  </w:footnote>
  <w:footnote w:id="3">
    <w:p w14:paraId="39D06EFC" w14:textId="77777777" w:rsidR="00532DEA" w:rsidRPr="00A83246" w:rsidRDefault="00532DEA" w:rsidP="00532DEA">
      <w:pPr>
        <w:pStyle w:val="a8"/>
      </w:pPr>
      <w:r w:rsidRPr="00EC7C2B">
        <w:rPr>
          <w:rStyle w:val="aa"/>
        </w:rPr>
        <w:footnoteRef/>
      </w:r>
      <w:r w:rsidRPr="00EC7C2B">
        <w:t xml:space="preserve"> The words </w:t>
      </w:r>
      <w:r w:rsidR="00F13A0F">
        <w:t>‘</w:t>
      </w:r>
      <w:r w:rsidRPr="00EC7C2B">
        <w:t>Calculated bonus</w:t>
      </w:r>
      <w:r w:rsidR="00F13A0F">
        <w:t>’</w:t>
      </w:r>
      <w:r w:rsidRPr="00EC7C2B">
        <w:t xml:space="preserve"> were used in the letter.</w:t>
      </w:r>
    </w:p>
  </w:footnote>
  <w:footnote w:id="4">
    <w:p w14:paraId="42683C0C" w14:textId="77777777" w:rsidR="00AA17A0" w:rsidRDefault="00657B99" w:rsidP="00AA17A0">
      <w:pPr>
        <w:pStyle w:val="a8"/>
        <w:tabs>
          <w:tab w:val="clear" w:pos="274"/>
        </w:tabs>
        <w:ind w:left="200" w:hangingChars="100" w:hanging="200"/>
        <w:jc w:val="both"/>
      </w:pPr>
      <w:r>
        <w:rPr>
          <w:rStyle w:val="aa"/>
        </w:rPr>
        <w:footnoteRef/>
      </w:r>
      <w:r>
        <w:t xml:space="preserve"> </w:t>
      </w:r>
      <w:r w:rsidRPr="00657B99">
        <w:t xml:space="preserve">That is, the business area the target of the bonus calculations. These were two countries which are identified </w:t>
      </w:r>
    </w:p>
    <w:p w14:paraId="75D7C242" w14:textId="43A59595" w:rsidR="00657B99" w:rsidRPr="00657B99" w:rsidRDefault="00657B99" w:rsidP="00AA17A0">
      <w:pPr>
        <w:pStyle w:val="a8"/>
        <w:tabs>
          <w:tab w:val="clear" w:pos="274"/>
        </w:tabs>
        <w:ind w:left="200" w:hangingChars="100" w:hanging="200"/>
        <w:jc w:val="both"/>
      </w:pPr>
      <w:r w:rsidRPr="00657B99">
        <w:t>in capital letters in this decision.</w:t>
      </w:r>
    </w:p>
  </w:footnote>
  <w:footnote w:id="5">
    <w:p w14:paraId="0C3E926A" w14:textId="77777777" w:rsidR="00532DEA" w:rsidRPr="00EC7C2B" w:rsidRDefault="00532DEA" w:rsidP="00532DEA">
      <w:pPr>
        <w:pStyle w:val="a8"/>
        <w:jc w:val="both"/>
      </w:pPr>
      <w:r w:rsidRPr="00EC7C2B">
        <w:rPr>
          <w:rStyle w:val="aa"/>
        </w:rPr>
        <w:footnoteRef/>
      </w:r>
      <w:r w:rsidRPr="00EC7C2B">
        <w:t xml:space="preserve"> The Commissioner referred to the LTI Payout as a </w:t>
      </w:r>
      <w:r w:rsidR="00F13A0F">
        <w:t>‘</w:t>
      </w:r>
      <w:r w:rsidRPr="00EC7C2B">
        <w:t>Bonus</w:t>
      </w:r>
      <w:r w:rsidR="00F13A0F">
        <w:t>’</w:t>
      </w:r>
      <w:r w:rsidRPr="00EC7C2B">
        <w:t xml:space="preserve">.  This is changed to LTI Payout for ease of reference. </w:t>
      </w:r>
    </w:p>
  </w:footnote>
  <w:footnote w:id="6">
    <w:p w14:paraId="5783B051" w14:textId="77777777" w:rsidR="00532DEA" w:rsidRPr="000D74C4" w:rsidRDefault="00532DEA" w:rsidP="00532DEA">
      <w:pPr>
        <w:pStyle w:val="a8"/>
        <w:rPr>
          <w:lang w:val="en-US"/>
        </w:rPr>
      </w:pPr>
      <w:r w:rsidRPr="000D74C4">
        <w:rPr>
          <w:rStyle w:val="aa"/>
        </w:rPr>
        <w:footnoteRef/>
      </w:r>
      <w:r w:rsidRPr="00EC7C2B">
        <w:t xml:space="preserve"> </w:t>
      </w:r>
      <w:r w:rsidRPr="001B3C40">
        <w:rPr>
          <w:iCs/>
          <w:u w:val="single"/>
          <w:lang w:val="en-US"/>
        </w:rPr>
        <w:t>Commissioner of Inland Revenue v Elliot, Stewart William George</w:t>
      </w:r>
      <w:r w:rsidRPr="000D74C4">
        <w:rPr>
          <w:lang w:val="en-US"/>
        </w:rPr>
        <w:t xml:space="preserve"> </w:t>
      </w:r>
      <w:r w:rsidRPr="000D74C4">
        <w:t>[2007] 1 HKLRD 297</w:t>
      </w:r>
    </w:p>
  </w:footnote>
  <w:footnote w:id="7">
    <w:p w14:paraId="720FFC06" w14:textId="77777777" w:rsidR="00532DEA" w:rsidRPr="000D74C4" w:rsidRDefault="00532DEA" w:rsidP="00532DEA">
      <w:pPr>
        <w:pStyle w:val="a8"/>
        <w:rPr>
          <w:lang w:val="en-US"/>
        </w:rPr>
      </w:pPr>
      <w:r w:rsidRPr="000D74C4">
        <w:rPr>
          <w:rStyle w:val="aa"/>
        </w:rPr>
        <w:footnoteRef/>
      </w:r>
      <w:r w:rsidRPr="000D74C4">
        <w:t xml:space="preserve"> </w:t>
      </w:r>
      <w:r w:rsidRPr="001B3C40">
        <w:rPr>
          <w:iCs/>
          <w:u w:val="single"/>
          <w:lang w:val="en-US"/>
        </w:rPr>
        <w:t>Commissioner of Inland Revenue v Poon Cho Ming, John</w:t>
      </w:r>
      <w:r w:rsidR="001B3C40">
        <w:rPr>
          <w:iCs/>
          <w:lang w:val="en-US"/>
        </w:rPr>
        <w:t xml:space="preserve"> </w:t>
      </w:r>
      <w:r w:rsidR="006C3A5A">
        <w:t>(2019)</w:t>
      </w:r>
      <w:r w:rsidRPr="000D74C4">
        <w:rPr>
          <w:lang w:val="en-US"/>
        </w:rPr>
        <w:t xml:space="preserve"> 22 HKCFAR 344</w:t>
      </w:r>
    </w:p>
  </w:footnote>
  <w:footnote w:id="8">
    <w:p w14:paraId="6A4461E5" w14:textId="77777777" w:rsidR="00532DEA" w:rsidRPr="000D74C4" w:rsidRDefault="00532DEA" w:rsidP="00532DEA">
      <w:pPr>
        <w:pStyle w:val="a8"/>
        <w:rPr>
          <w:lang w:val="en-US"/>
        </w:rPr>
      </w:pPr>
      <w:r w:rsidRPr="000D74C4">
        <w:rPr>
          <w:rStyle w:val="aa"/>
        </w:rPr>
        <w:footnoteRef/>
      </w:r>
      <w:r w:rsidRPr="000D74C4">
        <w:t xml:space="preserve"> </w:t>
      </w:r>
      <w:r w:rsidRPr="001B3C40">
        <w:rPr>
          <w:iCs/>
          <w:u w:val="single"/>
          <w:lang w:val="en-US"/>
        </w:rPr>
        <w:t>Fuchs v Commissioner of Inland Revenue</w:t>
      </w:r>
      <w:r w:rsidRPr="000D74C4">
        <w:rPr>
          <w:lang w:val="en-US"/>
        </w:rPr>
        <w:t xml:space="preserve"> (2011) 14 HKCFAR 74</w:t>
      </w:r>
    </w:p>
  </w:footnote>
  <w:footnote w:id="9">
    <w:p w14:paraId="25146DE0" w14:textId="5644DE04" w:rsidR="00F61939" w:rsidRPr="00F61939" w:rsidRDefault="00F61939">
      <w:pPr>
        <w:pStyle w:val="a8"/>
        <w:rPr>
          <w:lang w:val="en-HK"/>
        </w:rPr>
      </w:pPr>
      <w:r>
        <w:rPr>
          <w:rStyle w:val="aa"/>
        </w:rPr>
        <w:footnoteRef/>
      </w:r>
      <w:r>
        <w:t xml:space="preserve"> </w:t>
      </w:r>
      <w:r w:rsidRPr="00F61939">
        <w:t>Performance factors used to calculate the LTI Payout as shown in paragraph 32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3243" w14:textId="77777777" w:rsidR="00CA6261" w:rsidRPr="00264197" w:rsidRDefault="00CA6261" w:rsidP="00CA6261">
    <w:pPr>
      <w:tabs>
        <w:tab w:val="center" w:pos="4153"/>
        <w:tab w:val="right" w:pos="8306"/>
      </w:tabs>
      <w:jc w:val="center"/>
      <w:rPr>
        <w:sz w:val="24"/>
      </w:rPr>
    </w:pPr>
    <w:r w:rsidRPr="00264197">
      <w:rPr>
        <w:sz w:val="24"/>
      </w:rPr>
      <w:t>(20</w:t>
    </w:r>
    <w:r w:rsidR="00264197" w:rsidRPr="00264197">
      <w:rPr>
        <w:sz w:val="24"/>
      </w:rPr>
      <w:t>24-25</w:t>
    </w:r>
    <w:r w:rsidRPr="00264197">
      <w:rPr>
        <w:sz w:val="24"/>
      </w:rPr>
      <w:t xml:space="preserve">) VOLUME </w:t>
    </w:r>
    <w:r w:rsidR="00264197" w:rsidRPr="00264197">
      <w:rPr>
        <w:sz w:val="24"/>
        <w:lang w:eastAsia="zh-HK"/>
      </w:rPr>
      <w:t>39</w:t>
    </w:r>
    <w:r w:rsidRPr="00264197">
      <w:rPr>
        <w:sz w:val="24"/>
      </w:rPr>
      <w:t xml:space="preserve"> INLAND REVENUE BOARD OF REVIEW DECISIONS</w:t>
    </w:r>
  </w:p>
  <w:p w14:paraId="09CB166D" w14:textId="77777777" w:rsidR="00CA6261" w:rsidRPr="00A74B10" w:rsidRDefault="00CA6261">
    <w:pPr>
      <w:pStyle w:val="a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653C"/>
    <w:multiLevelType w:val="hybridMultilevel"/>
    <w:tmpl w:val="D7C067D4"/>
    <w:lvl w:ilvl="0" w:tplc="19FADE26">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FD177D9"/>
    <w:multiLevelType w:val="hybridMultilevel"/>
    <w:tmpl w:val="1C1A93D2"/>
    <w:lvl w:ilvl="0" w:tplc="95A8B9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3B778D7"/>
    <w:multiLevelType w:val="hybridMultilevel"/>
    <w:tmpl w:val="2E48D1AA"/>
    <w:lvl w:ilvl="0" w:tplc="EE640F1C">
      <w:start w:val="1"/>
      <w:numFmt w:val="decimal"/>
      <w:pStyle w:val="T-Draft"/>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F39DE"/>
    <w:multiLevelType w:val="hybridMultilevel"/>
    <w:tmpl w:val="E23E0B4C"/>
    <w:lvl w:ilvl="0" w:tplc="1BD29F8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6E610C9"/>
    <w:multiLevelType w:val="hybridMultilevel"/>
    <w:tmpl w:val="B7DAA394"/>
    <w:lvl w:ilvl="0" w:tplc="7CF07F1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6E4EE8"/>
    <w:multiLevelType w:val="hybridMultilevel"/>
    <w:tmpl w:val="A86E2C08"/>
    <w:lvl w:ilvl="0" w:tplc="2E221276">
      <w:start w:val="1"/>
      <w:numFmt w:val="lowerRoman"/>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6" w15:restartNumberingAfterBreak="0">
    <w:nsid w:val="298C0F61"/>
    <w:multiLevelType w:val="hybridMultilevel"/>
    <w:tmpl w:val="FFCE364A"/>
    <w:lvl w:ilvl="0" w:tplc="13E20850">
      <w:start w:val="1"/>
      <w:numFmt w:val="lowerLetter"/>
      <w:lvlText w:val="(%1)"/>
      <w:lvlJc w:val="left"/>
      <w:pPr>
        <w:ind w:left="1440" w:hanging="480"/>
      </w:pPr>
      <w:rPr>
        <w:rFonts w:hint="eastAsia"/>
        <w:b w:val="0"/>
        <w:i w:val="0"/>
        <w:color w:val="auto"/>
        <w:vertAlign w:val="base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7B1251"/>
    <w:multiLevelType w:val="hybridMultilevel"/>
    <w:tmpl w:val="84E2339A"/>
    <w:lvl w:ilvl="0" w:tplc="8780E36E">
      <w:start w:val="9"/>
      <w:numFmt w:val="lowerLetter"/>
      <w:lvlText w:val="(%1)"/>
      <w:lvlJc w:val="left"/>
      <w:pPr>
        <w:ind w:left="1942" w:hanging="360"/>
      </w:pPr>
      <w:rPr>
        <w:rFonts w:hint="default"/>
      </w:rPr>
    </w:lvl>
    <w:lvl w:ilvl="1" w:tplc="08090019" w:tentative="1">
      <w:start w:val="1"/>
      <w:numFmt w:val="lowerLetter"/>
      <w:lvlText w:val="%2."/>
      <w:lvlJc w:val="left"/>
      <w:pPr>
        <w:ind w:left="2662" w:hanging="360"/>
      </w:pPr>
    </w:lvl>
    <w:lvl w:ilvl="2" w:tplc="0809001B" w:tentative="1">
      <w:start w:val="1"/>
      <w:numFmt w:val="lowerRoman"/>
      <w:lvlText w:val="%3."/>
      <w:lvlJc w:val="right"/>
      <w:pPr>
        <w:ind w:left="3382" w:hanging="180"/>
      </w:pPr>
    </w:lvl>
    <w:lvl w:ilvl="3" w:tplc="0809000F" w:tentative="1">
      <w:start w:val="1"/>
      <w:numFmt w:val="decimal"/>
      <w:lvlText w:val="%4."/>
      <w:lvlJc w:val="left"/>
      <w:pPr>
        <w:ind w:left="4102" w:hanging="360"/>
      </w:pPr>
    </w:lvl>
    <w:lvl w:ilvl="4" w:tplc="08090019" w:tentative="1">
      <w:start w:val="1"/>
      <w:numFmt w:val="lowerLetter"/>
      <w:lvlText w:val="%5."/>
      <w:lvlJc w:val="left"/>
      <w:pPr>
        <w:ind w:left="4822" w:hanging="360"/>
      </w:pPr>
    </w:lvl>
    <w:lvl w:ilvl="5" w:tplc="0809001B" w:tentative="1">
      <w:start w:val="1"/>
      <w:numFmt w:val="lowerRoman"/>
      <w:lvlText w:val="%6."/>
      <w:lvlJc w:val="right"/>
      <w:pPr>
        <w:ind w:left="5542" w:hanging="180"/>
      </w:pPr>
    </w:lvl>
    <w:lvl w:ilvl="6" w:tplc="0809000F" w:tentative="1">
      <w:start w:val="1"/>
      <w:numFmt w:val="decimal"/>
      <w:lvlText w:val="%7."/>
      <w:lvlJc w:val="left"/>
      <w:pPr>
        <w:ind w:left="6262" w:hanging="360"/>
      </w:pPr>
    </w:lvl>
    <w:lvl w:ilvl="7" w:tplc="08090019" w:tentative="1">
      <w:start w:val="1"/>
      <w:numFmt w:val="lowerLetter"/>
      <w:lvlText w:val="%8."/>
      <w:lvlJc w:val="left"/>
      <w:pPr>
        <w:ind w:left="6982" w:hanging="360"/>
      </w:pPr>
    </w:lvl>
    <w:lvl w:ilvl="8" w:tplc="0809001B" w:tentative="1">
      <w:start w:val="1"/>
      <w:numFmt w:val="lowerRoman"/>
      <w:lvlText w:val="%9."/>
      <w:lvlJc w:val="right"/>
      <w:pPr>
        <w:ind w:left="7702" w:hanging="180"/>
      </w:pPr>
    </w:lvl>
  </w:abstractNum>
  <w:abstractNum w:abstractNumId="8" w15:restartNumberingAfterBreak="0">
    <w:nsid w:val="36BB6788"/>
    <w:multiLevelType w:val="multilevel"/>
    <w:tmpl w:val="7C64A4D4"/>
    <w:styleLink w:val="1a"/>
    <w:lvl w:ilvl="0">
      <w:start w:val="1"/>
      <w:numFmt w:val="decimal"/>
      <w:lvlText w:val="(%1)"/>
      <w:lvlJc w:val="right"/>
      <w:pPr>
        <w:tabs>
          <w:tab w:val="num" w:pos="1440"/>
        </w:tabs>
        <w:ind w:left="1440" w:hanging="432"/>
      </w:pPr>
      <w:rPr>
        <w:rFonts w:hint="eastAsia"/>
      </w:rPr>
    </w:lvl>
    <w:lvl w:ilvl="1">
      <w:start w:val="1"/>
      <w:numFmt w:val="lowerLetter"/>
      <w:lvlText w:val="(%2)"/>
      <w:lvlJc w:val="right"/>
      <w:pPr>
        <w:tabs>
          <w:tab w:val="num" w:pos="2160"/>
        </w:tabs>
        <w:ind w:left="2160" w:hanging="288"/>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 w15:restartNumberingAfterBreak="0">
    <w:nsid w:val="3B672A3B"/>
    <w:multiLevelType w:val="hybridMultilevel"/>
    <w:tmpl w:val="17CA1F92"/>
    <w:lvl w:ilvl="0" w:tplc="A90255C0">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4EDC1878"/>
    <w:multiLevelType w:val="hybridMultilevel"/>
    <w:tmpl w:val="C2584B12"/>
    <w:lvl w:ilvl="0" w:tplc="8580F09A">
      <w:start w:val="1"/>
      <w:numFmt w:val="lowerLetter"/>
      <w:lvlText w:val="(%1)"/>
      <w:lvlJc w:val="left"/>
      <w:pPr>
        <w:ind w:left="2203"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11" w15:restartNumberingAfterBreak="0">
    <w:nsid w:val="59915341"/>
    <w:multiLevelType w:val="hybridMultilevel"/>
    <w:tmpl w:val="4A4E02E2"/>
    <w:lvl w:ilvl="0" w:tplc="14D0DD8A">
      <w:start w:val="1"/>
      <w:numFmt w:val="lowerLetter"/>
      <w:lvlText w:val="(%1)"/>
      <w:lvlJc w:val="left"/>
      <w:pPr>
        <w:ind w:left="862" w:hanging="360"/>
      </w:pPr>
      <w:rPr>
        <w:rFonts w:ascii="Times New Roman" w:eastAsia="Times New Roman" w:hAnsi="Times New Roman" w:cs="Times New Roman" w:hint="default"/>
        <w:color w:val="000000"/>
        <w:sz w:val="24"/>
        <w:szCs w:val="24"/>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5A373FB7"/>
    <w:multiLevelType w:val="hybridMultilevel"/>
    <w:tmpl w:val="6BFE55AC"/>
    <w:lvl w:ilvl="0" w:tplc="B9AA29D6">
      <w:start w:val="2"/>
      <w:numFmt w:val="lowerRoman"/>
      <w:lvlText w:val="(%1)"/>
      <w:lvlJc w:val="left"/>
      <w:pPr>
        <w:ind w:left="2662" w:hanging="720"/>
      </w:pPr>
      <w:rPr>
        <w:rFonts w:hint="default"/>
      </w:rPr>
    </w:lvl>
    <w:lvl w:ilvl="1" w:tplc="08090019" w:tentative="1">
      <w:start w:val="1"/>
      <w:numFmt w:val="lowerLetter"/>
      <w:lvlText w:val="%2."/>
      <w:lvlJc w:val="left"/>
      <w:pPr>
        <w:ind w:left="3022" w:hanging="360"/>
      </w:pPr>
    </w:lvl>
    <w:lvl w:ilvl="2" w:tplc="0809001B" w:tentative="1">
      <w:start w:val="1"/>
      <w:numFmt w:val="lowerRoman"/>
      <w:lvlText w:val="%3."/>
      <w:lvlJc w:val="right"/>
      <w:pPr>
        <w:ind w:left="3742" w:hanging="180"/>
      </w:pPr>
    </w:lvl>
    <w:lvl w:ilvl="3" w:tplc="0809000F" w:tentative="1">
      <w:start w:val="1"/>
      <w:numFmt w:val="decimal"/>
      <w:lvlText w:val="%4."/>
      <w:lvlJc w:val="left"/>
      <w:pPr>
        <w:ind w:left="4462" w:hanging="360"/>
      </w:pPr>
    </w:lvl>
    <w:lvl w:ilvl="4" w:tplc="08090019" w:tentative="1">
      <w:start w:val="1"/>
      <w:numFmt w:val="lowerLetter"/>
      <w:lvlText w:val="%5."/>
      <w:lvlJc w:val="left"/>
      <w:pPr>
        <w:ind w:left="5182" w:hanging="360"/>
      </w:pPr>
    </w:lvl>
    <w:lvl w:ilvl="5" w:tplc="0809001B" w:tentative="1">
      <w:start w:val="1"/>
      <w:numFmt w:val="lowerRoman"/>
      <w:lvlText w:val="%6."/>
      <w:lvlJc w:val="right"/>
      <w:pPr>
        <w:ind w:left="5902" w:hanging="180"/>
      </w:pPr>
    </w:lvl>
    <w:lvl w:ilvl="6" w:tplc="0809000F" w:tentative="1">
      <w:start w:val="1"/>
      <w:numFmt w:val="decimal"/>
      <w:lvlText w:val="%7."/>
      <w:lvlJc w:val="left"/>
      <w:pPr>
        <w:ind w:left="6622" w:hanging="360"/>
      </w:pPr>
    </w:lvl>
    <w:lvl w:ilvl="7" w:tplc="08090019" w:tentative="1">
      <w:start w:val="1"/>
      <w:numFmt w:val="lowerLetter"/>
      <w:lvlText w:val="%8."/>
      <w:lvlJc w:val="left"/>
      <w:pPr>
        <w:ind w:left="7342" w:hanging="360"/>
      </w:pPr>
    </w:lvl>
    <w:lvl w:ilvl="8" w:tplc="0809001B" w:tentative="1">
      <w:start w:val="1"/>
      <w:numFmt w:val="lowerRoman"/>
      <w:lvlText w:val="%9."/>
      <w:lvlJc w:val="right"/>
      <w:pPr>
        <w:ind w:left="8062" w:hanging="180"/>
      </w:pPr>
    </w:lvl>
  </w:abstractNum>
  <w:abstractNum w:abstractNumId="13" w15:restartNumberingAfterBreak="0">
    <w:nsid w:val="6B2D5B62"/>
    <w:multiLevelType w:val="hybridMultilevel"/>
    <w:tmpl w:val="4F0C116A"/>
    <w:lvl w:ilvl="0" w:tplc="3D148F56">
      <w:start w:val="1"/>
      <w:numFmt w:val="decimal"/>
      <w:lvlText w:val="(%1)"/>
      <w:lvlJc w:val="left"/>
      <w:pPr>
        <w:ind w:left="1640" w:hanging="360"/>
      </w:pPr>
      <w:rPr>
        <w:rFonts w:hint="default"/>
      </w:rPr>
    </w:lvl>
    <w:lvl w:ilvl="1" w:tplc="08090019" w:tentative="1">
      <w:start w:val="1"/>
      <w:numFmt w:val="lowerLetter"/>
      <w:lvlText w:val="%2."/>
      <w:lvlJc w:val="left"/>
      <w:pPr>
        <w:ind w:left="2360" w:hanging="360"/>
      </w:pPr>
    </w:lvl>
    <w:lvl w:ilvl="2" w:tplc="0809001B" w:tentative="1">
      <w:start w:val="1"/>
      <w:numFmt w:val="lowerRoman"/>
      <w:lvlText w:val="%3."/>
      <w:lvlJc w:val="right"/>
      <w:pPr>
        <w:ind w:left="3080" w:hanging="180"/>
      </w:pPr>
    </w:lvl>
    <w:lvl w:ilvl="3" w:tplc="0809000F" w:tentative="1">
      <w:start w:val="1"/>
      <w:numFmt w:val="decimal"/>
      <w:lvlText w:val="%4."/>
      <w:lvlJc w:val="left"/>
      <w:pPr>
        <w:ind w:left="3800" w:hanging="360"/>
      </w:pPr>
    </w:lvl>
    <w:lvl w:ilvl="4" w:tplc="08090019" w:tentative="1">
      <w:start w:val="1"/>
      <w:numFmt w:val="lowerLetter"/>
      <w:lvlText w:val="%5."/>
      <w:lvlJc w:val="left"/>
      <w:pPr>
        <w:ind w:left="4520" w:hanging="360"/>
      </w:pPr>
    </w:lvl>
    <w:lvl w:ilvl="5" w:tplc="0809001B" w:tentative="1">
      <w:start w:val="1"/>
      <w:numFmt w:val="lowerRoman"/>
      <w:lvlText w:val="%6."/>
      <w:lvlJc w:val="right"/>
      <w:pPr>
        <w:ind w:left="5240" w:hanging="180"/>
      </w:pPr>
    </w:lvl>
    <w:lvl w:ilvl="6" w:tplc="0809000F" w:tentative="1">
      <w:start w:val="1"/>
      <w:numFmt w:val="decimal"/>
      <w:lvlText w:val="%7."/>
      <w:lvlJc w:val="left"/>
      <w:pPr>
        <w:ind w:left="5960" w:hanging="360"/>
      </w:pPr>
    </w:lvl>
    <w:lvl w:ilvl="7" w:tplc="08090019" w:tentative="1">
      <w:start w:val="1"/>
      <w:numFmt w:val="lowerLetter"/>
      <w:lvlText w:val="%8."/>
      <w:lvlJc w:val="left"/>
      <w:pPr>
        <w:ind w:left="6680" w:hanging="360"/>
      </w:pPr>
    </w:lvl>
    <w:lvl w:ilvl="8" w:tplc="0809001B" w:tentative="1">
      <w:start w:val="1"/>
      <w:numFmt w:val="lowerRoman"/>
      <w:lvlText w:val="%9."/>
      <w:lvlJc w:val="right"/>
      <w:pPr>
        <w:ind w:left="7400" w:hanging="180"/>
      </w:pPr>
    </w:lvl>
  </w:abstractNum>
  <w:abstractNum w:abstractNumId="14" w15:restartNumberingAfterBreak="0">
    <w:nsid w:val="773279EA"/>
    <w:multiLevelType w:val="hybridMultilevel"/>
    <w:tmpl w:val="FF26EF42"/>
    <w:lvl w:ilvl="0" w:tplc="74BCF1EA">
      <w:start w:val="1"/>
      <w:numFmt w:val="lowerLetter"/>
      <w:lvlText w:val="(%1)"/>
      <w:lvlJc w:val="left"/>
      <w:pPr>
        <w:ind w:left="144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C26E7E"/>
    <w:multiLevelType w:val="hybridMultilevel"/>
    <w:tmpl w:val="645A438E"/>
    <w:lvl w:ilvl="0" w:tplc="B74EC38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EFEA6B68">
      <w:start w:val="30"/>
      <w:numFmt w:val="decimal"/>
      <w:lvlText w:val="%4."/>
      <w:lvlJc w:val="left"/>
      <w:pPr>
        <w:ind w:left="3371" w:hanging="360"/>
      </w:pPr>
      <w:rPr>
        <w:rFonts w:hint="default"/>
        <w:sz w:val="22"/>
      </w:rPr>
    </w:lvl>
    <w:lvl w:ilvl="4" w:tplc="08090019">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7BA7184A"/>
    <w:multiLevelType w:val="hybridMultilevel"/>
    <w:tmpl w:val="8CD8A240"/>
    <w:lvl w:ilvl="0" w:tplc="A3CEB28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7" w15:restartNumberingAfterBreak="0">
    <w:nsid w:val="7C5F1FEE"/>
    <w:multiLevelType w:val="hybridMultilevel"/>
    <w:tmpl w:val="5E9052F6"/>
    <w:lvl w:ilvl="0" w:tplc="22904922">
      <w:start w:val="1"/>
      <w:numFmt w:val="decimal"/>
      <w:lvlText w:val="%1."/>
      <w:lvlJc w:val="left"/>
      <w:pPr>
        <w:ind w:left="502" w:hanging="360"/>
      </w:pPr>
      <w:rPr>
        <w:rFonts w:ascii="Times New Roman" w:hAnsi="Times New Roman" w:cs="Times New Roman" w:hint="default"/>
        <w:b w:val="0"/>
        <w:bCs w:val="0"/>
        <w:strike w:val="0"/>
        <w:sz w:val="22"/>
        <w:szCs w:val="22"/>
      </w:r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16cid:durableId="359940558">
    <w:abstractNumId w:val="2"/>
  </w:num>
  <w:num w:numId="2" w16cid:durableId="2138524305">
    <w:abstractNumId w:val="8"/>
  </w:num>
  <w:num w:numId="3" w16cid:durableId="1107316237">
    <w:abstractNumId w:val="17"/>
  </w:num>
  <w:num w:numId="4" w16cid:durableId="1953316354">
    <w:abstractNumId w:val="4"/>
  </w:num>
  <w:num w:numId="5" w16cid:durableId="1784182096">
    <w:abstractNumId w:val="5"/>
  </w:num>
  <w:num w:numId="6" w16cid:durableId="1361735360">
    <w:abstractNumId w:val="16"/>
  </w:num>
  <w:num w:numId="7" w16cid:durableId="1702322516">
    <w:abstractNumId w:val="6"/>
  </w:num>
  <w:num w:numId="8" w16cid:durableId="530193148">
    <w:abstractNumId w:val="1"/>
  </w:num>
  <w:num w:numId="9" w16cid:durableId="1839227688">
    <w:abstractNumId w:val="14"/>
  </w:num>
  <w:num w:numId="10" w16cid:durableId="2011323553">
    <w:abstractNumId w:val="0"/>
  </w:num>
  <w:num w:numId="11" w16cid:durableId="1594514641">
    <w:abstractNumId w:val="3"/>
  </w:num>
  <w:num w:numId="12" w16cid:durableId="1418743769">
    <w:abstractNumId w:val="15"/>
  </w:num>
  <w:num w:numId="13" w16cid:durableId="2017997183">
    <w:abstractNumId w:val="10"/>
  </w:num>
  <w:num w:numId="14" w16cid:durableId="830872809">
    <w:abstractNumId w:val="9"/>
  </w:num>
  <w:num w:numId="15" w16cid:durableId="157306611">
    <w:abstractNumId w:val="11"/>
  </w:num>
  <w:num w:numId="16" w16cid:durableId="1451900624">
    <w:abstractNumId w:val="7"/>
  </w:num>
  <w:num w:numId="17" w16cid:durableId="1564759343">
    <w:abstractNumId w:val="12"/>
  </w:num>
  <w:num w:numId="18" w16cid:durableId="72837889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ocumentProtection w:edit="readOnly" w:formatting="1" w:enforcement="1" w:cryptProviderType="rsaAES" w:cryptAlgorithmClass="hash" w:cryptAlgorithmType="typeAny" w:cryptAlgorithmSid="14" w:cryptSpinCount="100000" w:hash="/omln/VdDyhcc5WYZR3l6DgwLsbckiLOFo2l4mMugc9QUHDS92eViFoe+VZdeUGk6WanCiZ7055/E5hCA3N9Bg==" w:salt="qFd/y+D/QUxyHCUWzyUwUA=="/>
  <w:defaultTabStop w:val="153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049"/>
    <w:rsid w:val="00007D05"/>
    <w:rsid w:val="000243D1"/>
    <w:rsid w:val="00033DD1"/>
    <w:rsid w:val="000408B5"/>
    <w:rsid w:val="0005093F"/>
    <w:rsid w:val="000609A4"/>
    <w:rsid w:val="00063116"/>
    <w:rsid w:val="00092F43"/>
    <w:rsid w:val="000A3857"/>
    <w:rsid w:val="000B06AD"/>
    <w:rsid w:val="000B0F28"/>
    <w:rsid w:val="000B24C5"/>
    <w:rsid w:val="000B3A66"/>
    <w:rsid w:val="000B6BC9"/>
    <w:rsid w:val="000C035C"/>
    <w:rsid w:val="000C7D04"/>
    <w:rsid w:val="000D2201"/>
    <w:rsid w:val="000D23D2"/>
    <w:rsid w:val="000D74C4"/>
    <w:rsid w:val="000F0263"/>
    <w:rsid w:val="001126BA"/>
    <w:rsid w:val="0011651E"/>
    <w:rsid w:val="001228EB"/>
    <w:rsid w:val="00123343"/>
    <w:rsid w:val="00130E36"/>
    <w:rsid w:val="00134F17"/>
    <w:rsid w:val="00135011"/>
    <w:rsid w:val="0014291C"/>
    <w:rsid w:val="00151D69"/>
    <w:rsid w:val="001569E4"/>
    <w:rsid w:val="001639A8"/>
    <w:rsid w:val="001651BA"/>
    <w:rsid w:val="0016646F"/>
    <w:rsid w:val="00172EA2"/>
    <w:rsid w:val="00175EB3"/>
    <w:rsid w:val="001916DF"/>
    <w:rsid w:val="0019223A"/>
    <w:rsid w:val="00197C2E"/>
    <w:rsid w:val="001B02AE"/>
    <w:rsid w:val="001B3588"/>
    <w:rsid w:val="001B37E4"/>
    <w:rsid w:val="001B3C40"/>
    <w:rsid w:val="001B62CB"/>
    <w:rsid w:val="001B738B"/>
    <w:rsid w:val="001C64FF"/>
    <w:rsid w:val="001C67B0"/>
    <w:rsid w:val="001D0F85"/>
    <w:rsid w:val="001D2F96"/>
    <w:rsid w:val="001E3292"/>
    <w:rsid w:val="001E6398"/>
    <w:rsid w:val="00204952"/>
    <w:rsid w:val="002067CC"/>
    <w:rsid w:val="0021127D"/>
    <w:rsid w:val="002154C3"/>
    <w:rsid w:val="00222E3E"/>
    <w:rsid w:val="00250665"/>
    <w:rsid w:val="00264197"/>
    <w:rsid w:val="002805CC"/>
    <w:rsid w:val="00282B37"/>
    <w:rsid w:val="00283879"/>
    <w:rsid w:val="002872B6"/>
    <w:rsid w:val="00292E14"/>
    <w:rsid w:val="002A07B1"/>
    <w:rsid w:val="002A7043"/>
    <w:rsid w:val="002B017B"/>
    <w:rsid w:val="002B79F8"/>
    <w:rsid w:val="002D027C"/>
    <w:rsid w:val="002F0CEC"/>
    <w:rsid w:val="002F22A5"/>
    <w:rsid w:val="002F2C85"/>
    <w:rsid w:val="00303166"/>
    <w:rsid w:val="00326B46"/>
    <w:rsid w:val="00334F4E"/>
    <w:rsid w:val="00337A09"/>
    <w:rsid w:val="003438C4"/>
    <w:rsid w:val="0035575F"/>
    <w:rsid w:val="00360095"/>
    <w:rsid w:val="00370A8D"/>
    <w:rsid w:val="003735AD"/>
    <w:rsid w:val="003755A9"/>
    <w:rsid w:val="00384A20"/>
    <w:rsid w:val="003A19FE"/>
    <w:rsid w:val="003B2F11"/>
    <w:rsid w:val="003B5810"/>
    <w:rsid w:val="003C27AE"/>
    <w:rsid w:val="003C623A"/>
    <w:rsid w:val="003D45C7"/>
    <w:rsid w:val="003E0943"/>
    <w:rsid w:val="003E1B0D"/>
    <w:rsid w:val="003E2EF9"/>
    <w:rsid w:val="003F370B"/>
    <w:rsid w:val="00411841"/>
    <w:rsid w:val="004430F3"/>
    <w:rsid w:val="00460EAE"/>
    <w:rsid w:val="0047244B"/>
    <w:rsid w:val="00474300"/>
    <w:rsid w:val="00482201"/>
    <w:rsid w:val="00492420"/>
    <w:rsid w:val="00496C24"/>
    <w:rsid w:val="004A4E5E"/>
    <w:rsid w:val="004A5E03"/>
    <w:rsid w:val="004D145B"/>
    <w:rsid w:val="004E37C8"/>
    <w:rsid w:val="004E5607"/>
    <w:rsid w:val="004E6453"/>
    <w:rsid w:val="004F6C96"/>
    <w:rsid w:val="00502B2A"/>
    <w:rsid w:val="0051450B"/>
    <w:rsid w:val="00514F58"/>
    <w:rsid w:val="00521DE4"/>
    <w:rsid w:val="00532DEA"/>
    <w:rsid w:val="005331A1"/>
    <w:rsid w:val="00536932"/>
    <w:rsid w:val="00546FDD"/>
    <w:rsid w:val="0055337C"/>
    <w:rsid w:val="005626A6"/>
    <w:rsid w:val="00565692"/>
    <w:rsid w:val="005863DD"/>
    <w:rsid w:val="005917E7"/>
    <w:rsid w:val="005A3B43"/>
    <w:rsid w:val="005A72E6"/>
    <w:rsid w:val="005B0EA8"/>
    <w:rsid w:val="005B2EAD"/>
    <w:rsid w:val="005C20F3"/>
    <w:rsid w:val="005C52DD"/>
    <w:rsid w:val="005C5347"/>
    <w:rsid w:val="005C5EF1"/>
    <w:rsid w:val="005D40AB"/>
    <w:rsid w:val="00626338"/>
    <w:rsid w:val="00626D32"/>
    <w:rsid w:val="00630643"/>
    <w:rsid w:val="006330CA"/>
    <w:rsid w:val="0063538C"/>
    <w:rsid w:val="00644404"/>
    <w:rsid w:val="006452BC"/>
    <w:rsid w:val="00654A6A"/>
    <w:rsid w:val="00657B99"/>
    <w:rsid w:val="00662878"/>
    <w:rsid w:val="00677392"/>
    <w:rsid w:val="00683630"/>
    <w:rsid w:val="00690EDE"/>
    <w:rsid w:val="00693DEE"/>
    <w:rsid w:val="00695727"/>
    <w:rsid w:val="006C3A5A"/>
    <w:rsid w:val="006C6786"/>
    <w:rsid w:val="006D50B1"/>
    <w:rsid w:val="0072079E"/>
    <w:rsid w:val="007221D5"/>
    <w:rsid w:val="00751716"/>
    <w:rsid w:val="007670E9"/>
    <w:rsid w:val="00776147"/>
    <w:rsid w:val="00783B83"/>
    <w:rsid w:val="007841B7"/>
    <w:rsid w:val="0079082F"/>
    <w:rsid w:val="007A2C36"/>
    <w:rsid w:val="007A48B2"/>
    <w:rsid w:val="007B5315"/>
    <w:rsid w:val="007B6611"/>
    <w:rsid w:val="007B6C13"/>
    <w:rsid w:val="007C25BC"/>
    <w:rsid w:val="007C3AF3"/>
    <w:rsid w:val="007D04FA"/>
    <w:rsid w:val="007D3E9E"/>
    <w:rsid w:val="007E010F"/>
    <w:rsid w:val="007E3953"/>
    <w:rsid w:val="007E5D66"/>
    <w:rsid w:val="00805D7B"/>
    <w:rsid w:val="00807357"/>
    <w:rsid w:val="00821FA8"/>
    <w:rsid w:val="0083055E"/>
    <w:rsid w:val="00840A9D"/>
    <w:rsid w:val="008650A9"/>
    <w:rsid w:val="00871A11"/>
    <w:rsid w:val="008749FF"/>
    <w:rsid w:val="008833AA"/>
    <w:rsid w:val="008A39E7"/>
    <w:rsid w:val="008A47CE"/>
    <w:rsid w:val="008A639B"/>
    <w:rsid w:val="008C0117"/>
    <w:rsid w:val="008D13EF"/>
    <w:rsid w:val="008D3AF6"/>
    <w:rsid w:val="008D6998"/>
    <w:rsid w:val="008D7276"/>
    <w:rsid w:val="008E0A41"/>
    <w:rsid w:val="008F0D58"/>
    <w:rsid w:val="0090706E"/>
    <w:rsid w:val="00911E70"/>
    <w:rsid w:val="00911EF8"/>
    <w:rsid w:val="009164CC"/>
    <w:rsid w:val="00917980"/>
    <w:rsid w:val="00923529"/>
    <w:rsid w:val="00924FD8"/>
    <w:rsid w:val="00925B19"/>
    <w:rsid w:val="00931CF9"/>
    <w:rsid w:val="00952241"/>
    <w:rsid w:val="00954FC3"/>
    <w:rsid w:val="00956A91"/>
    <w:rsid w:val="00966E6B"/>
    <w:rsid w:val="009751E5"/>
    <w:rsid w:val="00977262"/>
    <w:rsid w:val="009926CC"/>
    <w:rsid w:val="009A2B50"/>
    <w:rsid w:val="009A2E29"/>
    <w:rsid w:val="009A5D9B"/>
    <w:rsid w:val="009C6DB2"/>
    <w:rsid w:val="009D1DBF"/>
    <w:rsid w:val="009D240F"/>
    <w:rsid w:val="009E6973"/>
    <w:rsid w:val="00A21005"/>
    <w:rsid w:val="00A266EE"/>
    <w:rsid w:val="00A4551F"/>
    <w:rsid w:val="00A56829"/>
    <w:rsid w:val="00A62B4C"/>
    <w:rsid w:val="00A63725"/>
    <w:rsid w:val="00A64722"/>
    <w:rsid w:val="00A678B5"/>
    <w:rsid w:val="00A71143"/>
    <w:rsid w:val="00A71473"/>
    <w:rsid w:val="00A74B10"/>
    <w:rsid w:val="00A76E43"/>
    <w:rsid w:val="00A8159B"/>
    <w:rsid w:val="00A83959"/>
    <w:rsid w:val="00A841B3"/>
    <w:rsid w:val="00AA17A0"/>
    <w:rsid w:val="00AA7526"/>
    <w:rsid w:val="00AB0AEB"/>
    <w:rsid w:val="00AB5BC4"/>
    <w:rsid w:val="00AD6F71"/>
    <w:rsid w:val="00AE0298"/>
    <w:rsid w:val="00AF04F3"/>
    <w:rsid w:val="00AF2786"/>
    <w:rsid w:val="00AF5193"/>
    <w:rsid w:val="00B00CA7"/>
    <w:rsid w:val="00B12D73"/>
    <w:rsid w:val="00B40E31"/>
    <w:rsid w:val="00B46CC4"/>
    <w:rsid w:val="00B50FEB"/>
    <w:rsid w:val="00B51049"/>
    <w:rsid w:val="00B54874"/>
    <w:rsid w:val="00B56AA6"/>
    <w:rsid w:val="00B63B27"/>
    <w:rsid w:val="00B7286F"/>
    <w:rsid w:val="00B73727"/>
    <w:rsid w:val="00B77A62"/>
    <w:rsid w:val="00B9193E"/>
    <w:rsid w:val="00BA0E8A"/>
    <w:rsid w:val="00BB14AA"/>
    <w:rsid w:val="00BB28AC"/>
    <w:rsid w:val="00BB5A10"/>
    <w:rsid w:val="00BC11E5"/>
    <w:rsid w:val="00BC22AC"/>
    <w:rsid w:val="00BC3B2F"/>
    <w:rsid w:val="00BD5988"/>
    <w:rsid w:val="00BE2E1C"/>
    <w:rsid w:val="00BF35CA"/>
    <w:rsid w:val="00BF4093"/>
    <w:rsid w:val="00BF73BD"/>
    <w:rsid w:val="00BF7C54"/>
    <w:rsid w:val="00BF7CA5"/>
    <w:rsid w:val="00C0021A"/>
    <w:rsid w:val="00C02C69"/>
    <w:rsid w:val="00C030A0"/>
    <w:rsid w:val="00C05C2B"/>
    <w:rsid w:val="00C06953"/>
    <w:rsid w:val="00C228B4"/>
    <w:rsid w:val="00C264B7"/>
    <w:rsid w:val="00C41073"/>
    <w:rsid w:val="00C412E3"/>
    <w:rsid w:val="00C42923"/>
    <w:rsid w:val="00C563B6"/>
    <w:rsid w:val="00C659F5"/>
    <w:rsid w:val="00C70DDC"/>
    <w:rsid w:val="00C71095"/>
    <w:rsid w:val="00C73712"/>
    <w:rsid w:val="00C76009"/>
    <w:rsid w:val="00C8193E"/>
    <w:rsid w:val="00C82BBE"/>
    <w:rsid w:val="00C96B7B"/>
    <w:rsid w:val="00C972CB"/>
    <w:rsid w:val="00CA444E"/>
    <w:rsid w:val="00CA47BC"/>
    <w:rsid w:val="00CA6261"/>
    <w:rsid w:val="00CB0841"/>
    <w:rsid w:val="00CC093E"/>
    <w:rsid w:val="00CE2ABB"/>
    <w:rsid w:val="00CE2FEB"/>
    <w:rsid w:val="00CE5D13"/>
    <w:rsid w:val="00CE6737"/>
    <w:rsid w:val="00D0112C"/>
    <w:rsid w:val="00D042AF"/>
    <w:rsid w:val="00D07AFD"/>
    <w:rsid w:val="00D20202"/>
    <w:rsid w:val="00D20732"/>
    <w:rsid w:val="00D26D2C"/>
    <w:rsid w:val="00D45C5F"/>
    <w:rsid w:val="00D532F8"/>
    <w:rsid w:val="00D533E6"/>
    <w:rsid w:val="00D552AB"/>
    <w:rsid w:val="00D72572"/>
    <w:rsid w:val="00D85041"/>
    <w:rsid w:val="00D95B53"/>
    <w:rsid w:val="00DA7C7E"/>
    <w:rsid w:val="00DB26EA"/>
    <w:rsid w:val="00DC16BC"/>
    <w:rsid w:val="00DC1EDB"/>
    <w:rsid w:val="00DC2DA7"/>
    <w:rsid w:val="00DC36B3"/>
    <w:rsid w:val="00DD1318"/>
    <w:rsid w:val="00DD35FF"/>
    <w:rsid w:val="00DD7E39"/>
    <w:rsid w:val="00DE120B"/>
    <w:rsid w:val="00DE4E78"/>
    <w:rsid w:val="00DE5370"/>
    <w:rsid w:val="00DE70B9"/>
    <w:rsid w:val="00E038DD"/>
    <w:rsid w:val="00E05D3B"/>
    <w:rsid w:val="00E112B1"/>
    <w:rsid w:val="00E1192D"/>
    <w:rsid w:val="00E245B0"/>
    <w:rsid w:val="00E34211"/>
    <w:rsid w:val="00E36D19"/>
    <w:rsid w:val="00E41779"/>
    <w:rsid w:val="00E57B6E"/>
    <w:rsid w:val="00E74B87"/>
    <w:rsid w:val="00EA1225"/>
    <w:rsid w:val="00EA2203"/>
    <w:rsid w:val="00EB265E"/>
    <w:rsid w:val="00EB36C3"/>
    <w:rsid w:val="00EC557B"/>
    <w:rsid w:val="00ED04FC"/>
    <w:rsid w:val="00ED1808"/>
    <w:rsid w:val="00ED75F4"/>
    <w:rsid w:val="00EE1C04"/>
    <w:rsid w:val="00EE4B35"/>
    <w:rsid w:val="00EE58FE"/>
    <w:rsid w:val="00F11FE0"/>
    <w:rsid w:val="00F12017"/>
    <w:rsid w:val="00F13A0F"/>
    <w:rsid w:val="00F1519D"/>
    <w:rsid w:val="00F224CF"/>
    <w:rsid w:val="00F25A14"/>
    <w:rsid w:val="00F45AD3"/>
    <w:rsid w:val="00F46F92"/>
    <w:rsid w:val="00F55192"/>
    <w:rsid w:val="00F61939"/>
    <w:rsid w:val="00F93BCD"/>
    <w:rsid w:val="00FA2F86"/>
    <w:rsid w:val="00FA4BFB"/>
    <w:rsid w:val="00FB656C"/>
    <w:rsid w:val="00FC192C"/>
    <w:rsid w:val="00FD2384"/>
    <w:rsid w:val="00FD79B3"/>
    <w:rsid w:val="00FF0CC4"/>
    <w:rsid w:val="00FF13CA"/>
    <w:rsid w:val="00FF2537"/>
    <w:rsid w:val="00FF68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784CC"/>
  <w15:chartTrackingRefBased/>
  <w15:docId w15:val="{44C02085-C917-45C6-B2AE-9944CC8C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DEA"/>
    <w:pPr>
      <w:overflowPunct w:val="0"/>
      <w:autoSpaceDE w:val="0"/>
      <w:autoSpaceDN w:val="0"/>
      <w:adjustRightInd w:val="0"/>
      <w:textAlignment w:val="baseline"/>
    </w:pPr>
    <w:rPr>
      <w:rFonts w:ascii="Times New Roman" w:eastAsia="細明體" w:hAnsi="Times New Roman" w:cs="Times New Roman"/>
      <w:kern w:val="0"/>
      <w:sz w:val="20"/>
      <w:szCs w:val="20"/>
      <w:lang w:val="en-GB"/>
    </w:rPr>
  </w:style>
  <w:style w:type="paragraph" w:styleId="4">
    <w:name w:val="heading 4"/>
    <w:basedOn w:val="a"/>
    <w:next w:val="a"/>
    <w:link w:val="40"/>
    <w:uiPriority w:val="9"/>
    <w:semiHidden/>
    <w:unhideWhenUsed/>
    <w:qFormat/>
    <w:rsid w:val="002F0CEC"/>
    <w:pPr>
      <w:keepNext/>
      <w:spacing w:line="720" w:lineRule="auto"/>
      <w:outlineLvl w:val="3"/>
    </w:pPr>
    <w:rPr>
      <w:rFonts w:asciiTheme="majorHAnsi" w:eastAsiaTheme="majorEastAsia" w:hAnsiTheme="majorHAnsi" w:cstheme="majorBidi"/>
      <w:sz w:val="36"/>
      <w:szCs w:val="36"/>
    </w:rPr>
  </w:style>
  <w:style w:type="paragraph" w:styleId="6">
    <w:name w:val="heading 6"/>
    <w:basedOn w:val="a"/>
    <w:next w:val="a"/>
    <w:link w:val="60"/>
    <w:qFormat/>
    <w:rsid w:val="002F0CEC"/>
    <w:pPr>
      <w:keepNext/>
      <w:kinsoku w:val="0"/>
      <w:snapToGrid w:val="0"/>
      <w:jc w:val="both"/>
      <w:outlineLvl w:val="5"/>
    </w:pPr>
    <w:rPr>
      <w:b/>
      <w:snapToGrid w:val="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261"/>
    <w:pPr>
      <w:tabs>
        <w:tab w:val="center" w:pos="4153"/>
        <w:tab w:val="right" w:pos="8306"/>
      </w:tabs>
      <w:snapToGrid w:val="0"/>
    </w:pPr>
  </w:style>
  <w:style w:type="character" w:customStyle="1" w:styleId="a4">
    <w:name w:val="頁首 字元"/>
    <w:basedOn w:val="a0"/>
    <w:link w:val="a3"/>
    <w:uiPriority w:val="99"/>
    <w:rsid w:val="00CA6261"/>
    <w:rPr>
      <w:sz w:val="20"/>
      <w:szCs w:val="20"/>
    </w:rPr>
  </w:style>
  <w:style w:type="paragraph" w:styleId="a5">
    <w:name w:val="footer"/>
    <w:basedOn w:val="a"/>
    <w:link w:val="a6"/>
    <w:uiPriority w:val="99"/>
    <w:unhideWhenUsed/>
    <w:rsid w:val="00CA6261"/>
    <w:pPr>
      <w:tabs>
        <w:tab w:val="center" w:pos="4153"/>
        <w:tab w:val="right" w:pos="8306"/>
      </w:tabs>
      <w:snapToGrid w:val="0"/>
    </w:pPr>
  </w:style>
  <w:style w:type="character" w:customStyle="1" w:styleId="a6">
    <w:name w:val="頁尾 字元"/>
    <w:basedOn w:val="a0"/>
    <w:link w:val="a5"/>
    <w:uiPriority w:val="99"/>
    <w:rsid w:val="00CA6261"/>
    <w:rPr>
      <w:sz w:val="20"/>
      <w:szCs w:val="20"/>
    </w:rPr>
  </w:style>
  <w:style w:type="character" w:customStyle="1" w:styleId="60">
    <w:name w:val="標題 6 字元"/>
    <w:basedOn w:val="a0"/>
    <w:link w:val="6"/>
    <w:rsid w:val="002F0CEC"/>
    <w:rPr>
      <w:rFonts w:ascii="Times New Roman" w:eastAsia="細明體" w:hAnsi="Times New Roman" w:cs="Times New Roman"/>
      <w:b/>
      <w:snapToGrid w:val="0"/>
      <w:kern w:val="0"/>
      <w:sz w:val="20"/>
      <w:szCs w:val="20"/>
      <w:lang w:val="en-GB" w:eastAsia="zh-CN"/>
    </w:rPr>
  </w:style>
  <w:style w:type="paragraph" w:customStyle="1" w:styleId="normal1">
    <w:name w:val="normal1"/>
    <w:basedOn w:val="a"/>
    <w:rsid w:val="002F0CEC"/>
    <w:pPr>
      <w:tabs>
        <w:tab w:val="left" w:pos="1411"/>
      </w:tabs>
      <w:kinsoku w:val="0"/>
      <w:snapToGrid w:val="0"/>
      <w:jc w:val="center"/>
    </w:pPr>
    <w:rPr>
      <w:snapToGrid w:val="0"/>
      <w:sz w:val="28"/>
      <w:lang w:eastAsia="zh-CN"/>
    </w:rPr>
  </w:style>
  <w:style w:type="paragraph" w:customStyle="1" w:styleId="normal2">
    <w:name w:val="normal2"/>
    <w:rsid w:val="002F0CEC"/>
    <w:pPr>
      <w:kinsoku w:val="0"/>
      <w:overflowPunct w:val="0"/>
      <w:autoSpaceDE w:val="0"/>
      <w:autoSpaceDN w:val="0"/>
      <w:adjustRightInd w:val="0"/>
      <w:snapToGrid w:val="0"/>
      <w:jc w:val="center"/>
    </w:pPr>
    <w:rPr>
      <w:rFonts w:ascii="Times New Roman" w:eastAsia="SimSun" w:hAnsi="Times New Roman" w:cs="Times New Roman"/>
      <w:caps/>
      <w:kern w:val="28"/>
      <w:sz w:val="28"/>
      <w:szCs w:val="28"/>
      <w:lang w:val="en-GB" w:eastAsia="en-US"/>
    </w:rPr>
  </w:style>
  <w:style w:type="paragraph" w:customStyle="1" w:styleId="normal3">
    <w:name w:val="normal3"/>
    <w:rsid w:val="002F0CEC"/>
    <w:pPr>
      <w:tabs>
        <w:tab w:val="center" w:pos="4500"/>
        <w:tab w:val="right" w:pos="9000"/>
      </w:tabs>
      <w:kinsoku w:val="0"/>
      <w:overflowPunct w:val="0"/>
      <w:autoSpaceDE w:val="0"/>
      <w:autoSpaceDN w:val="0"/>
      <w:adjustRightInd w:val="0"/>
      <w:spacing w:after="60"/>
      <w:jc w:val="center"/>
    </w:pPr>
    <w:rPr>
      <w:rFonts w:ascii="Times New Roman" w:eastAsia="細明體" w:hAnsi="Times New Roman" w:cs="Times New Roman"/>
      <w:b/>
      <w:caps/>
      <w:kern w:val="0"/>
      <w:sz w:val="28"/>
      <w:szCs w:val="20"/>
      <w:lang w:val="en-GB" w:eastAsia="en-US"/>
    </w:rPr>
  </w:style>
  <w:style w:type="paragraph" w:customStyle="1" w:styleId="j-heading">
    <w:name w:val="j-heading"/>
    <w:basedOn w:val="4"/>
    <w:next w:val="a"/>
    <w:rsid w:val="002F0CEC"/>
    <w:pPr>
      <w:kinsoku w:val="0"/>
      <w:snapToGrid w:val="0"/>
      <w:spacing w:before="360" w:line="360" w:lineRule="auto"/>
    </w:pPr>
    <w:rPr>
      <w:rFonts w:ascii="Times New Roman" w:eastAsia="SimSun" w:hAnsi="Times New Roman" w:cs="Times New Roman"/>
      <w:i/>
      <w:snapToGrid w:val="0"/>
      <w:sz w:val="28"/>
      <w:szCs w:val="20"/>
      <w:lang w:eastAsia="zh-CN"/>
    </w:rPr>
  </w:style>
  <w:style w:type="paragraph" w:customStyle="1" w:styleId="j-quotation">
    <w:name w:val="j-quotation"/>
    <w:next w:val="a7"/>
    <w:rsid w:val="002F0CEC"/>
    <w:pPr>
      <w:tabs>
        <w:tab w:val="left" w:pos="1418"/>
      </w:tabs>
      <w:kinsoku w:val="0"/>
      <w:overflowPunct w:val="0"/>
      <w:autoSpaceDE w:val="0"/>
      <w:autoSpaceDN w:val="0"/>
      <w:adjustRightInd w:val="0"/>
      <w:snapToGrid w:val="0"/>
      <w:spacing w:before="180" w:after="60"/>
      <w:ind w:left="1418" w:right="737"/>
      <w:jc w:val="both"/>
    </w:pPr>
    <w:rPr>
      <w:rFonts w:ascii="Times New Roman" w:eastAsia="SimSun" w:hAnsi="Times New Roman" w:cs="Times New Roman"/>
      <w:kern w:val="0"/>
      <w:szCs w:val="20"/>
      <w:lang w:val="en-GB" w:eastAsia="en-US"/>
    </w:rPr>
  </w:style>
  <w:style w:type="paragraph" w:styleId="a8">
    <w:name w:val="footnote text"/>
    <w:basedOn w:val="a"/>
    <w:link w:val="a9"/>
    <w:uiPriority w:val="99"/>
    <w:unhideWhenUsed/>
    <w:rsid w:val="002F0CEC"/>
    <w:pPr>
      <w:tabs>
        <w:tab w:val="left" w:pos="274"/>
      </w:tabs>
    </w:pPr>
    <w:rPr>
      <w:rFonts w:eastAsia="SimSun"/>
      <w:lang w:eastAsia="zh-CN"/>
    </w:rPr>
  </w:style>
  <w:style w:type="character" w:customStyle="1" w:styleId="a9">
    <w:name w:val="註腳文字 字元"/>
    <w:basedOn w:val="a0"/>
    <w:link w:val="a8"/>
    <w:uiPriority w:val="99"/>
    <w:rsid w:val="002F0CEC"/>
    <w:rPr>
      <w:rFonts w:ascii="Times New Roman" w:eastAsia="SimSun" w:hAnsi="Times New Roman" w:cs="Times New Roman"/>
      <w:kern w:val="0"/>
      <w:sz w:val="20"/>
      <w:szCs w:val="20"/>
      <w:lang w:val="en-GB" w:eastAsia="zh-CN"/>
    </w:rPr>
  </w:style>
  <w:style w:type="character" w:styleId="aa">
    <w:name w:val="footnote reference"/>
    <w:uiPriority w:val="99"/>
    <w:unhideWhenUsed/>
    <w:rsid w:val="002F0CEC"/>
    <w:rPr>
      <w:vertAlign w:val="superscript"/>
    </w:rPr>
  </w:style>
  <w:style w:type="paragraph" w:customStyle="1" w:styleId="sh">
    <w:name w:val="sh"/>
    <w:basedOn w:val="a"/>
    <w:rsid w:val="002F0CEC"/>
    <w:pPr>
      <w:tabs>
        <w:tab w:val="left" w:pos="720"/>
        <w:tab w:val="left" w:pos="1440"/>
        <w:tab w:val="center" w:pos="4320"/>
        <w:tab w:val="right" w:pos="9072"/>
      </w:tabs>
    </w:pPr>
    <w:rPr>
      <w:rFonts w:eastAsia="SimSun"/>
      <w:sz w:val="28"/>
      <w:lang w:eastAsia="zh-CN"/>
    </w:rPr>
  </w:style>
  <w:style w:type="paragraph" w:customStyle="1" w:styleId="T-Draft">
    <w:name w:val="T-Draft"/>
    <w:basedOn w:val="a"/>
    <w:rsid w:val="002F0CEC"/>
    <w:pPr>
      <w:numPr>
        <w:numId w:val="1"/>
      </w:numPr>
      <w:tabs>
        <w:tab w:val="left" w:pos="1440"/>
      </w:tabs>
      <w:snapToGrid w:val="0"/>
      <w:spacing w:before="360" w:line="360" w:lineRule="auto"/>
      <w:ind w:left="0" w:firstLine="0"/>
      <w:jc w:val="both"/>
    </w:pPr>
    <w:rPr>
      <w:rFonts w:eastAsia="SimSun"/>
      <w:sz w:val="28"/>
      <w:lang w:eastAsia="zh-CN"/>
    </w:rPr>
  </w:style>
  <w:style w:type="numbering" w:customStyle="1" w:styleId="1a">
    <w:name w:val="(1)(a)"/>
    <w:uiPriority w:val="99"/>
    <w:rsid w:val="002F0CEC"/>
    <w:pPr>
      <w:numPr>
        <w:numId w:val="2"/>
      </w:numPr>
    </w:pPr>
  </w:style>
  <w:style w:type="character" w:customStyle="1" w:styleId="40">
    <w:name w:val="標題 4 字元"/>
    <w:basedOn w:val="a0"/>
    <w:link w:val="4"/>
    <w:uiPriority w:val="9"/>
    <w:semiHidden/>
    <w:rsid w:val="002F0CEC"/>
    <w:rPr>
      <w:rFonts w:asciiTheme="majorHAnsi" w:eastAsiaTheme="majorEastAsia" w:hAnsiTheme="majorHAnsi" w:cstheme="majorBidi"/>
      <w:sz w:val="36"/>
      <w:szCs w:val="36"/>
    </w:rPr>
  </w:style>
  <w:style w:type="paragraph" w:styleId="a7">
    <w:name w:val="Body Text"/>
    <w:basedOn w:val="a"/>
    <w:link w:val="ab"/>
    <w:uiPriority w:val="99"/>
    <w:semiHidden/>
    <w:unhideWhenUsed/>
    <w:rsid w:val="002F0CEC"/>
    <w:pPr>
      <w:spacing w:after="120"/>
    </w:pPr>
  </w:style>
  <w:style w:type="character" w:customStyle="1" w:styleId="ab">
    <w:name w:val="本文 字元"/>
    <w:basedOn w:val="a0"/>
    <w:link w:val="a7"/>
    <w:uiPriority w:val="99"/>
    <w:semiHidden/>
    <w:rsid w:val="002F0CEC"/>
  </w:style>
  <w:style w:type="paragraph" w:styleId="ac">
    <w:name w:val="List Paragraph"/>
    <w:basedOn w:val="a"/>
    <w:uiPriority w:val="34"/>
    <w:qFormat/>
    <w:rsid w:val="002F0CEC"/>
    <w:pPr>
      <w:ind w:leftChars="200" w:left="480"/>
    </w:pPr>
  </w:style>
  <w:style w:type="table" w:styleId="ad">
    <w:name w:val="Table Grid"/>
    <w:basedOn w:val="a1"/>
    <w:uiPriority w:val="59"/>
    <w:rsid w:val="0069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95727"/>
    <w:rPr>
      <w:sz w:val="18"/>
      <w:szCs w:val="18"/>
    </w:rPr>
  </w:style>
  <w:style w:type="paragraph" w:styleId="af">
    <w:name w:val="annotation text"/>
    <w:basedOn w:val="a"/>
    <w:link w:val="af0"/>
    <w:uiPriority w:val="99"/>
    <w:semiHidden/>
    <w:unhideWhenUsed/>
    <w:rsid w:val="00695727"/>
  </w:style>
  <w:style w:type="character" w:customStyle="1" w:styleId="af0">
    <w:name w:val="註解文字 字元"/>
    <w:basedOn w:val="a0"/>
    <w:link w:val="af"/>
    <w:uiPriority w:val="99"/>
    <w:semiHidden/>
    <w:rsid w:val="00695727"/>
    <w:rPr>
      <w:lang w:val="en-GB"/>
    </w:rPr>
  </w:style>
  <w:style w:type="paragraph" w:styleId="af1">
    <w:name w:val="annotation subject"/>
    <w:basedOn w:val="af"/>
    <w:next w:val="af"/>
    <w:link w:val="af2"/>
    <w:uiPriority w:val="99"/>
    <w:semiHidden/>
    <w:unhideWhenUsed/>
    <w:rsid w:val="00695727"/>
    <w:rPr>
      <w:b/>
      <w:bCs/>
    </w:rPr>
  </w:style>
  <w:style w:type="character" w:customStyle="1" w:styleId="af2">
    <w:name w:val="註解主旨 字元"/>
    <w:basedOn w:val="af0"/>
    <w:link w:val="af1"/>
    <w:uiPriority w:val="99"/>
    <w:semiHidden/>
    <w:rsid w:val="00695727"/>
    <w:rPr>
      <w:b/>
      <w:bCs/>
      <w:lang w:val="en-GB"/>
    </w:rPr>
  </w:style>
  <w:style w:type="paragraph" w:styleId="af3">
    <w:name w:val="Revision"/>
    <w:hidden/>
    <w:uiPriority w:val="99"/>
    <w:semiHidden/>
    <w:rsid w:val="00695727"/>
    <w:rPr>
      <w:lang w:val="en-GB"/>
    </w:rPr>
  </w:style>
  <w:style w:type="paragraph" w:styleId="af4">
    <w:name w:val="Balloon Text"/>
    <w:basedOn w:val="a"/>
    <w:link w:val="af5"/>
    <w:uiPriority w:val="99"/>
    <w:semiHidden/>
    <w:unhideWhenUsed/>
    <w:rsid w:val="00695727"/>
    <w:rPr>
      <w:rFonts w:asciiTheme="majorHAnsi" w:eastAsiaTheme="majorEastAsia" w:hAnsiTheme="majorHAnsi" w:cstheme="majorBidi"/>
      <w:sz w:val="18"/>
      <w:szCs w:val="18"/>
    </w:rPr>
  </w:style>
  <w:style w:type="character" w:customStyle="1" w:styleId="af5">
    <w:name w:val="註解方塊文字 字元"/>
    <w:basedOn w:val="a0"/>
    <w:link w:val="af4"/>
    <w:uiPriority w:val="99"/>
    <w:semiHidden/>
    <w:rsid w:val="00695727"/>
    <w:rPr>
      <w:rFonts w:asciiTheme="majorHAnsi" w:eastAsiaTheme="majorEastAsia" w:hAnsiTheme="majorHAnsi" w:cstheme="majorBidi"/>
      <w:sz w:val="18"/>
      <w:szCs w:val="18"/>
      <w:lang w:val="en-GB"/>
    </w:rPr>
  </w:style>
  <w:style w:type="paragraph" w:styleId="af6">
    <w:name w:val="Body Text Indent"/>
    <w:basedOn w:val="a"/>
    <w:link w:val="af7"/>
    <w:semiHidden/>
    <w:rsid w:val="00695727"/>
    <w:pPr>
      <w:ind w:left="720" w:hangingChars="300" w:hanging="720"/>
      <w:jc w:val="both"/>
    </w:pPr>
    <w:rPr>
      <w:rFonts w:ascii="CG Times" w:eastAsia="新細明體" w:hAnsi="CG Times"/>
    </w:rPr>
  </w:style>
  <w:style w:type="character" w:customStyle="1" w:styleId="af7">
    <w:name w:val="本文縮排 字元"/>
    <w:basedOn w:val="a0"/>
    <w:link w:val="af6"/>
    <w:semiHidden/>
    <w:rsid w:val="00695727"/>
    <w:rPr>
      <w:rFonts w:ascii="CG Times" w:eastAsia="新細明體" w:hAnsi="CG Times" w:cs="Times New Roman"/>
      <w:kern w:val="0"/>
      <w:szCs w:val="20"/>
      <w:lang w:val="en-GB"/>
    </w:rPr>
  </w:style>
  <w:style w:type="character" w:customStyle="1" w:styleId="nowrap">
    <w:name w:val="nowrap"/>
    <w:basedOn w:val="a0"/>
    <w:rsid w:val="00695727"/>
  </w:style>
  <w:style w:type="paragraph" w:styleId="af8">
    <w:name w:val="Title"/>
    <w:basedOn w:val="a"/>
    <w:link w:val="af9"/>
    <w:qFormat/>
    <w:rsid w:val="00532DEA"/>
    <w:pPr>
      <w:jc w:val="center"/>
    </w:pPr>
    <w:rPr>
      <w:rFonts w:ascii="CG Times (W1)" w:hAnsi="CG Times (W1)"/>
      <w:b/>
      <w:sz w:val="24"/>
    </w:rPr>
  </w:style>
  <w:style w:type="character" w:customStyle="1" w:styleId="af9">
    <w:name w:val="標題 字元"/>
    <w:basedOn w:val="a0"/>
    <w:link w:val="af8"/>
    <w:rsid w:val="00532DEA"/>
    <w:rPr>
      <w:rFonts w:ascii="CG Times (W1)" w:eastAsia="細明體" w:hAnsi="CG Times (W1)" w:cs="Times New Roman"/>
      <w:b/>
      <w:kern w:val="0"/>
      <w:szCs w:val="20"/>
      <w:lang w:val="en-GB"/>
    </w:rPr>
  </w:style>
  <w:style w:type="character" w:customStyle="1" w:styleId="apple-converted-space">
    <w:name w:val="apple-converted-space"/>
    <w:basedOn w:val="a0"/>
    <w:rsid w:val="0053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IRBRD\&#31684;&#26412;.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ED43-F3CB-4856-9880-84A189C2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範本</Template>
  <TotalTime>19</TotalTime>
  <Pages>17</Pages>
  <Words>5841</Words>
  <Characters>33295</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39058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HS CHAN [CA[G]2_BOR]</dc:creator>
  <cp:keywords/>
  <dc:description/>
  <cp:lastModifiedBy>Monique HS CHAN [CA[G]2_BOR]</cp:lastModifiedBy>
  <cp:revision>33</cp:revision>
  <cp:lastPrinted>2025-12-05T03:27:00Z</cp:lastPrinted>
  <dcterms:created xsi:type="dcterms:W3CDTF">2025-11-27T07:26:00Z</dcterms:created>
  <dcterms:modified xsi:type="dcterms:W3CDTF">2025-12-05T03:27:00Z</dcterms:modified>
  <cp:contentStatus>完稿</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