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DF9" w:rsidRPr="002269E4" w:rsidRDefault="00A40DF9" w:rsidP="001C5608">
      <w:pPr>
        <w:widowControl/>
        <w:tabs>
          <w:tab w:val="left" w:pos="1276"/>
        </w:tabs>
        <w:overflowPunct w:val="0"/>
        <w:autoSpaceDE w:val="0"/>
        <w:autoSpaceDN w:val="0"/>
        <w:ind w:rightChars="-29" w:right="-70"/>
        <w:jc w:val="center"/>
        <w:textAlignment w:val="baseline"/>
        <w:rPr>
          <w:rFonts w:ascii="Times New Roman" w:eastAsia="華康楷書體W5" w:hAnsi="Times New Roman" w:cs="Times New Roman"/>
          <w:b/>
          <w:kern w:val="0"/>
          <w:szCs w:val="24"/>
          <w:lang w:val="en-GB"/>
        </w:rPr>
      </w:pPr>
      <w:r w:rsidRPr="002269E4">
        <w:rPr>
          <w:rFonts w:ascii="Times New Roman" w:eastAsia="華康楷書體W5" w:hAnsi="Times New Roman" w:cs="Times New Roman"/>
          <w:b/>
          <w:kern w:val="0"/>
          <w:szCs w:val="24"/>
          <w:lang w:val="en-GB"/>
        </w:rPr>
        <w:t>Case No. D9</w:t>
      </w:r>
      <w:r w:rsidRPr="002269E4">
        <w:rPr>
          <w:rFonts w:ascii="Times New Roman" w:eastAsia="華康楷書體W5" w:hAnsi="Times New Roman" w:cs="Times New Roman"/>
          <w:b/>
          <w:kern w:val="0"/>
          <w:szCs w:val="24"/>
          <w:lang w:val="en-GB" w:eastAsia="zh-HK"/>
        </w:rPr>
        <w:t>/2</w:t>
      </w:r>
      <w:r w:rsidRPr="002269E4">
        <w:rPr>
          <w:rFonts w:ascii="Times New Roman" w:eastAsia="華康楷書體W5" w:hAnsi="Times New Roman" w:cs="Times New Roman"/>
          <w:b/>
          <w:kern w:val="0"/>
          <w:szCs w:val="24"/>
          <w:lang w:val="en-GB"/>
        </w:rPr>
        <w:t>3</w:t>
      </w:r>
    </w:p>
    <w:p w:rsidR="00A40DF9" w:rsidRPr="002269E4" w:rsidRDefault="00A40DF9" w:rsidP="001C560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A40DF9" w:rsidRPr="002269E4" w:rsidRDefault="00A40DF9" w:rsidP="001C560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rPr>
      </w:pPr>
    </w:p>
    <w:p w:rsidR="00A40DF9" w:rsidRDefault="00A40DF9" w:rsidP="001C560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59405F" w:rsidRPr="002269E4" w:rsidRDefault="0059405F" w:rsidP="001C560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hint="eastAsia"/>
          <w:kern w:val="0"/>
          <w:szCs w:val="24"/>
          <w:lang w:val="en-GB"/>
        </w:rPr>
      </w:pPr>
      <w:bookmarkStart w:id="0" w:name="_GoBack"/>
      <w:bookmarkEnd w:id="0"/>
    </w:p>
    <w:p w:rsidR="00A40DF9" w:rsidRPr="002269E4" w:rsidRDefault="00FB7E7D" w:rsidP="001C560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2269E4">
        <w:rPr>
          <w:rFonts w:ascii="Times New Roman" w:eastAsia="華康楷書體W5" w:hAnsi="Times New Roman" w:cs="Times New Roman"/>
          <w:b/>
          <w:kern w:val="0"/>
          <w:szCs w:val="24"/>
          <w:lang w:val="en-GB"/>
        </w:rPr>
        <w:t>Property Tax</w:t>
      </w:r>
      <w:r w:rsidRPr="002269E4">
        <w:rPr>
          <w:rFonts w:ascii="Times New Roman" w:eastAsia="華康楷書體W5" w:hAnsi="Times New Roman" w:cs="Times New Roman"/>
          <w:kern w:val="0"/>
          <w:szCs w:val="24"/>
          <w:lang w:val="en-GB"/>
        </w:rPr>
        <w:t xml:space="preserve"> – understatement of rental income – incorrect tax return – whether there was a reasonable excuse for the understatement – whether additional tax imposed was excessive – section 82A of the Inland Revenue Ordinance.</w:t>
      </w:r>
    </w:p>
    <w:p w:rsidR="00FB7E7D" w:rsidRPr="002269E4" w:rsidRDefault="00FB7E7D" w:rsidP="001C560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A40DF9" w:rsidRPr="002269E4" w:rsidRDefault="00A40DF9" w:rsidP="001C5608">
      <w:pPr>
        <w:widowControl/>
        <w:tabs>
          <w:tab w:val="left" w:pos="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2269E4">
        <w:rPr>
          <w:rFonts w:ascii="Times New Roman" w:eastAsia="華康楷書體W5" w:hAnsi="Times New Roman" w:cs="Times New Roman"/>
          <w:kern w:val="0"/>
          <w:szCs w:val="24"/>
          <w:lang w:val="en-GB"/>
        </w:rPr>
        <w:t xml:space="preserve">Panel: </w:t>
      </w:r>
      <w:proofErr w:type="spellStart"/>
      <w:r w:rsidR="009A595A" w:rsidRPr="002269E4">
        <w:rPr>
          <w:rFonts w:ascii="Times New Roman" w:eastAsia="華康楷書體W5" w:hAnsi="Times New Roman" w:cs="Times New Roman"/>
          <w:szCs w:val="24"/>
          <w:lang w:eastAsia="zh-HK"/>
        </w:rPr>
        <w:t>Hau</w:t>
      </w:r>
      <w:proofErr w:type="spellEnd"/>
      <w:r w:rsidR="009A595A" w:rsidRPr="002269E4">
        <w:rPr>
          <w:rFonts w:ascii="Times New Roman" w:eastAsia="華康楷書體W5" w:hAnsi="Times New Roman" w:cs="Times New Roman"/>
          <w:szCs w:val="24"/>
          <w:lang w:eastAsia="zh-HK"/>
        </w:rPr>
        <w:t xml:space="preserve"> Pak Sun (</w:t>
      </w:r>
      <w:r w:rsidR="009A595A" w:rsidRPr="002269E4">
        <w:rPr>
          <w:rFonts w:ascii="Times New Roman" w:eastAsia="華康楷書體W5" w:hAnsi="Times New Roman" w:cs="Times New Roman"/>
          <w:szCs w:val="24"/>
        </w:rPr>
        <w:t>chair</w:t>
      </w:r>
      <w:r w:rsidR="009A595A" w:rsidRPr="002269E4">
        <w:rPr>
          <w:rFonts w:ascii="Times New Roman" w:eastAsia="華康楷書體W5" w:hAnsi="Times New Roman" w:cs="Times New Roman"/>
          <w:szCs w:val="24"/>
          <w:lang w:eastAsia="zh-HK"/>
        </w:rPr>
        <w:t>man), Kwok Yuk Sim Betty and Leung Sze Ning</w:t>
      </w:r>
      <w:r w:rsidRPr="002269E4">
        <w:rPr>
          <w:rFonts w:ascii="Times New Roman" w:eastAsia="華康楷書體W5" w:hAnsi="Times New Roman" w:cs="Times New Roman"/>
          <w:kern w:val="0"/>
          <w:szCs w:val="24"/>
          <w:lang w:val="en-GB" w:eastAsia="zh-HK"/>
        </w:rPr>
        <w:t>.</w:t>
      </w:r>
    </w:p>
    <w:p w:rsidR="00A40DF9" w:rsidRPr="002269E4" w:rsidRDefault="00A40DF9" w:rsidP="001C5608">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A40DF9" w:rsidRPr="002269E4" w:rsidRDefault="00A40DF9" w:rsidP="001C5608">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2269E4">
        <w:rPr>
          <w:rFonts w:ascii="Times New Roman" w:eastAsia="華康楷書體W5" w:hAnsi="Times New Roman" w:cs="Times New Roman"/>
          <w:kern w:val="0"/>
          <w:szCs w:val="24"/>
          <w:lang w:val="en-GB"/>
        </w:rPr>
        <w:t>Date of hearing: 28 July 2022.</w:t>
      </w:r>
    </w:p>
    <w:p w:rsidR="00A40DF9" w:rsidRPr="002269E4" w:rsidRDefault="00A40DF9" w:rsidP="001C5608">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2269E4">
        <w:rPr>
          <w:rFonts w:ascii="Times New Roman" w:eastAsia="華康楷書體W5" w:hAnsi="Times New Roman" w:cs="Times New Roman"/>
          <w:kern w:val="0"/>
          <w:szCs w:val="24"/>
          <w:lang w:val="en-GB"/>
        </w:rPr>
        <w:t>Date of decision: 28 July 2023.</w:t>
      </w:r>
    </w:p>
    <w:p w:rsidR="00A40DF9" w:rsidRPr="002269E4" w:rsidRDefault="00A40DF9" w:rsidP="001C5608">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A40DF9" w:rsidRPr="002269E4" w:rsidRDefault="00A40DF9" w:rsidP="001C5608">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FB7E7D" w:rsidRPr="002269E4" w:rsidRDefault="00EB55C0" w:rsidP="00EC07F3">
      <w:pPr>
        <w:widowControl/>
        <w:tabs>
          <w:tab w:val="left" w:pos="840"/>
          <w:tab w:val="left" w:pos="1276"/>
        </w:tabs>
        <w:overflowPunct w:val="0"/>
        <w:autoSpaceDE w:val="0"/>
        <w:autoSpaceDN w:val="0"/>
        <w:spacing w:line="276" w:lineRule="auto"/>
        <w:ind w:firstLineChars="450" w:firstLine="1134"/>
        <w:jc w:val="both"/>
        <w:textAlignment w:val="baseline"/>
        <w:rPr>
          <w:rFonts w:ascii="Times New Roman" w:eastAsia="華康楷書體W5" w:hAnsi="Times New Roman" w:cs="Times New Roman"/>
          <w:kern w:val="0"/>
          <w:szCs w:val="24"/>
          <w:lang w:eastAsia="zh-HK"/>
        </w:rPr>
      </w:pPr>
      <w:r>
        <w:rPr>
          <w:rFonts w:ascii="Times New Roman" w:eastAsia="華康楷書體W5" w:hAnsi="Times New Roman" w:cs="Times New Roman"/>
          <w:kern w:val="0"/>
          <w:szCs w:val="24"/>
          <w:lang w:eastAsia="zh-HK"/>
        </w:rPr>
        <w:t xml:space="preserve">The Appellant, </w:t>
      </w:r>
      <w:proofErr w:type="spellStart"/>
      <w:r>
        <w:rPr>
          <w:rFonts w:ascii="Times New Roman" w:eastAsia="華康楷書體W5" w:hAnsi="Times New Roman" w:cs="Times New Roman"/>
          <w:kern w:val="0"/>
          <w:szCs w:val="24"/>
          <w:lang w:eastAsia="zh-HK"/>
        </w:rPr>
        <w:t>Ms</w:t>
      </w:r>
      <w:proofErr w:type="spellEnd"/>
      <w:r w:rsidR="00FB7E7D" w:rsidRPr="002269E4">
        <w:rPr>
          <w:rFonts w:ascii="Times New Roman" w:eastAsia="華康楷書體W5" w:hAnsi="Times New Roman" w:cs="Times New Roman"/>
          <w:kern w:val="0"/>
          <w:szCs w:val="24"/>
          <w:lang w:eastAsia="zh-HK"/>
        </w:rPr>
        <w:t xml:space="preserve"> A, appealed against an assessment of additional tax in the amount of HK$4,700 imposed under section 82A of the Inland Revenue Ordinance (IRO) for making an incorrect Property Tax Return for the year of assessment 2019/20.  The Appellant understated the property’s rental income by HK$388,000, representing 92.38% of the total income.</w:t>
      </w:r>
    </w:p>
    <w:p w:rsidR="00FB7E7D" w:rsidRPr="002269E4" w:rsidRDefault="00FB7E7D" w:rsidP="00FB7E7D">
      <w:pPr>
        <w:widowControl/>
        <w:tabs>
          <w:tab w:val="left" w:pos="840"/>
          <w:tab w:val="left" w:pos="1276"/>
        </w:tabs>
        <w:overflowPunct w:val="0"/>
        <w:autoSpaceDE w:val="0"/>
        <w:autoSpaceDN w:val="0"/>
        <w:spacing w:line="276" w:lineRule="auto"/>
        <w:ind w:rightChars="-29" w:right="-70"/>
        <w:jc w:val="both"/>
        <w:textAlignment w:val="baseline"/>
        <w:rPr>
          <w:rFonts w:ascii="Times New Roman" w:eastAsia="華康楷書體W5" w:hAnsi="Times New Roman" w:cs="Times New Roman"/>
          <w:kern w:val="0"/>
          <w:szCs w:val="24"/>
          <w:lang w:eastAsia="zh-HK"/>
        </w:rPr>
      </w:pPr>
    </w:p>
    <w:p w:rsidR="00FB7E7D" w:rsidRPr="002269E4" w:rsidRDefault="00FB7E7D" w:rsidP="00083436">
      <w:pPr>
        <w:widowControl/>
        <w:overflowPunct w:val="0"/>
        <w:autoSpaceDE w:val="0"/>
        <w:autoSpaceDN w:val="0"/>
        <w:spacing w:line="276" w:lineRule="auto"/>
        <w:ind w:firstLineChars="450" w:firstLine="1134"/>
        <w:jc w:val="both"/>
        <w:textAlignment w:val="baseline"/>
        <w:rPr>
          <w:rFonts w:ascii="Times New Roman" w:eastAsia="華康楷書體W5" w:hAnsi="Times New Roman" w:cs="Times New Roman"/>
          <w:kern w:val="0"/>
          <w:szCs w:val="24"/>
          <w:lang w:val="en-GB" w:eastAsia="zh-HK"/>
        </w:rPr>
      </w:pPr>
      <w:r w:rsidRPr="002269E4">
        <w:rPr>
          <w:rFonts w:ascii="Times New Roman" w:eastAsia="華康楷書體W5" w:hAnsi="Times New Roman" w:cs="Times New Roman"/>
          <w:kern w:val="0"/>
          <w:szCs w:val="24"/>
          <w:lang w:eastAsia="zh-HK"/>
        </w:rPr>
        <w:t>The Appellant argued that the understatement was a mistake due to an oversight and requested a waiver of the penalty.  The Appellant claimed she mistakenly reported one month’s rent instead of the annual rental income and attributed the error to stress caused by COVID-19 and work-related pressures.  She further stated that the 2019/20 Return was confusing and misunderstood the instructions regarding the reporting of annual rental income.</w:t>
      </w:r>
    </w:p>
    <w:p w:rsidR="00FB7E7D" w:rsidRPr="002269E4" w:rsidRDefault="00FB7E7D" w:rsidP="00FB7E7D">
      <w:pPr>
        <w:widowControl/>
        <w:tabs>
          <w:tab w:val="left" w:pos="840"/>
          <w:tab w:val="left" w:pos="1276"/>
        </w:tabs>
        <w:overflowPunct w:val="0"/>
        <w:autoSpaceDE w:val="0"/>
        <w:autoSpaceDN w:val="0"/>
        <w:spacing w:line="276" w:lineRule="auto"/>
        <w:ind w:rightChars="-29" w:right="-70"/>
        <w:jc w:val="both"/>
        <w:textAlignment w:val="baseline"/>
        <w:rPr>
          <w:rFonts w:ascii="Times New Roman" w:eastAsia="華康楷書體W5" w:hAnsi="Times New Roman" w:cs="Times New Roman"/>
          <w:kern w:val="0"/>
          <w:szCs w:val="24"/>
          <w:lang w:val="en-GB" w:eastAsia="zh-HK"/>
        </w:rPr>
      </w:pPr>
    </w:p>
    <w:p w:rsidR="00FB7E7D" w:rsidRPr="002269E4" w:rsidRDefault="00FB7E7D" w:rsidP="00FB7E7D">
      <w:pPr>
        <w:widowControl/>
        <w:tabs>
          <w:tab w:val="left" w:pos="840"/>
          <w:tab w:val="left" w:pos="1276"/>
        </w:tabs>
        <w:overflowPunct w:val="0"/>
        <w:autoSpaceDE w:val="0"/>
        <w:autoSpaceDN w:val="0"/>
        <w:spacing w:line="276" w:lineRule="auto"/>
        <w:ind w:rightChars="-29" w:right="-70"/>
        <w:jc w:val="both"/>
        <w:textAlignment w:val="baseline"/>
        <w:rPr>
          <w:rFonts w:ascii="Times New Roman" w:eastAsia="華康楷書體W5" w:hAnsi="Times New Roman" w:cs="Times New Roman"/>
          <w:kern w:val="0"/>
          <w:szCs w:val="24"/>
          <w:lang w:val="en-GB" w:eastAsia="zh-HK"/>
        </w:rPr>
      </w:pPr>
    </w:p>
    <w:p w:rsidR="00FB7E7D" w:rsidRPr="002269E4" w:rsidRDefault="00FB7E7D" w:rsidP="004A1D62">
      <w:pPr>
        <w:widowControl/>
        <w:tabs>
          <w:tab w:val="left" w:pos="840"/>
          <w:tab w:val="left" w:pos="1276"/>
        </w:tabs>
        <w:overflowPunct w:val="0"/>
        <w:autoSpaceDE w:val="0"/>
        <w:autoSpaceDN w:val="0"/>
        <w:spacing w:line="276" w:lineRule="auto"/>
        <w:ind w:firstLineChars="450" w:firstLine="1134"/>
        <w:jc w:val="both"/>
        <w:textAlignment w:val="baseline"/>
        <w:rPr>
          <w:rFonts w:ascii="Times New Roman" w:eastAsia="華康楷書體W5" w:hAnsi="Times New Roman" w:cs="Times New Roman"/>
          <w:b/>
          <w:kern w:val="0"/>
          <w:szCs w:val="24"/>
          <w:lang w:val="en-HK" w:eastAsia="zh-HK"/>
        </w:rPr>
      </w:pPr>
      <w:r w:rsidRPr="002269E4">
        <w:rPr>
          <w:rFonts w:ascii="Times New Roman" w:eastAsia="華康楷書體W5" w:hAnsi="Times New Roman" w:cs="Times New Roman"/>
          <w:b/>
          <w:kern w:val="0"/>
          <w:szCs w:val="24"/>
          <w:lang w:val="en-HK" w:eastAsia="zh-HK"/>
        </w:rPr>
        <w:t>Held:</w:t>
      </w:r>
    </w:p>
    <w:p w:rsidR="00FB7E7D" w:rsidRPr="002269E4" w:rsidRDefault="00FB7E7D" w:rsidP="00FB7E7D">
      <w:pPr>
        <w:widowControl/>
        <w:tabs>
          <w:tab w:val="left" w:pos="840"/>
          <w:tab w:val="left" w:pos="1276"/>
        </w:tabs>
        <w:overflowPunct w:val="0"/>
        <w:autoSpaceDE w:val="0"/>
        <w:autoSpaceDN w:val="0"/>
        <w:spacing w:line="276" w:lineRule="auto"/>
        <w:ind w:rightChars="-29" w:right="-70"/>
        <w:jc w:val="both"/>
        <w:textAlignment w:val="baseline"/>
        <w:rPr>
          <w:rFonts w:ascii="Times New Roman" w:eastAsia="華康楷書體W5" w:hAnsi="Times New Roman" w:cs="Times New Roman"/>
          <w:kern w:val="0"/>
          <w:szCs w:val="24"/>
          <w:lang w:val="en-HK" w:eastAsia="zh-HK"/>
        </w:rPr>
      </w:pPr>
    </w:p>
    <w:p w:rsidR="00FB7E7D" w:rsidRPr="002269E4" w:rsidRDefault="00FB7E7D" w:rsidP="00D520B2">
      <w:pPr>
        <w:widowControl/>
        <w:numPr>
          <w:ilvl w:val="0"/>
          <w:numId w:val="21"/>
        </w:numPr>
        <w:tabs>
          <w:tab w:val="left" w:pos="840"/>
          <w:tab w:val="left" w:pos="1276"/>
        </w:tabs>
        <w:overflowPunct w:val="0"/>
        <w:autoSpaceDE w:val="0"/>
        <w:autoSpaceDN w:val="0"/>
        <w:spacing w:line="276" w:lineRule="auto"/>
        <w:ind w:leftChars="472" w:left="1581" w:hangingChars="178" w:hanging="448"/>
        <w:jc w:val="both"/>
        <w:textAlignment w:val="baseline"/>
        <w:rPr>
          <w:rFonts w:ascii="Times New Roman" w:eastAsia="華康楷書體W5" w:hAnsi="Times New Roman" w:cs="Times New Roman"/>
          <w:kern w:val="0"/>
          <w:szCs w:val="24"/>
          <w:lang w:val="en-HK" w:eastAsia="zh-HK"/>
        </w:rPr>
      </w:pPr>
      <w:r w:rsidRPr="002269E4">
        <w:rPr>
          <w:rFonts w:ascii="Times New Roman" w:eastAsia="華康楷書體W5" w:hAnsi="Times New Roman" w:cs="Times New Roman"/>
          <w:kern w:val="0"/>
          <w:szCs w:val="24"/>
          <w:lang w:val="en-HK" w:eastAsia="zh-HK"/>
        </w:rPr>
        <w:t xml:space="preserve">The Board held that the Appellant failed to demonstrate a reasonable excuse for the understatement.  The Appellant, being a highly educated individual with a professional background in business and finance, should have understood the tax reporting requirements.  The instructions on the 2019/20 Return were clear, and the Appellant had prior experience in filing property tax returns.  There was no evidence to suggest that the Appellant was unable to manage her tax affairs due to stress.  Carelessness or recklessness in completing the return does not constitute a reasonable excuse under section </w:t>
      </w:r>
      <w:proofErr w:type="gramStart"/>
      <w:r w:rsidRPr="002269E4">
        <w:rPr>
          <w:rFonts w:ascii="Times New Roman" w:eastAsia="華康楷書體W5" w:hAnsi="Times New Roman" w:cs="Times New Roman"/>
          <w:kern w:val="0"/>
          <w:szCs w:val="24"/>
          <w:lang w:val="en-HK" w:eastAsia="zh-HK"/>
        </w:rPr>
        <w:t>82A(</w:t>
      </w:r>
      <w:proofErr w:type="gramEnd"/>
      <w:r w:rsidRPr="002269E4">
        <w:rPr>
          <w:rFonts w:ascii="Times New Roman" w:eastAsia="華康楷書體W5" w:hAnsi="Times New Roman" w:cs="Times New Roman"/>
          <w:kern w:val="0"/>
          <w:szCs w:val="24"/>
          <w:lang w:val="en-HK" w:eastAsia="zh-HK"/>
        </w:rPr>
        <w:t>1) of the IRO.</w:t>
      </w:r>
    </w:p>
    <w:p w:rsidR="00FB7E7D" w:rsidRPr="002269E4" w:rsidRDefault="00FB7E7D" w:rsidP="00FB7E7D">
      <w:pPr>
        <w:widowControl/>
        <w:tabs>
          <w:tab w:val="left" w:pos="840"/>
          <w:tab w:val="left" w:pos="1276"/>
        </w:tabs>
        <w:overflowPunct w:val="0"/>
        <w:autoSpaceDE w:val="0"/>
        <w:autoSpaceDN w:val="0"/>
        <w:spacing w:line="276" w:lineRule="auto"/>
        <w:ind w:left="720" w:rightChars="-29" w:right="-70"/>
        <w:jc w:val="both"/>
        <w:textAlignment w:val="baseline"/>
        <w:rPr>
          <w:rFonts w:ascii="Times New Roman" w:eastAsia="華康楷書體W5" w:hAnsi="Times New Roman" w:cs="Times New Roman"/>
          <w:kern w:val="0"/>
          <w:szCs w:val="24"/>
          <w:lang w:val="en-HK" w:eastAsia="zh-HK"/>
        </w:rPr>
      </w:pPr>
    </w:p>
    <w:p w:rsidR="00FB7E7D" w:rsidRPr="002269E4" w:rsidRDefault="00FB7E7D" w:rsidP="00992999">
      <w:pPr>
        <w:widowControl/>
        <w:numPr>
          <w:ilvl w:val="0"/>
          <w:numId w:val="21"/>
        </w:numPr>
        <w:tabs>
          <w:tab w:val="left" w:pos="840"/>
          <w:tab w:val="left" w:pos="1276"/>
        </w:tabs>
        <w:overflowPunct w:val="0"/>
        <w:autoSpaceDE w:val="0"/>
        <w:autoSpaceDN w:val="0"/>
        <w:spacing w:line="276" w:lineRule="auto"/>
        <w:ind w:leftChars="472" w:left="1581" w:hangingChars="178" w:hanging="448"/>
        <w:jc w:val="both"/>
        <w:textAlignment w:val="baseline"/>
        <w:rPr>
          <w:rFonts w:ascii="Times New Roman" w:eastAsia="華康楷書體W5" w:hAnsi="Times New Roman" w:cs="Times New Roman"/>
          <w:kern w:val="0"/>
          <w:szCs w:val="24"/>
          <w:lang w:val="en-HK" w:eastAsia="zh-HK"/>
        </w:rPr>
      </w:pPr>
      <w:r w:rsidRPr="002269E4">
        <w:rPr>
          <w:rFonts w:ascii="Times New Roman" w:eastAsia="華康楷書體W5" w:hAnsi="Times New Roman" w:cs="Times New Roman"/>
          <w:kern w:val="0"/>
          <w:szCs w:val="24"/>
          <w:lang w:val="en-HK" w:eastAsia="zh-HK"/>
        </w:rPr>
        <w:t>The additional tax imposed, equivalent to 10.09% of the undercharged tax (HK$46,560), was consistent with the Department’s policy of imposing a penalty of 10% for first-time, inadvertent errors.  The Board noted that the Appellant understated her income by more than 90% and did not take timely steps to rectify the error even after receiving the original tax demand.  The Board concluded that the penalty was not excessive and was in line with the principles established in prior cases.</w:t>
      </w:r>
    </w:p>
    <w:p w:rsidR="00FB7E7D" w:rsidRPr="002269E4" w:rsidRDefault="00FB7E7D" w:rsidP="00FB7E7D">
      <w:pPr>
        <w:widowControl/>
        <w:tabs>
          <w:tab w:val="left" w:pos="840"/>
          <w:tab w:val="left" w:pos="1276"/>
        </w:tabs>
        <w:overflowPunct w:val="0"/>
        <w:autoSpaceDE w:val="0"/>
        <w:autoSpaceDN w:val="0"/>
        <w:spacing w:line="276" w:lineRule="auto"/>
        <w:ind w:rightChars="-29" w:right="-70"/>
        <w:jc w:val="both"/>
        <w:textAlignment w:val="baseline"/>
        <w:rPr>
          <w:rFonts w:ascii="Times New Roman" w:eastAsia="華康楷書體W5" w:hAnsi="Times New Roman" w:cs="Times New Roman"/>
          <w:kern w:val="0"/>
          <w:szCs w:val="24"/>
          <w:lang w:val="en-HK" w:eastAsia="zh-HK"/>
        </w:rPr>
      </w:pPr>
    </w:p>
    <w:p w:rsidR="00FB7E7D" w:rsidRPr="002269E4" w:rsidRDefault="00FB7E7D" w:rsidP="00992999">
      <w:pPr>
        <w:widowControl/>
        <w:numPr>
          <w:ilvl w:val="0"/>
          <w:numId w:val="21"/>
        </w:numPr>
        <w:tabs>
          <w:tab w:val="left" w:pos="840"/>
          <w:tab w:val="left" w:pos="1276"/>
        </w:tabs>
        <w:overflowPunct w:val="0"/>
        <w:autoSpaceDE w:val="0"/>
        <w:autoSpaceDN w:val="0"/>
        <w:spacing w:line="276" w:lineRule="auto"/>
        <w:ind w:leftChars="472" w:left="1581" w:hangingChars="178" w:hanging="448"/>
        <w:jc w:val="both"/>
        <w:textAlignment w:val="baseline"/>
        <w:rPr>
          <w:rFonts w:ascii="Times New Roman" w:eastAsia="華康楷書體W5" w:hAnsi="Times New Roman" w:cs="Times New Roman"/>
          <w:kern w:val="0"/>
          <w:szCs w:val="24"/>
          <w:lang w:val="en-HK" w:eastAsia="zh-HK"/>
        </w:rPr>
      </w:pPr>
      <w:r w:rsidRPr="002269E4">
        <w:rPr>
          <w:rFonts w:ascii="Times New Roman" w:eastAsia="華康楷書體W5" w:hAnsi="Times New Roman" w:cs="Times New Roman"/>
          <w:kern w:val="0"/>
          <w:szCs w:val="24"/>
          <w:lang w:val="en-HK" w:eastAsia="zh-HK"/>
        </w:rPr>
        <w:t>The Board emphasized that the purpose of additional tax under section 82A is to deter taxpayers from filing incorrect returns, protect the integrity of the tax system, and ensure fairness to compliant taxpayers.  The penalty in this case was proportionate and served its intended purpose.</w:t>
      </w:r>
    </w:p>
    <w:p w:rsidR="00FB7E7D" w:rsidRPr="002269E4" w:rsidRDefault="00FB7E7D" w:rsidP="00FB7E7D">
      <w:pPr>
        <w:widowControl/>
        <w:tabs>
          <w:tab w:val="left" w:pos="840"/>
          <w:tab w:val="left" w:pos="1276"/>
        </w:tabs>
        <w:overflowPunct w:val="0"/>
        <w:autoSpaceDE w:val="0"/>
        <w:autoSpaceDN w:val="0"/>
        <w:spacing w:line="276" w:lineRule="auto"/>
        <w:ind w:left="720" w:rightChars="-29" w:right="-70"/>
        <w:jc w:val="both"/>
        <w:textAlignment w:val="baseline"/>
        <w:rPr>
          <w:rFonts w:ascii="Times New Roman" w:eastAsia="華康楷書體W5" w:hAnsi="Times New Roman" w:cs="Times New Roman"/>
          <w:kern w:val="0"/>
          <w:szCs w:val="24"/>
          <w:lang w:val="en-HK" w:eastAsia="zh-HK"/>
        </w:rPr>
      </w:pPr>
    </w:p>
    <w:p w:rsidR="00FB7E7D" w:rsidRPr="002269E4" w:rsidRDefault="00FB7E7D" w:rsidP="00992999">
      <w:pPr>
        <w:widowControl/>
        <w:numPr>
          <w:ilvl w:val="0"/>
          <w:numId w:val="21"/>
        </w:numPr>
        <w:tabs>
          <w:tab w:val="left" w:pos="840"/>
          <w:tab w:val="left" w:pos="1276"/>
        </w:tabs>
        <w:overflowPunct w:val="0"/>
        <w:autoSpaceDE w:val="0"/>
        <w:autoSpaceDN w:val="0"/>
        <w:spacing w:line="276" w:lineRule="auto"/>
        <w:ind w:leftChars="472" w:left="1581" w:hangingChars="178" w:hanging="448"/>
        <w:jc w:val="both"/>
        <w:textAlignment w:val="baseline"/>
        <w:rPr>
          <w:rFonts w:ascii="Times New Roman" w:eastAsia="華康楷書體W5" w:hAnsi="Times New Roman" w:cs="Times New Roman"/>
          <w:kern w:val="0"/>
          <w:szCs w:val="24"/>
          <w:lang w:val="en-HK" w:eastAsia="zh-HK"/>
        </w:rPr>
      </w:pPr>
      <w:r w:rsidRPr="002269E4">
        <w:rPr>
          <w:rFonts w:ascii="Times New Roman" w:eastAsia="華康楷書體W5" w:hAnsi="Times New Roman" w:cs="Times New Roman"/>
          <w:kern w:val="0"/>
          <w:szCs w:val="24"/>
          <w:lang w:val="en-HK" w:eastAsia="zh-HK"/>
        </w:rPr>
        <w:t>The Board dismissed the appeal and imposed a costs order of HK$2,500, noting that government resources were expended in hearing the case, which lacked merit.</w:t>
      </w:r>
    </w:p>
    <w:p w:rsidR="00A40DF9" w:rsidRPr="002269E4" w:rsidRDefault="00A40DF9" w:rsidP="001C560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val="en-HK" w:eastAsia="zh-HK"/>
        </w:rPr>
      </w:pPr>
    </w:p>
    <w:p w:rsidR="00FB7E7D" w:rsidRPr="002269E4" w:rsidRDefault="00FB7E7D" w:rsidP="001C560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eastAsia="zh-HK"/>
        </w:rPr>
      </w:pPr>
    </w:p>
    <w:p w:rsidR="00A40DF9" w:rsidRPr="002269E4" w:rsidRDefault="00A40DF9" w:rsidP="001C560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eastAsia="zh-HK"/>
        </w:rPr>
      </w:pPr>
      <w:r w:rsidRPr="002269E4">
        <w:rPr>
          <w:rFonts w:ascii="Times New Roman" w:eastAsia="華康楷書體W5" w:hAnsi="Times New Roman" w:cs="Times New Roman"/>
          <w:b/>
          <w:kern w:val="0"/>
          <w:szCs w:val="24"/>
          <w:lang w:eastAsia="zh-HK"/>
        </w:rPr>
        <w:t>Appeal dismissed and costs order in the amount of $2,500 imposed.</w:t>
      </w:r>
    </w:p>
    <w:p w:rsidR="00A40DF9" w:rsidRPr="002269E4" w:rsidRDefault="00A40DF9" w:rsidP="001C560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p>
    <w:p w:rsidR="00A40DF9" w:rsidRPr="002269E4" w:rsidRDefault="00A40DF9" w:rsidP="001C5608">
      <w:pPr>
        <w:widowControl/>
        <w:tabs>
          <w:tab w:val="left" w:pos="1276"/>
        </w:tabs>
        <w:overflowPunct w:val="0"/>
        <w:autoSpaceDE w:val="0"/>
        <w:autoSpaceDN w:val="0"/>
        <w:ind w:left="1620" w:rightChars="-29" w:right="-70" w:hanging="1620"/>
        <w:jc w:val="both"/>
        <w:textAlignment w:val="baseline"/>
        <w:rPr>
          <w:rFonts w:ascii="Times New Roman" w:eastAsia="新細明體" w:hAnsi="Times New Roman" w:cs="Times New Roman"/>
          <w:color w:val="000000"/>
          <w:kern w:val="0"/>
          <w:szCs w:val="24"/>
        </w:rPr>
      </w:pPr>
      <w:r w:rsidRPr="002269E4">
        <w:rPr>
          <w:rFonts w:ascii="Times New Roman" w:eastAsia="新細明體" w:hAnsi="Times New Roman" w:cs="Times New Roman"/>
          <w:color w:val="000000"/>
          <w:kern w:val="0"/>
          <w:szCs w:val="24"/>
        </w:rPr>
        <w:t>Cases referred to:</w:t>
      </w:r>
    </w:p>
    <w:p w:rsidR="00A40DF9" w:rsidRPr="002269E4" w:rsidRDefault="00A40DF9" w:rsidP="001C560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 w:eastAsia="zh-HK"/>
        </w:rPr>
      </w:pPr>
    </w:p>
    <w:p w:rsidR="00B8782D" w:rsidRPr="002269E4" w:rsidRDefault="00A40DF9" w:rsidP="00B8782D">
      <w:pPr>
        <w:widowControl/>
        <w:overflowPunct w:val="0"/>
        <w:autoSpaceDE w:val="0"/>
        <w:autoSpaceDN w:val="0"/>
        <w:ind w:left="993" w:rightChars="-29" w:right="-70" w:hanging="1620"/>
        <w:jc w:val="both"/>
        <w:textAlignment w:val="baseline"/>
        <w:rPr>
          <w:rFonts w:ascii="Times New Roman" w:eastAsia="華康楷書體W5" w:hAnsi="Times New Roman" w:cs="Times New Roman"/>
          <w:kern w:val="0"/>
          <w:szCs w:val="24"/>
          <w:lang w:eastAsia="zh-HK"/>
        </w:rPr>
      </w:pPr>
      <w:r w:rsidRPr="002269E4">
        <w:rPr>
          <w:rFonts w:ascii="Times New Roman" w:eastAsia="華康楷書體W5" w:hAnsi="Times New Roman" w:cs="Times New Roman"/>
          <w:kern w:val="0"/>
          <w:szCs w:val="24"/>
          <w:lang w:eastAsia="zh-HK"/>
        </w:rPr>
        <w:tab/>
        <w:t xml:space="preserve">Koo Ming </w:t>
      </w:r>
      <w:proofErr w:type="spellStart"/>
      <w:r w:rsidRPr="002269E4">
        <w:rPr>
          <w:rFonts w:ascii="Times New Roman" w:eastAsia="華康楷書體W5" w:hAnsi="Times New Roman" w:cs="Times New Roman"/>
          <w:kern w:val="0"/>
          <w:szCs w:val="24"/>
          <w:lang w:eastAsia="zh-HK"/>
        </w:rPr>
        <w:t>Kown</w:t>
      </w:r>
      <w:proofErr w:type="spellEnd"/>
      <w:r w:rsidRPr="002269E4">
        <w:rPr>
          <w:rFonts w:ascii="Times New Roman" w:eastAsia="華康楷書體W5" w:hAnsi="Times New Roman" w:cs="Times New Roman"/>
          <w:kern w:val="0"/>
          <w:szCs w:val="24"/>
          <w:lang w:eastAsia="zh-HK"/>
        </w:rPr>
        <w:t xml:space="preserve"> and </w:t>
      </w:r>
      <w:proofErr w:type="gramStart"/>
      <w:r w:rsidRPr="002269E4">
        <w:rPr>
          <w:rFonts w:ascii="Times New Roman" w:eastAsia="華康楷書體W5" w:hAnsi="Times New Roman" w:cs="Times New Roman"/>
          <w:kern w:val="0"/>
          <w:szCs w:val="24"/>
          <w:lang w:eastAsia="zh-HK"/>
        </w:rPr>
        <w:t>Another</w:t>
      </w:r>
      <w:proofErr w:type="gramEnd"/>
      <w:r w:rsidRPr="002269E4">
        <w:rPr>
          <w:rFonts w:ascii="Times New Roman" w:eastAsia="華康楷書體W5" w:hAnsi="Times New Roman" w:cs="Times New Roman"/>
          <w:kern w:val="0"/>
          <w:szCs w:val="24"/>
          <w:lang w:eastAsia="zh-HK"/>
        </w:rPr>
        <w:t xml:space="preserve"> v. The Commissioner of Inland Revenue [2018]</w:t>
      </w:r>
    </w:p>
    <w:p w:rsidR="00A40DF9" w:rsidRPr="002269E4" w:rsidRDefault="00A40DF9" w:rsidP="00B8782D">
      <w:pPr>
        <w:widowControl/>
        <w:overflowPunct w:val="0"/>
        <w:autoSpaceDE w:val="0"/>
        <w:autoSpaceDN w:val="0"/>
        <w:ind w:leftChars="50" w:left="120" w:rightChars="-29" w:right="-70" w:firstLineChars="500" w:firstLine="1260"/>
        <w:jc w:val="both"/>
        <w:textAlignment w:val="baseline"/>
        <w:rPr>
          <w:rFonts w:ascii="Times New Roman" w:eastAsia="華康楷書體W5" w:hAnsi="Times New Roman" w:cs="Times New Roman"/>
          <w:kern w:val="0"/>
          <w:szCs w:val="24"/>
          <w:lang w:eastAsia="zh-HK"/>
        </w:rPr>
      </w:pPr>
      <w:r w:rsidRPr="002269E4">
        <w:rPr>
          <w:rFonts w:ascii="Times New Roman" w:eastAsia="華康楷書體W5" w:hAnsi="Times New Roman" w:cs="Times New Roman"/>
          <w:kern w:val="0"/>
          <w:szCs w:val="24"/>
          <w:lang w:eastAsia="zh-HK"/>
        </w:rPr>
        <w:t xml:space="preserve"> HKCFI 2593</w:t>
      </w:r>
    </w:p>
    <w:p w:rsidR="00A40DF9" w:rsidRPr="002269E4" w:rsidRDefault="00A40DF9" w:rsidP="002A4657">
      <w:pPr>
        <w:widowControl/>
        <w:overflowPunct w:val="0"/>
        <w:autoSpaceDE w:val="0"/>
        <w:autoSpaceDN w:val="0"/>
        <w:ind w:left="993" w:rightChars="-29" w:right="-70" w:hanging="1620"/>
        <w:jc w:val="both"/>
        <w:textAlignment w:val="baseline"/>
        <w:rPr>
          <w:rFonts w:ascii="Times New Roman" w:eastAsia="華康楷書體W5" w:hAnsi="Times New Roman" w:cs="Times New Roman"/>
          <w:kern w:val="0"/>
          <w:szCs w:val="24"/>
          <w:lang w:eastAsia="zh-HK"/>
        </w:rPr>
      </w:pPr>
      <w:r w:rsidRPr="002269E4">
        <w:rPr>
          <w:rFonts w:ascii="Times New Roman" w:eastAsia="華康楷書體W5" w:hAnsi="Times New Roman" w:cs="Times New Roman"/>
          <w:kern w:val="0"/>
          <w:szCs w:val="24"/>
          <w:lang w:eastAsia="zh-HK"/>
        </w:rPr>
        <w:tab/>
        <w:t xml:space="preserve">D17/08, (2008-09) IRBRD, </w:t>
      </w:r>
      <w:proofErr w:type="spellStart"/>
      <w:r w:rsidRPr="002269E4">
        <w:rPr>
          <w:rFonts w:ascii="Times New Roman" w:eastAsia="華康楷書體W5" w:hAnsi="Times New Roman" w:cs="Times New Roman"/>
          <w:kern w:val="0"/>
          <w:szCs w:val="24"/>
          <w:lang w:eastAsia="zh-HK"/>
        </w:rPr>
        <w:t>vol</w:t>
      </w:r>
      <w:proofErr w:type="spellEnd"/>
      <w:r w:rsidRPr="002269E4">
        <w:rPr>
          <w:rFonts w:ascii="Times New Roman" w:eastAsia="華康楷書體W5" w:hAnsi="Times New Roman" w:cs="Times New Roman"/>
          <w:kern w:val="0"/>
          <w:szCs w:val="24"/>
          <w:lang w:eastAsia="zh-HK"/>
        </w:rPr>
        <w:t xml:space="preserve"> 23, 301</w:t>
      </w:r>
    </w:p>
    <w:p w:rsidR="005C7405" w:rsidRPr="002269E4" w:rsidRDefault="005C7405" w:rsidP="00416CD0">
      <w:pPr>
        <w:widowControl/>
        <w:overflowPunct w:val="0"/>
        <w:autoSpaceDE w:val="0"/>
        <w:autoSpaceDN w:val="0"/>
        <w:ind w:left="993" w:rightChars="-29" w:right="-70"/>
        <w:jc w:val="both"/>
        <w:textAlignment w:val="baseline"/>
        <w:rPr>
          <w:rFonts w:ascii="Times New Roman" w:eastAsia="華康楷書體W5" w:hAnsi="Times New Roman" w:cs="Times New Roman"/>
          <w:kern w:val="0"/>
          <w:szCs w:val="24"/>
          <w:lang w:eastAsia="zh-HK"/>
        </w:rPr>
      </w:pPr>
      <w:r w:rsidRPr="002269E4">
        <w:rPr>
          <w:rFonts w:ascii="Times New Roman" w:eastAsia="華康楷書體W5" w:hAnsi="Times New Roman" w:cs="Times New Roman"/>
          <w:kern w:val="0"/>
          <w:szCs w:val="24"/>
          <w:lang w:eastAsia="zh-HK"/>
        </w:rPr>
        <w:t>D35/08</w:t>
      </w:r>
      <w:r w:rsidR="003B2FEF" w:rsidRPr="002269E4">
        <w:rPr>
          <w:rFonts w:ascii="Times New Roman" w:eastAsia="華康楷書體W5" w:hAnsi="Times New Roman" w:cs="Times New Roman"/>
          <w:kern w:val="0"/>
          <w:szCs w:val="24"/>
          <w:lang w:eastAsia="zh-HK"/>
        </w:rPr>
        <w:t xml:space="preserve">, (2008-09) IRBRD, </w:t>
      </w:r>
      <w:proofErr w:type="spellStart"/>
      <w:r w:rsidR="003B2FEF" w:rsidRPr="002269E4">
        <w:rPr>
          <w:rFonts w:ascii="Times New Roman" w:eastAsia="華康楷書體W5" w:hAnsi="Times New Roman" w:cs="Times New Roman"/>
          <w:kern w:val="0"/>
          <w:szCs w:val="24"/>
          <w:lang w:eastAsia="zh-HK"/>
        </w:rPr>
        <w:t>vol</w:t>
      </w:r>
      <w:proofErr w:type="spellEnd"/>
      <w:r w:rsidR="003B2FEF" w:rsidRPr="002269E4">
        <w:rPr>
          <w:rFonts w:ascii="Times New Roman" w:eastAsia="華康楷書體W5" w:hAnsi="Times New Roman" w:cs="Times New Roman"/>
          <w:kern w:val="0"/>
          <w:szCs w:val="24"/>
          <w:lang w:eastAsia="zh-HK"/>
        </w:rPr>
        <w:t xml:space="preserve"> 23</w:t>
      </w:r>
      <w:r w:rsidR="002B1740" w:rsidRPr="002269E4">
        <w:rPr>
          <w:rFonts w:ascii="Times New Roman" w:eastAsia="華康楷書體W5" w:hAnsi="Times New Roman" w:cs="Times New Roman"/>
          <w:kern w:val="0"/>
          <w:szCs w:val="24"/>
          <w:lang w:eastAsia="zh-HK"/>
        </w:rPr>
        <w:t>, 683</w:t>
      </w:r>
    </w:p>
    <w:p w:rsidR="00A40DF9" w:rsidRPr="002269E4" w:rsidRDefault="00A40DF9" w:rsidP="002A4657">
      <w:pPr>
        <w:widowControl/>
        <w:overflowPunct w:val="0"/>
        <w:autoSpaceDE w:val="0"/>
        <w:autoSpaceDN w:val="0"/>
        <w:ind w:left="993" w:rightChars="-29" w:right="-70" w:hanging="1620"/>
        <w:jc w:val="both"/>
        <w:textAlignment w:val="baseline"/>
        <w:rPr>
          <w:rFonts w:ascii="Times New Roman" w:eastAsia="華康楷書體W5" w:hAnsi="Times New Roman" w:cs="Times New Roman"/>
          <w:kern w:val="0"/>
          <w:szCs w:val="24"/>
          <w:lang w:eastAsia="zh-HK"/>
        </w:rPr>
      </w:pPr>
      <w:r w:rsidRPr="002269E4">
        <w:rPr>
          <w:rFonts w:ascii="Times New Roman" w:eastAsia="華康楷書體W5" w:hAnsi="Times New Roman" w:cs="Times New Roman"/>
          <w:kern w:val="0"/>
          <w:szCs w:val="24"/>
          <w:lang w:eastAsia="zh-HK"/>
        </w:rPr>
        <w:tab/>
        <w:t xml:space="preserve">D16/07, (2007-08) IRBRD, </w:t>
      </w:r>
      <w:proofErr w:type="spellStart"/>
      <w:r w:rsidRPr="002269E4">
        <w:rPr>
          <w:rFonts w:ascii="Times New Roman" w:eastAsia="華康楷書體W5" w:hAnsi="Times New Roman" w:cs="Times New Roman"/>
          <w:kern w:val="0"/>
          <w:szCs w:val="24"/>
          <w:lang w:eastAsia="zh-HK"/>
        </w:rPr>
        <w:t>vol</w:t>
      </w:r>
      <w:proofErr w:type="spellEnd"/>
      <w:r w:rsidRPr="002269E4">
        <w:rPr>
          <w:rFonts w:ascii="Times New Roman" w:eastAsia="華康楷書體W5" w:hAnsi="Times New Roman" w:cs="Times New Roman"/>
          <w:kern w:val="0"/>
          <w:szCs w:val="24"/>
          <w:lang w:eastAsia="zh-HK"/>
        </w:rPr>
        <w:t xml:space="preserve"> 22, 454</w:t>
      </w:r>
    </w:p>
    <w:p w:rsidR="00A40DF9" w:rsidRPr="002269E4" w:rsidRDefault="00A40DF9" w:rsidP="002A4657">
      <w:pPr>
        <w:widowControl/>
        <w:overflowPunct w:val="0"/>
        <w:autoSpaceDE w:val="0"/>
        <w:autoSpaceDN w:val="0"/>
        <w:ind w:left="993" w:rightChars="-29" w:right="-70" w:hanging="1620"/>
        <w:jc w:val="both"/>
        <w:textAlignment w:val="baseline"/>
        <w:rPr>
          <w:rFonts w:ascii="Times New Roman" w:eastAsia="新細明體" w:hAnsi="Times New Roman" w:cs="Times New Roman"/>
          <w:color w:val="000000"/>
          <w:kern w:val="0"/>
          <w:szCs w:val="24"/>
        </w:rPr>
      </w:pPr>
      <w:r w:rsidRPr="002269E4">
        <w:rPr>
          <w:rFonts w:ascii="Times New Roman" w:eastAsia="華康楷書體W5" w:hAnsi="Times New Roman" w:cs="Times New Roman"/>
          <w:kern w:val="0"/>
          <w:szCs w:val="24"/>
          <w:lang w:eastAsia="zh-HK"/>
        </w:rPr>
        <w:tab/>
      </w:r>
      <w:r w:rsidRPr="002269E4">
        <w:rPr>
          <w:rFonts w:ascii="Times New Roman" w:eastAsia="新細明體" w:hAnsi="Times New Roman" w:cs="Times New Roman"/>
          <w:color w:val="000000"/>
          <w:kern w:val="0"/>
          <w:szCs w:val="24"/>
        </w:rPr>
        <w:t xml:space="preserve">D8/96, IRBRD, </w:t>
      </w:r>
      <w:proofErr w:type="spellStart"/>
      <w:r w:rsidRPr="002269E4">
        <w:rPr>
          <w:rFonts w:ascii="Times New Roman" w:eastAsia="新細明體" w:hAnsi="Times New Roman" w:cs="Times New Roman"/>
          <w:color w:val="000000"/>
          <w:kern w:val="0"/>
          <w:szCs w:val="24"/>
        </w:rPr>
        <w:t>vol</w:t>
      </w:r>
      <w:proofErr w:type="spellEnd"/>
      <w:r w:rsidRPr="002269E4">
        <w:rPr>
          <w:rFonts w:ascii="Times New Roman" w:eastAsia="新細明體" w:hAnsi="Times New Roman" w:cs="Times New Roman"/>
          <w:color w:val="000000"/>
          <w:kern w:val="0"/>
          <w:szCs w:val="24"/>
        </w:rPr>
        <w:t xml:space="preserve"> 11, 400</w:t>
      </w:r>
    </w:p>
    <w:p w:rsidR="00A40DF9" w:rsidRPr="002269E4" w:rsidRDefault="00A40DF9" w:rsidP="002A4657">
      <w:pPr>
        <w:widowControl/>
        <w:overflowPunct w:val="0"/>
        <w:autoSpaceDE w:val="0"/>
        <w:autoSpaceDN w:val="0"/>
        <w:ind w:left="993" w:rightChars="-29" w:right="-70" w:hanging="1620"/>
        <w:jc w:val="both"/>
        <w:textAlignment w:val="baseline"/>
        <w:rPr>
          <w:rFonts w:ascii="Times New Roman" w:eastAsia="新細明體" w:hAnsi="Times New Roman" w:cs="Times New Roman"/>
          <w:color w:val="000000"/>
          <w:kern w:val="0"/>
          <w:szCs w:val="24"/>
        </w:rPr>
      </w:pPr>
      <w:r w:rsidRPr="002269E4">
        <w:rPr>
          <w:rFonts w:ascii="Times New Roman" w:eastAsia="新細明體" w:hAnsi="Times New Roman" w:cs="Times New Roman"/>
          <w:color w:val="000000"/>
          <w:kern w:val="0"/>
          <w:szCs w:val="24"/>
        </w:rPr>
        <w:tab/>
        <w:t xml:space="preserve">D94/98, IRBRD, </w:t>
      </w:r>
      <w:proofErr w:type="spellStart"/>
      <w:r w:rsidRPr="002269E4">
        <w:rPr>
          <w:rFonts w:ascii="Times New Roman" w:eastAsia="新細明體" w:hAnsi="Times New Roman" w:cs="Times New Roman"/>
          <w:color w:val="000000"/>
          <w:kern w:val="0"/>
          <w:szCs w:val="24"/>
        </w:rPr>
        <w:t>vol</w:t>
      </w:r>
      <w:proofErr w:type="spellEnd"/>
      <w:r w:rsidRPr="002269E4">
        <w:rPr>
          <w:rFonts w:ascii="Times New Roman" w:eastAsia="新細明體" w:hAnsi="Times New Roman" w:cs="Times New Roman"/>
          <w:color w:val="000000"/>
          <w:kern w:val="0"/>
          <w:szCs w:val="24"/>
        </w:rPr>
        <w:t xml:space="preserve"> 13, 479</w:t>
      </w:r>
    </w:p>
    <w:p w:rsidR="00A40DF9" w:rsidRPr="002269E4" w:rsidRDefault="00A40DF9" w:rsidP="002A4657">
      <w:pPr>
        <w:widowControl/>
        <w:overflowPunct w:val="0"/>
        <w:autoSpaceDE w:val="0"/>
        <w:autoSpaceDN w:val="0"/>
        <w:ind w:left="993" w:rightChars="-29" w:right="-70" w:hanging="1620"/>
        <w:jc w:val="both"/>
        <w:textAlignment w:val="baseline"/>
        <w:rPr>
          <w:rFonts w:ascii="Times New Roman" w:eastAsia="新細明體" w:hAnsi="Times New Roman" w:cs="Times New Roman"/>
          <w:color w:val="000000"/>
          <w:kern w:val="0"/>
          <w:szCs w:val="24"/>
        </w:rPr>
      </w:pPr>
      <w:r w:rsidRPr="002269E4">
        <w:rPr>
          <w:rFonts w:ascii="Times New Roman" w:eastAsia="新細明體" w:hAnsi="Times New Roman" w:cs="Times New Roman"/>
          <w:color w:val="000000"/>
          <w:kern w:val="0"/>
          <w:szCs w:val="24"/>
        </w:rPr>
        <w:tab/>
        <w:t xml:space="preserve">D4/19, (2020-21) IRBRD, </w:t>
      </w:r>
      <w:proofErr w:type="spellStart"/>
      <w:r w:rsidRPr="002269E4">
        <w:rPr>
          <w:rFonts w:ascii="Times New Roman" w:eastAsia="新細明體" w:hAnsi="Times New Roman" w:cs="Times New Roman"/>
          <w:color w:val="000000"/>
          <w:kern w:val="0"/>
          <w:szCs w:val="24"/>
        </w:rPr>
        <w:t>vol</w:t>
      </w:r>
      <w:proofErr w:type="spellEnd"/>
      <w:r w:rsidRPr="002269E4">
        <w:rPr>
          <w:rFonts w:ascii="Times New Roman" w:eastAsia="新細明體" w:hAnsi="Times New Roman" w:cs="Times New Roman"/>
          <w:color w:val="000000"/>
          <w:kern w:val="0"/>
          <w:szCs w:val="24"/>
        </w:rPr>
        <w:t xml:space="preserve"> 35, 65</w:t>
      </w:r>
    </w:p>
    <w:p w:rsidR="00A40DF9" w:rsidRPr="002269E4" w:rsidRDefault="00A40DF9" w:rsidP="001C5608">
      <w:pPr>
        <w:widowControl/>
        <w:tabs>
          <w:tab w:val="left" w:pos="630"/>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p>
    <w:p w:rsidR="00A40DF9" w:rsidRPr="002269E4" w:rsidRDefault="00A40DF9" w:rsidP="001C5608">
      <w:pPr>
        <w:widowControl/>
        <w:tabs>
          <w:tab w:val="left" w:pos="1276"/>
        </w:tabs>
        <w:overflowPunct w:val="0"/>
        <w:autoSpaceDE w:val="0"/>
        <w:autoSpaceDN w:val="0"/>
        <w:ind w:left="378" w:rightChars="-29" w:right="-70" w:hangingChars="150" w:hanging="378"/>
        <w:jc w:val="both"/>
        <w:textAlignment w:val="baseline"/>
        <w:rPr>
          <w:rFonts w:ascii="Times New Roman" w:eastAsia="華康楷書體W5" w:hAnsi="Times New Roman" w:cs="Times New Roman"/>
          <w:kern w:val="0"/>
          <w:szCs w:val="24"/>
          <w:lang w:eastAsia="zh-HK"/>
        </w:rPr>
      </w:pPr>
      <w:r w:rsidRPr="002269E4">
        <w:rPr>
          <w:rFonts w:ascii="Times New Roman" w:eastAsia="華康楷書體W5" w:hAnsi="Times New Roman" w:cs="Times New Roman"/>
          <w:kern w:val="0"/>
          <w:szCs w:val="24"/>
          <w:lang w:eastAsia="zh-HK"/>
        </w:rPr>
        <w:t>Appellant in person.</w:t>
      </w:r>
    </w:p>
    <w:p w:rsidR="00A40DF9" w:rsidRPr="002269E4" w:rsidRDefault="00A40DF9" w:rsidP="001C5608">
      <w:pPr>
        <w:widowControl/>
        <w:tabs>
          <w:tab w:val="left" w:pos="1276"/>
        </w:tabs>
        <w:overflowPunct w:val="0"/>
        <w:autoSpaceDE w:val="0"/>
        <w:autoSpaceDN w:val="0"/>
        <w:ind w:left="378" w:rightChars="-29" w:right="-70" w:hangingChars="150" w:hanging="378"/>
        <w:jc w:val="both"/>
        <w:textAlignment w:val="baseline"/>
        <w:rPr>
          <w:rFonts w:ascii="Times New Roman" w:eastAsia="華康楷書體W5" w:hAnsi="Times New Roman" w:cs="Times New Roman"/>
          <w:kern w:val="0"/>
          <w:szCs w:val="24"/>
          <w:lang w:eastAsia="zh-HK"/>
        </w:rPr>
      </w:pPr>
      <w:r w:rsidRPr="002269E4">
        <w:rPr>
          <w:rFonts w:ascii="Times New Roman" w:eastAsia="華康楷書體W5" w:hAnsi="Times New Roman" w:cs="Times New Roman"/>
          <w:kern w:val="0"/>
          <w:szCs w:val="24"/>
          <w:lang w:eastAsia="zh-HK"/>
        </w:rPr>
        <w:t xml:space="preserve">Chan Chi Yin and Hui </w:t>
      </w:r>
      <w:proofErr w:type="spellStart"/>
      <w:r w:rsidRPr="002269E4">
        <w:rPr>
          <w:rFonts w:ascii="Times New Roman" w:eastAsia="華康楷書體W5" w:hAnsi="Times New Roman" w:cs="Times New Roman"/>
          <w:kern w:val="0"/>
          <w:szCs w:val="24"/>
          <w:lang w:eastAsia="zh-HK"/>
        </w:rPr>
        <w:t>Kam</w:t>
      </w:r>
      <w:proofErr w:type="spellEnd"/>
      <w:r w:rsidRPr="002269E4">
        <w:rPr>
          <w:rFonts w:ascii="Times New Roman" w:eastAsia="華康楷書體W5" w:hAnsi="Times New Roman" w:cs="Times New Roman"/>
          <w:kern w:val="0"/>
          <w:szCs w:val="24"/>
          <w:lang w:eastAsia="zh-HK"/>
        </w:rPr>
        <w:t xml:space="preserve"> To, for the Commissioner of Inland Revenue.</w:t>
      </w:r>
    </w:p>
    <w:p w:rsidR="0024125D" w:rsidRPr="002269E4" w:rsidRDefault="007275D3" w:rsidP="001C5608">
      <w:pPr>
        <w:widowControl/>
        <w:overflowPunct w:val="0"/>
        <w:autoSpaceDE w:val="0"/>
        <w:autoSpaceDN w:val="0"/>
        <w:jc w:val="both"/>
        <w:rPr>
          <w:rFonts w:ascii="Times New Roman" w:hAnsi="Times New Roman" w:cs="Times New Roman"/>
          <w:szCs w:val="24"/>
        </w:rPr>
      </w:pPr>
    </w:p>
    <w:p w:rsidR="00A40DF9" w:rsidRPr="002269E4" w:rsidRDefault="00A40DF9" w:rsidP="001C5608">
      <w:pPr>
        <w:widowControl/>
        <w:overflowPunct w:val="0"/>
        <w:autoSpaceDE w:val="0"/>
        <w:autoSpaceDN w:val="0"/>
        <w:jc w:val="both"/>
        <w:rPr>
          <w:rFonts w:ascii="Times New Roman" w:hAnsi="Times New Roman" w:cs="Times New Roman"/>
          <w:szCs w:val="24"/>
        </w:rPr>
      </w:pPr>
    </w:p>
    <w:p w:rsidR="00A40DF9" w:rsidRPr="002269E4" w:rsidRDefault="00A40DF9" w:rsidP="001C5608">
      <w:pPr>
        <w:widowControl/>
        <w:overflowPunct w:val="0"/>
        <w:autoSpaceDE w:val="0"/>
        <w:autoSpaceDN w:val="0"/>
        <w:jc w:val="both"/>
        <w:rPr>
          <w:rFonts w:ascii="Times New Roman" w:hAnsi="Times New Roman" w:cs="Times New Roman"/>
          <w:b/>
          <w:szCs w:val="24"/>
        </w:rPr>
      </w:pPr>
      <w:r w:rsidRPr="002269E4">
        <w:rPr>
          <w:rFonts w:ascii="Times New Roman" w:hAnsi="Times New Roman" w:cs="Times New Roman"/>
          <w:b/>
          <w:szCs w:val="24"/>
        </w:rPr>
        <w:t>Decision:</w:t>
      </w:r>
    </w:p>
    <w:p w:rsidR="00A40DF9" w:rsidRPr="002269E4" w:rsidRDefault="00A40DF9" w:rsidP="001C5608">
      <w:pPr>
        <w:widowControl/>
        <w:overflowPunct w:val="0"/>
        <w:autoSpaceDE w:val="0"/>
        <w:autoSpaceDN w:val="0"/>
        <w:jc w:val="both"/>
        <w:rPr>
          <w:rFonts w:ascii="Times New Roman" w:hAnsi="Times New Roman" w:cs="Times New Roman"/>
          <w:szCs w:val="24"/>
        </w:rPr>
      </w:pPr>
    </w:p>
    <w:p w:rsidR="00A40DF9" w:rsidRPr="002269E4" w:rsidRDefault="00A40DF9" w:rsidP="001C44D5">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This is an appeal by </w:t>
      </w:r>
      <w:proofErr w:type="spellStart"/>
      <w:r w:rsidR="00172DEC" w:rsidRPr="002269E4">
        <w:rPr>
          <w:rFonts w:ascii="Times New Roman" w:hAnsi="Times New Roman" w:cs="Times New Roman"/>
          <w:szCs w:val="24"/>
        </w:rPr>
        <w:t>Ms</w:t>
      </w:r>
      <w:proofErr w:type="spellEnd"/>
      <w:r w:rsidR="00172DEC" w:rsidRPr="002269E4">
        <w:rPr>
          <w:rFonts w:ascii="Times New Roman" w:hAnsi="Times New Roman" w:cs="Times New Roman"/>
          <w:szCs w:val="24"/>
        </w:rPr>
        <w:t xml:space="preserve"> A</w:t>
      </w:r>
      <w:r w:rsidRPr="002269E4">
        <w:rPr>
          <w:rFonts w:ascii="Times New Roman" w:hAnsi="Times New Roman" w:cs="Times New Roman"/>
          <w:szCs w:val="24"/>
        </w:rPr>
        <w:t xml:space="preserve"> (</w:t>
      </w:r>
      <w:r w:rsidR="00591568" w:rsidRPr="002269E4">
        <w:rPr>
          <w:rFonts w:ascii="Times New Roman" w:hAnsi="Times New Roman" w:cs="Times New Roman"/>
          <w:szCs w:val="24"/>
        </w:rPr>
        <w:t>‘</w:t>
      </w:r>
      <w:r w:rsidRPr="002269E4">
        <w:rPr>
          <w:rFonts w:ascii="Times New Roman" w:hAnsi="Times New Roman" w:cs="Times New Roman"/>
          <w:b/>
          <w:szCs w:val="24"/>
        </w:rPr>
        <w:t>the Appellant</w:t>
      </w:r>
      <w:r w:rsidR="00591568" w:rsidRPr="002269E4">
        <w:rPr>
          <w:rFonts w:ascii="Times New Roman" w:hAnsi="Times New Roman" w:cs="Times New Roman"/>
          <w:szCs w:val="24"/>
        </w:rPr>
        <w:t>’</w:t>
      </w:r>
      <w:r w:rsidRPr="002269E4">
        <w:rPr>
          <w:rFonts w:ascii="Times New Roman" w:hAnsi="Times New Roman" w:cs="Times New Roman"/>
          <w:szCs w:val="24"/>
        </w:rPr>
        <w:t>) against the assessment of additional tax in the amount of HK$4,700 imposed under section 82A of the Inland Revenue Ordinance (</w:t>
      </w:r>
      <w:proofErr w:type="spellStart"/>
      <w:r w:rsidRPr="002269E4">
        <w:rPr>
          <w:rFonts w:ascii="Times New Roman" w:hAnsi="Times New Roman" w:cs="Times New Roman"/>
          <w:szCs w:val="24"/>
        </w:rPr>
        <w:t>Cap</w:t>
      </w:r>
      <w:r w:rsidR="00ED3879" w:rsidRPr="002269E4">
        <w:rPr>
          <w:rFonts w:ascii="Times New Roman" w:hAnsi="Times New Roman" w:cs="Times New Roman"/>
          <w:szCs w:val="24"/>
        </w:rPr>
        <w:t>ter</w:t>
      </w:r>
      <w:proofErr w:type="spellEnd"/>
      <w:r w:rsidRPr="002269E4">
        <w:rPr>
          <w:rFonts w:ascii="Times New Roman" w:hAnsi="Times New Roman" w:cs="Times New Roman"/>
          <w:szCs w:val="24"/>
        </w:rPr>
        <w:t xml:space="preserve"> 112) (</w:t>
      </w:r>
      <w:r w:rsidR="00591568" w:rsidRPr="002269E4">
        <w:rPr>
          <w:rFonts w:ascii="Times New Roman" w:hAnsi="Times New Roman" w:cs="Times New Roman"/>
          <w:szCs w:val="24"/>
        </w:rPr>
        <w:t>‘</w:t>
      </w:r>
      <w:r w:rsidRPr="002269E4">
        <w:rPr>
          <w:rFonts w:ascii="Times New Roman" w:hAnsi="Times New Roman" w:cs="Times New Roman"/>
          <w:b/>
          <w:szCs w:val="24"/>
        </w:rPr>
        <w:t>the Ordinance</w:t>
      </w:r>
      <w:r w:rsidR="00591568" w:rsidRPr="002269E4">
        <w:rPr>
          <w:rFonts w:ascii="Times New Roman" w:hAnsi="Times New Roman" w:cs="Times New Roman"/>
          <w:szCs w:val="24"/>
        </w:rPr>
        <w:t>’</w:t>
      </w:r>
      <w:r w:rsidRPr="002269E4">
        <w:rPr>
          <w:rFonts w:ascii="Times New Roman" w:hAnsi="Times New Roman" w:cs="Times New Roman"/>
          <w:szCs w:val="24"/>
        </w:rPr>
        <w:t>) for making incorrect Property Tax Return for the year of assessment 2019/20 (</w:t>
      </w:r>
      <w:r w:rsidR="00591568" w:rsidRPr="002269E4">
        <w:rPr>
          <w:rFonts w:ascii="Times New Roman" w:hAnsi="Times New Roman" w:cs="Times New Roman"/>
          <w:szCs w:val="24"/>
        </w:rPr>
        <w:t>‘</w:t>
      </w:r>
      <w:r w:rsidRPr="002269E4">
        <w:rPr>
          <w:rFonts w:ascii="Times New Roman" w:hAnsi="Times New Roman" w:cs="Times New Roman"/>
          <w:b/>
          <w:szCs w:val="24"/>
        </w:rPr>
        <w:t>the 2019/20 Return</w:t>
      </w:r>
      <w:r w:rsidR="00591568" w:rsidRPr="002269E4">
        <w:rPr>
          <w:rFonts w:ascii="Times New Roman" w:hAnsi="Times New Roman" w:cs="Times New Roman"/>
          <w:szCs w:val="24"/>
        </w:rPr>
        <w:t>’</w:t>
      </w:r>
      <w:r w:rsidRPr="002269E4">
        <w:rPr>
          <w:rFonts w:ascii="Times New Roman" w:hAnsi="Times New Roman" w:cs="Times New Roman"/>
          <w:szCs w:val="24"/>
        </w:rPr>
        <w:t>) by understating the rental income of a property. The Appellant asked for a waiver of penalty.</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523D1">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The issues for the determination by this Board are whether (a) the Appellant has reasonable excuse for making the understatement; and (b) whether the amount of additional tax imposed is excessive.</w:t>
      </w:r>
    </w:p>
    <w:p w:rsidR="00A40DF9" w:rsidRPr="002269E4" w:rsidRDefault="00A40DF9" w:rsidP="001C5608">
      <w:pPr>
        <w:widowControl/>
        <w:overflowPunct w:val="0"/>
        <w:autoSpaceDE w:val="0"/>
        <w:autoSpaceDN w:val="0"/>
        <w:jc w:val="both"/>
        <w:rPr>
          <w:rFonts w:ascii="Times New Roman" w:hAnsi="Times New Roman" w:cs="Times New Roman"/>
          <w:szCs w:val="24"/>
        </w:rPr>
      </w:pPr>
    </w:p>
    <w:p w:rsidR="00A40DF9" w:rsidRPr="002269E4" w:rsidRDefault="00A40DF9" w:rsidP="001C5608">
      <w:pPr>
        <w:widowControl/>
        <w:overflowPunct w:val="0"/>
        <w:autoSpaceDE w:val="0"/>
        <w:autoSpaceDN w:val="0"/>
        <w:jc w:val="both"/>
        <w:rPr>
          <w:rFonts w:ascii="Times New Roman" w:hAnsi="Times New Roman" w:cs="Times New Roman"/>
          <w:b/>
          <w:szCs w:val="24"/>
        </w:rPr>
      </w:pPr>
      <w:r w:rsidRPr="002269E4">
        <w:rPr>
          <w:rFonts w:ascii="Times New Roman" w:hAnsi="Times New Roman" w:cs="Times New Roman"/>
          <w:b/>
          <w:szCs w:val="24"/>
        </w:rPr>
        <w:t>The Agreed Facts</w:t>
      </w:r>
    </w:p>
    <w:p w:rsidR="00510CF0" w:rsidRPr="002269E4" w:rsidRDefault="00510CF0" w:rsidP="001C5608">
      <w:pPr>
        <w:widowControl/>
        <w:overflowPunct w:val="0"/>
        <w:autoSpaceDE w:val="0"/>
        <w:autoSpaceDN w:val="0"/>
        <w:jc w:val="both"/>
        <w:rPr>
          <w:rFonts w:ascii="Times New Roman" w:hAnsi="Times New Roman" w:cs="Times New Roman"/>
          <w:b/>
          <w:szCs w:val="24"/>
          <w:u w:val="single"/>
        </w:rPr>
      </w:pPr>
    </w:p>
    <w:p w:rsidR="00A40DF9" w:rsidRPr="002269E4" w:rsidRDefault="00A40DF9" w:rsidP="00E523D1">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The Appellant has agreed to the following facts in this section.</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D404A6" w:rsidP="00E523D1">
      <w:pPr>
        <w:numPr>
          <w:ilvl w:val="0"/>
          <w:numId w:val="6"/>
        </w:numPr>
        <w:overflowPunct w:val="0"/>
        <w:autoSpaceDE w:val="0"/>
        <w:autoSpaceDN w:val="0"/>
        <w:ind w:left="0" w:firstLine="0"/>
        <w:jc w:val="both"/>
        <w:rPr>
          <w:rFonts w:ascii="Times New Roman" w:hAnsi="Times New Roman" w:cs="Times New Roman"/>
          <w:szCs w:val="24"/>
        </w:rPr>
      </w:pPr>
      <w:proofErr w:type="spellStart"/>
      <w:r w:rsidRPr="002269E4">
        <w:rPr>
          <w:rFonts w:ascii="Times New Roman" w:hAnsi="Times New Roman" w:cs="Times New Roman"/>
          <w:szCs w:val="24"/>
        </w:rPr>
        <w:t>Mr</w:t>
      </w:r>
      <w:proofErr w:type="spellEnd"/>
      <w:r w:rsidRPr="002269E4">
        <w:rPr>
          <w:rFonts w:ascii="Times New Roman" w:hAnsi="Times New Roman" w:cs="Times New Roman"/>
          <w:szCs w:val="24"/>
        </w:rPr>
        <w:t xml:space="preserve"> B</w:t>
      </w:r>
      <w:r w:rsidR="00A40DF9" w:rsidRPr="002269E4">
        <w:rPr>
          <w:rFonts w:ascii="Times New Roman" w:hAnsi="Times New Roman" w:cs="Times New Roman"/>
          <w:szCs w:val="24"/>
        </w:rPr>
        <w:t xml:space="preserve"> and the Appellant (</w:t>
      </w:r>
      <w:r w:rsidR="00591568" w:rsidRPr="002269E4">
        <w:rPr>
          <w:rFonts w:ascii="Times New Roman" w:hAnsi="Times New Roman" w:cs="Times New Roman"/>
          <w:szCs w:val="24"/>
        </w:rPr>
        <w:t>‘</w:t>
      </w:r>
      <w:proofErr w:type="spellStart"/>
      <w:r w:rsidRPr="002269E4">
        <w:rPr>
          <w:rFonts w:ascii="Times New Roman" w:hAnsi="Times New Roman" w:cs="Times New Roman"/>
          <w:b/>
          <w:szCs w:val="24"/>
        </w:rPr>
        <w:t>Mr</w:t>
      </w:r>
      <w:proofErr w:type="spellEnd"/>
      <w:r w:rsidRPr="002269E4">
        <w:rPr>
          <w:rFonts w:ascii="Times New Roman" w:hAnsi="Times New Roman" w:cs="Times New Roman"/>
          <w:b/>
          <w:szCs w:val="24"/>
        </w:rPr>
        <w:t xml:space="preserve"> B</w:t>
      </w:r>
      <w:r w:rsidR="00591568" w:rsidRPr="002269E4">
        <w:rPr>
          <w:rFonts w:ascii="Times New Roman" w:hAnsi="Times New Roman" w:cs="Times New Roman"/>
          <w:szCs w:val="24"/>
        </w:rPr>
        <w:t>’</w:t>
      </w:r>
      <w:r w:rsidR="00A40DF9" w:rsidRPr="002269E4">
        <w:rPr>
          <w:rFonts w:ascii="Times New Roman" w:hAnsi="Times New Roman" w:cs="Times New Roman"/>
          <w:szCs w:val="24"/>
        </w:rPr>
        <w:t xml:space="preserve"> for the former, and </w:t>
      </w:r>
      <w:r w:rsidR="00591568" w:rsidRPr="002269E4">
        <w:rPr>
          <w:rFonts w:ascii="Times New Roman" w:hAnsi="Times New Roman" w:cs="Times New Roman"/>
          <w:szCs w:val="24"/>
        </w:rPr>
        <w:t>‘</w:t>
      </w:r>
      <w:r w:rsidR="00A40DF9" w:rsidRPr="002269E4">
        <w:rPr>
          <w:rFonts w:ascii="Times New Roman" w:hAnsi="Times New Roman" w:cs="Times New Roman"/>
          <w:b/>
          <w:szCs w:val="24"/>
        </w:rPr>
        <w:t>the Owners</w:t>
      </w:r>
      <w:r w:rsidR="00591568" w:rsidRPr="002269E4">
        <w:rPr>
          <w:rFonts w:ascii="Times New Roman" w:hAnsi="Times New Roman" w:cs="Times New Roman"/>
          <w:szCs w:val="24"/>
        </w:rPr>
        <w:t>’</w:t>
      </w:r>
      <w:r w:rsidR="00A40DF9" w:rsidRPr="002269E4">
        <w:rPr>
          <w:rFonts w:ascii="Times New Roman" w:hAnsi="Times New Roman" w:cs="Times New Roman"/>
          <w:szCs w:val="24"/>
        </w:rPr>
        <w:t xml:space="preserve"> </w:t>
      </w:r>
      <w:r w:rsidR="00A40DF9" w:rsidRPr="002269E4">
        <w:rPr>
          <w:rFonts w:ascii="Times New Roman" w:hAnsi="Times New Roman" w:cs="Times New Roman"/>
          <w:szCs w:val="24"/>
        </w:rPr>
        <w:lastRenderedPageBreak/>
        <w:t xml:space="preserve">collectively) are husband and wife. At all relevant times, they were the joint owners of a property located at </w:t>
      </w:r>
      <w:r w:rsidR="00DF7BAE" w:rsidRPr="002269E4">
        <w:rPr>
          <w:rFonts w:ascii="Times New Roman" w:hAnsi="Times New Roman" w:cs="Times New Roman"/>
          <w:szCs w:val="24"/>
        </w:rPr>
        <w:t>Address C</w:t>
      </w:r>
      <w:r w:rsidR="00A40DF9" w:rsidRPr="002269E4">
        <w:rPr>
          <w:rFonts w:ascii="Times New Roman" w:hAnsi="Times New Roman" w:cs="Times New Roman"/>
          <w:szCs w:val="24"/>
        </w:rPr>
        <w:t xml:space="preserve"> (</w:t>
      </w:r>
      <w:r w:rsidR="00591568" w:rsidRPr="002269E4">
        <w:rPr>
          <w:rFonts w:ascii="Times New Roman" w:hAnsi="Times New Roman" w:cs="Times New Roman"/>
          <w:szCs w:val="24"/>
        </w:rPr>
        <w:t>‘</w:t>
      </w:r>
      <w:r w:rsidR="00A40DF9" w:rsidRPr="002269E4">
        <w:rPr>
          <w:rFonts w:ascii="Times New Roman" w:hAnsi="Times New Roman" w:cs="Times New Roman"/>
          <w:b/>
          <w:szCs w:val="24"/>
        </w:rPr>
        <w:t>the Property</w:t>
      </w:r>
      <w:r w:rsidR="00591568" w:rsidRPr="002269E4">
        <w:rPr>
          <w:rFonts w:ascii="Times New Roman" w:hAnsi="Times New Roman" w:cs="Times New Roman"/>
          <w:szCs w:val="24"/>
        </w:rPr>
        <w:t>’</w:t>
      </w:r>
      <w:r w:rsidR="00A40DF9" w:rsidRPr="002269E4">
        <w:rPr>
          <w:rFonts w:ascii="Times New Roman" w:hAnsi="Times New Roman" w:cs="Times New Roman"/>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523D1">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On 1 April 2020, the 2019/20 Return together with the Notes and Instructions - Form BIR57 (4/2019 version) (</w:t>
      </w:r>
      <w:r w:rsidR="00591568" w:rsidRPr="002269E4">
        <w:rPr>
          <w:rFonts w:ascii="Times New Roman" w:hAnsi="Times New Roman" w:cs="Times New Roman"/>
          <w:szCs w:val="24"/>
        </w:rPr>
        <w:t>‘</w:t>
      </w:r>
      <w:r w:rsidRPr="002269E4">
        <w:rPr>
          <w:rFonts w:ascii="Times New Roman" w:hAnsi="Times New Roman" w:cs="Times New Roman"/>
          <w:b/>
          <w:szCs w:val="24"/>
        </w:rPr>
        <w:t>the Notes</w:t>
      </w:r>
      <w:r w:rsidR="00591568" w:rsidRPr="002269E4">
        <w:rPr>
          <w:rFonts w:ascii="Times New Roman" w:hAnsi="Times New Roman" w:cs="Times New Roman"/>
          <w:szCs w:val="24"/>
        </w:rPr>
        <w:t>’</w:t>
      </w:r>
      <w:r w:rsidRPr="002269E4">
        <w:rPr>
          <w:rFonts w:ascii="Times New Roman" w:hAnsi="Times New Roman" w:cs="Times New Roman"/>
          <w:szCs w:val="24"/>
        </w:rPr>
        <w:t>) were issued to the Owners.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5D4234">
      <w:pPr>
        <w:pStyle w:val="ac"/>
        <w:widowControl/>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(1</w:t>
      </w:r>
      <w:r w:rsidR="005D4234" w:rsidRPr="002269E4">
        <w:rPr>
          <w:rFonts w:ascii="Times New Roman" w:hAnsi="Times New Roman" w:cs="Times New Roman"/>
          <w:szCs w:val="24"/>
        </w:rPr>
        <w:t xml:space="preserve">) </w:t>
      </w:r>
      <w:r w:rsidR="007C58EF" w:rsidRPr="002269E4">
        <w:rPr>
          <w:rFonts w:ascii="Times New Roman" w:hAnsi="Times New Roman" w:cs="Times New Roman"/>
          <w:szCs w:val="24"/>
        </w:rPr>
        <w:t xml:space="preserve"> </w:t>
      </w:r>
      <w:r w:rsidRPr="002269E4">
        <w:rPr>
          <w:rFonts w:ascii="Times New Roman" w:hAnsi="Times New Roman" w:cs="Times New Roman"/>
          <w:szCs w:val="24"/>
        </w:rPr>
        <w:t>On the front page of the return, it was stated, in bold print, that:-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591568" w:rsidP="007C58EF">
      <w:pPr>
        <w:pStyle w:val="ac"/>
        <w:widowControl/>
        <w:overflowPunct w:val="0"/>
        <w:autoSpaceDE w:val="0"/>
        <w:autoSpaceDN w:val="0"/>
        <w:ind w:leftChars="886" w:left="2126" w:firstLine="1"/>
        <w:jc w:val="both"/>
        <w:rPr>
          <w:rFonts w:ascii="Times New Roman" w:hAnsi="Times New Roman" w:cs="Times New Roman"/>
          <w:szCs w:val="24"/>
        </w:rPr>
      </w:pPr>
      <w:r w:rsidRPr="002269E4">
        <w:rPr>
          <w:rFonts w:ascii="Times New Roman" w:hAnsi="Times New Roman" w:cs="Times New Roman"/>
          <w:szCs w:val="24"/>
        </w:rPr>
        <w:t>‘</w:t>
      </w:r>
      <w:r w:rsidR="00A40DF9" w:rsidRPr="002269E4">
        <w:rPr>
          <w:rFonts w:ascii="Times New Roman" w:hAnsi="Times New Roman" w:cs="Times New Roman"/>
          <w:b/>
          <w:szCs w:val="24"/>
        </w:rPr>
        <w:t>Please read and follow the enclosed Notes carefully in completing the return.</w:t>
      </w:r>
      <w:r w:rsidRPr="002269E4">
        <w:rPr>
          <w:rFonts w:ascii="Times New Roman" w:hAnsi="Times New Roman" w:cs="Times New Roman"/>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5D4234">
      <w:pPr>
        <w:pStyle w:val="ac"/>
        <w:widowControl/>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(2)</w:t>
      </w:r>
      <w:r w:rsidRPr="002269E4">
        <w:rPr>
          <w:rFonts w:ascii="Times New Roman" w:hAnsi="Times New Roman" w:cs="Times New Roman"/>
          <w:szCs w:val="24"/>
        </w:rPr>
        <w:tab/>
        <w:t xml:space="preserve">Note 2 of the Notes specified that the income to be declared in the return should be the income from the Property for the full year that runs from 1 April to 31 March of the following year. Note 3(a) thereof further provided guidance on what to include as </w:t>
      </w:r>
      <w:r w:rsidR="00591568" w:rsidRPr="002269E4">
        <w:rPr>
          <w:rFonts w:ascii="Times New Roman" w:hAnsi="Times New Roman" w:cs="Times New Roman"/>
          <w:szCs w:val="24"/>
        </w:rPr>
        <w:t>‘</w:t>
      </w:r>
      <w:r w:rsidRPr="002269E4">
        <w:rPr>
          <w:rFonts w:ascii="Times New Roman" w:hAnsi="Times New Roman" w:cs="Times New Roman"/>
          <w:szCs w:val="24"/>
        </w:rPr>
        <w:t>Rental Income</w:t>
      </w:r>
      <w:r w:rsidR="00591568" w:rsidRPr="002269E4">
        <w:rPr>
          <w:rFonts w:ascii="Times New Roman" w:hAnsi="Times New Roman" w:cs="Times New Roman"/>
          <w:szCs w:val="24"/>
        </w:rPr>
        <w:t>’</w:t>
      </w:r>
      <w:r w:rsidRPr="002269E4">
        <w:rPr>
          <w:rFonts w:ascii="Times New Roman" w:hAnsi="Times New Roman" w:cs="Times New Roman"/>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5D4234" w:rsidP="005D4234">
      <w:pPr>
        <w:pStyle w:val="ac"/>
        <w:widowControl/>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(3)</w:t>
      </w:r>
      <w:r w:rsidR="007C58EF" w:rsidRPr="002269E4">
        <w:rPr>
          <w:rFonts w:ascii="Times New Roman" w:hAnsi="Times New Roman" w:cs="Times New Roman"/>
          <w:szCs w:val="24"/>
        </w:rPr>
        <w:t xml:space="preserve">  </w:t>
      </w:r>
      <w:r w:rsidR="00A40DF9" w:rsidRPr="002269E4">
        <w:rPr>
          <w:rFonts w:ascii="Times New Roman" w:hAnsi="Times New Roman" w:cs="Times New Roman"/>
          <w:szCs w:val="24"/>
        </w:rPr>
        <w:t>At the bottom of the front page of the 2019/20 Return, it was printed in bold that:-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591568" w:rsidP="007C58EF">
      <w:pPr>
        <w:pStyle w:val="ac"/>
        <w:widowControl/>
        <w:overflowPunct w:val="0"/>
        <w:autoSpaceDE w:val="0"/>
        <w:autoSpaceDN w:val="0"/>
        <w:ind w:leftChars="863" w:left="2125" w:hanging="54"/>
        <w:jc w:val="both"/>
        <w:rPr>
          <w:rFonts w:ascii="Times New Roman" w:hAnsi="Times New Roman" w:cs="Times New Roman"/>
          <w:szCs w:val="24"/>
        </w:rPr>
      </w:pPr>
      <w:r w:rsidRPr="002269E4">
        <w:rPr>
          <w:rFonts w:ascii="Times New Roman" w:hAnsi="Times New Roman" w:cs="Times New Roman"/>
          <w:szCs w:val="24"/>
        </w:rPr>
        <w:t>‘</w:t>
      </w:r>
      <w:r w:rsidR="00A40DF9" w:rsidRPr="002269E4">
        <w:rPr>
          <w:rFonts w:ascii="Times New Roman" w:hAnsi="Times New Roman" w:cs="Times New Roman"/>
          <w:b/>
          <w:szCs w:val="24"/>
        </w:rPr>
        <w:t>Heavy penalties may be incurred for ... making an incorrect return ... - See Note 6</w:t>
      </w:r>
      <w:r w:rsidRPr="002269E4">
        <w:rPr>
          <w:rFonts w:ascii="Times New Roman" w:hAnsi="Times New Roman" w:cs="Times New Roman"/>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920BB1">
      <w:pPr>
        <w:pStyle w:val="ac"/>
        <w:widowControl/>
        <w:overflowPunct w:val="0"/>
        <w:autoSpaceDE w:val="0"/>
        <w:autoSpaceDN w:val="0"/>
        <w:ind w:leftChars="886" w:left="2126"/>
        <w:jc w:val="both"/>
        <w:rPr>
          <w:rFonts w:ascii="Times New Roman" w:hAnsi="Times New Roman" w:cs="Times New Roman"/>
          <w:szCs w:val="24"/>
        </w:rPr>
      </w:pPr>
      <w:r w:rsidRPr="002269E4">
        <w:rPr>
          <w:rFonts w:ascii="Times New Roman" w:hAnsi="Times New Roman" w:cs="Times New Roman"/>
          <w:szCs w:val="24"/>
        </w:rPr>
        <w:t xml:space="preserve">It was stated in Note 6 of the Notes that heavy penalties under the Ordinance would be imposed for any person who, </w:t>
      </w:r>
      <w:r w:rsidRPr="002269E4">
        <w:rPr>
          <w:rFonts w:ascii="Times New Roman" w:hAnsi="Times New Roman" w:cs="Times New Roman"/>
          <w:i/>
          <w:szCs w:val="24"/>
        </w:rPr>
        <w:t>inter alia</w:t>
      </w:r>
      <w:r w:rsidRPr="002269E4">
        <w:rPr>
          <w:rFonts w:ascii="Times New Roman" w:hAnsi="Times New Roman" w:cs="Times New Roman"/>
          <w:szCs w:val="24"/>
        </w:rPr>
        <w:t>, made an incorrect return without reasonable excuse.</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523D1">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On 4 June 2020, the Appellant filed the 2019/20 Return electronically via her </w:t>
      </w:r>
      <w:proofErr w:type="spellStart"/>
      <w:r w:rsidRPr="002269E4">
        <w:rPr>
          <w:rFonts w:ascii="Times New Roman" w:hAnsi="Times New Roman" w:cs="Times New Roman"/>
          <w:szCs w:val="24"/>
        </w:rPr>
        <w:t>eTAX</w:t>
      </w:r>
      <w:proofErr w:type="spellEnd"/>
      <w:r w:rsidRPr="002269E4">
        <w:rPr>
          <w:rFonts w:ascii="Times New Roman" w:hAnsi="Times New Roman" w:cs="Times New Roman"/>
          <w:szCs w:val="24"/>
        </w:rPr>
        <w:t xml:space="preserve"> account under </w:t>
      </w:r>
      <w:proofErr w:type="spellStart"/>
      <w:r w:rsidRPr="002269E4">
        <w:rPr>
          <w:rFonts w:ascii="Times New Roman" w:hAnsi="Times New Roman" w:cs="Times New Roman"/>
          <w:szCs w:val="24"/>
        </w:rPr>
        <w:t>GovHK</w:t>
      </w:r>
      <w:proofErr w:type="spellEnd"/>
      <w:r w:rsidRPr="002269E4">
        <w:rPr>
          <w:rFonts w:ascii="Times New Roman" w:hAnsi="Times New Roman" w:cs="Times New Roman"/>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4E6106">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 xml:space="preserve">At the start of the electronic filing process, in paragraph 1.2 of </w:t>
      </w:r>
      <w:r w:rsidR="00591568" w:rsidRPr="002269E4">
        <w:rPr>
          <w:rFonts w:ascii="Times New Roman" w:hAnsi="Times New Roman" w:cs="Times New Roman"/>
          <w:szCs w:val="24"/>
        </w:rPr>
        <w:t>‘</w:t>
      </w:r>
      <w:r w:rsidRPr="002269E4">
        <w:rPr>
          <w:rFonts w:ascii="Times New Roman" w:hAnsi="Times New Roman" w:cs="Times New Roman"/>
          <w:szCs w:val="24"/>
        </w:rPr>
        <w:t>Step 1 - Read Important Notes</w:t>
      </w:r>
      <w:r w:rsidR="00591568" w:rsidRPr="002269E4">
        <w:rPr>
          <w:rFonts w:ascii="Times New Roman" w:hAnsi="Times New Roman" w:cs="Times New Roman"/>
          <w:szCs w:val="24"/>
        </w:rPr>
        <w:t>’</w:t>
      </w:r>
      <w:r w:rsidRPr="002269E4">
        <w:rPr>
          <w:rFonts w:ascii="Times New Roman" w:hAnsi="Times New Roman" w:cs="Times New Roman"/>
          <w:szCs w:val="24"/>
        </w:rPr>
        <w:t>, the Appellant was reminded to refer to both the paper return and the Notes.  She could also gain access to the Notes (electronic version) whilst she was completing the return through the electronic channel by clicking the hyperlinks. The Appellant was also, in paragraph 2, drawn to the attention that for the purpose of filing tax returns under the Ordinance, both digital signature and password were accepted as an alternative to hand-written signature; and a person who filed his return by using a password would be treated as having signed the return and was accountable for the accuracy of the information furnished.</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8A4822">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 xml:space="preserve">In Part 3 </w:t>
      </w:r>
      <w:r w:rsidR="00591568" w:rsidRPr="002269E4">
        <w:rPr>
          <w:rFonts w:ascii="Times New Roman" w:hAnsi="Times New Roman" w:cs="Times New Roman"/>
          <w:szCs w:val="24"/>
        </w:rPr>
        <w:t>‘</w:t>
      </w:r>
      <w:r w:rsidRPr="002269E4">
        <w:rPr>
          <w:rFonts w:ascii="Times New Roman" w:hAnsi="Times New Roman" w:cs="Times New Roman"/>
          <w:szCs w:val="24"/>
        </w:rPr>
        <w:t>DETAILS OF PROPERTY</w:t>
      </w:r>
      <w:r w:rsidR="0043702C" w:rsidRPr="002269E4">
        <w:rPr>
          <w:rFonts w:ascii="Times New Roman" w:hAnsi="Times New Roman" w:cs="Times New Roman"/>
          <w:szCs w:val="24"/>
        </w:rPr>
        <w:t xml:space="preserve"> </w:t>
      </w:r>
      <w:r w:rsidRPr="002269E4">
        <w:rPr>
          <w:rFonts w:ascii="Times New Roman" w:hAnsi="Times New Roman" w:cs="Times New Roman"/>
          <w:szCs w:val="24"/>
        </w:rPr>
        <w:t>LET for the year (from 1 April 2019 to 31 March 2020)</w:t>
      </w:r>
      <w:r w:rsidR="00591568" w:rsidRPr="002269E4">
        <w:rPr>
          <w:rFonts w:ascii="Times New Roman" w:hAnsi="Times New Roman" w:cs="Times New Roman"/>
          <w:szCs w:val="24"/>
        </w:rPr>
        <w:t>’</w:t>
      </w:r>
      <w:r w:rsidRPr="002269E4">
        <w:rPr>
          <w:rFonts w:ascii="Times New Roman" w:hAnsi="Times New Roman" w:cs="Times New Roman"/>
          <w:szCs w:val="24"/>
        </w:rPr>
        <w:t xml:space="preserve"> of the 2019/20 Return, the Appellant put a </w:t>
      </w:r>
      <w:r w:rsidR="00591568" w:rsidRPr="002269E4">
        <w:rPr>
          <w:rFonts w:ascii="Times New Roman" w:hAnsi="Times New Roman" w:cs="Times New Roman"/>
          <w:szCs w:val="24"/>
        </w:rPr>
        <w:t>‘</w:t>
      </w:r>
      <w:r w:rsidRPr="002269E4">
        <w:rPr>
          <w:rFonts w:ascii="Segoe UI Symbol" w:eastAsia="Arial Unicode MS" w:hAnsi="Segoe UI Symbol" w:cs="Segoe UI Symbol"/>
          <w:szCs w:val="24"/>
        </w:rPr>
        <w:t>☑</w:t>
      </w:r>
      <w:r w:rsidR="00591568" w:rsidRPr="002269E4">
        <w:rPr>
          <w:rFonts w:ascii="Times New Roman" w:hAnsi="Times New Roman" w:cs="Times New Roman"/>
          <w:szCs w:val="24"/>
        </w:rPr>
        <w:t>’</w:t>
      </w:r>
      <w:r w:rsidRPr="002269E4">
        <w:rPr>
          <w:rFonts w:ascii="Times New Roman" w:hAnsi="Times New Roman" w:cs="Times New Roman"/>
          <w:szCs w:val="24"/>
        </w:rPr>
        <w:t xml:space="preserve"> in the box indicating that the Property was let during the year. She also reported the following in Parts 3.1 to 3.3:</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tbl>
      <w:tblPr>
        <w:tblW w:w="6503" w:type="dxa"/>
        <w:tblInd w:w="2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69"/>
        <w:gridCol w:w="2934"/>
      </w:tblGrid>
      <w:tr w:rsidR="00A40DF9" w:rsidRPr="002269E4" w:rsidTr="001139EA">
        <w:trPr>
          <w:trHeight w:val="720"/>
        </w:trPr>
        <w:tc>
          <w:tcPr>
            <w:tcW w:w="3569" w:type="dxa"/>
          </w:tcPr>
          <w:p w:rsidR="00A40DF9" w:rsidRPr="002269E4" w:rsidRDefault="00A40DF9" w:rsidP="006D4796">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lastRenderedPageBreak/>
              <w:t>Number of complete months the property was let during the year</w:t>
            </w:r>
          </w:p>
        </w:tc>
        <w:tc>
          <w:tcPr>
            <w:tcW w:w="2934" w:type="dxa"/>
          </w:tcPr>
          <w:p w:rsidR="00A40DF9" w:rsidRPr="002269E4" w:rsidRDefault="00A40DF9" w:rsidP="006D4796">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12</w:t>
            </w:r>
          </w:p>
        </w:tc>
      </w:tr>
      <w:tr w:rsidR="00A40DF9" w:rsidRPr="002269E4" w:rsidTr="001139EA">
        <w:trPr>
          <w:trHeight w:val="364"/>
        </w:trPr>
        <w:tc>
          <w:tcPr>
            <w:tcW w:w="3569" w:type="dxa"/>
          </w:tcPr>
          <w:p w:rsidR="00A40DF9" w:rsidRPr="002269E4" w:rsidRDefault="00A40DF9" w:rsidP="006D4796">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Period</w:t>
            </w:r>
          </w:p>
        </w:tc>
        <w:tc>
          <w:tcPr>
            <w:tcW w:w="2934" w:type="dxa"/>
          </w:tcPr>
          <w:p w:rsidR="00A40DF9" w:rsidRPr="002269E4" w:rsidRDefault="00A40DF9" w:rsidP="006D4796">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01</w:t>
            </w:r>
            <w:r w:rsidR="00902CB2" w:rsidRPr="002269E4">
              <w:rPr>
                <w:rFonts w:ascii="Times New Roman" w:hAnsi="Times New Roman" w:cs="Times New Roman"/>
                <w:szCs w:val="24"/>
              </w:rPr>
              <w:t>-</w:t>
            </w:r>
            <w:r w:rsidRPr="002269E4">
              <w:rPr>
                <w:rFonts w:ascii="Times New Roman" w:hAnsi="Times New Roman" w:cs="Times New Roman"/>
                <w:szCs w:val="24"/>
              </w:rPr>
              <w:t>04</w:t>
            </w:r>
            <w:r w:rsidR="00902CB2" w:rsidRPr="002269E4">
              <w:rPr>
                <w:rFonts w:ascii="Times New Roman" w:hAnsi="Times New Roman" w:cs="Times New Roman"/>
                <w:szCs w:val="24"/>
              </w:rPr>
              <w:t>-</w:t>
            </w:r>
            <w:r w:rsidRPr="002269E4">
              <w:rPr>
                <w:rFonts w:ascii="Times New Roman" w:hAnsi="Times New Roman" w:cs="Times New Roman"/>
                <w:szCs w:val="24"/>
              </w:rPr>
              <w:t>2019 to 31</w:t>
            </w:r>
            <w:r w:rsidR="00902CB2" w:rsidRPr="002269E4">
              <w:rPr>
                <w:rFonts w:ascii="Times New Roman" w:hAnsi="Times New Roman" w:cs="Times New Roman"/>
                <w:szCs w:val="24"/>
              </w:rPr>
              <w:t>-</w:t>
            </w:r>
            <w:r w:rsidRPr="002269E4">
              <w:rPr>
                <w:rFonts w:ascii="Times New Roman" w:hAnsi="Times New Roman" w:cs="Times New Roman"/>
                <w:szCs w:val="24"/>
              </w:rPr>
              <w:t>03</w:t>
            </w:r>
            <w:r w:rsidR="00902CB2" w:rsidRPr="002269E4">
              <w:rPr>
                <w:rFonts w:ascii="Times New Roman" w:hAnsi="Times New Roman" w:cs="Times New Roman"/>
                <w:szCs w:val="24"/>
              </w:rPr>
              <w:t>-</w:t>
            </w:r>
            <w:r w:rsidRPr="002269E4">
              <w:rPr>
                <w:rFonts w:ascii="Times New Roman" w:hAnsi="Times New Roman" w:cs="Times New Roman"/>
                <w:szCs w:val="24"/>
              </w:rPr>
              <w:t>2020</w:t>
            </w:r>
          </w:p>
        </w:tc>
      </w:tr>
      <w:tr w:rsidR="00A40DF9" w:rsidRPr="002269E4" w:rsidTr="001139EA">
        <w:trPr>
          <w:trHeight w:val="355"/>
        </w:trPr>
        <w:tc>
          <w:tcPr>
            <w:tcW w:w="3569" w:type="dxa"/>
          </w:tcPr>
          <w:p w:rsidR="00A40DF9" w:rsidRPr="002269E4" w:rsidRDefault="00A40DF9" w:rsidP="006D4796">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Rental Income</w:t>
            </w:r>
          </w:p>
        </w:tc>
        <w:tc>
          <w:tcPr>
            <w:tcW w:w="2934" w:type="dxa"/>
          </w:tcPr>
          <w:p w:rsidR="00A40DF9" w:rsidRPr="002269E4" w:rsidRDefault="00A40DF9" w:rsidP="006D4796">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HK$32,000</w:t>
            </w:r>
          </w:p>
        </w:tc>
      </w:tr>
      <w:tr w:rsidR="00A40DF9" w:rsidRPr="002269E4" w:rsidTr="001139EA">
        <w:trPr>
          <w:trHeight w:val="355"/>
        </w:trPr>
        <w:tc>
          <w:tcPr>
            <w:tcW w:w="3569" w:type="dxa"/>
          </w:tcPr>
          <w:p w:rsidR="00A40DF9" w:rsidRPr="002269E4" w:rsidRDefault="00A40DF9" w:rsidP="006D4796">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Rates paid by owner</w:t>
            </w:r>
          </w:p>
        </w:tc>
        <w:tc>
          <w:tcPr>
            <w:tcW w:w="2934" w:type="dxa"/>
          </w:tcPr>
          <w:p w:rsidR="00A40DF9" w:rsidRPr="002269E4" w:rsidRDefault="00A40DF9" w:rsidP="006D4796">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HK$10,016</w:t>
            </w:r>
          </w:p>
        </w:tc>
      </w:tr>
    </w:tbl>
    <w:p w:rsidR="00A40DF9" w:rsidRPr="002269E4" w:rsidRDefault="00A40DF9" w:rsidP="001C5608">
      <w:pPr>
        <w:widowControl/>
        <w:overflowPunct w:val="0"/>
        <w:autoSpaceDE w:val="0"/>
        <w:autoSpaceDN w:val="0"/>
        <w:ind w:left="720"/>
        <w:jc w:val="both"/>
        <w:rPr>
          <w:rFonts w:ascii="Times New Roman" w:hAnsi="Times New Roman" w:cs="Times New Roman"/>
          <w:szCs w:val="24"/>
        </w:rPr>
      </w:pPr>
    </w:p>
    <w:p w:rsidR="00A40DF9" w:rsidRPr="002269E4" w:rsidRDefault="00A40DF9" w:rsidP="008A4822">
      <w:pPr>
        <w:pStyle w:val="ac"/>
        <w:widowControl/>
        <w:numPr>
          <w:ilvl w:val="0"/>
          <w:numId w:val="7"/>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 xml:space="preserve">Before the Appellant signed and submitted the 2019/20 Return electronically, the </w:t>
      </w:r>
      <w:proofErr w:type="spellStart"/>
      <w:r w:rsidRPr="002269E4">
        <w:rPr>
          <w:rFonts w:ascii="Times New Roman" w:hAnsi="Times New Roman" w:cs="Times New Roman"/>
          <w:szCs w:val="24"/>
        </w:rPr>
        <w:t>eTAX</w:t>
      </w:r>
      <w:proofErr w:type="spellEnd"/>
      <w:r w:rsidRPr="002269E4">
        <w:rPr>
          <w:rFonts w:ascii="Times New Roman" w:hAnsi="Times New Roman" w:cs="Times New Roman"/>
          <w:szCs w:val="24"/>
        </w:rPr>
        <w:t xml:space="preserve"> system had displayed a simulated version of the return with all filled data for the Appellant's checking and confirmation.  The Appellant signed the 2019/20 Return with </w:t>
      </w:r>
      <w:proofErr w:type="spellStart"/>
      <w:r w:rsidRPr="002269E4">
        <w:rPr>
          <w:rFonts w:ascii="Times New Roman" w:hAnsi="Times New Roman" w:cs="Times New Roman"/>
          <w:szCs w:val="24"/>
        </w:rPr>
        <w:t>eTAX</w:t>
      </w:r>
      <w:proofErr w:type="spellEnd"/>
      <w:r w:rsidRPr="002269E4">
        <w:rPr>
          <w:rFonts w:ascii="Times New Roman" w:hAnsi="Times New Roman" w:cs="Times New Roman"/>
          <w:szCs w:val="24"/>
        </w:rPr>
        <w:t xml:space="preserve"> password to declare that the information given in the return was true, correct and complete under Part 5 </w:t>
      </w:r>
      <w:r w:rsidR="00591568" w:rsidRPr="002269E4">
        <w:rPr>
          <w:rFonts w:ascii="Times New Roman" w:hAnsi="Times New Roman" w:cs="Times New Roman"/>
          <w:szCs w:val="24"/>
        </w:rPr>
        <w:t>‘</w:t>
      </w:r>
      <w:r w:rsidRPr="002269E4">
        <w:rPr>
          <w:rFonts w:ascii="Times New Roman" w:hAnsi="Times New Roman" w:cs="Times New Roman"/>
          <w:szCs w:val="24"/>
        </w:rPr>
        <w:t>DECLARATION</w:t>
      </w:r>
      <w:r w:rsidR="00591568" w:rsidRPr="002269E4">
        <w:rPr>
          <w:rFonts w:ascii="Times New Roman" w:hAnsi="Times New Roman" w:cs="Times New Roman"/>
          <w:szCs w:val="24"/>
        </w:rPr>
        <w:t>’</w:t>
      </w:r>
      <w:r w:rsidRPr="002269E4">
        <w:rPr>
          <w:rFonts w:ascii="Times New Roman" w:hAnsi="Times New Roman" w:cs="Times New Roman"/>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523D1">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On 24 July 2020, the Inland Revenue Department (</w:t>
      </w:r>
      <w:r w:rsidR="00591568" w:rsidRPr="002269E4">
        <w:rPr>
          <w:rFonts w:ascii="Times New Roman" w:hAnsi="Times New Roman" w:cs="Times New Roman"/>
          <w:szCs w:val="24"/>
        </w:rPr>
        <w:t>‘</w:t>
      </w:r>
      <w:r w:rsidRPr="002269E4">
        <w:rPr>
          <w:rFonts w:ascii="Times New Roman" w:hAnsi="Times New Roman" w:cs="Times New Roman"/>
          <w:b/>
          <w:szCs w:val="24"/>
        </w:rPr>
        <w:t>the  Department</w:t>
      </w:r>
      <w:r w:rsidR="00591568" w:rsidRPr="002269E4">
        <w:rPr>
          <w:rFonts w:ascii="Times New Roman" w:hAnsi="Times New Roman" w:cs="Times New Roman"/>
          <w:szCs w:val="24"/>
        </w:rPr>
        <w:t>’</w:t>
      </w:r>
      <w:r w:rsidRPr="002269E4">
        <w:rPr>
          <w:rFonts w:ascii="Times New Roman" w:hAnsi="Times New Roman" w:cs="Times New Roman"/>
          <w:szCs w:val="24"/>
        </w:rPr>
        <w:t xml:space="preserve">) issued the Notice of Original </w:t>
      </w:r>
      <w:r w:rsidR="0043702C" w:rsidRPr="002269E4">
        <w:rPr>
          <w:rFonts w:ascii="Times New Roman" w:hAnsi="Times New Roman" w:cs="Times New Roman"/>
          <w:szCs w:val="24"/>
        </w:rPr>
        <w:t>Assessment</w:t>
      </w:r>
      <w:r w:rsidRPr="002269E4">
        <w:rPr>
          <w:rFonts w:ascii="Times New Roman" w:hAnsi="Times New Roman" w:cs="Times New Roman"/>
          <w:szCs w:val="24"/>
        </w:rPr>
        <w:t xml:space="preserve"> f</w:t>
      </w:r>
      <w:r w:rsidR="0043702C" w:rsidRPr="002269E4">
        <w:rPr>
          <w:rFonts w:ascii="Times New Roman" w:hAnsi="Times New Roman" w:cs="Times New Roman"/>
          <w:szCs w:val="24"/>
        </w:rPr>
        <w:t xml:space="preserve">or the year of </w:t>
      </w:r>
      <w:r w:rsidRPr="002269E4">
        <w:rPr>
          <w:rFonts w:ascii="Times New Roman" w:hAnsi="Times New Roman" w:cs="Times New Roman"/>
          <w:szCs w:val="24"/>
        </w:rPr>
        <w:t xml:space="preserve">assessment 2019/20 to the Owners based on the rental income </w:t>
      </w:r>
      <w:r w:rsidR="00C31A9A" w:rsidRPr="002269E4">
        <w:rPr>
          <w:rFonts w:ascii="Times New Roman" w:hAnsi="Times New Roman" w:cs="Times New Roman"/>
          <w:szCs w:val="24"/>
        </w:rPr>
        <w:t xml:space="preserve">reported and deduction claimed in the 2019/20 Return. </w:t>
      </w:r>
      <w:r w:rsidRPr="002269E4">
        <w:rPr>
          <w:rFonts w:ascii="Times New Roman" w:hAnsi="Times New Roman" w:cs="Times New Roman"/>
          <w:szCs w:val="24"/>
        </w:rPr>
        <w:t>Since the Owners had elected Personal Assessment, Property Tax was not demanded in respect of their shares of net assessable value in the Property.</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523D1">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On 11 February 2021, the Department issued the Notice Demanding Final Tax for the year of assessment 2019/20 to the Owners and demanded final tax payable of HK$2,638 because it was not advantageous for the Owners to elect Personal Assessment.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On 1 April 2021, the Property Tax Return in respect of the Property for the year of assessment 2020/21 (</w:t>
      </w:r>
      <w:r w:rsidR="00591568" w:rsidRPr="002269E4">
        <w:rPr>
          <w:rFonts w:ascii="Times New Roman" w:hAnsi="Times New Roman" w:cs="Times New Roman"/>
          <w:szCs w:val="24"/>
        </w:rPr>
        <w:t>‘</w:t>
      </w:r>
      <w:r w:rsidRPr="002269E4">
        <w:rPr>
          <w:rFonts w:ascii="Times New Roman" w:hAnsi="Times New Roman" w:cs="Times New Roman"/>
          <w:b/>
          <w:szCs w:val="24"/>
        </w:rPr>
        <w:t>the 2020/21 Return</w:t>
      </w:r>
      <w:r w:rsidR="00591568" w:rsidRPr="002269E4">
        <w:rPr>
          <w:rFonts w:ascii="Times New Roman" w:hAnsi="Times New Roman" w:cs="Times New Roman"/>
          <w:szCs w:val="24"/>
        </w:rPr>
        <w:t>’</w:t>
      </w:r>
      <w:r w:rsidRPr="002269E4">
        <w:rPr>
          <w:rFonts w:ascii="Times New Roman" w:hAnsi="Times New Roman" w:cs="Times New Roman"/>
          <w:szCs w:val="24"/>
        </w:rPr>
        <w:t>) together with the Notes (4/2020 version) were issued to the Owners.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The Department received the 2020/21 Return which was signed by </w:t>
      </w:r>
      <w:proofErr w:type="spellStart"/>
      <w:r w:rsidR="00511974" w:rsidRPr="002269E4">
        <w:rPr>
          <w:rFonts w:ascii="Times New Roman" w:hAnsi="Times New Roman" w:cs="Times New Roman"/>
          <w:szCs w:val="24"/>
        </w:rPr>
        <w:t>Mr</w:t>
      </w:r>
      <w:proofErr w:type="spellEnd"/>
      <w:r w:rsidR="00511974" w:rsidRPr="002269E4">
        <w:rPr>
          <w:rFonts w:ascii="Times New Roman" w:hAnsi="Times New Roman" w:cs="Times New Roman"/>
          <w:szCs w:val="24"/>
        </w:rPr>
        <w:t xml:space="preserve"> B</w:t>
      </w:r>
      <w:r w:rsidRPr="002269E4">
        <w:rPr>
          <w:rFonts w:ascii="Times New Roman" w:hAnsi="Times New Roman" w:cs="Times New Roman"/>
          <w:szCs w:val="24"/>
        </w:rPr>
        <w:t xml:space="preserve"> on 20 April 2021.  In Part 4 </w:t>
      </w:r>
      <w:r w:rsidR="00591568" w:rsidRPr="002269E4">
        <w:rPr>
          <w:rFonts w:ascii="Times New Roman" w:hAnsi="Times New Roman" w:cs="Times New Roman"/>
          <w:szCs w:val="24"/>
        </w:rPr>
        <w:t>‘</w:t>
      </w:r>
      <w:r w:rsidRPr="002269E4">
        <w:rPr>
          <w:rFonts w:ascii="Times New Roman" w:hAnsi="Times New Roman" w:cs="Times New Roman"/>
          <w:szCs w:val="24"/>
        </w:rPr>
        <w:t>DETAILS OF PROPERTY LET for the year (from 1 April 2020 to 31 March 2021)</w:t>
      </w:r>
      <w:r w:rsidR="00591568" w:rsidRPr="002269E4">
        <w:rPr>
          <w:rFonts w:ascii="Times New Roman" w:hAnsi="Times New Roman" w:cs="Times New Roman"/>
          <w:szCs w:val="24"/>
        </w:rPr>
        <w:t>’</w:t>
      </w:r>
      <w:r w:rsidRPr="002269E4">
        <w:rPr>
          <w:rFonts w:ascii="Times New Roman" w:hAnsi="Times New Roman" w:cs="Times New Roman"/>
          <w:szCs w:val="24"/>
        </w:rPr>
        <w:t xml:space="preserve">, </w:t>
      </w:r>
      <w:proofErr w:type="spellStart"/>
      <w:r w:rsidR="00511974" w:rsidRPr="002269E4">
        <w:rPr>
          <w:rFonts w:ascii="Times New Roman" w:hAnsi="Times New Roman" w:cs="Times New Roman"/>
          <w:szCs w:val="24"/>
        </w:rPr>
        <w:t>Mr</w:t>
      </w:r>
      <w:proofErr w:type="spellEnd"/>
      <w:r w:rsidR="00511974" w:rsidRPr="002269E4">
        <w:rPr>
          <w:rFonts w:ascii="Times New Roman" w:hAnsi="Times New Roman" w:cs="Times New Roman"/>
          <w:szCs w:val="24"/>
        </w:rPr>
        <w:t xml:space="preserve"> B</w:t>
      </w:r>
      <w:r w:rsidRPr="002269E4">
        <w:rPr>
          <w:rFonts w:ascii="Times New Roman" w:hAnsi="Times New Roman" w:cs="Times New Roman"/>
          <w:szCs w:val="24"/>
        </w:rPr>
        <w:t xml:space="preserve"> put a </w:t>
      </w:r>
      <w:r w:rsidR="00591568" w:rsidRPr="002269E4">
        <w:rPr>
          <w:rFonts w:ascii="Times New Roman" w:hAnsi="Times New Roman" w:cs="Times New Roman"/>
          <w:szCs w:val="24"/>
        </w:rPr>
        <w:t>‘</w:t>
      </w:r>
      <w:r w:rsidRPr="002269E4">
        <w:rPr>
          <w:rFonts w:ascii="Segoe UI Symbol" w:eastAsia="Arial Unicode MS" w:hAnsi="Segoe UI Symbol" w:cs="Segoe UI Symbol"/>
          <w:szCs w:val="24"/>
        </w:rPr>
        <w:t>☑</w:t>
      </w:r>
      <w:r w:rsidR="00591568" w:rsidRPr="002269E4">
        <w:rPr>
          <w:rFonts w:ascii="Times New Roman" w:hAnsi="Times New Roman" w:cs="Times New Roman"/>
          <w:szCs w:val="24"/>
        </w:rPr>
        <w:t>’</w:t>
      </w:r>
      <w:r w:rsidRPr="002269E4">
        <w:rPr>
          <w:rFonts w:ascii="Times New Roman" w:hAnsi="Times New Roman" w:cs="Times New Roman"/>
          <w:szCs w:val="24"/>
        </w:rPr>
        <w:t xml:space="preserve"> in the box indicating that the Property was let during the year. He also reported the following in Parts 4.1 to 4.3:</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tbl>
      <w:tblPr>
        <w:tblW w:w="6861" w:type="dxa"/>
        <w:tblInd w:w="1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1"/>
        <w:gridCol w:w="3000"/>
      </w:tblGrid>
      <w:tr w:rsidR="00A40DF9" w:rsidRPr="002269E4" w:rsidTr="00885C03">
        <w:trPr>
          <w:trHeight w:val="715"/>
        </w:trPr>
        <w:tc>
          <w:tcPr>
            <w:tcW w:w="3861" w:type="dxa"/>
          </w:tcPr>
          <w:p w:rsidR="00A40DF9" w:rsidRPr="002269E4" w:rsidRDefault="00A40DF9" w:rsidP="00885C03">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Number of complete months the property was let during the year</w:t>
            </w:r>
          </w:p>
        </w:tc>
        <w:tc>
          <w:tcPr>
            <w:tcW w:w="3000" w:type="dxa"/>
          </w:tcPr>
          <w:p w:rsidR="00A40DF9" w:rsidRPr="002269E4" w:rsidRDefault="00A40DF9" w:rsidP="00885C03">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10</w:t>
            </w:r>
          </w:p>
        </w:tc>
      </w:tr>
      <w:tr w:rsidR="00A40DF9" w:rsidRPr="002269E4" w:rsidTr="00885C03">
        <w:trPr>
          <w:trHeight w:val="359"/>
        </w:trPr>
        <w:tc>
          <w:tcPr>
            <w:tcW w:w="3861" w:type="dxa"/>
          </w:tcPr>
          <w:p w:rsidR="00A40DF9" w:rsidRPr="002269E4" w:rsidRDefault="00A40DF9" w:rsidP="00885C03">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Period</w:t>
            </w:r>
          </w:p>
        </w:tc>
        <w:tc>
          <w:tcPr>
            <w:tcW w:w="3000" w:type="dxa"/>
          </w:tcPr>
          <w:p w:rsidR="00A40DF9" w:rsidRPr="002269E4" w:rsidRDefault="00A40DF9" w:rsidP="00885C03">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01</w:t>
            </w:r>
            <w:r w:rsidR="00902CB2" w:rsidRPr="002269E4">
              <w:rPr>
                <w:rFonts w:ascii="Times New Roman" w:hAnsi="Times New Roman" w:cs="Times New Roman"/>
                <w:szCs w:val="24"/>
              </w:rPr>
              <w:t>-</w:t>
            </w:r>
            <w:r w:rsidRPr="002269E4">
              <w:rPr>
                <w:rFonts w:ascii="Times New Roman" w:hAnsi="Times New Roman" w:cs="Times New Roman"/>
                <w:szCs w:val="24"/>
              </w:rPr>
              <w:t>04</w:t>
            </w:r>
            <w:r w:rsidR="00902CB2" w:rsidRPr="002269E4">
              <w:rPr>
                <w:rFonts w:ascii="Times New Roman" w:hAnsi="Times New Roman" w:cs="Times New Roman"/>
                <w:szCs w:val="24"/>
              </w:rPr>
              <w:t>-</w:t>
            </w:r>
            <w:r w:rsidRPr="002269E4">
              <w:rPr>
                <w:rFonts w:ascii="Times New Roman" w:hAnsi="Times New Roman" w:cs="Times New Roman"/>
                <w:szCs w:val="24"/>
              </w:rPr>
              <w:t>2020 to 31</w:t>
            </w:r>
            <w:r w:rsidR="00902CB2" w:rsidRPr="002269E4">
              <w:rPr>
                <w:rFonts w:ascii="Times New Roman" w:hAnsi="Times New Roman" w:cs="Times New Roman"/>
                <w:szCs w:val="24"/>
              </w:rPr>
              <w:t>-</w:t>
            </w:r>
            <w:r w:rsidRPr="002269E4">
              <w:rPr>
                <w:rFonts w:ascii="Times New Roman" w:hAnsi="Times New Roman" w:cs="Times New Roman"/>
                <w:szCs w:val="24"/>
              </w:rPr>
              <w:t>03</w:t>
            </w:r>
            <w:r w:rsidR="00902CB2" w:rsidRPr="002269E4">
              <w:rPr>
                <w:rFonts w:ascii="Times New Roman" w:hAnsi="Times New Roman" w:cs="Times New Roman"/>
                <w:szCs w:val="24"/>
              </w:rPr>
              <w:t>-</w:t>
            </w:r>
            <w:r w:rsidRPr="002269E4">
              <w:rPr>
                <w:rFonts w:ascii="Times New Roman" w:hAnsi="Times New Roman" w:cs="Times New Roman"/>
                <w:szCs w:val="24"/>
              </w:rPr>
              <w:t>2021</w:t>
            </w:r>
          </w:p>
        </w:tc>
      </w:tr>
      <w:tr w:rsidR="00A40DF9" w:rsidRPr="002269E4" w:rsidTr="00885C03">
        <w:trPr>
          <w:trHeight w:val="350"/>
        </w:trPr>
        <w:tc>
          <w:tcPr>
            <w:tcW w:w="3861" w:type="dxa"/>
          </w:tcPr>
          <w:p w:rsidR="00A40DF9" w:rsidRPr="002269E4" w:rsidRDefault="00A40DF9" w:rsidP="00885C03">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Rental Income</w:t>
            </w:r>
          </w:p>
        </w:tc>
        <w:tc>
          <w:tcPr>
            <w:tcW w:w="3000" w:type="dxa"/>
          </w:tcPr>
          <w:p w:rsidR="00A40DF9" w:rsidRPr="002269E4" w:rsidRDefault="00A40DF9" w:rsidP="00885C03">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HK$330,000</w:t>
            </w:r>
          </w:p>
        </w:tc>
      </w:tr>
      <w:tr w:rsidR="00A40DF9" w:rsidRPr="002269E4" w:rsidTr="00885C03">
        <w:trPr>
          <w:trHeight w:val="355"/>
        </w:trPr>
        <w:tc>
          <w:tcPr>
            <w:tcW w:w="3861" w:type="dxa"/>
          </w:tcPr>
          <w:p w:rsidR="00A40DF9" w:rsidRPr="002269E4" w:rsidRDefault="00A40DF9" w:rsidP="00885C03">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Rates paid by owner</w:t>
            </w:r>
          </w:p>
        </w:tc>
        <w:tc>
          <w:tcPr>
            <w:tcW w:w="3000" w:type="dxa"/>
          </w:tcPr>
          <w:p w:rsidR="00A40DF9" w:rsidRPr="002269E4" w:rsidRDefault="00A40DF9" w:rsidP="00885C03">
            <w:pPr>
              <w:widowControl/>
              <w:overflowPunct w:val="0"/>
              <w:autoSpaceDE w:val="0"/>
              <w:autoSpaceDN w:val="0"/>
              <w:ind w:leftChars="50" w:left="120"/>
              <w:rPr>
                <w:rFonts w:ascii="Times New Roman" w:hAnsi="Times New Roman" w:cs="Times New Roman"/>
                <w:szCs w:val="24"/>
              </w:rPr>
            </w:pPr>
            <w:r w:rsidRPr="002269E4">
              <w:rPr>
                <w:rFonts w:ascii="Times New Roman" w:hAnsi="Times New Roman" w:cs="Times New Roman"/>
                <w:szCs w:val="24"/>
              </w:rPr>
              <w:t>HK$8,428</w:t>
            </w:r>
          </w:p>
        </w:tc>
      </w:tr>
    </w:tbl>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511974" w:rsidP="00885C03">
      <w:pPr>
        <w:pStyle w:val="ac"/>
        <w:widowControl/>
        <w:overflowPunct w:val="0"/>
        <w:autoSpaceDE w:val="0"/>
        <w:autoSpaceDN w:val="0"/>
        <w:ind w:leftChars="650" w:left="1560"/>
        <w:jc w:val="both"/>
        <w:rPr>
          <w:rFonts w:ascii="Times New Roman" w:hAnsi="Times New Roman" w:cs="Times New Roman"/>
          <w:szCs w:val="24"/>
        </w:rPr>
      </w:pPr>
      <w:proofErr w:type="spellStart"/>
      <w:r w:rsidRPr="002269E4">
        <w:rPr>
          <w:rFonts w:ascii="Times New Roman" w:hAnsi="Times New Roman" w:cs="Times New Roman"/>
          <w:szCs w:val="24"/>
        </w:rPr>
        <w:t>Mr</w:t>
      </w:r>
      <w:proofErr w:type="spellEnd"/>
      <w:r w:rsidRPr="002269E4">
        <w:rPr>
          <w:rFonts w:ascii="Times New Roman" w:hAnsi="Times New Roman" w:cs="Times New Roman"/>
          <w:szCs w:val="24"/>
        </w:rPr>
        <w:t xml:space="preserve"> B</w:t>
      </w:r>
      <w:r w:rsidR="00A40DF9" w:rsidRPr="002269E4">
        <w:rPr>
          <w:rFonts w:ascii="Times New Roman" w:hAnsi="Times New Roman" w:cs="Times New Roman"/>
          <w:szCs w:val="24"/>
        </w:rPr>
        <w:t xml:space="preserve"> declared in Part 2 </w:t>
      </w:r>
      <w:r w:rsidR="00591568" w:rsidRPr="002269E4">
        <w:rPr>
          <w:rFonts w:ascii="Times New Roman" w:hAnsi="Times New Roman" w:cs="Times New Roman"/>
          <w:szCs w:val="24"/>
        </w:rPr>
        <w:t>‘</w:t>
      </w:r>
      <w:r w:rsidR="00A40DF9" w:rsidRPr="002269E4">
        <w:rPr>
          <w:rFonts w:ascii="Times New Roman" w:hAnsi="Times New Roman" w:cs="Times New Roman"/>
          <w:szCs w:val="24"/>
        </w:rPr>
        <w:t>DECLARATION</w:t>
      </w:r>
      <w:r w:rsidR="00591568" w:rsidRPr="002269E4">
        <w:rPr>
          <w:rFonts w:ascii="Times New Roman" w:hAnsi="Times New Roman" w:cs="Times New Roman"/>
          <w:szCs w:val="24"/>
        </w:rPr>
        <w:t>’</w:t>
      </w:r>
      <w:r w:rsidR="00A40DF9" w:rsidRPr="002269E4">
        <w:rPr>
          <w:rFonts w:ascii="Times New Roman" w:hAnsi="Times New Roman" w:cs="Times New Roman"/>
          <w:szCs w:val="24"/>
        </w:rPr>
        <w:t xml:space="preserve"> that the information given in the return was true, correct and complete.</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By letter dated 11 June 2021, the Assessor requested the Owners to provide a breakdown of the rental income of HK$32,000 reported in the 2019/20 Return with a copy of the relevant tenancy agreement in support.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By reply letter dated 26 June 2021, </w:t>
      </w:r>
      <w:proofErr w:type="spellStart"/>
      <w:r w:rsidR="00511974" w:rsidRPr="002269E4">
        <w:rPr>
          <w:rFonts w:ascii="Times New Roman" w:hAnsi="Times New Roman" w:cs="Times New Roman"/>
          <w:szCs w:val="24"/>
        </w:rPr>
        <w:t>Mr</w:t>
      </w:r>
      <w:proofErr w:type="spellEnd"/>
      <w:r w:rsidR="00511974" w:rsidRPr="002269E4">
        <w:rPr>
          <w:rFonts w:ascii="Times New Roman" w:hAnsi="Times New Roman" w:cs="Times New Roman"/>
          <w:szCs w:val="24"/>
        </w:rPr>
        <w:t xml:space="preserve"> B</w:t>
      </w:r>
      <w:r w:rsidRPr="002269E4">
        <w:rPr>
          <w:rFonts w:ascii="Times New Roman" w:hAnsi="Times New Roman" w:cs="Times New Roman"/>
          <w:szCs w:val="24"/>
        </w:rPr>
        <w:t xml:space="preserve"> confirmed that the Property was let throughout the period from 1 April 2019 to 31 March 2020 with a monthly rental income of HK$35,000.  He further stated that </w:t>
      </w:r>
      <w:r w:rsidR="00591568" w:rsidRPr="002269E4">
        <w:rPr>
          <w:rFonts w:ascii="Times New Roman" w:hAnsi="Times New Roman" w:cs="Times New Roman"/>
          <w:szCs w:val="24"/>
        </w:rPr>
        <w:t>‘</w:t>
      </w:r>
      <w:r w:rsidRPr="002269E4">
        <w:rPr>
          <w:rFonts w:ascii="Times New Roman" w:hAnsi="Times New Roman" w:cs="Times New Roman"/>
          <w:szCs w:val="24"/>
        </w:rPr>
        <w:t>(he) was sorry for the typo when (he) reported the rental income in the year 2020</w:t>
      </w:r>
      <w:r w:rsidR="00591568" w:rsidRPr="002269E4">
        <w:rPr>
          <w:rFonts w:ascii="Times New Roman" w:hAnsi="Times New Roman" w:cs="Times New Roman"/>
          <w:szCs w:val="24"/>
        </w:rPr>
        <w:t>’</w:t>
      </w:r>
      <w:r w:rsidRPr="002269E4">
        <w:rPr>
          <w:rFonts w:ascii="Times New Roman" w:hAnsi="Times New Roman" w:cs="Times New Roman"/>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On 14 September 2021, the Department raised on the Owners the following Additional Assessment Demanding Final Tax for the year of assessment 2019/20:</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tbl>
      <w:tblPr>
        <w:tblW w:w="7043" w:type="dxa"/>
        <w:tblInd w:w="1702" w:type="dxa"/>
        <w:tblLayout w:type="fixed"/>
        <w:tblCellMar>
          <w:left w:w="0" w:type="dxa"/>
          <w:right w:w="0" w:type="dxa"/>
        </w:tblCellMar>
        <w:tblLook w:val="01E0" w:firstRow="1" w:lastRow="1" w:firstColumn="1" w:lastColumn="1" w:noHBand="0" w:noVBand="0"/>
      </w:tblPr>
      <w:tblGrid>
        <w:gridCol w:w="3499"/>
        <w:gridCol w:w="1181"/>
        <w:gridCol w:w="1159"/>
        <w:gridCol w:w="22"/>
        <w:gridCol w:w="1182"/>
      </w:tblGrid>
      <w:tr w:rsidR="00A40DF9" w:rsidRPr="002269E4" w:rsidTr="001D3B1B">
        <w:trPr>
          <w:trHeight w:val="589"/>
        </w:trPr>
        <w:tc>
          <w:tcPr>
            <w:tcW w:w="3499" w:type="dxa"/>
            <w:vMerge w:val="restart"/>
          </w:tcPr>
          <w:p w:rsidR="00A40DF9" w:rsidRPr="002269E4" w:rsidRDefault="00A40DF9" w:rsidP="001C5608">
            <w:pPr>
              <w:pStyle w:val="TableParagraph"/>
              <w:widowControl/>
              <w:overflowPunct w:val="0"/>
              <w:spacing w:before="0"/>
              <w:jc w:val="both"/>
              <w:rPr>
                <w:sz w:val="24"/>
                <w:szCs w:val="24"/>
              </w:rPr>
            </w:pPr>
          </w:p>
        </w:tc>
        <w:tc>
          <w:tcPr>
            <w:tcW w:w="1181" w:type="dxa"/>
            <w:tcBorders>
              <w:bottom w:val="single" w:sz="4" w:space="0" w:color="auto"/>
            </w:tcBorders>
          </w:tcPr>
          <w:p w:rsidR="00A40DF9" w:rsidRPr="002269E4" w:rsidRDefault="00A40DF9" w:rsidP="00511974">
            <w:pPr>
              <w:widowControl/>
              <w:overflowPunct w:val="0"/>
              <w:autoSpaceDE w:val="0"/>
              <w:autoSpaceDN w:val="0"/>
              <w:jc w:val="right"/>
              <w:rPr>
                <w:rFonts w:ascii="Times New Roman" w:hAnsi="Times New Roman" w:cs="Times New Roman"/>
                <w:szCs w:val="24"/>
              </w:rPr>
            </w:pPr>
            <w:r w:rsidRPr="002269E4">
              <w:rPr>
                <w:rFonts w:ascii="Times New Roman" w:hAnsi="Times New Roman" w:cs="Times New Roman"/>
                <w:szCs w:val="24"/>
              </w:rPr>
              <w:t>Amount previously assessed</w:t>
            </w:r>
          </w:p>
        </w:tc>
        <w:tc>
          <w:tcPr>
            <w:tcW w:w="1181" w:type="dxa"/>
            <w:gridSpan w:val="2"/>
            <w:tcBorders>
              <w:bottom w:val="single" w:sz="6" w:space="0" w:color="000000"/>
            </w:tcBorders>
            <w:vAlign w:val="center"/>
          </w:tcPr>
          <w:p w:rsidR="00A40DF9" w:rsidRPr="002269E4" w:rsidRDefault="00A40DF9" w:rsidP="00511974">
            <w:pPr>
              <w:widowControl/>
              <w:overflowPunct w:val="0"/>
              <w:autoSpaceDE w:val="0"/>
              <w:autoSpaceDN w:val="0"/>
              <w:jc w:val="right"/>
              <w:rPr>
                <w:rFonts w:ascii="Times New Roman" w:hAnsi="Times New Roman" w:cs="Times New Roman"/>
                <w:szCs w:val="24"/>
              </w:rPr>
            </w:pPr>
            <w:r w:rsidRPr="002269E4">
              <w:rPr>
                <w:rFonts w:ascii="Times New Roman" w:hAnsi="Times New Roman" w:cs="Times New Roman"/>
                <w:szCs w:val="24"/>
              </w:rPr>
              <w:t>Additional amount</w:t>
            </w:r>
          </w:p>
        </w:tc>
        <w:tc>
          <w:tcPr>
            <w:tcW w:w="1182" w:type="dxa"/>
            <w:tcBorders>
              <w:bottom w:val="single" w:sz="6" w:space="0" w:color="000000"/>
            </w:tcBorders>
          </w:tcPr>
          <w:p w:rsidR="00A40DF9" w:rsidRPr="002269E4" w:rsidRDefault="00A40DF9" w:rsidP="00511974">
            <w:pPr>
              <w:widowControl/>
              <w:overflowPunct w:val="0"/>
              <w:autoSpaceDE w:val="0"/>
              <w:autoSpaceDN w:val="0"/>
              <w:jc w:val="right"/>
              <w:rPr>
                <w:rFonts w:ascii="Times New Roman" w:hAnsi="Times New Roman" w:cs="Times New Roman"/>
                <w:szCs w:val="24"/>
              </w:rPr>
            </w:pPr>
            <w:r w:rsidRPr="002269E4">
              <w:rPr>
                <w:rFonts w:ascii="Times New Roman" w:hAnsi="Times New Roman" w:cs="Times New Roman"/>
                <w:szCs w:val="24"/>
              </w:rPr>
              <w:t>Total amount assessed</w:t>
            </w:r>
          </w:p>
        </w:tc>
      </w:tr>
      <w:tr w:rsidR="00A40DF9" w:rsidRPr="002269E4" w:rsidTr="001D3B1B">
        <w:trPr>
          <w:trHeight w:val="378"/>
        </w:trPr>
        <w:tc>
          <w:tcPr>
            <w:tcW w:w="3499" w:type="dxa"/>
            <w:vMerge/>
            <w:tcBorders>
              <w:top w:val="nil"/>
            </w:tcBorders>
          </w:tcPr>
          <w:p w:rsidR="00A40DF9" w:rsidRPr="002269E4" w:rsidRDefault="00A40DF9" w:rsidP="001C5608">
            <w:pPr>
              <w:widowControl/>
              <w:overflowPunct w:val="0"/>
              <w:autoSpaceDE w:val="0"/>
              <w:autoSpaceDN w:val="0"/>
              <w:jc w:val="both"/>
              <w:rPr>
                <w:rFonts w:ascii="Times New Roman" w:hAnsi="Times New Roman" w:cs="Times New Roman"/>
                <w:szCs w:val="24"/>
              </w:rPr>
            </w:pPr>
          </w:p>
        </w:tc>
        <w:tc>
          <w:tcPr>
            <w:tcW w:w="1181" w:type="dxa"/>
            <w:tcBorders>
              <w:top w:val="single" w:sz="4" w:space="0" w:color="auto"/>
            </w:tcBorders>
          </w:tcPr>
          <w:p w:rsidR="00A40DF9" w:rsidRPr="002269E4" w:rsidRDefault="00A40DF9" w:rsidP="00511974">
            <w:pPr>
              <w:pStyle w:val="TableParagraph"/>
              <w:widowControl/>
              <w:overflowPunct w:val="0"/>
              <w:spacing w:before="0"/>
              <w:jc w:val="right"/>
              <w:rPr>
                <w:sz w:val="24"/>
                <w:szCs w:val="24"/>
              </w:rPr>
            </w:pPr>
            <w:r w:rsidRPr="002269E4">
              <w:rPr>
                <w:w w:val="103"/>
                <w:sz w:val="24"/>
                <w:szCs w:val="24"/>
              </w:rPr>
              <w:t>$</w:t>
            </w:r>
          </w:p>
        </w:tc>
        <w:tc>
          <w:tcPr>
            <w:tcW w:w="1181" w:type="dxa"/>
            <w:gridSpan w:val="2"/>
            <w:tcBorders>
              <w:top w:val="single" w:sz="6" w:space="0" w:color="000000"/>
            </w:tcBorders>
          </w:tcPr>
          <w:p w:rsidR="00A40DF9" w:rsidRPr="002269E4" w:rsidRDefault="00A40DF9" w:rsidP="00511974">
            <w:pPr>
              <w:pStyle w:val="TableParagraph"/>
              <w:widowControl/>
              <w:overflowPunct w:val="0"/>
              <w:spacing w:before="0"/>
              <w:jc w:val="right"/>
              <w:rPr>
                <w:sz w:val="24"/>
                <w:szCs w:val="24"/>
              </w:rPr>
            </w:pPr>
            <w:r w:rsidRPr="002269E4">
              <w:rPr>
                <w:w w:val="108"/>
                <w:sz w:val="24"/>
                <w:szCs w:val="24"/>
              </w:rPr>
              <w:t>$</w:t>
            </w:r>
          </w:p>
        </w:tc>
        <w:tc>
          <w:tcPr>
            <w:tcW w:w="1182" w:type="dxa"/>
            <w:tcBorders>
              <w:top w:val="single" w:sz="6" w:space="0" w:color="000000"/>
            </w:tcBorders>
          </w:tcPr>
          <w:p w:rsidR="00A40DF9" w:rsidRPr="002269E4" w:rsidRDefault="00A40DF9" w:rsidP="00511974">
            <w:pPr>
              <w:pStyle w:val="TableParagraph"/>
              <w:widowControl/>
              <w:overflowPunct w:val="0"/>
              <w:spacing w:before="0"/>
              <w:jc w:val="right"/>
              <w:rPr>
                <w:sz w:val="24"/>
                <w:szCs w:val="24"/>
              </w:rPr>
            </w:pPr>
            <w:r w:rsidRPr="002269E4">
              <w:rPr>
                <w:w w:val="108"/>
                <w:sz w:val="24"/>
                <w:szCs w:val="24"/>
              </w:rPr>
              <w:t>$</w:t>
            </w:r>
          </w:p>
        </w:tc>
      </w:tr>
      <w:tr w:rsidR="00A40DF9" w:rsidRPr="002269E4" w:rsidTr="001D3B1B">
        <w:trPr>
          <w:trHeight w:val="363"/>
        </w:trPr>
        <w:tc>
          <w:tcPr>
            <w:tcW w:w="3499" w:type="dxa"/>
          </w:tcPr>
          <w:p w:rsidR="00A40DF9" w:rsidRPr="002269E4" w:rsidRDefault="00A40DF9" w:rsidP="001C5608">
            <w:pPr>
              <w:pStyle w:val="TableParagraph"/>
              <w:widowControl/>
              <w:overflowPunct w:val="0"/>
              <w:spacing w:before="0"/>
              <w:jc w:val="both"/>
              <w:rPr>
                <w:sz w:val="24"/>
                <w:szCs w:val="24"/>
              </w:rPr>
            </w:pPr>
            <w:r w:rsidRPr="002269E4">
              <w:rPr>
                <w:w w:val="105"/>
                <w:sz w:val="24"/>
                <w:szCs w:val="24"/>
              </w:rPr>
              <w:t>Assessable value</w:t>
            </w:r>
          </w:p>
        </w:tc>
        <w:tc>
          <w:tcPr>
            <w:tcW w:w="1181" w:type="dxa"/>
          </w:tcPr>
          <w:p w:rsidR="00A40DF9" w:rsidRPr="002269E4" w:rsidRDefault="00A40DF9" w:rsidP="00511974">
            <w:pPr>
              <w:pStyle w:val="TableParagraph"/>
              <w:widowControl/>
              <w:overflowPunct w:val="0"/>
              <w:spacing w:before="0"/>
              <w:jc w:val="right"/>
              <w:rPr>
                <w:sz w:val="24"/>
                <w:szCs w:val="24"/>
              </w:rPr>
            </w:pPr>
            <w:r w:rsidRPr="002269E4">
              <w:rPr>
                <w:sz w:val="24"/>
                <w:szCs w:val="24"/>
              </w:rPr>
              <w:t>32,000</w:t>
            </w:r>
          </w:p>
        </w:tc>
        <w:tc>
          <w:tcPr>
            <w:tcW w:w="1181" w:type="dxa"/>
            <w:gridSpan w:val="2"/>
          </w:tcPr>
          <w:p w:rsidR="00A40DF9" w:rsidRPr="002269E4" w:rsidRDefault="00A40DF9" w:rsidP="00511974">
            <w:pPr>
              <w:pStyle w:val="TableParagraph"/>
              <w:widowControl/>
              <w:overflowPunct w:val="0"/>
              <w:spacing w:before="0"/>
              <w:jc w:val="right"/>
              <w:rPr>
                <w:sz w:val="24"/>
                <w:szCs w:val="24"/>
              </w:rPr>
            </w:pPr>
            <w:r w:rsidRPr="002269E4">
              <w:rPr>
                <w:sz w:val="24"/>
                <w:szCs w:val="24"/>
              </w:rPr>
              <w:t>388,000</w:t>
            </w:r>
          </w:p>
        </w:tc>
        <w:tc>
          <w:tcPr>
            <w:tcW w:w="1182" w:type="dxa"/>
          </w:tcPr>
          <w:p w:rsidR="00A40DF9" w:rsidRPr="002269E4" w:rsidRDefault="00A40DF9" w:rsidP="00511974">
            <w:pPr>
              <w:pStyle w:val="TableParagraph"/>
              <w:widowControl/>
              <w:overflowPunct w:val="0"/>
              <w:spacing w:before="0"/>
              <w:jc w:val="right"/>
              <w:rPr>
                <w:sz w:val="24"/>
                <w:szCs w:val="24"/>
              </w:rPr>
            </w:pPr>
            <w:r w:rsidRPr="002269E4">
              <w:rPr>
                <w:sz w:val="24"/>
                <w:szCs w:val="24"/>
              </w:rPr>
              <w:t>420,000</w:t>
            </w:r>
          </w:p>
        </w:tc>
      </w:tr>
      <w:tr w:rsidR="00A40DF9" w:rsidRPr="002269E4" w:rsidTr="001D3B1B">
        <w:trPr>
          <w:trHeight w:val="339"/>
        </w:trPr>
        <w:tc>
          <w:tcPr>
            <w:tcW w:w="3499" w:type="dxa"/>
          </w:tcPr>
          <w:p w:rsidR="00A40DF9" w:rsidRPr="002269E4" w:rsidRDefault="00A40DF9" w:rsidP="001C5608">
            <w:pPr>
              <w:pStyle w:val="TableParagraph"/>
              <w:widowControl/>
              <w:overflowPunct w:val="0"/>
              <w:spacing w:before="0"/>
              <w:ind w:firstLineChars="100" w:firstLine="252"/>
              <w:jc w:val="both"/>
              <w:rPr>
                <w:sz w:val="24"/>
                <w:szCs w:val="24"/>
              </w:rPr>
            </w:pPr>
            <w:r w:rsidRPr="002269E4">
              <w:rPr>
                <w:w w:val="105"/>
                <w:sz w:val="24"/>
                <w:szCs w:val="24"/>
                <w:u w:val="thick" w:color="343434"/>
              </w:rPr>
              <w:t>Less:</w:t>
            </w:r>
            <w:r w:rsidRPr="002269E4">
              <w:rPr>
                <w:w w:val="105"/>
                <w:sz w:val="24"/>
                <w:szCs w:val="24"/>
              </w:rPr>
              <w:t xml:space="preserve"> Rates paid by owner</w:t>
            </w:r>
          </w:p>
        </w:tc>
        <w:tc>
          <w:tcPr>
            <w:tcW w:w="1181" w:type="dxa"/>
            <w:tcBorders>
              <w:bottom w:val="single" w:sz="6" w:space="0" w:color="000000"/>
            </w:tcBorders>
          </w:tcPr>
          <w:p w:rsidR="00A40DF9" w:rsidRPr="002269E4" w:rsidRDefault="00A40DF9" w:rsidP="00511974">
            <w:pPr>
              <w:pStyle w:val="TableParagraph"/>
              <w:widowControl/>
              <w:overflowPunct w:val="0"/>
              <w:spacing w:before="0"/>
              <w:jc w:val="right"/>
              <w:rPr>
                <w:sz w:val="24"/>
                <w:szCs w:val="24"/>
              </w:rPr>
            </w:pPr>
            <w:r w:rsidRPr="002269E4">
              <w:rPr>
                <w:sz w:val="24"/>
                <w:szCs w:val="24"/>
              </w:rPr>
              <w:t>10,016</w:t>
            </w:r>
          </w:p>
        </w:tc>
        <w:tc>
          <w:tcPr>
            <w:tcW w:w="1181" w:type="dxa"/>
            <w:gridSpan w:val="2"/>
            <w:tcBorders>
              <w:bottom w:val="single" w:sz="6" w:space="0" w:color="000000"/>
            </w:tcBorders>
          </w:tcPr>
          <w:p w:rsidR="00A40DF9" w:rsidRPr="002269E4" w:rsidRDefault="00A40DF9" w:rsidP="00511974">
            <w:pPr>
              <w:pStyle w:val="TableParagraph"/>
              <w:widowControl/>
              <w:overflowPunct w:val="0"/>
              <w:spacing w:before="0"/>
              <w:jc w:val="right"/>
              <w:rPr>
                <w:sz w:val="24"/>
                <w:szCs w:val="24"/>
              </w:rPr>
            </w:pPr>
            <w:r w:rsidRPr="002269E4">
              <w:rPr>
                <w:w w:val="105"/>
                <w:sz w:val="24"/>
                <w:szCs w:val="24"/>
              </w:rPr>
              <w:t>0</w:t>
            </w:r>
          </w:p>
        </w:tc>
        <w:tc>
          <w:tcPr>
            <w:tcW w:w="1182" w:type="dxa"/>
            <w:tcBorders>
              <w:bottom w:val="single" w:sz="6" w:space="0" w:color="000000"/>
            </w:tcBorders>
          </w:tcPr>
          <w:p w:rsidR="00A40DF9" w:rsidRPr="002269E4" w:rsidRDefault="00A40DF9" w:rsidP="00511974">
            <w:pPr>
              <w:pStyle w:val="TableParagraph"/>
              <w:widowControl/>
              <w:overflowPunct w:val="0"/>
              <w:spacing w:before="0"/>
              <w:jc w:val="right"/>
              <w:rPr>
                <w:sz w:val="24"/>
                <w:szCs w:val="24"/>
              </w:rPr>
            </w:pPr>
            <w:r w:rsidRPr="002269E4">
              <w:rPr>
                <w:sz w:val="24"/>
                <w:szCs w:val="24"/>
              </w:rPr>
              <w:t>10,016</w:t>
            </w:r>
          </w:p>
        </w:tc>
      </w:tr>
      <w:tr w:rsidR="00A40DF9" w:rsidRPr="002269E4" w:rsidTr="001D3B1B">
        <w:trPr>
          <w:trHeight w:val="360"/>
        </w:trPr>
        <w:tc>
          <w:tcPr>
            <w:tcW w:w="3499" w:type="dxa"/>
          </w:tcPr>
          <w:p w:rsidR="00A40DF9" w:rsidRPr="002269E4" w:rsidRDefault="00A40DF9" w:rsidP="001C5608">
            <w:pPr>
              <w:pStyle w:val="TableParagraph"/>
              <w:widowControl/>
              <w:overflowPunct w:val="0"/>
              <w:spacing w:before="0"/>
              <w:ind w:firstLineChars="100" w:firstLine="252"/>
              <w:jc w:val="both"/>
              <w:rPr>
                <w:sz w:val="24"/>
                <w:szCs w:val="24"/>
              </w:rPr>
            </w:pPr>
            <w:r w:rsidRPr="002269E4">
              <w:rPr>
                <w:w w:val="105"/>
                <w:sz w:val="24"/>
                <w:szCs w:val="24"/>
                <w:u w:val="thick" w:color="343434"/>
              </w:rPr>
              <w:t>Less:</w:t>
            </w:r>
            <w:r w:rsidRPr="002269E4">
              <w:rPr>
                <w:w w:val="105"/>
                <w:sz w:val="24"/>
                <w:szCs w:val="24"/>
              </w:rPr>
              <w:t xml:space="preserve"> 20% statutory allowance</w:t>
            </w:r>
          </w:p>
        </w:tc>
        <w:tc>
          <w:tcPr>
            <w:tcW w:w="1181" w:type="dxa"/>
            <w:tcBorders>
              <w:top w:val="single" w:sz="6" w:space="0" w:color="000000"/>
            </w:tcBorders>
          </w:tcPr>
          <w:p w:rsidR="00A40DF9" w:rsidRPr="002269E4" w:rsidRDefault="00A40DF9" w:rsidP="00511974">
            <w:pPr>
              <w:pStyle w:val="TableParagraph"/>
              <w:widowControl/>
              <w:overflowPunct w:val="0"/>
              <w:spacing w:before="0"/>
              <w:jc w:val="right"/>
              <w:rPr>
                <w:sz w:val="24"/>
                <w:szCs w:val="24"/>
              </w:rPr>
            </w:pPr>
            <w:r w:rsidRPr="002269E4">
              <w:rPr>
                <w:sz w:val="24"/>
                <w:szCs w:val="24"/>
              </w:rPr>
              <w:t>21,984</w:t>
            </w:r>
          </w:p>
        </w:tc>
        <w:tc>
          <w:tcPr>
            <w:tcW w:w="1181" w:type="dxa"/>
            <w:gridSpan w:val="2"/>
            <w:tcBorders>
              <w:top w:val="single" w:sz="6" w:space="0" w:color="000000"/>
            </w:tcBorders>
          </w:tcPr>
          <w:p w:rsidR="00A40DF9" w:rsidRPr="002269E4" w:rsidRDefault="00A40DF9" w:rsidP="00511974">
            <w:pPr>
              <w:pStyle w:val="TableParagraph"/>
              <w:widowControl/>
              <w:overflowPunct w:val="0"/>
              <w:spacing w:before="0"/>
              <w:jc w:val="right"/>
              <w:rPr>
                <w:sz w:val="24"/>
                <w:szCs w:val="24"/>
              </w:rPr>
            </w:pPr>
            <w:r w:rsidRPr="002269E4">
              <w:rPr>
                <w:sz w:val="24"/>
                <w:szCs w:val="24"/>
              </w:rPr>
              <w:t>388,000</w:t>
            </w:r>
          </w:p>
        </w:tc>
        <w:tc>
          <w:tcPr>
            <w:tcW w:w="1182" w:type="dxa"/>
            <w:tcBorders>
              <w:top w:val="single" w:sz="6" w:space="0" w:color="000000"/>
            </w:tcBorders>
          </w:tcPr>
          <w:p w:rsidR="00A40DF9" w:rsidRPr="002269E4" w:rsidRDefault="00A40DF9" w:rsidP="00511974">
            <w:pPr>
              <w:pStyle w:val="TableParagraph"/>
              <w:widowControl/>
              <w:overflowPunct w:val="0"/>
              <w:spacing w:before="0"/>
              <w:jc w:val="right"/>
              <w:rPr>
                <w:sz w:val="24"/>
                <w:szCs w:val="24"/>
              </w:rPr>
            </w:pPr>
            <w:r w:rsidRPr="002269E4">
              <w:rPr>
                <w:sz w:val="24"/>
                <w:szCs w:val="24"/>
              </w:rPr>
              <w:t>409,984</w:t>
            </w:r>
          </w:p>
        </w:tc>
      </w:tr>
      <w:tr w:rsidR="00A40DF9" w:rsidRPr="002269E4" w:rsidTr="001D3B1B">
        <w:trPr>
          <w:trHeight w:val="349"/>
        </w:trPr>
        <w:tc>
          <w:tcPr>
            <w:tcW w:w="3499" w:type="dxa"/>
          </w:tcPr>
          <w:p w:rsidR="00A40DF9" w:rsidRPr="002269E4" w:rsidRDefault="00A40DF9" w:rsidP="001C5608">
            <w:pPr>
              <w:pStyle w:val="TableParagraph"/>
              <w:widowControl/>
              <w:overflowPunct w:val="0"/>
              <w:spacing w:before="0"/>
              <w:ind w:firstLineChars="350" w:firstLine="881"/>
              <w:jc w:val="both"/>
              <w:rPr>
                <w:sz w:val="24"/>
                <w:szCs w:val="24"/>
              </w:rPr>
            </w:pPr>
            <w:r w:rsidRPr="002269E4">
              <w:rPr>
                <w:w w:val="105"/>
                <w:sz w:val="24"/>
                <w:szCs w:val="24"/>
              </w:rPr>
              <w:t>for repairs and outgoings</w:t>
            </w:r>
          </w:p>
        </w:tc>
        <w:tc>
          <w:tcPr>
            <w:tcW w:w="1181" w:type="dxa"/>
            <w:tcBorders>
              <w:bottom w:val="single" w:sz="4" w:space="0" w:color="auto"/>
            </w:tcBorders>
          </w:tcPr>
          <w:p w:rsidR="00A40DF9" w:rsidRPr="002269E4" w:rsidRDefault="00A40DF9" w:rsidP="00511974">
            <w:pPr>
              <w:pStyle w:val="TableParagraph"/>
              <w:widowControl/>
              <w:overflowPunct w:val="0"/>
              <w:spacing w:before="0"/>
              <w:jc w:val="right"/>
              <w:rPr>
                <w:sz w:val="24"/>
                <w:szCs w:val="24"/>
              </w:rPr>
            </w:pPr>
            <w:r w:rsidRPr="002269E4">
              <w:rPr>
                <w:sz w:val="24"/>
                <w:szCs w:val="24"/>
              </w:rPr>
              <w:t>4,397</w:t>
            </w:r>
          </w:p>
        </w:tc>
        <w:tc>
          <w:tcPr>
            <w:tcW w:w="1181" w:type="dxa"/>
            <w:gridSpan w:val="2"/>
            <w:tcBorders>
              <w:bottom w:val="single" w:sz="4" w:space="0" w:color="auto"/>
            </w:tcBorders>
          </w:tcPr>
          <w:p w:rsidR="00A40DF9" w:rsidRPr="002269E4" w:rsidRDefault="00A40DF9" w:rsidP="00511974">
            <w:pPr>
              <w:pStyle w:val="TableParagraph"/>
              <w:widowControl/>
              <w:overflowPunct w:val="0"/>
              <w:spacing w:before="0"/>
              <w:jc w:val="right"/>
              <w:rPr>
                <w:sz w:val="24"/>
                <w:szCs w:val="24"/>
              </w:rPr>
            </w:pPr>
            <w:r w:rsidRPr="002269E4">
              <w:rPr>
                <w:sz w:val="24"/>
                <w:szCs w:val="24"/>
              </w:rPr>
              <w:t>77,600</w:t>
            </w:r>
          </w:p>
        </w:tc>
        <w:tc>
          <w:tcPr>
            <w:tcW w:w="1182" w:type="dxa"/>
            <w:tcBorders>
              <w:bottom w:val="single" w:sz="4" w:space="0" w:color="auto"/>
            </w:tcBorders>
          </w:tcPr>
          <w:p w:rsidR="00A40DF9" w:rsidRPr="002269E4" w:rsidRDefault="00A40DF9" w:rsidP="00511974">
            <w:pPr>
              <w:pStyle w:val="TableParagraph"/>
              <w:widowControl/>
              <w:overflowPunct w:val="0"/>
              <w:spacing w:before="0"/>
              <w:jc w:val="right"/>
              <w:rPr>
                <w:sz w:val="24"/>
                <w:szCs w:val="24"/>
              </w:rPr>
            </w:pPr>
            <w:r w:rsidRPr="002269E4">
              <w:rPr>
                <w:sz w:val="24"/>
                <w:szCs w:val="24"/>
              </w:rPr>
              <w:t>81,997</w:t>
            </w:r>
          </w:p>
        </w:tc>
      </w:tr>
      <w:tr w:rsidR="00A40DF9" w:rsidRPr="002269E4" w:rsidTr="001D3B1B">
        <w:trPr>
          <w:trHeight w:val="349"/>
        </w:trPr>
        <w:tc>
          <w:tcPr>
            <w:tcW w:w="3499" w:type="dxa"/>
          </w:tcPr>
          <w:p w:rsidR="00A40DF9" w:rsidRPr="002269E4" w:rsidRDefault="00A40DF9" w:rsidP="001C5608">
            <w:pPr>
              <w:pStyle w:val="TableParagraph"/>
              <w:widowControl/>
              <w:overflowPunct w:val="0"/>
              <w:spacing w:before="0"/>
              <w:jc w:val="both"/>
              <w:rPr>
                <w:w w:val="105"/>
                <w:sz w:val="24"/>
                <w:szCs w:val="24"/>
              </w:rPr>
            </w:pPr>
            <w:r w:rsidRPr="002269E4">
              <w:rPr>
                <w:position w:val="1"/>
                <w:sz w:val="24"/>
                <w:szCs w:val="24"/>
              </w:rPr>
              <w:t>Net assessable</w:t>
            </w:r>
            <w:r w:rsidRPr="002269E4">
              <w:rPr>
                <w:spacing w:val="40"/>
                <w:position w:val="1"/>
                <w:sz w:val="24"/>
                <w:szCs w:val="24"/>
              </w:rPr>
              <w:t xml:space="preserve"> </w:t>
            </w:r>
            <w:r w:rsidRPr="002269E4">
              <w:rPr>
                <w:position w:val="1"/>
                <w:sz w:val="24"/>
                <w:szCs w:val="24"/>
              </w:rPr>
              <w:t>value</w:t>
            </w:r>
            <w:r w:rsidRPr="002269E4">
              <w:rPr>
                <w:spacing w:val="12"/>
                <w:position w:val="1"/>
                <w:sz w:val="24"/>
                <w:szCs w:val="24"/>
              </w:rPr>
              <w:t xml:space="preserve"> </w:t>
            </w:r>
            <w:r w:rsidRPr="002269E4">
              <w:rPr>
                <w:position w:val="1"/>
                <w:sz w:val="24"/>
                <w:szCs w:val="24"/>
              </w:rPr>
              <w:t>(NAV)</w:t>
            </w:r>
          </w:p>
        </w:tc>
        <w:tc>
          <w:tcPr>
            <w:tcW w:w="1181" w:type="dxa"/>
            <w:tcBorders>
              <w:top w:val="single" w:sz="4" w:space="0" w:color="auto"/>
              <w:bottom w:val="single" w:sz="4" w:space="0" w:color="auto"/>
            </w:tcBorders>
          </w:tcPr>
          <w:p w:rsidR="00A40DF9" w:rsidRPr="002269E4" w:rsidRDefault="00A40DF9" w:rsidP="00511974">
            <w:pPr>
              <w:pStyle w:val="TableParagraph"/>
              <w:widowControl/>
              <w:overflowPunct w:val="0"/>
              <w:spacing w:before="0"/>
              <w:jc w:val="right"/>
              <w:rPr>
                <w:sz w:val="24"/>
                <w:szCs w:val="24"/>
              </w:rPr>
            </w:pPr>
            <w:r w:rsidRPr="002269E4">
              <w:rPr>
                <w:sz w:val="24"/>
                <w:szCs w:val="24"/>
              </w:rPr>
              <w:t>17,587</w:t>
            </w:r>
          </w:p>
        </w:tc>
        <w:tc>
          <w:tcPr>
            <w:tcW w:w="1181" w:type="dxa"/>
            <w:gridSpan w:val="2"/>
            <w:tcBorders>
              <w:top w:val="single" w:sz="4" w:space="0" w:color="auto"/>
              <w:bottom w:val="single" w:sz="4" w:space="0" w:color="auto"/>
            </w:tcBorders>
          </w:tcPr>
          <w:p w:rsidR="00A40DF9" w:rsidRPr="002269E4" w:rsidRDefault="00A40DF9" w:rsidP="00511974">
            <w:pPr>
              <w:pStyle w:val="TableParagraph"/>
              <w:widowControl/>
              <w:overflowPunct w:val="0"/>
              <w:spacing w:before="0"/>
              <w:jc w:val="right"/>
              <w:rPr>
                <w:sz w:val="24"/>
                <w:szCs w:val="24"/>
              </w:rPr>
            </w:pPr>
            <w:r w:rsidRPr="002269E4">
              <w:rPr>
                <w:sz w:val="24"/>
                <w:szCs w:val="24"/>
              </w:rPr>
              <w:t>310.400</w:t>
            </w:r>
          </w:p>
        </w:tc>
        <w:tc>
          <w:tcPr>
            <w:tcW w:w="1182" w:type="dxa"/>
            <w:tcBorders>
              <w:top w:val="single" w:sz="4" w:space="0" w:color="auto"/>
              <w:bottom w:val="single" w:sz="4" w:space="0" w:color="auto"/>
            </w:tcBorders>
          </w:tcPr>
          <w:p w:rsidR="00A40DF9" w:rsidRPr="002269E4" w:rsidRDefault="00A40DF9" w:rsidP="00511974">
            <w:pPr>
              <w:pStyle w:val="TableParagraph"/>
              <w:widowControl/>
              <w:overflowPunct w:val="0"/>
              <w:spacing w:before="0"/>
              <w:jc w:val="right"/>
              <w:rPr>
                <w:sz w:val="24"/>
                <w:szCs w:val="24"/>
              </w:rPr>
            </w:pPr>
            <w:r w:rsidRPr="002269E4">
              <w:rPr>
                <w:sz w:val="24"/>
                <w:szCs w:val="24"/>
              </w:rPr>
              <w:t>327,987</w:t>
            </w:r>
          </w:p>
        </w:tc>
      </w:tr>
      <w:tr w:rsidR="00A40DF9" w:rsidRPr="002269E4" w:rsidTr="001D3B1B">
        <w:trPr>
          <w:trHeight w:val="349"/>
        </w:trPr>
        <w:tc>
          <w:tcPr>
            <w:tcW w:w="3499" w:type="dxa"/>
          </w:tcPr>
          <w:p w:rsidR="00A40DF9" w:rsidRPr="002269E4" w:rsidRDefault="00A40DF9" w:rsidP="001C5608">
            <w:pPr>
              <w:pStyle w:val="TableParagraph"/>
              <w:widowControl/>
              <w:overflowPunct w:val="0"/>
              <w:spacing w:before="0"/>
              <w:jc w:val="both"/>
              <w:rPr>
                <w:position w:val="1"/>
                <w:sz w:val="24"/>
                <w:szCs w:val="24"/>
              </w:rPr>
            </w:pPr>
          </w:p>
        </w:tc>
        <w:tc>
          <w:tcPr>
            <w:tcW w:w="1181" w:type="dxa"/>
          </w:tcPr>
          <w:p w:rsidR="00A40DF9" w:rsidRPr="002269E4" w:rsidRDefault="00A40DF9" w:rsidP="001C5608">
            <w:pPr>
              <w:pStyle w:val="TableParagraph"/>
              <w:widowControl/>
              <w:overflowPunct w:val="0"/>
              <w:spacing w:before="0"/>
              <w:ind w:right="134"/>
              <w:jc w:val="both"/>
              <w:rPr>
                <w:sz w:val="24"/>
                <w:szCs w:val="24"/>
              </w:rPr>
            </w:pPr>
          </w:p>
        </w:tc>
        <w:tc>
          <w:tcPr>
            <w:tcW w:w="1181" w:type="dxa"/>
            <w:gridSpan w:val="2"/>
          </w:tcPr>
          <w:p w:rsidR="00A40DF9" w:rsidRPr="002269E4" w:rsidRDefault="00A40DF9" w:rsidP="001C5608">
            <w:pPr>
              <w:pStyle w:val="TableParagraph"/>
              <w:widowControl/>
              <w:overflowPunct w:val="0"/>
              <w:spacing w:before="0"/>
              <w:ind w:right="185"/>
              <w:jc w:val="both"/>
              <w:rPr>
                <w:sz w:val="24"/>
                <w:szCs w:val="24"/>
              </w:rPr>
            </w:pPr>
          </w:p>
        </w:tc>
        <w:tc>
          <w:tcPr>
            <w:tcW w:w="1182" w:type="dxa"/>
          </w:tcPr>
          <w:p w:rsidR="00A40DF9" w:rsidRPr="002269E4" w:rsidRDefault="00A40DF9" w:rsidP="001C5608">
            <w:pPr>
              <w:pStyle w:val="TableParagraph"/>
              <w:widowControl/>
              <w:overflowPunct w:val="0"/>
              <w:spacing w:before="0"/>
              <w:ind w:right="19"/>
              <w:jc w:val="both"/>
              <w:rPr>
                <w:sz w:val="24"/>
                <w:szCs w:val="24"/>
              </w:rPr>
            </w:pPr>
          </w:p>
        </w:tc>
      </w:tr>
      <w:tr w:rsidR="00A40DF9" w:rsidRPr="002269E4" w:rsidTr="001D3B1B">
        <w:trPr>
          <w:trHeight w:val="349"/>
        </w:trPr>
        <w:tc>
          <w:tcPr>
            <w:tcW w:w="5839" w:type="dxa"/>
            <w:gridSpan w:val="3"/>
          </w:tcPr>
          <w:p w:rsidR="00A40DF9" w:rsidRPr="002269E4" w:rsidRDefault="00A40DF9" w:rsidP="001C5608">
            <w:pPr>
              <w:widowControl/>
              <w:overflowPunct w:val="0"/>
              <w:autoSpaceDE w:val="0"/>
              <w:autoSpaceDN w:val="0"/>
              <w:jc w:val="both"/>
              <w:rPr>
                <w:rFonts w:ascii="Times New Roman" w:hAnsi="Times New Roman" w:cs="Times New Roman"/>
                <w:szCs w:val="24"/>
              </w:rPr>
            </w:pPr>
            <w:r w:rsidRPr="002269E4">
              <w:rPr>
                <w:rFonts w:ascii="Times New Roman" w:hAnsi="Times New Roman" w:cs="Times New Roman"/>
                <w:szCs w:val="24"/>
              </w:rPr>
              <w:t>Tax computed on NAV at standard rate 15%</w:t>
            </w:r>
          </w:p>
        </w:tc>
        <w:tc>
          <w:tcPr>
            <w:tcW w:w="1204" w:type="dxa"/>
            <w:gridSpan w:val="2"/>
          </w:tcPr>
          <w:p w:rsidR="00A40DF9" w:rsidRPr="002269E4" w:rsidRDefault="00A40DF9" w:rsidP="00511974">
            <w:pPr>
              <w:pStyle w:val="TableParagraph"/>
              <w:widowControl/>
              <w:overflowPunct w:val="0"/>
              <w:spacing w:before="0"/>
              <w:ind w:right="19"/>
              <w:jc w:val="right"/>
              <w:rPr>
                <w:sz w:val="24"/>
                <w:szCs w:val="24"/>
              </w:rPr>
            </w:pPr>
            <w:r w:rsidRPr="002269E4">
              <w:rPr>
                <w:sz w:val="24"/>
                <w:szCs w:val="24"/>
              </w:rPr>
              <w:t>49,128</w:t>
            </w:r>
          </w:p>
        </w:tc>
      </w:tr>
      <w:tr w:rsidR="00A40DF9" w:rsidRPr="002269E4" w:rsidTr="001D3B1B">
        <w:trPr>
          <w:trHeight w:val="349"/>
        </w:trPr>
        <w:tc>
          <w:tcPr>
            <w:tcW w:w="5839" w:type="dxa"/>
            <w:gridSpan w:val="3"/>
          </w:tcPr>
          <w:p w:rsidR="00A40DF9" w:rsidRPr="002269E4" w:rsidRDefault="00A40DF9" w:rsidP="001C5608">
            <w:pPr>
              <w:widowControl/>
              <w:overflowPunct w:val="0"/>
              <w:autoSpaceDE w:val="0"/>
              <w:autoSpaceDN w:val="0"/>
              <w:jc w:val="both"/>
              <w:rPr>
                <w:rFonts w:ascii="Times New Roman" w:hAnsi="Times New Roman" w:cs="Times New Roman"/>
                <w:szCs w:val="24"/>
              </w:rPr>
            </w:pPr>
            <w:r w:rsidRPr="002269E4">
              <w:rPr>
                <w:rFonts w:ascii="Times New Roman" w:hAnsi="Times New Roman" w:cs="Times New Roman"/>
                <w:szCs w:val="24"/>
              </w:rPr>
              <w:t>Final tax payable</w:t>
            </w:r>
          </w:p>
        </w:tc>
        <w:tc>
          <w:tcPr>
            <w:tcW w:w="1204" w:type="dxa"/>
            <w:gridSpan w:val="2"/>
          </w:tcPr>
          <w:p w:rsidR="00A40DF9" w:rsidRPr="002269E4" w:rsidRDefault="00A40DF9" w:rsidP="00511974">
            <w:pPr>
              <w:pStyle w:val="TableParagraph"/>
              <w:widowControl/>
              <w:overflowPunct w:val="0"/>
              <w:spacing w:before="0"/>
              <w:ind w:right="19"/>
              <w:jc w:val="right"/>
              <w:rPr>
                <w:sz w:val="24"/>
                <w:szCs w:val="24"/>
              </w:rPr>
            </w:pPr>
            <w:r w:rsidRPr="002269E4">
              <w:rPr>
                <w:sz w:val="24"/>
                <w:szCs w:val="24"/>
              </w:rPr>
              <w:t>49,198</w:t>
            </w:r>
          </w:p>
        </w:tc>
      </w:tr>
      <w:tr w:rsidR="00A40DF9" w:rsidRPr="002269E4" w:rsidTr="001D3B1B">
        <w:trPr>
          <w:trHeight w:val="349"/>
        </w:trPr>
        <w:tc>
          <w:tcPr>
            <w:tcW w:w="5839" w:type="dxa"/>
            <w:gridSpan w:val="3"/>
          </w:tcPr>
          <w:p w:rsidR="00A40DF9" w:rsidRPr="002269E4" w:rsidRDefault="00A40DF9" w:rsidP="001C5608">
            <w:pPr>
              <w:widowControl/>
              <w:overflowPunct w:val="0"/>
              <w:autoSpaceDE w:val="0"/>
              <w:autoSpaceDN w:val="0"/>
              <w:ind w:firstLineChars="100" w:firstLine="252"/>
              <w:jc w:val="both"/>
              <w:rPr>
                <w:rFonts w:ascii="Times New Roman" w:hAnsi="Times New Roman" w:cs="Times New Roman"/>
                <w:szCs w:val="24"/>
              </w:rPr>
            </w:pPr>
            <w:r w:rsidRPr="002269E4">
              <w:rPr>
                <w:rFonts w:ascii="Times New Roman" w:eastAsia="Times New Roman" w:hAnsi="Times New Roman" w:cs="Times New Roman"/>
                <w:w w:val="105"/>
                <w:szCs w:val="24"/>
                <w:u w:val="thick" w:color="343434"/>
                <w:lang w:eastAsia="en-US"/>
              </w:rPr>
              <w:t xml:space="preserve">Less: </w:t>
            </w:r>
            <w:r w:rsidRPr="002269E4">
              <w:rPr>
                <w:rFonts w:ascii="Times New Roman" w:hAnsi="Times New Roman" w:cs="Times New Roman"/>
                <w:szCs w:val="24"/>
              </w:rPr>
              <w:t xml:space="preserve">Net tax already charged </w:t>
            </w:r>
          </w:p>
        </w:tc>
        <w:tc>
          <w:tcPr>
            <w:tcW w:w="1204" w:type="dxa"/>
            <w:gridSpan w:val="2"/>
          </w:tcPr>
          <w:p w:rsidR="00A40DF9" w:rsidRPr="002269E4" w:rsidRDefault="00A40DF9" w:rsidP="00511974">
            <w:pPr>
              <w:pStyle w:val="TableParagraph"/>
              <w:widowControl/>
              <w:overflowPunct w:val="0"/>
              <w:spacing w:before="0"/>
              <w:ind w:right="19"/>
              <w:jc w:val="right"/>
              <w:rPr>
                <w:sz w:val="24"/>
                <w:szCs w:val="24"/>
              </w:rPr>
            </w:pPr>
            <w:r w:rsidRPr="002269E4">
              <w:rPr>
                <w:sz w:val="24"/>
                <w:szCs w:val="24"/>
              </w:rPr>
              <w:t>2,638</w:t>
            </w:r>
          </w:p>
        </w:tc>
      </w:tr>
      <w:tr w:rsidR="00A40DF9" w:rsidRPr="002269E4" w:rsidTr="001D3B1B">
        <w:trPr>
          <w:trHeight w:val="349"/>
        </w:trPr>
        <w:tc>
          <w:tcPr>
            <w:tcW w:w="5839" w:type="dxa"/>
            <w:gridSpan w:val="3"/>
          </w:tcPr>
          <w:p w:rsidR="00A40DF9" w:rsidRPr="002269E4" w:rsidRDefault="00A40DF9" w:rsidP="001C5608">
            <w:pPr>
              <w:widowControl/>
              <w:overflowPunct w:val="0"/>
              <w:autoSpaceDE w:val="0"/>
              <w:autoSpaceDN w:val="0"/>
              <w:jc w:val="both"/>
              <w:rPr>
                <w:rFonts w:ascii="Times New Roman" w:hAnsi="Times New Roman" w:cs="Times New Roman"/>
                <w:szCs w:val="24"/>
              </w:rPr>
            </w:pPr>
            <w:r w:rsidRPr="002269E4">
              <w:rPr>
                <w:rFonts w:ascii="Times New Roman" w:hAnsi="Times New Roman" w:cs="Times New Roman"/>
                <w:szCs w:val="24"/>
              </w:rPr>
              <w:t>Additional amount of tax payable</w:t>
            </w:r>
          </w:p>
        </w:tc>
        <w:tc>
          <w:tcPr>
            <w:tcW w:w="1204" w:type="dxa"/>
            <w:gridSpan w:val="2"/>
            <w:tcBorders>
              <w:bottom w:val="single" w:sz="4" w:space="0" w:color="auto"/>
            </w:tcBorders>
          </w:tcPr>
          <w:p w:rsidR="00A40DF9" w:rsidRPr="002269E4" w:rsidRDefault="00A40DF9" w:rsidP="00511974">
            <w:pPr>
              <w:pStyle w:val="TableParagraph"/>
              <w:widowControl/>
              <w:overflowPunct w:val="0"/>
              <w:spacing w:before="0"/>
              <w:ind w:right="19"/>
              <w:jc w:val="right"/>
              <w:rPr>
                <w:sz w:val="24"/>
                <w:szCs w:val="24"/>
              </w:rPr>
            </w:pPr>
          </w:p>
        </w:tc>
      </w:tr>
      <w:tr w:rsidR="00A40DF9" w:rsidRPr="002269E4" w:rsidTr="001D3B1B">
        <w:trPr>
          <w:trHeight w:val="349"/>
        </w:trPr>
        <w:tc>
          <w:tcPr>
            <w:tcW w:w="5839" w:type="dxa"/>
            <w:gridSpan w:val="3"/>
          </w:tcPr>
          <w:p w:rsidR="00A40DF9" w:rsidRPr="002269E4" w:rsidRDefault="00A40DF9" w:rsidP="001C5608">
            <w:pPr>
              <w:widowControl/>
              <w:overflowPunct w:val="0"/>
              <w:autoSpaceDE w:val="0"/>
              <w:autoSpaceDN w:val="0"/>
              <w:jc w:val="both"/>
              <w:rPr>
                <w:rFonts w:ascii="Times New Roman" w:hAnsi="Times New Roman" w:cs="Times New Roman"/>
                <w:szCs w:val="24"/>
              </w:rPr>
            </w:pPr>
          </w:p>
        </w:tc>
        <w:tc>
          <w:tcPr>
            <w:tcW w:w="1204" w:type="dxa"/>
            <w:gridSpan w:val="2"/>
            <w:tcBorders>
              <w:top w:val="single" w:sz="4" w:space="0" w:color="auto"/>
            </w:tcBorders>
          </w:tcPr>
          <w:p w:rsidR="00A40DF9" w:rsidRPr="002269E4" w:rsidRDefault="00A40DF9" w:rsidP="00511974">
            <w:pPr>
              <w:pStyle w:val="TableParagraph"/>
              <w:widowControl/>
              <w:overflowPunct w:val="0"/>
              <w:spacing w:before="0"/>
              <w:ind w:right="19"/>
              <w:jc w:val="right"/>
              <w:rPr>
                <w:w w:val="105"/>
                <w:sz w:val="24"/>
                <w:szCs w:val="24"/>
                <w:u w:val="thick" w:color="343434"/>
              </w:rPr>
            </w:pPr>
            <w:r w:rsidRPr="002269E4">
              <w:rPr>
                <w:w w:val="105"/>
                <w:sz w:val="24"/>
                <w:szCs w:val="24"/>
                <w:u w:val="thick" w:color="343434"/>
              </w:rPr>
              <w:t>46,560</w:t>
            </w:r>
          </w:p>
        </w:tc>
      </w:tr>
    </w:tbl>
    <w:p w:rsidR="00510CF0" w:rsidRPr="002269E4" w:rsidRDefault="00510CF0" w:rsidP="00510CF0">
      <w:pPr>
        <w:tabs>
          <w:tab w:val="left" w:pos="1935"/>
        </w:tabs>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The Owners did not object to the assessment which had become final and conclusive under section 70 of the Ordinance</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By letter dated 23 December 2021, the Assessor requested the Owners to provide a breakdown of the rental income of HK$330,000 reported in the 2020/21 Return with supporting documents.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On 5 January 2022, the Deputy Commissioner of Inland Revenue (</w:t>
      </w:r>
      <w:r w:rsidR="00591568" w:rsidRPr="002269E4">
        <w:rPr>
          <w:rFonts w:ascii="Times New Roman" w:hAnsi="Times New Roman" w:cs="Times New Roman"/>
          <w:szCs w:val="24"/>
        </w:rPr>
        <w:t>‘</w:t>
      </w:r>
      <w:r w:rsidRPr="002269E4">
        <w:rPr>
          <w:rFonts w:ascii="Times New Roman" w:hAnsi="Times New Roman" w:cs="Times New Roman"/>
          <w:b/>
          <w:szCs w:val="24"/>
        </w:rPr>
        <w:t>the Deputy Commissioner</w:t>
      </w:r>
      <w:r w:rsidR="00591568" w:rsidRPr="002269E4">
        <w:rPr>
          <w:rFonts w:ascii="Times New Roman" w:hAnsi="Times New Roman" w:cs="Times New Roman"/>
          <w:szCs w:val="24"/>
        </w:rPr>
        <w:t>’</w:t>
      </w:r>
      <w:r w:rsidRPr="002269E4">
        <w:rPr>
          <w:rFonts w:ascii="Times New Roman" w:hAnsi="Times New Roman" w:cs="Times New Roman"/>
          <w:szCs w:val="24"/>
        </w:rPr>
        <w:t>) issued to the Appellant a notice of intention to assess additional tax under section 82A(4) of the Ordinance (</w:t>
      </w:r>
      <w:r w:rsidR="00591568" w:rsidRPr="002269E4">
        <w:rPr>
          <w:rFonts w:ascii="Times New Roman" w:hAnsi="Times New Roman" w:cs="Times New Roman"/>
          <w:szCs w:val="24"/>
        </w:rPr>
        <w:t>‘</w:t>
      </w:r>
      <w:r w:rsidRPr="002269E4">
        <w:rPr>
          <w:rFonts w:ascii="Times New Roman" w:hAnsi="Times New Roman" w:cs="Times New Roman"/>
          <w:b/>
          <w:szCs w:val="24"/>
        </w:rPr>
        <w:t>the Notice</w:t>
      </w:r>
      <w:r w:rsidR="00591568" w:rsidRPr="002269E4">
        <w:rPr>
          <w:rFonts w:ascii="Times New Roman" w:hAnsi="Times New Roman" w:cs="Times New Roman"/>
          <w:szCs w:val="24"/>
        </w:rPr>
        <w:t>’</w:t>
      </w:r>
      <w:r w:rsidRPr="002269E4">
        <w:rPr>
          <w:rFonts w:ascii="Times New Roman" w:hAnsi="Times New Roman" w:cs="Times New Roman"/>
          <w:szCs w:val="24"/>
        </w:rPr>
        <w:t>) notifying that:-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2050F5">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he intended to impose Additional Tax in respect of the incorrect 2019/20 Return submitted by the Appellant for understating the income of the Property by HK$388,000;</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2A1168">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the amount of tax that would have been undercharged had the 2019/20 Return filed by the Appellant been accepted as correct was HK$46,560; and</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2A1168">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szCs w:val="24"/>
        </w:rPr>
      </w:pPr>
      <w:proofErr w:type="gramStart"/>
      <w:r w:rsidRPr="002269E4">
        <w:rPr>
          <w:rFonts w:ascii="Times New Roman" w:hAnsi="Times New Roman" w:cs="Times New Roman"/>
          <w:szCs w:val="24"/>
        </w:rPr>
        <w:t>the</w:t>
      </w:r>
      <w:proofErr w:type="gramEnd"/>
      <w:r w:rsidRPr="002269E4">
        <w:rPr>
          <w:rFonts w:ascii="Times New Roman" w:hAnsi="Times New Roman" w:cs="Times New Roman"/>
          <w:szCs w:val="24"/>
        </w:rPr>
        <w:t xml:space="preserve"> Appellant had the right to submit written representations.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On 25 January 2022, the Department received the Appellant's undated letter responding to the Assessor's letter of 23 December 2021 and the Notice. The Appellant elaborated that the Property was let from 1 April 2020 to 31 March 2021 and rental income of HK$406,000 was received for the year of assessment 2020/21. She also tendered apology for </w:t>
      </w:r>
      <w:r w:rsidR="00591568" w:rsidRPr="002269E4">
        <w:rPr>
          <w:rFonts w:ascii="Times New Roman" w:hAnsi="Times New Roman" w:cs="Times New Roman"/>
          <w:szCs w:val="24"/>
        </w:rPr>
        <w:t>‘</w:t>
      </w:r>
      <w:r w:rsidRPr="002269E4">
        <w:rPr>
          <w:rFonts w:ascii="Times New Roman" w:hAnsi="Times New Roman" w:cs="Times New Roman"/>
          <w:szCs w:val="24"/>
        </w:rPr>
        <w:t>the confusion</w:t>
      </w:r>
      <w:r w:rsidR="00591568" w:rsidRPr="002269E4">
        <w:rPr>
          <w:rFonts w:ascii="Times New Roman" w:hAnsi="Times New Roman" w:cs="Times New Roman"/>
          <w:szCs w:val="24"/>
        </w:rPr>
        <w:t>’</w:t>
      </w:r>
      <w:r w:rsidRPr="002269E4">
        <w:rPr>
          <w:rFonts w:ascii="Times New Roman" w:hAnsi="Times New Roman" w:cs="Times New Roman"/>
          <w:szCs w:val="24"/>
        </w:rPr>
        <w:t xml:space="preserve"> again.</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On 8 April 2022, the Deputy Commissioner issued the Notice of Assessment and Demand for Additional Tax for the year of assessment 2019/20 (</w:t>
      </w:r>
      <w:r w:rsidR="00591568" w:rsidRPr="002269E4">
        <w:rPr>
          <w:rFonts w:ascii="Times New Roman" w:hAnsi="Times New Roman" w:cs="Times New Roman"/>
          <w:szCs w:val="24"/>
        </w:rPr>
        <w:t>‘</w:t>
      </w:r>
      <w:r w:rsidRPr="002269E4">
        <w:rPr>
          <w:rFonts w:ascii="Times New Roman" w:hAnsi="Times New Roman" w:cs="Times New Roman"/>
          <w:b/>
          <w:szCs w:val="24"/>
        </w:rPr>
        <w:t>the s82A Assessment</w:t>
      </w:r>
      <w:r w:rsidR="00591568" w:rsidRPr="002269E4">
        <w:rPr>
          <w:rFonts w:ascii="Times New Roman" w:hAnsi="Times New Roman" w:cs="Times New Roman"/>
          <w:szCs w:val="24"/>
        </w:rPr>
        <w:t>’</w:t>
      </w:r>
      <w:r w:rsidRPr="002269E4">
        <w:rPr>
          <w:rFonts w:ascii="Times New Roman" w:hAnsi="Times New Roman" w:cs="Times New Roman"/>
          <w:szCs w:val="24"/>
        </w:rPr>
        <w:t>) to the Appellant under section 82A of the Ordinance in the sum of HK$4,700. The additional tax was equivalent to 10.09% of the tax that would have been undercharged had the incorrect 2019/20 Return been accepted as correct.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No prosecution under section 80(2) or section 82(1) of the Ordinance has been instituted in respect of the same facts.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By email dated 14 April 2022 to the Clerk to this Board, the Appellant appealed against the </w:t>
      </w:r>
      <w:r w:rsidR="00F22C62" w:rsidRPr="002269E4">
        <w:rPr>
          <w:rFonts w:ascii="Times New Roman" w:hAnsi="Times New Roman" w:cs="Times New Roman"/>
          <w:szCs w:val="24"/>
        </w:rPr>
        <w:t xml:space="preserve">Section </w:t>
      </w:r>
      <w:r w:rsidRPr="002269E4">
        <w:rPr>
          <w:rFonts w:ascii="Times New Roman" w:hAnsi="Times New Roman" w:cs="Times New Roman"/>
          <w:szCs w:val="24"/>
        </w:rPr>
        <w:t>82A Assessment.</w:t>
      </w:r>
    </w:p>
    <w:p w:rsidR="00A40DF9" w:rsidRPr="002269E4" w:rsidRDefault="00A40DF9" w:rsidP="001C5608">
      <w:pPr>
        <w:widowControl/>
        <w:overflowPunct w:val="0"/>
        <w:autoSpaceDE w:val="0"/>
        <w:autoSpaceDN w:val="0"/>
        <w:jc w:val="both"/>
        <w:rPr>
          <w:rFonts w:ascii="Times New Roman" w:hAnsi="Times New Roman" w:cs="Times New Roman"/>
          <w:b/>
          <w:szCs w:val="24"/>
          <w:u w:val="single"/>
        </w:rPr>
      </w:pPr>
    </w:p>
    <w:p w:rsidR="00A40DF9" w:rsidRPr="002269E4" w:rsidRDefault="00A40DF9" w:rsidP="001C5608">
      <w:pPr>
        <w:widowControl/>
        <w:overflowPunct w:val="0"/>
        <w:autoSpaceDE w:val="0"/>
        <w:autoSpaceDN w:val="0"/>
        <w:jc w:val="both"/>
        <w:rPr>
          <w:rFonts w:ascii="Times New Roman" w:hAnsi="Times New Roman" w:cs="Times New Roman"/>
          <w:b/>
          <w:szCs w:val="24"/>
        </w:rPr>
      </w:pPr>
      <w:r w:rsidRPr="002269E4">
        <w:rPr>
          <w:rFonts w:ascii="Times New Roman" w:hAnsi="Times New Roman" w:cs="Times New Roman"/>
          <w:b/>
          <w:szCs w:val="24"/>
        </w:rPr>
        <w:t>The relevant statutory provisions</w:t>
      </w:r>
    </w:p>
    <w:p w:rsidR="002F2E4D" w:rsidRPr="002269E4" w:rsidRDefault="002F2E4D" w:rsidP="001C5608">
      <w:pPr>
        <w:widowControl/>
        <w:overflowPunct w:val="0"/>
        <w:autoSpaceDE w:val="0"/>
        <w:autoSpaceDN w:val="0"/>
        <w:jc w:val="both"/>
        <w:rPr>
          <w:rFonts w:ascii="Times New Roman" w:hAnsi="Times New Roman" w:cs="Times New Roman"/>
          <w:b/>
          <w:szCs w:val="24"/>
          <w:u w:val="single"/>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Section 82A of the Ordinance provides that:</w:t>
      </w:r>
    </w:p>
    <w:p w:rsidR="00A40DF9" w:rsidRPr="002269E4" w:rsidRDefault="00A40DF9" w:rsidP="001C5608">
      <w:pPr>
        <w:pStyle w:val="ac"/>
        <w:widowControl/>
        <w:overflowPunct w:val="0"/>
        <w:autoSpaceDE w:val="0"/>
        <w:autoSpaceDN w:val="0"/>
        <w:jc w:val="both"/>
        <w:rPr>
          <w:rFonts w:ascii="Times New Roman" w:hAnsi="Times New Roman" w:cs="Times New Roman"/>
          <w:i/>
          <w:szCs w:val="24"/>
        </w:rPr>
      </w:pPr>
    </w:p>
    <w:p w:rsidR="00A40DF9" w:rsidRPr="002269E4" w:rsidRDefault="00591568" w:rsidP="005D69E8">
      <w:pPr>
        <w:pStyle w:val="ac"/>
        <w:widowControl/>
        <w:overflowPunct w:val="0"/>
        <w:autoSpaceDE w:val="0"/>
        <w:autoSpaceDN w:val="0"/>
        <w:ind w:leftChars="650" w:left="1560"/>
        <w:jc w:val="both"/>
        <w:rPr>
          <w:rFonts w:ascii="Times New Roman" w:hAnsi="Times New Roman" w:cs="Times New Roman"/>
          <w:i/>
          <w:szCs w:val="24"/>
        </w:rPr>
      </w:pPr>
      <w:r w:rsidRPr="002269E4">
        <w:rPr>
          <w:rFonts w:ascii="Times New Roman" w:hAnsi="Times New Roman" w:cs="Times New Roman"/>
          <w:i/>
          <w:szCs w:val="24"/>
        </w:rPr>
        <w:t>‘</w:t>
      </w:r>
      <w:r w:rsidR="00A40DF9" w:rsidRPr="002269E4">
        <w:rPr>
          <w:rFonts w:ascii="Times New Roman" w:hAnsi="Times New Roman" w:cs="Times New Roman"/>
          <w:i/>
          <w:szCs w:val="24"/>
        </w:rPr>
        <w:t xml:space="preserve">(1) </w:t>
      </w:r>
      <w:proofErr w:type="gramStart"/>
      <w:r w:rsidR="00A40DF9" w:rsidRPr="002269E4">
        <w:rPr>
          <w:rFonts w:ascii="Times New Roman" w:hAnsi="Times New Roman" w:cs="Times New Roman"/>
          <w:i/>
          <w:szCs w:val="24"/>
        </w:rPr>
        <w:t>Any</w:t>
      </w:r>
      <w:proofErr w:type="gramEnd"/>
      <w:r w:rsidR="00A40DF9" w:rsidRPr="002269E4">
        <w:rPr>
          <w:rFonts w:ascii="Times New Roman" w:hAnsi="Times New Roman" w:cs="Times New Roman"/>
          <w:i/>
          <w:szCs w:val="24"/>
        </w:rPr>
        <w:t xml:space="preserve"> person who without reasonable excuse—</w:t>
      </w:r>
    </w:p>
    <w:p w:rsidR="00A40DF9" w:rsidRPr="002269E4" w:rsidRDefault="00A40DF9" w:rsidP="001C5608">
      <w:pPr>
        <w:pStyle w:val="ac"/>
        <w:widowControl/>
        <w:overflowPunct w:val="0"/>
        <w:autoSpaceDE w:val="0"/>
        <w:autoSpaceDN w:val="0"/>
        <w:jc w:val="both"/>
        <w:rPr>
          <w:rFonts w:ascii="Times New Roman" w:hAnsi="Times New Roman" w:cs="Times New Roman"/>
          <w:i/>
          <w:szCs w:val="24"/>
        </w:rPr>
      </w:pPr>
    </w:p>
    <w:p w:rsidR="00A40DF9" w:rsidRPr="002269E4" w:rsidRDefault="00A40DF9" w:rsidP="005D69E8">
      <w:pPr>
        <w:pStyle w:val="ac"/>
        <w:widowControl/>
        <w:numPr>
          <w:ilvl w:val="0"/>
          <w:numId w:val="9"/>
        </w:numPr>
        <w:overflowPunct w:val="0"/>
        <w:autoSpaceDE w:val="0"/>
        <w:autoSpaceDN w:val="0"/>
        <w:ind w:leftChars="0" w:left="1985"/>
        <w:jc w:val="both"/>
        <w:rPr>
          <w:rFonts w:ascii="Times New Roman" w:hAnsi="Times New Roman" w:cs="Times New Roman"/>
          <w:i/>
          <w:szCs w:val="24"/>
        </w:rPr>
      </w:pPr>
      <w:r w:rsidRPr="002269E4">
        <w:rPr>
          <w:rFonts w:ascii="Times New Roman" w:hAnsi="Times New Roman" w:cs="Times New Roman"/>
          <w:i/>
          <w:szCs w:val="24"/>
        </w:rPr>
        <w:t>makes an incorrect return by omitting or understating anything in respect of which he is required by this Ordinance to make a return, either on his behalf or on behalf of another person; …</w:t>
      </w:r>
    </w:p>
    <w:p w:rsidR="005D69E8" w:rsidRPr="002269E4" w:rsidRDefault="005D69E8" w:rsidP="005D69E8">
      <w:pPr>
        <w:pStyle w:val="ac"/>
        <w:widowControl/>
        <w:overflowPunct w:val="0"/>
        <w:autoSpaceDE w:val="0"/>
        <w:autoSpaceDN w:val="0"/>
        <w:ind w:leftChars="0" w:left="720"/>
        <w:jc w:val="both"/>
        <w:rPr>
          <w:rFonts w:ascii="Times New Roman" w:hAnsi="Times New Roman" w:cs="Times New Roman"/>
          <w:i/>
          <w:szCs w:val="24"/>
        </w:rPr>
      </w:pPr>
    </w:p>
    <w:p w:rsidR="00A40DF9" w:rsidRPr="002269E4" w:rsidRDefault="00A40DF9" w:rsidP="005D69E8">
      <w:pPr>
        <w:widowControl/>
        <w:overflowPunct w:val="0"/>
        <w:autoSpaceDE w:val="0"/>
        <w:autoSpaceDN w:val="0"/>
        <w:ind w:left="1985"/>
        <w:jc w:val="both"/>
        <w:rPr>
          <w:rFonts w:ascii="Times New Roman" w:hAnsi="Times New Roman" w:cs="Times New Roman"/>
          <w:szCs w:val="24"/>
        </w:rPr>
      </w:pPr>
      <w:proofErr w:type="gramStart"/>
      <w:r w:rsidRPr="002269E4">
        <w:rPr>
          <w:rFonts w:ascii="Times New Roman" w:hAnsi="Times New Roman" w:cs="Times New Roman"/>
          <w:szCs w:val="24"/>
        </w:rPr>
        <w:t>shall</w:t>
      </w:r>
      <w:proofErr w:type="gramEnd"/>
      <w:r w:rsidRPr="002269E4">
        <w:rPr>
          <w:rFonts w:ascii="Times New Roman" w:hAnsi="Times New Roman" w:cs="Times New Roman"/>
          <w:szCs w:val="24"/>
        </w:rPr>
        <w:t>, if no prosecution under section 80(2) or 82(1) has been instituted in respect of the same facts, be liable to be assessed under this section to additional tax of an amount not exceeding treble the undercharged amount.</w:t>
      </w:r>
    </w:p>
    <w:p w:rsidR="00C6064B" w:rsidRPr="002269E4" w:rsidRDefault="00C6064B" w:rsidP="001C5608">
      <w:pPr>
        <w:widowControl/>
        <w:overflowPunct w:val="0"/>
        <w:autoSpaceDE w:val="0"/>
        <w:autoSpaceDN w:val="0"/>
        <w:ind w:left="360"/>
        <w:jc w:val="both"/>
        <w:rPr>
          <w:rFonts w:ascii="Times New Roman" w:hAnsi="Times New Roman" w:cs="Times New Roman"/>
          <w:i/>
          <w:szCs w:val="24"/>
        </w:rPr>
      </w:pPr>
    </w:p>
    <w:p w:rsidR="00A40DF9" w:rsidRPr="002269E4" w:rsidRDefault="00A40DF9" w:rsidP="005D69E8">
      <w:pPr>
        <w:widowControl/>
        <w:overflowPunct w:val="0"/>
        <w:autoSpaceDE w:val="0"/>
        <w:autoSpaceDN w:val="0"/>
        <w:ind w:left="1701"/>
        <w:jc w:val="both"/>
        <w:rPr>
          <w:rFonts w:ascii="Times New Roman" w:hAnsi="Times New Roman" w:cs="Times New Roman"/>
          <w:i/>
          <w:szCs w:val="24"/>
        </w:rPr>
      </w:pPr>
      <w:r w:rsidRPr="002269E4">
        <w:rPr>
          <w:rFonts w:ascii="Times New Roman" w:hAnsi="Times New Roman" w:cs="Times New Roman"/>
          <w:i/>
          <w:szCs w:val="24"/>
        </w:rPr>
        <w:t xml:space="preserve">(9) </w:t>
      </w:r>
      <w:r w:rsidRPr="002269E4">
        <w:rPr>
          <w:rFonts w:ascii="Times New Roman" w:hAnsi="Times New Roman" w:cs="Times New Roman"/>
          <w:szCs w:val="24"/>
        </w:rPr>
        <w:t>In this section—</w:t>
      </w:r>
    </w:p>
    <w:p w:rsidR="00A40DF9" w:rsidRPr="002269E4" w:rsidRDefault="00A40DF9" w:rsidP="005D69E8">
      <w:pPr>
        <w:widowControl/>
        <w:overflowPunct w:val="0"/>
        <w:autoSpaceDE w:val="0"/>
        <w:autoSpaceDN w:val="0"/>
        <w:ind w:firstLineChars="850" w:firstLine="2040"/>
        <w:jc w:val="both"/>
        <w:rPr>
          <w:rFonts w:ascii="Times New Roman" w:hAnsi="Times New Roman" w:cs="Times New Roman"/>
          <w:i/>
          <w:szCs w:val="24"/>
        </w:rPr>
      </w:pPr>
      <w:r w:rsidRPr="002269E4">
        <w:rPr>
          <w:rFonts w:ascii="Times New Roman" w:hAnsi="Times New Roman" w:cs="Times New Roman"/>
          <w:i/>
          <w:szCs w:val="24"/>
        </w:rPr>
        <w:t xml:space="preserve">undercharged amount ( </w:t>
      </w:r>
      <w:r w:rsidRPr="002269E4">
        <w:rPr>
          <w:rFonts w:ascii="Times New Roman" w:hAnsi="Times New Roman" w:cs="Times New Roman"/>
          <w:i/>
          <w:szCs w:val="24"/>
        </w:rPr>
        <w:t>少徵稅款</w:t>
      </w:r>
      <w:r w:rsidRPr="002269E4">
        <w:rPr>
          <w:rFonts w:ascii="Times New Roman" w:hAnsi="Times New Roman" w:cs="Times New Roman"/>
          <w:i/>
          <w:szCs w:val="24"/>
        </w:rPr>
        <w:t xml:space="preserve"> ) </w:t>
      </w:r>
      <w:proofErr w:type="gramStart"/>
      <w:r w:rsidRPr="002269E4">
        <w:rPr>
          <w:rFonts w:ascii="Times New Roman" w:hAnsi="Times New Roman" w:cs="Times New Roman"/>
          <w:i/>
          <w:szCs w:val="24"/>
        </w:rPr>
        <w:t>—</w:t>
      </w:r>
      <w:proofErr w:type="gramEnd"/>
    </w:p>
    <w:p w:rsidR="00C6064B" w:rsidRPr="002269E4" w:rsidRDefault="00C6064B" w:rsidP="001C5608">
      <w:pPr>
        <w:widowControl/>
        <w:overflowPunct w:val="0"/>
        <w:autoSpaceDE w:val="0"/>
        <w:autoSpaceDN w:val="0"/>
        <w:ind w:left="360"/>
        <w:jc w:val="both"/>
        <w:rPr>
          <w:rFonts w:ascii="Times New Roman" w:hAnsi="Times New Roman" w:cs="Times New Roman"/>
          <w:i/>
          <w:szCs w:val="24"/>
        </w:rPr>
      </w:pPr>
    </w:p>
    <w:p w:rsidR="00A40DF9" w:rsidRPr="002269E4" w:rsidRDefault="00A40DF9" w:rsidP="0061547C">
      <w:pPr>
        <w:widowControl/>
        <w:overflowPunct w:val="0"/>
        <w:autoSpaceDE w:val="0"/>
        <w:autoSpaceDN w:val="0"/>
        <w:ind w:leftChars="708" w:left="2059" w:hangingChars="150" w:hanging="360"/>
        <w:jc w:val="both"/>
        <w:rPr>
          <w:rFonts w:ascii="Times New Roman" w:hAnsi="Times New Roman" w:cs="Times New Roman"/>
          <w:i/>
          <w:szCs w:val="24"/>
        </w:rPr>
      </w:pPr>
      <w:r w:rsidRPr="002269E4">
        <w:rPr>
          <w:rFonts w:ascii="Times New Roman" w:hAnsi="Times New Roman" w:cs="Times New Roman"/>
          <w:i/>
          <w:szCs w:val="24"/>
        </w:rPr>
        <w:t xml:space="preserve">(a) </w:t>
      </w:r>
      <w:proofErr w:type="gramStart"/>
      <w:r w:rsidRPr="002269E4">
        <w:rPr>
          <w:rFonts w:ascii="Times New Roman" w:hAnsi="Times New Roman" w:cs="Times New Roman"/>
          <w:i/>
          <w:szCs w:val="24"/>
        </w:rPr>
        <w:t>for</w:t>
      </w:r>
      <w:proofErr w:type="gramEnd"/>
      <w:r w:rsidRPr="002269E4">
        <w:rPr>
          <w:rFonts w:ascii="Times New Roman" w:hAnsi="Times New Roman" w:cs="Times New Roman"/>
          <w:i/>
          <w:szCs w:val="24"/>
        </w:rPr>
        <w:t xml:space="preserve"> additional tax assessed because of any incorrect return, statement or information or an omission from any statement or information— means the amount of tax that—</w:t>
      </w:r>
    </w:p>
    <w:p w:rsidR="00C6064B" w:rsidRPr="002269E4" w:rsidRDefault="00C6064B" w:rsidP="001C5608">
      <w:pPr>
        <w:widowControl/>
        <w:overflowPunct w:val="0"/>
        <w:autoSpaceDE w:val="0"/>
        <w:autoSpaceDN w:val="0"/>
        <w:ind w:left="360"/>
        <w:jc w:val="both"/>
        <w:rPr>
          <w:rFonts w:ascii="Times New Roman" w:hAnsi="Times New Roman" w:cs="Times New Roman"/>
          <w:i/>
          <w:szCs w:val="24"/>
        </w:rPr>
      </w:pPr>
    </w:p>
    <w:p w:rsidR="00A40DF9" w:rsidRPr="002269E4" w:rsidRDefault="00A40DF9" w:rsidP="005E59B8">
      <w:pPr>
        <w:widowControl/>
        <w:overflowPunct w:val="0"/>
        <w:autoSpaceDE w:val="0"/>
        <w:autoSpaceDN w:val="0"/>
        <w:ind w:left="2127"/>
        <w:jc w:val="both"/>
        <w:rPr>
          <w:rFonts w:ascii="Times New Roman" w:hAnsi="Times New Roman" w:cs="Times New Roman"/>
          <w:i/>
          <w:szCs w:val="24"/>
        </w:rPr>
      </w:pPr>
      <w:r w:rsidRPr="002269E4">
        <w:rPr>
          <w:rFonts w:ascii="Times New Roman" w:hAnsi="Times New Roman" w:cs="Times New Roman"/>
          <w:i/>
          <w:szCs w:val="24"/>
        </w:rPr>
        <w:t>(</w:t>
      </w:r>
      <w:proofErr w:type="spellStart"/>
      <w:r w:rsidRPr="002269E4">
        <w:rPr>
          <w:rFonts w:ascii="Times New Roman" w:hAnsi="Times New Roman" w:cs="Times New Roman"/>
          <w:i/>
          <w:szCs w:val="24"/>
        </w:rPr>
        <w:t>i</w:t>
      </w:r>
      <w:proofErr w:type="spellEnd"/>
      <w:r w:rsidRPr="002269E4">
        <w:rPr>
          <w:rFonts w:ascii="Times New Roman" w:hAnsi="Times New Roman" w:cs="Times New Roman"/>
          <w:i/>
          <w:szCs w:val="24"/>
        </w:rPr>
        <w:t xml:space="preserve">) </w:t>
      </w:r>
      <w:proofErr w:type="gramStart"/>
      <w:r w:rsidRPr="002269E4">
        <w:rPr>
          <w:rFonts w:ascii="Times New Roman" w:hAnsi="Times New Roman" w:cs="Times New Roman"/>
          <w:i/>
          <w:szCs w:val="24"/>
        </w:rPr>
        <w:t>has</w:t>
      </w:r>
      <w:proofErr w:type="gramEnd"/>
      <w:r w:rsidRPr="002269E4">
        <w:rPr>
          <w:rFonts w:ascii="Times New Roman" w:hAnsi="Times New Roman" w:cs="Times New Roman"/>
          <w:i/>
          <w:szCs w:val="24"/>
        </w:rPr>
        <w:t xml:space="preserve"> been undercharged as a result of the incorrect return, statement or information or omission; or</w:t>
      </w:r>
    </w:p>
    <w:p w:rsidR="00C6064B" w:rsidRPr="002269E4" w:rsidRDefault="00C6064B" w:rsidP="001C5608">
      <w:pPr>
        <w:widowControl/>
        <w:overflowPunct w:val="0"/>
        <w:autoSpaceDE w:val="0"/>
        <w:autoSpaceDN w:val="0"/>
        <w:ind w:left="720"/>
        <w:jc w:val="both"/>
        <w:rPr>
          <w:rFonts w:ascii="Times New Roman" w:hAnsi="Times New Roman" w:cs="Times New Roman"/>
          <w:i/>
          <w:szCs w:val="24"/>
        </w:rPr>
      </w:pPr>
    </w:p>
    <w:p w:rsidR="00A40DF9" w:rsidRPr="002269E4" w:rsidRDefault="00A40DF9" w:rsidP="005E59B8">
      <w:pPr>
        <w:widowControl/>
        <w:overflowPunct w:val="0"/>
        <w:autoSpaceDE w:val="0"/>
        <w:autoSpaceDN w:val="0"/>
        <w:ind w:left="2127"/>
        <w:jc w:val="both"/>
        <w:rPr>
          <w:rFonts w:ascii="Times New Roman" w:hAnsi="Times New Roman" w:cs="Times New Roman"/>
          <w:i/>
          <w:szCs w:val="24"/>
        </w:rPr>
      </w:pPr>
      <w:r w:rsidRPr="002269E4">
        <w:rPr>
          <w:rFonts w:ascii="Times New Roman" w:hAnsi="Times New Roman" w:cs="Times New Roman"/>
          <w:i/>
          <w:szCs w:val="24"/>
        </w:rPr>
        <w:t xml:space="preserve">(ii) </w:t>
      </w:r>
      <w:proofErr w:type="gramStart"/>
      <w:r w:rsidRPr="002269E4">
        <w:rPr>
          <w:rFonts w:ascii="Times New Roman" w:hAnsi="Times New Roman" w:cs="Times New Roman"/>
          <w:i/>
          <w:szCs w:val="24"/>
        </w:rPr>
        <w:t>would</w:t>
      </w:r>
      <w:proofErr w:type="gramEnd"/>
      <w:r w:rsidRPr="002269E4">
        <w:rPr>
          <w:rFonts w:ascii="Times New Roman" w:hAnsi="Times New Roman" w:cs="Times New Roman"/>
          <w:i/>
          <w:szCs w:val="24"/>
        </w:rPr>
        <w:t xml:space="preserve"> have been so undercharged if the return, statement or information had been accepted as correct or the omission had not been detected;</w:t>
      </w:r>
    </w:p>
    <w:p w:rsidR="00C6064B" w:rsidRPr="002269E4" w:rsidRDefault="00C6064B" w:rsidP="001C5608">
      <w:pPr>
        <w:widowControl/>
        <w:overflowPunct w:val="0"/>
        <w:autoSpaceDE w:val="0"/>
        <w:autoSpaceDN w:val="0"/>
        <w:ind w:left="720"/>
        <w:jc w:val="both"/>
        <w:rPr>
          <w:rFonts w:ascii="Times New Roman" w:hAnsi="Times New Roman" w:cs="Times New Roman"/>
          <w:i/>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Section 82A(4) of the Ordinance provides that:</w:t>
      </w:r>
    </w:p>
    <w:p w:rsidR="00A40DF9" w:rsidRPr="002269E4" w:rsidRDefault="00A40DF9" w:rsidP="001C5608">
      <w:pPr>
        <w:pStyle w:val="ac"/>
        <w:widowControl/>
        <w:overflowPunct w:val="0"/>
        <w:autoSpaceDE w:val="0"/>
        <w:autoSpaceDN w:val="0"/>
        <w:jc w:val="both"/>
        <w:rPr>
          <w:rFonts w:ascii="Times New Roman" w:hAnsi="Times New Roman" w:cs="Times New Roman"/>
          <w:i/>
          <w:szCs w:val="24"/>
        </w:rPr>
      </w:pPr>
    </w:p>
    <w:p w:rsidR="00A40DF9" w:rsidRPr="002269E4" w:rsidRDefault="00591568" w:rsidP="00150992">
      <w:pPr>
        <w:pStyle w:val="ac"/>
        <w:widowControl/>
        <w:overflowPunct w:val="0"/>
        <w:autoSpaceDE w:val="0"/>
        <w:autoSpaceDN w:val="0"/>
        <w:ind w:leftChars="650" w:left="1560"/>
        <w:jc w:val="both"/>
        <w:rPr>
          <w:rFonts w:ascii="Times New Roman" w:hAnsi="Times New Roman" w:cs="Times New Roman"/>
          <w:i/>
          <w:szCs w:val="24"/>
        </w:rPr>
      </w:pPr>
      <w:r w:rsidRPr="002269E4">
        <w:rPr>
          <w:rFonts w:ascii="Times New Roman" w:hAnsi="Times New Roman" w:cs="Times New Roman"/>
          <w:i/>
          <w:szCs w:val="24"/>
        </w:rPr>
        <w:t>‘</w:t>
      </w:r>
      <w:r w:rsidR="00A40DF9" w:rsidRPr="002269E4">
        <w:rPr>
          <w:rFonts w:ascii="Times New Roman" w:hAnsi="Times New Roman" w:cs="Times New Roman"/>
          <w:i/>
          <w:szCs w:val="24"/>
        </w:rPr>
        <w:t>Before making an assessment of additional tax, the specified authority must—</w:t>
      </w:r>
    </w:p>
    <w:p w:rsidR="00A40DF9" w:rsidRPr="002269E4" w:rsidRDefault="00A40DF9" w:rsidP="001C5608">
      <w:pPr>
        <w:pStyle w:val="ac"/>
        <w:widowControl/>
        <w:overflowPunct w:val="0"/>
        <w:autoSpaceDE w:val="0"/>
        <w:autoSpaceDN w:val="0"/>
        <w:jc w:val="both"/>
        <w:rPr>
          <w:rFonts w:ascii="Times New Roman" w:hAnsi="Times New Roman" w:cs="Times New Roman"/>
          <w:i/>
          <w:szCs w:val="24"/>
        </w:rPr>
      </w:pPr>
    </w:p>
    <w:p w:rsidR="00A40DF9" w:rsidRPr="002269E4" w:rsidRDefault="00A40DF9" w:rsidP="0043702C">
      <w:pPr>
        <w:pStyle w:val="ac"/>
        <w:widowControl/>
        <w:overflowPunct w:val="0"/>
        <w:autoSpaceDE w:val="0"/>
        <w:autoSpaceDN w:val="0"/>
        <w:ind w:leftChars="650" w:left="2126" w:hangingChars="236" w:hanging="566"/>
        <w:jc w:val="both"/>
        <w:rPr>
          <w:rFonts w:ascii="Times New Roman" w:hAnsi="Times New Roman" w:cs="Times New Roman"/>
          <w:i/>
          <w:szCs w:val="24"/>
        </w:rPr>
      </w:pPr>
      <w:r w:rsidRPr="002269E4">
        <w:rPr>
          <w:rFonts w:ascii="Times New Roman" w:hAnsi="Times New Roman" w:cs="Times New Roman"/>
          <w:i/>
          <w:szCs w:val="24"/>
        </w:rPr>
        <w:t xml:space="preserve">(a) </w:t>
      </w:r>
      <w:r w:rsidR="0043702C" w:rsidRPr="002269E4">
        <w:rPr>
          <w:rFonts w:ascii="Times New Roman" w:hAnsi="Times New Roman" w:cs="Times New Roman"/>
          <w:i/>
          <w:szCs w:val="24"/>
        </w:rPr>
        <w:t xml:space="preserve"> </w:t>
      </w:r>
      <w:proofErr w:type="gramStart"/>
      <w:r w:rsidRPr="002269E4">
        <w:rPr>
          <w:rFonts w:ascii="Times New Roman" w:hAnsi="Times New Roman" w:cs="Times New Roman"/>
          <w:i/>
          <w:szCs w:val="24"/>
        </w:rPr>
        <w:t>give</w:t>
      </w:r>
      <w:proofErr w:type="gramEnd"/>
      <w:r w:rsidRPr="002269E4">
        <w:rPr>
          <w:rFonts w:ascii="Times New Roman" w:hAnsi="Times New Roman" w:cs="Times New Roman"/>
          <w:i/>
          <w:szCs w:val="24"/>
        </w:rPr>
        <w:t xml:space="preserve"> notice to the person that the specified authority proposes to assess additional tax and the notice must—</w:t>
      </w:r>
    </w:p>
    <w:p w:rsidR="00A40DF9" w:rsidRPr="002269E4" w:rsidRDefault="00A40DF9" w:rsidP="001C5608">
      <w:pPr>
        <w:pStyle w:val="ac"/>
        <w:widowControl/>
        <w:overflowPunct w:val="0"/>
        <w:autoSpaceDE w:val="0"/>
        <w:autoSpaceDN w:val="0"/>
        <w:ind w:firstLine="360"/>
        <w:jc w:val="both"/>
        <w:rPr>
          <w:rFonts w:ascii="Times New Roman" w:hAnsi="Times New Roman" w:cs="Times New Roman"/>
          <w:i/>
          <w:szCs w:val="24"/>
        </w:rPr>
      </w:pPr>
    </w:p>
    <w:p w:rsidR="00A40DF9" w:rsidRPr="002269E4" w:rsidRDefault="00A40DF9" w:rsidP="009769D1">
      <w:pPr>
        <w:pStyle w:val="ac"/>
        <w:widowControl/>
        <w:numPr>
          <w:ilvl w:val="0"/>
          <w:numId w:val="10"/>
        </w:numPr>
        <w:overflowPunct w:val="0"/>
        <w:autoSpaceDE w:val="0"/>
        <w:autoSpaceDN w:val="0"/>
        <w:ind w:leftChars="878" w:left="2683" w:hangingChars="240" w:hanging="576"/>
        <w:jc w:val="both"/>
        <w:rPr>
          <w:rFonts w:ascii="Times New Roman" w:hAnsi="Times New Roman" w:cs="Times New Roman"/>
          <w:i/>
          <w:szCs w:val="24"/>
        </w:rPr>
      </w:pPr>
      <w:r w:rsidRPr="002269E4">
        <w:rPr>
          <w:rFonts w:ascii="Times New Roman" w:hAnsi="Times New Roman" w:cs="Times New Roman"/>
          <w:i/>
          <w:szCs w:val="24"/>
        </w:rPr>
        <w:t>inform the person of the following—</w:t>
      </w:r>
    </w:p>
    <w:p w:rsidR="00A40DF9" w:rsidRPr="002269E4" w:rsidRDefault="00A40DF9" w:rsidP="001C5608">
      <w:pPr>
        <w:pStyle w:val="ac"/>
        <w:widowControl/>
        <w:overflowPunct w:val="0"/>
        <w:autoSpaceDE w:val="0"/>
        <w:autoSpaceDN w:val="0"/>
        <w:ind w:left="840" w:hanging="360"/>
        <w:jc w:val="both"/>
        <w:rPr>
          <w:rFonts w:ascii="Times New Roman" w:hAnsi="Times New Roman" w:cs="Times New Roman"/>
          <w:i/>
          <w:szCs w:val="24"/>
        </w:rPr>
      </w:pPr>
    </w:p>
    <w:p w:rsidR="00A40DF9" w:rsidRPr="002269E4" w:rsidRDefault="00A40DF9" w:rsidP="00143110">
      <w:pPr>
        <w:pStyle w:val="ac"/>
        <w:widowControl/>
        <w:numPr>
          <w:ilvl w:val="0"/>
          <w:numId w:val="11"/>
        </w:numPr>
        <w:overflowPunct w:val="0"/>
        <w:autoSpaceDE w:val="0"/>
        <w:autoSpaceDN w:val="0"/>
        <w:ind w:leftChars="1118" w:left="3259" w:hangingChars="240" w:hanging="576"/>
        <w:jc w:val="both"/>
        <w:rPr>
          <w:rFonts w:ascii="Times New Roman" w:hAnsi="Times New Roman" w:cs="Times New Roman"/>
          <w:i/>
          <w:szCs w:val="24"/>
        </w:rPr>
      </w:pPr>
      <w:r w:rsidRPr="002269E4">
        <w:rPr>
          <w:rFonts w:ascii="Times New Roman" w:hAnsi="Times New Roman" w:cs="Times New Roman"/>
          <w:i/>
          <w:szCs w:val="24"/>
        </w:rPr>
        <w:t xml:space="preserve">for additional tax to be assessed under subsection (1)—the alleged incorrect return, incorrect statement or incorrect information, the alleged failure to comply with section 26M(3)(a) or 26Q(3)(a), the alleged failure to comply with a requirement of the notice given to the person under section 51(1) or </w:t>
      </w:r>
      <w:r w:rsidR="007F2F81" w:rsidRPr="002269E4">
        <w:rPr>
          <w:rFonts w:ascii="Times New Roman" w:hAnsi="Times New Roman" w:cs="Times New Roman"/>
          <w:i/>
          <w:szCs w:val="24"/>
        </w:rPr>
        <w:t>(2A) or</w:t>
      </w:r>
      <w:r w:rsidR="00E31C25" w:rsidRPr="002269E4">
        <w:rPr>
          <w:rFonts w:ascii="Times New Roman" w:hAnsi="Times New Roman" w:cs="Times New Roman"/>
          <w:i/>
          <w:szCs w:val="24"/>
        </w:rPr>
        <w:t xml:space="preserve"> </w:t>
      </w:r>
      <w:r w:rsidRPr="002269E4">
        <w:rPr>
          <w:rFonts w:ascii="Times New Roman" w:hAnsi="Times New Roman" w:cs="Times New Roman"/>
          <w:i/>
          <w:szCs w:val="24"/>
        </w:rPr>
        <w:t>the alleged failure to comply with section 51(2); …</w:t>
      </w:r>
    </w:p>
    <w:p w:rsidR="00C6064B" w:rsidRPr="002269E4" w:rsidRDefault="00C6064B" w:rsidP="00C6064B">
      <w:pPr>
        <w:pStyle w:val="ac"/>
        <w:widowControl/>
        <w:overflowPunct w:val="0"/>
        <w:autoSpaceDE w:val="0"/>
        <w:autoSpaceDN w:val="0"/>
        <w:ind w:leftChars="0" w:left="1440"/>
        <w:jc w:val="both"/>
        <w:rPr>
          <w:rFonts w:ascii="Times New Roman" w:hAnsi="Times New Roman" w:cs="Times New Roman"/>
          <w:i/>
          <w:szCs w:val="24"/>
        </w:rPr>
      </w:pPr>
    </w:p>
    <w:p w:rsidR="00A40DF9" w:rsidRPr="002269E4" w:rsidRDefault="00A40DF9" w:rsidP="001D7665">
      <w:pPr>
        <w:pStyle w:val="ac"/>
        <w:widowControl/>
        <w:numPr>
          <w:ilvl w:val="0"/>
          <w:numId w:val="10"/>
        </w:numPr>
        <w:overflowPunct w:val="0"/>
        <w:autoSpaceDE w:val="0"/>
        <w:autoSpaceDN w:val="0"/>
        <w:ind w:leftChars="878" w:left="2683" w:hangingChars="240" w:hanging="576"/>
        <w:jc w:val="both"/>
        <w:rPr>
          <w:rFonts w:ascii="Times New Roman" w:hAnsi="Times New Roman" w:cs="Times New Roman"/>
          <w:i/>
          <w:szCs w:val="24"/>
        </w:rPr>
      </w:pPr>
      <w:r w:rsidRPr="002269E4">
        <w:rPr>
          <w:rFonts w:ascii="Times New Roman" w:hAnsi="Times New Roman" w:cs="Times New Roman"/>
          <w:i/>
          <w:szCs w:val="24"/>
        </w:rPr>
        <w:t>include a statement that, with regard to the proposed assessment on the person of additional tax, the person has the right—</w:t>
      </w:r>
    </w:p>
    <w:p w:rsidR="00C6064B" w:rsidRPr="002269E4" w:rsidRDefault="00C6064B" w:rsidP="001C5608">
      <w:pPr>
        <w:widowControl/>
        <w:overflowPunct w:val="0"/>
        <w:autoSpaceDE w:val="0"/>
        <w:autoSpaceDN w:val="0"/>
        <w:ind w:left="1080" w:hanging="360"/>
        <w:jc w:val="both"/>
        <w:rPr>
          <w:rFonts w:ascii="Times New Roman" w:hAnsi="Times New Roman" w:cs="Times New Roman"/>
          <w:i/>
          <w:szCs w:val="24"/>
        </w:rPr>
      </w:pPr>
    </w:p>
    <w:p w:rsidR="00A40DF9" w:rsidRPr="002269E4" w:rsidRDefault="00A40DF9" w:rsidP="00653D38">
      <w:pPr>
        <w:pStyle w:val="ac"/>
        <w:widowControl/>
        <w:numPr>
          <w:ilvl w:val="0"/>
          <w:numId w:val="20"/>
        </w:numPr>
        <w:overflowPunct w:val="0"/>
        <w:autoSpaceDE w:val="0"/>
        <w:autoSpaceDN w:val="0"/>
        <w:ind w:leftChars="1118" w:left="3259" w:hangingChars="240" w:hanging="576"/>
        <w:jc w:val="both"/>
        <w:rPr>
          <w:rFonts w:ascii="Times New Roman" w:hAnsi="Times New Roman" w:cs="Times New Roman"/>
          <w:i/>
          <w:szCs w:val="24"/>
        </w:rPr>
      </w:pPr>
      <w:r w:rsidRPr="002269E4">
        <w:rPr>
          <w:rFonts w:ascii="Times New Roman" w:hAnsi="Times New Roman" w:cs="Times New Roman"/>
          <w:i/>
          <w:szCs w:val="24"/>
        </w:rPr>
        <w:t>to submit written representations to the specified authority; and …</w:t>
      </w:r>
    </w:p>
    <w:p w:rsidR="00A40DF9" w:rsidRPr="002269E4" w:rsidRDefault="00A40DF9" w:rsidP="001C5608">
      <w:pPr>
        <w:pStyle w:val="ac"/>
        <w:widowControl/>
        <w:overflowPunct w:val="0"/>
        <w:autoSpaceDE w:val="0"/>
        <w:autoSpaceDN w:val="0"/>
        <w:jc w:val="both"/>
        <w:rPr>
          <w:rFonts w:ascii="Times New Roman" w:hAnsi="Times New Roman" w:cs="Times New Roman"/>
          <w:i/>
          <w:szCs w:val="24"/>
        </w:rPr>
      </w:pPr>
    </w:p>
    <w:p w:rsidR="007B29B6" w:rsidRPr="002269E4" w:rsidRDefault="00A40DF9" w:rsidP="00045208">
      <w:pPr>
        <w:pStyle w:val="ac"/>
        <w:widowControl/>
        <w:numPr>
          <w:ilvl w:val="0"/>
          <w:numId w:val="10"/>
        </w:numPr>
        <w:overflowPunct w:val="0"/>
        <w:autoSpaceDE w:val="0"/>
        <w:autoSpaceDN w:val="0"/>
        <w:ind w:leftChars="878" w:left="2683" w:hangingChars="240" w:hanging="576"/>
        <w:jc w:val="both"/>
        <w:rPr>
          <w:rFonts w:ascii="Times New Roman" w:hAnsi="Times New Roman" w:cs="Times New Roman"/>
          <w:i/>
          <w:szCs w:val="24"/>
        </w:rPr>
      </w:pPr>
      <w:r w:rsidRPr="002269E4">
        <w:rPr>
          <w:rFonts w:ascii="Times New Roman" w:hAnsi="Times New Roman" w:cs="Times New Roman"/>
          <w:i/>
          <w:szCs w:val="24"/>
        </w:rPr>
        <w:t>specify the date, which must not be earlier than 21 days from the</w:t>
      </w:r>
      <w:r w:rsidR="00045208" w:rsidRPr="002269E4">
        <w:rPr>
          <w:rFonts w:ascii="Times New Roman" w:hAnsi="Times New Roman" w:cs="Times New Roman"/>
          <w:i/>
          <w:szCs w:val="24"/>
        </w:rPr>
        <w:t xml:space="preserve"> </w:t>
      </w:r>
      <w:r w:rsidRPr="002269E4">
        <w:rPr>
          <w:rFonts w:ascii="Times New Roman" w:hAnsi="Times New Roman" w:cs="Times New Roman"/>
          <w:i/>
          <w:szCs w:val="24"/>
        </w:rPr>
        <w:t>date of service of the notice, by which representations and</w:t>
      </w:r>
    </w:p>
    <w:p w:rsidR="00A40DF9" w:rsidRPr="002269E4" w:rsidRDefault="00A40DF9" w:rsidP="00186BF3">
      <w:pPr>
        <w:pStyle w:val="ac"/>
        <w:widowControl/>
        <w:overflowPunct w:val="0"/>
        <w:autoSpaceDE w:val="0"/>
        <w:autoSpaceDN w:val="0"/>
        <w:ind w:leftChars="1050" w:left="2640" w:hangingChars="50" w:hanging="120"/>
        <w:jc w:val="both"/>
        <w:rPr>
          <w:rFonts w:ascii="Times New Roman" w:hAnsi="Times New Roman" w:cs="Times New Roman"/>
          <w:i/>
          <w:szCs w:val="24"/>
        </w:rPr>
      </w:pPr>
      <w:r w:rsidRPr="002269E4">
        <w:rPr>
          <w:rFonts w:ascii="Times New Roman" w:hAnsi="Times New Roman" w:cs="Times New Roman"/>
          <w:i/>
          <w:szCs w:val="24"/>
        </w:rPr>
        <w:t xml:space="preserve"> </w:t>
      </w:r>
      <w:proofErr w:type="gramStart"/>
      <w:r w:rsidRPr="002269E4">
        <w:rPr>
          <w:rFonts w:ascii="Times New Roman" w:hAnsi="Times New Roman" w:cs="Times New Roman"/>
          <w:i/>
          <w:szCs w:val="24"/>
        </w:rPr>
        <w:t>evidence</w:t>
      </w:r>
      <w:proofErr w:type="gramEnd"/>
      <w:r w:rsidRPr="002269E4">
        <w:rPr>
          <w:rFonts w:ascii="Times New Roman" w:hAnsi="Times New Roman" w:cs="Times New Roman"/>
          <w:i/>
          <w:szCs w:val="24"/>
        </w:rPr>
        <w:t xml:space="preserve"> that the person may wish to submit under subparagraph (ii) must be received by the specified authority; and</w:t>
      </w:r>
    </w:p>
    <w:p w:rsidR="00A40DF9" w:rsidRPr="002269E4" w:rsidRDefault="00A40DF9" w:rsidP="001C5608">
      <w:pPr>
        <w:pStyle w:val="ac"/>
        <w:widowControl/>
        <w:overflowPunct w:val="0"/>
        <w:autoSpaceDE w:val="0"/>
        <w:autoSpaceDN w:val="0"/>
        <w:jc w:val="both"/>
        <w:rPr>
          <w:rFonts w:ascii="Times New Roman" w:hAnsi="Times New Roman" w:cs="Times New Roman"/>
          <w:i/>
          <w:szCs w:val="24"/>
        </w:rPr>
      </w:pPr>
    </w:p>
    <w:p w:rsidR="00A40DF9" w:rsidRPr="002269E4" w:rsidRDefault="00E34801" w:rsidP="001D1FD4">
      <w:pPr>
        <w:widowControl/>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i/>
          <w:szCs w:val="24"/>
        </w:rPr>
        <w:t>(</w:t>
      </w:r>
      <w:proofErr w:type="gramStart"/>
      <w:r w:rsidRPr="002269E4">
        <w:rPr>
          <w:rFonts w:ascii="Times New Roman" w:hAnsi="Times New Roman" w:cs="Times New Roman"/>
          <w:i/>
          <w:szCs w:val="24"/>
        </w:rPr>
        <w:t>b</w:t>
      </w:r>
      <w:proofErr w:type="gramEnd"/>
      <w:r w:rsidRPr="002269E4">
        <w:rPr>
          <w:rFonts w:ascii="Times New Roman" w:hAnsi="Times New Roman" w:cs="Times New Roman"/>
          <w:i/>
          <w:szCs w:val="24"/>
        </w:rPr>
        <w:t>)</w:t>
      </w:r>
      <w:r w:rsidR="001D1FD4" w:rsidRPr="002269E4">
        <w:rPr>
          <w:rFonts w:ascii="Times New Roman" w:hAnsi="Times New Roman" w:cs="Times New Roman"/>
          <w:i/>
          <w:szCs w:val="24"/>
        </w:rPr>
        <w:t xml:space="preserve">  </w:t>
      </w:r>
      <w:r w:rsidR="00A40DF9" w:rsidRPr="002269E4">
        <w:rPr>
          <w:rFonts w:ascii="Times New Roman" w:hAnsi="Times New Roman" w:cs="Times New Roman"/>
          <w:i/>
          <w:szCs w:val="24"/>
        </w:rPr>
        <w:t>consider and take into account any representations and evidence that the specified authority may receive under paragraph (a).</w:t>
      </w:r>
      <w:r w:rsidR="00F53657" w:rsidRPr="002269E4">
        <w:rPr>
          <w:rFonts w:ascii="Times New Roman" w:hAnsi="Times New Roman" w:cs="Times New Roman"/>
          <w:i/>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Section 82B(2) of the Ordinance provides that: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591568" w:rsidP="009971DD">
      <w:pPr>
        <w:pStyle w:val="ac"/>
        <w:widowControl/>
        <w:overflowPunct w:val="0"/>
        <w:autoSpaceDE w:val="0"/>
        <w:autoSpaceDN w:val="0"/>
        <w:ind w:leftChars="638" w:left="1531"/>
        <w:jc w:val="both"/>
        <w:rPr>
          <w:rFonts w:ascii="Times New Roman" w:hAnsi="Times New Roman" w:cs="Times New Roman"/>
          <w:i/>
          <w:szCs w:val="24"/>
        </w:rPr>
      </w:pPr>
      <w:r w:rsidRPr="002269E4">
        <w:rPr>
          <w:rFonts w:ascii="Times New Roman" w:hAnsi="Times New Roman" w:cs="Times New Roman"/>
          <w:i/>
          <w:szCs w:val="24"/>
        </w:rPr>
        <w:t>‘</w:t>
      </w:r>
      <w:r w:rsidR="00A40DF9" w:rsidRPr="002269E4">
        <w:rPr>
          <w:rFonts w:ascii="Times New Roman" w:hAnsi="Times New Roman" w:cs="Times New Roman"/>
          <w:i/>
          <w:szCs w:val="24"/>
        </w:rPr>
        <w:t>(2) On an appeal against assessment to additional tax, it shall be open to the appellant to argue that—</w:t>
      </w:r>
    </w:p>
    <w:p w:rsidR="00A40DF9" w:rsidRPr="002269E4" w:rsidRDefault="00A40DF9" w:rsidP="001C5608">
      <w:pPr>
        <w:pStyle w:val="ac"/>
        <w:widowControl/>
        <w:overflowPunct w:val="0"/>
        <w:autoSpaceDE w:val="0"/>
        <w:autoSpaceDN w:val="0"/>
        <w:ind w:firstLine="360"/>
        <w:jc w:val="both"/>
        <w:rPr>
          <w:rFonts w:ascii="Times New Roman" w:hAnsi="Times New Roman" w:cs="Times New Roman"/>
          <w:i/>
          <w:szCs w:val="24"/>
        </w:rPr>
      </w:pPr>
    </w:p>
    <w:p w:rsidR="00A40DF9" w:rsidRPr="002269E4" w:rsidRDefault="00AE30EC" w:rsidP="009971DD">
      <w:pPr>
        <w:pStyle w:val="ac"/>
        <w:widowControl/>
        <w:overflowPunct w:val="0"/>
        <w:autoSpaceDE w:val="0"/>
        <w:autoSpaceDN w:val="0"/>
        <w:ind w:leftChars="638" w:left="1531"/>
        <w:jc w:val="both"/>
        <w:rPr>
          <w:rFonts w:ascii="Times New Roman" w:hAnsi="Times New Roman" w:cs="Times New Roman"/>
          <w:i/>
          <w:szCs w:val="24"/>
        </w:rPr>
      </w:pPr>
      <w:r w:rsidRPr="002269E4">
        <w:rPr>
          <w:rFonts w:ascii="Times New Roman" w:hAnsi="Times New Roman" w:cs="Times New Roman"/>
          <w:i/>
          <w:szCs w:val="24"/>
        </w:rPr>
        <w:t xml:space="preserve">(a)  </w:t>
      </w:r>
      <w:proofErr w:type="gramStart"/>
      <w:r w:rsidR="00A40DF9" w:rsidRPr="002269E4">
        <w:rPr>
          <w:rFonts w:ascii="Times New Roman" w:hAnsi="Times New Roman" w:cs="Times New Roman"/>
          <w:i/>
          <w:szCs w:val="24"/>
        </w:rPr>
        <w:t>he</w:t>
      </w:r>
      <w:proofErr w:type="gramEnd"/>
      <w:r w:rsidR="00A40DF9" w:rsidRPr="002269E4">
        <w:rPr>
          <w:rFonts w:ascii="Times New Roman" w:hAnsi="Times New Roman" w:cs="Times New Roman"/>
          <w:i/>
          <w:szCs w:val="24"/>
        </w:rPr>
        <w:t xml:space="preserve"> is not liable to additional tax;</w:t>
      </w:r>
    </w:p>
    <w:p w:rsidR="00A40DF9" w:rsidRPr="002269E4" w:rsidRDefault="00A40DF9" w:rsidP="001C5608">
      <w:pPr>
        <w:pStyle w:val="ac"/>
        <w:widowControl/>
        <w:overflowPunct w:val="0"/>
        <w:autoSpaceDE w:val="0"/>
        <w:autoSpaceDN w:val="0"/>
        <w:ind w:left="1200" w:hanging="720"/>
        <w:jc w:val="both"/>
        <w:rPr>
          <w:rFonts w:ascii="Times New Roman" w:hAnsi="Times New Roman" w:cs="Times New Roman"/>
          <w:i/>
          <w:szCs w:val="24"/>
        </w:rPr>
      </w:pPr>
    </w:p>
    <w:p w:rsidR="00A40DF9" w:rsidRPr="002269E4" w:rsidRDefault="00AE30EC" w:rsidP="009971DD">
      <w:pPr>
        <w:pStyle w:val="ac"/>
        <w:widowControl/>
        <w:overflowPunct w:val="0"/>
        <w:autoSpaceDE w:val="0"/>
        <w:autoSpaceDN w:val="0"/>
        <w:ind w:leftChars="638" w:left="1531"/>
        <w:jc w:val="both"/>
        <w:rPr>
          <w:rFonts w:ascii="Times New Roman" w:hAnsi="Times New Roman" w:cs="Times New Roman"/>
          <w:i/>
          <w:szCs w:val="24"/>
        </w:rPr>
      </w:pPr>
      <w:r w:rsidRPr="002269E4">
        <w:rPr>
          <w:rFonts w:ascii="Times New Roman" w:hAnsi="Times New Roman" w:cs="Times New Roman"/>
          <w:i/>
          <w:szCs w:val="24"/>
        </w:rPr>
        <w:t xml:space="preserve">(b)  </w:t>
      </w:r>
      <w:proofErr w:type="gramStart"/>
      <w:r w:rsidR="00A40DF9" w:rsidRPr="002269E4">
        <w:rPr>
          <w:rFonts w:ascii="Times New Roman" w:hAnsi="Times New Roman" w:cs="Times New Roman"/>
          <w:i/>
          <w:szCs w:val="24"/>
        </w:rPr>
        <w:t>the</w:t>
      </w:r>
      <w:proofErr w:type="gramEnd"/>
      <w:r w:rsidR="00A40DF9" w:rsidRPr="002269E4">
        <w:rPr>
          <w:rFonts w:ascii="Times New Roman" w:hAnsi="Times New Roman" w:cs="Times New Roman"/>
          <w:i/>
          <w:szCs w:val="24"/>
        </w:rPr>
        <w:t xml:space="preserve"> amount of additional tax assessed on him exceeds the amount for which he is liable under section 82A;</w:t>
      </w:r>
    </w:p>
    <w:p w:rsidR="00A40DF9" w:rsidRPr="002269E4" w:rsidRDefault="00A40DF9" w:rsidP="001C5608">
      <w:pPr>
        <w:pStyle w:val="ac"/>
        <w:widowControl/>
        <w:overflowPunct w:val="0"/>
        <w:autoSpaceDE w:val="0"/>
        <w:autoSpaceDN w:val="0"/>
        <w:ind w:left="1200" w:hanging="720"/>
        <w:jc w:val="both"/>
        <w:rPr>
          <w:rFonts w:ascii="Times New Roman" w:hAnsi="Times New Roman" w:cs="Times New Roman"/>
          <w:i/>
          <w:szCs w:val="24"/>
        </w:rPr>
      </w:pPr>
    </w:p>
    <w:p w:rsidR="00AE30EC" w:rsidRPr="002269E4" w:rsidRDefault="00AE30EC" w:rsidP="009971DD">
      <w:pPr>
        <w:pStyle w:val="ac"/>
        <w:widowControl/>
        <w:overflowPunct w:val="0"/>
        <w:autoSpaceDE w:val="0"/>
        <w:autoSpaceDN w:val="0"/>
        <w:ind w:leftChars="638" w:left="1531"/>
        <w:jc w:val="both"/>
        <w:rPr>
          <w:rFonts w:ascii="Times New Roman" w:hAnsi="Times New Roman" w:cs="Times New Roman"/>
          <w:i/>
          <w:szCs w:val="24"/>
        </w:rPr>
      </w:pPr>
      <w:r w:rsidRPr="002269E4">
        <w:rPr>
          <w:rFonts w:ascii="Times New Roman" w:hAnsi="Times New Roman" w:cs="Times New Roman"/>
          <w:i/>
          <w:szCs w:val="24"/>
        </w:rPr>
        <w:t xml:space="preserve">(c)  </w:t>
      </w:r>
      <w:proofErr w:type="gramStart"/>
      <w:r w:rsidR="00A40DF9" w:rsidRPr="002269E4">
        <w:rPr>
          <w:rFonts w:ascii="Times New Roman" w:hAnsi="Times New Roman" w:cs="Times New Roman"/>
          <w:i/>
          <w:szCs w:val="24"/>
        </w:rPr>
        <w:t>the</w:t>
      </w:r>
      <w:proofErr w:type="gramEnd"/>
      <w:r w:rsidR="00A40DF9" w:rsidRPr="002269E4">
        <w:rPr>
          <w:rFonts w:ascii="Times New Roman" w:hAnsi="Times New Roman" w:cs="Times New Roman"/>
          <w:i/>
          <w:szCs w:val="24"/>
        </w:rPr>
        <w:t xml:space="preserve"> amount of additional tax, although not in excess of that for which</w:t>
      </w:r>
    </w:p>
    <w:p w:rsidR="00AE30EC" w:rsidRPr="002269E4" w:rsidRDefault="00A40DF9" w:rsidP="00AE30EC">
      <w:pPr>
        <w:pStyle w:val="ac"/>
        <w:widowControl/>
        <w:overflowPunct w:val="0"/>
        <w:autoSpaceDE w:val="0"/>
        <w:autoSpaceDN w:val="0"/>
        <w:ind w:leftChars="695" w:left="1668" w:firstLineChars="100" w:firstLine="240"/>
        <w:jc w:val="both"/>
        <w:rPr>
          <w:rFonts w:ascii="Times New Roman" w:hAnsi="Times New Roman" w:cs="Times New Roman"/>
          <w:i/>
          <w:szCs w:val="24"/>
        </w:rPr>
      </w:pPr>
      <w:r w:rsidRPr="002269E4">
        <w:rPr>
          <w:rFonts w:ascii="Times New Roman" w:hAnsi="Times New Roman" w:cs="Times New Roman"/>
          <w:i/>
          <w:szCs w:val="24"/>
        </w:rPr>
        <w:t xml:space="preserve"> </w:t>
      </w:r>
      <w:proofErr w:type="gramStart"/>
      <w:r w:rsidRPr="002269E4">
        <w:rPr>
          <w:rFonts w:ascii="Times New Roman" w:hAnsi="Times New Roman" w:cs="Times New Roman"/>
          <w:i/>
          <w:szCs w:val="24"/>
        </w:rPr>
        <w:t>he</w:t>
      </w:r>
      <w:proofErr w:type="gramEnd"/>
      <w:r w:rsidRPr="002269E4">
        <w:rPr>
          <w:rFonts w:ascii="Times New Roman" w:hAnsi="Times New Roman" w:cs="Times New Roman"/>
          <w:i/>
          <w:szCs w:val="24"/>
        </w:rPr>
        <w:t xml:space="preserve"> is liable under section 82A, is excessive having regard to the </w:t>
      </w:r>
    </w:p>
    <w:p w:rsidR="00A40DF9" w:rsidRPr="002269E4" w:rsidRDefault="00A40DF9" w:rsidP="00AE30EC">
      <w:pPr>
        <w:pStyle w:val="ac"/>
        <w:widowControl/>
        <w:overflowPunct w:val="0"/>
        <w:autoSpaceDE w:val="0"/>
        <w:autoSpaceDN w:val="0"/>
        <w:ind w:leftChars="695" w:left="1668" w:firstLineChars="150" w:firstLine="360"/>
        <w:jc w:val="both"/>
        <w:rPr>
          <w:rFonts w:ascii="Times New Roman" w:hAnsi="Times New Roman" w:cs="Times New Roman"/>
          <w:szCs w:val="24"/>
        </w:rPr>
      </w:pPr>
      <w:proofErr w:type="gramStart"/>
      <w:r w:rsidRPr="002269E4">
        <w:rPr>
          <w:rFonts w:ascii="Times New Roman" w:hAnsi="Times New Roman" w:cs="Times New Roman"/>
          <w:i/>
          <w:szCs w:val="24"/>
        </w:rPr>
        <w:t>circumstances</w:t>
      </w:r>
      <w:proofErr w:type="gramEnd"/>
      <w:r w:rsidRPr="002269E4">
        <w:rPr>
          <w:rFonts w:ascii="Times New Roman" w:hAnsi="Times New Roman" w:cs="Times New Roman"/>
          <w:i/>
          <w:szCs w:val="24"/>
        </w:rPr>
        <w:t>.</w:t>
      </w:r>
      <w:r w:rsidR="00591568" w:rsidRPr="002269E4">
        <w:rPr>
          <w:rFonts w:ascii="Times New Roman" w:hAnsi="Times New Roman" w:cs="Times New Roman"/>
          <w:i/>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Section 82B(3) of the Ordinance further provides that section 68 of the Ordinance shall, so far as applicable, have effect with respect to appeals against additional tax as if such appeals were against assessments to tax other than additional tax.</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Section 68(4) of the Ordinance places on the Appellant the burden of proof as follows: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591568" w:rsidP="00E269F5">
      <w:pPr>
        <w:pStyle w:val="ac"/>
        <w:widowControl/>
        <w:overflowPunct w:val="0"/>
        <w:autoSpaceDE w:val="0"/>
        <w:autoSpaceDN w:val="0"/>
        <w:ind w:leftChars="650" w:left="1560"/>
        <w:jc w:val="both"/>
        <w:rPr>
          <w:rFonts w:ascii="Times New Roman" w:hAnsi="Times New Roman" w:cs="Times New Roman"/>
          <w:i/>
          <w:szCs w:val="24"/>
        </w:rPr>
      </w:pPr>
      <w:r w:rsidRPr="002269E4">
        <w:rPr>
          <w:rFonts w:ascii="Times New Roman" w:hAnsi="Times New Roman" w:cs="Times New Roman"/>
          <w:i/>
          <w:szCs w:val="24"/>
        </w:rPr>
        <w:t>‘</w:t>
      </w:r>
      <w:r w:rsidR="00A40DF9" w:rsidRPr="002269E4">
        <w:rPr>
          <w:rFonts w:ascii="Times New Roman" w:hAnsi="Times New Roman" w:cs="Times New Roman"/>
          <w:i/>
          <w:szCs w:val="24"/>
        </w:rPr>
        <w:t>The onus of proving that the assessment appealed against is excessive or incorrect shall be on the appellant.</w:t>
      </w:r>
      <w:r w:rsidRPr="002269E4">
        <w:rPr>
          <w:rFonts w:ascii="Times New Roman" w:hAnsi="Times New Roman" w:cs="Times New Roman"/>
          <w:i/>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Although not strictly relevant to this appeal, section 80(2) of the Ordinance provides that it is an offence for any person who without reasonable excuse makes, or causes or allows to be made on the person’s behalf, an incorrect, and to be liable on conviction to a fine at level 3 and a further fine of treble the undercharged amount.</w:t>
      </w:r>
    </w:p>
    <w:p w:rsidR="00A40DF9" w:rsidRPr="002269E4" w:rsidRDefault="00A40DF9" w:rsidP="001C5608">
      <w:pPr>
        <w:widowControl/>
        <w:overflowPunct w:val="0"/>
        <w:autoSpaceDE w:val="0"/>
        <w:autoSpaceDN w:val="0"/>
        <w:jc w:val="both"/>
        <w:rPr>
          <w:rFonts w:ascii="Times New Roman" w:hAnsi="Times New Roman" w:cs="Times New Roman"/>
          <w:b/>
          <w:szCs w:val="24"/>
          <w:u w:val="single"/>
        </w:rPr>
      </w:pPr>
    </w:p>
    <w:p w:rsidR="00A40DF9" w:rsidRPr="002269E4" w:rsidRDefault="00A40DF9" w:rsidP="001C5608">
      <w:pPr>
        <w:widowControl/>
        <w:overflowPunct w:val="0"/>
        <w:autoSpaceDE w:val="0"/>
        <w:autoSpaceDN w:val="0"/>
        <w:jc w:val="both"/>
        <w:rPr>
          <w:rFonts w:ascii="Times New Roman" w:hAnsi="Times New Roman" w:cs="Times New Roman"/>
          <w:b/>
          <w:szCs w:val="24"/>
        </w:rPr>
      </w:pPr>
      <w:r w:rsidRPr="002269E4">
        <w:rPr>
          <w:rFonts w:ascii="Times New Roman" w:hAnsi="Times New Roman" w:cs="Times New Roman"/>
          <w:b/>
          <w:szCs w:val="24"/>
        </w:rPr>
        <w:t>The Appellant’s Grounds of Appeal and evidence</w:t>
      </w:r>
    </w:p>
    <w:p w:rsidR="002F2E4D" w:rsidRPr="002269E4" w:rsidRDefault="002F2E4D" w:rsidP="001C5608">
      <w:pPr>
        <w:widowControl/>
        <w:overflowPunct w:val="0"/>
        <w:autoSpaceDE w:val="0"/>
        <w:autoSpaceDN w:val="0"/>
        <w:jc w:val="both"/>
        <w:rPr>
          <w:rFonts w:ascii="Times New Roman" w:hAnsi="Times New Roman" w:cs="Times New Roman"/>
          <w:b/>
          <w:szCs w:val="24"/>
          <w:u w:val="single"/>
        </w:rPr>
      </w:pPr>
    </w:p>
    <w:p w:rsidR="00A40DF9" w:rsidRPr="002269E4" w:rsidRDefault="001239E1" w:rsidP="00E67E90">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In her notice of appeal </w:t>
      </w:r>
      <w:r w:rsidR="00A40DF9" w:rsidRPr="002269E4">
        <w:rPr>
          <w:rFonts w:ascii="Times New Roman" w:hAnsi="Times New Roman" w:cs="Times New Roman"/>
          <w:szCs w:val="24"/>
        </w:rPr>
        <w:t xml:space="preserve">dated </w:t>
      </w:r>
      <w:r w:rsidRPr="002269E4">
        <w:rPr>
          <w:rFonts w:ascii="Times New Roman" w:hAnsi="Times New Roman" w:cs="Times New Roman"/>
          <w:szCs w:val="24"/>
        </w:rPr>
        <w:t xml:space="preserve">14 April 2022, the Appellant </w:t>
      </w:r>
      <w:r w:rsidR="00A40DF9" w:rsidRPr="002269E4">
        <w:rPr>
          <w:rFonts w:ascii="Times New Roman" w:hAnsi="Times New Roman" w:cs="Times New Roman"/>
          <w:szCs w:val="24"/>
        </w:rPr>
        <w:t>put forth the following reason for understating the rental income in the 2019/20 Return:</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591568" w:rsidP="007C23A1">
      <w:pPr>
        <w:pStyle w:val="ac"/>
        <w:widowControl/>
        <w:overflowPunct w:val="0"/>
        <w:autoSpaceDE w:val="0"/>
        <w:autoSpaceDN w:val="0"/>
        <w:ind w:leftChars="650" w:left="1560"/>
        <w:jc w:val="both"/>
        <w:rPr>
          <w:rFonts w:ascii="Times New Roman" w:hAnsi="Times New Roman" w:cs="Times New Roman"/>
          <w:szCs w:val="24"/>
        </w:rPr>
      </w:pPr>
      <w:r w:rsidRPr="002269E4">
        <w:rPr>
          <w:rFonts w:ascii="Times New Roman" w:hAnsi="Times New Roman" w:cs="Times New Roman"/>
          <w:szCs w:val="24"/>
        </w:rPr>
        <w:t>‘</w:t>
      </w:r>
      <w:r w:rsidR="00A40DF9" w:rsidRPr="002269E4">
        <w:rPr>
          <w:rFonts w:ascii="Times New Roman" w:hAnsi="Times New Roman" w:cs="Times New Roman"/>
          <w:i/>
          <w:szCs w:val="24"/>
        </w:rPr>
        <w:t>It was an oversight on our side that when we filed the (2019/2020 Return), we stated just ONE month of the rent, where instead we should have multiplied the rent by 12 months with the updated rent amount. We apologize for the mistake.</w:t>
      </w:r>
      <w:r w:rsidRPr="002269E4">
        <w:rPr>
          <w:rFonts w:ascii="Times New Roman" w:hAnsi="Times New Roman" w:cs="Times New Roman"/>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Among other things, the Appellant also stated the following for understating the rental income in the 2019/20 Return:</w:t>
      </w:r>
    </w:p>
    <w:p w:rsidR="002F2E4D" w:rsidRPr="002269E4" w:rsidRDefault="002F2E4D" w:rsidP="002F2E4D">
      <w:pPr>
        <w:pStyle w:val="ac"/>
        <w:widowControl/>
        <w:overflowPunct w:val="0"/>
        <w:autoSpaceDE w:val="0"/>
        <w:autoSpaceDN w:val="0"/>
        <w:ind w:leftChars="0" w:left="360"/>
        <w:jc w:val="both"/>
        <w:rPr>
          <w:rFonts w:ascii="Times New Roman" w:hAnsi="Times New Roman" w:cs="Times New Roman"/>
          <w:szCs w:val="24"/>
        </w:rPr>
      </w:pPr>
    </w:p>
    <w:p w:rsidR="00A40DF9" w:rsidRPr="002269E4" w:rsidRDefault="00591568" w:rsidP="00D956FB">
      <w:pPr>
        <w:widowControl/>
        <w:overflowPunct w:val="0"/>
        <w:autoSpaceDE w:val="0"/>
        <w:autoSpaceDN w:val="0"/>
        <w:ind w:left="1560"/>
        <w:jc w:val="both"/>
        <w:rPr>
          <w:rFonts w:ascii="Times New Roman" w:hAnsi="Times New Roman" w:cs="Times New Roman"/>
          <w:szCs w:val="24"/>
        </w:rPr>
      </w:pPr>
      <w:r w:rsidRPr="002269E4">
        <w:rPr>
          <w:rFonts w:ascii="Times New Roman" w:hAnsi="Times New Roman" w:cs="Times New Roman"/>
          <w:szCs w:val="24"/>
        </w:rPr>
        <w:t>‘</w:t>
      </w:r>
      <w:r w:rsidR="00A40DF9" w:rsidRPr="002269E4">
        <w:rPr>
          <w:rFonts w:ascii="Times New Roman" w:hAnsi="Times New Roman" w:cs="Times New Roman"/>
          <w:i/>
          <w:szCs w:val="24"/>
        </w:rPr>
        <w:t xml:space="preserve">It was an oversight on our side that when we filed the (2019/2020 Return), we stated just ONE month of the rent, where instead we should have multiplied the rent by 12 months with the updated rent amount. We apologize for the mistake. Please understand that I have been working in the export business, my job is to export goods from China and </w:t>
      </w:r>
      <w:r w:rsidR="00DE5E58" w:rsidRPr="002269E4">
        <w:rPr>
          <w:rFonts w:ascii="Times New Roman" w:hAnsi="Times New Roman" w:cs="Times New Roman"/>
          <w:i/>
          <w:szCs w:val="24"/>
        </w:rPr>
        <w:t>Country E</w:t>
      </w:r>
      <w:r w:rsidR="00A40DF9" w:rsidRPr="002269E4">
        <w:rPr>
          <w:rFonts w:ascii="Times New Roman" w:hAnsi="Times New Roman" w:cs="Times New Roman"/>
          <w:i/>
          <w:szCs w:val="24"/>
        </w:rPr>
        <w:t xml:space="preserve"> to </w:t>
      </w:r>
      <w:r w:rsidR="00292225" w:rsidRPr="002269E4">
        <w:rPr>
          <w:rFonts w:ascii="Times New Roman" w:hAnsi="Times New Roman" w:cs="Times New Roman"/>
          <w:i/>
          <w:szCs w:val="24"/>
        </w:rPr>
        <w:t>Country F</w:t>
      </w:r>
      <w:r w:rsidR="00A40DF9" w:rsidRPr="002269E4">
        <w:rPr>
          <w:rFonts w:ascii="Times New Roman" w:hAnsi="Times New Roman" w:cs="Times New Roman"/>
          <w:i/>
          <w:szCs w:val="24"/>
        </w:rPr>
        <w:t xml:space="preserve"> (for retailer </w:t>
      </w:r>
      <w:r w:rsidR="00292225" w:rsidRPr="002269E4">
        <w:rPr>
          <w:rFonts w:ascii="Times New Roman" w:hAnsi="Times New Roman" w:cs="Times New Roman"/>
          <w:i/>
          <w:szCs w:val="24"/>
        </w:rPr>
        <w:t>Company G</w:t>
      </w:r>
      <w:r w:rsidR="00A40DF9" w:rsidRPr="002269E4">
        <w:rPr>
          <w:rFonts w:ascii="Times New Roman" w:hAnsi="Times New Roman" w:cs="Times New Roman"/>
          <w:i/>
          <w:szCs w:val="24"/>
        </w:rPr>
        <w:t xml:space="preserve">). When we filed the tax return, it was when Covid-19 </w:t>
      </w:r>
      <w:proofErr w:type="spellStart"/>
      <w:r w:rsidR="00A40DF9" w:rsidRPr="002269E4">
        <w:rPr>
          <w:rFonts w:ascii="Times New Roman" w:hAnsi="Times New Roman" w:cs="Times New Roman"/>
          <w:i/>
          <w:szCs w:val="24"/>
        </w:rPr>
        <w:t>outbroke</w:t>
      </w:r>
      <w:proofErr w:type="spellEnd"/>
      <w:r w:rsidR="00A40DF9" w:rsidRPr="002269E4">
        <w:rPr>
          <w:rFonts w:ascii="Times New Roman" w:hAnsi="Times New Roman" w:cs="Times New Roman"/>
          <w:i/>
          <w:szCs w:val="24"/>
        </w:rPr>
        <w:t xml:space="preserve"> in China, I was subjected to VERY HIGH stress and pressure because with the </w:t>
      </w:r>
      <w:proofErr w:type="spellStart"/>
      <w:r w:rsidR="00A40DF9" w:rsidRPr="002269E4">
        <w:rPr>
          <w:rFonts w:ascii="Times New Roman" w:hAnsi="Times New Roman" w:cs="Times New Roman"/>
          <w:i/>
          <w:szCs w:val="24"/>
        </w:rPr>
        <w:t>Covid</w:t>
      </w:r>
      <w:proofErr w:type="spellEnd"/>
      <w:r w:rsidR="00A40DF9" w:rsidRPr="002269E4">
        <w:rPr>
          <w:rFonts w:ascii="Times New Roman" w:hAnsi="Times New Roman" w:cs="Times New Roman"/>
          <w:i/>
          <w:szCs w:val="24"/>
        </w:rPr>
        <w:t xml:space="preserve"> in China, all factories could not resume work after the Chinese New Year in 2020. All orders were impacted. There were nights which we worked until morning working with factories for solutions. Hope you can understand the very tough situation causing a major overlook on our part. Hope you can help to waive the penalty. Also, the economic situation now in Hong Kong is even worse this year. It is extremely unpredictable and harsh for us in Hong Kong. Hope you can be very kind to consider waiving this penalty.</w:t>
      </w:r>
      <w:r w:rsidRPr="002269E4">
        <w:rPr>
          <w:rFonts w:ascii="Times New Roman" w:hAnsi="Times New Roman" w:cs="Times New Roman"/>
          <w:szCs w:val="24"/>
        </w:rPr>
        <w:t>’</w:t>
      </w:r>
    </w:p>
    <w:p w:rsidR="002F2E4D" w:rsidRPr="002269E4" w:rsidRDefault="002F2E4D" w:rsidP="002F2E4D">
      <w:pPr>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The Appel</w:t>
      </w:r>
      <w:r w:rsidR="00920AFE" w:rsidRPr="002269E4">
        <w:rPr>
          <w:rFonts w:ascii="Times New Roman" w:hAnsi="Times New Roman" w:cs="Times New Roman"/>
          <w:szCs w:val="24"/>
        </w:rPr>
        <w:t>lant testified at the hearing.</w:t>
      </w:r>
      <w:r w:rsidRPr="002269E4">
        <w:rPr>
          <w:rFonts w:ascii="Times New Roman" w:hAnsi="Times New Roman" w:cs="Times New Roman"/>
          <w:szCs w:val="24"/>
        </w:rPr>
        <w:t xml:space="preserve"> A summary of her testimonial is as follows: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54269">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The Appellant obtained a bachelor in fashion and clothing technology from a university in United States in 1996.  After graduation, the Appellant pursued studies for a Master of Business Administration by way of distance course from the Columbia Southern University in United States, and obtained the master degree in about 2000;</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54269">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The Appellant admitted that from her education background, she is knowledgeable in the field of business, finance and accounting;</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54269">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 xml:space="preserve">The Appellant had been working in the field of merchandising in her career.  At the material time of filing the 2019/20 Return, the Appellant was a senior category manager of an </w:t>
      </w:r>
      <w:r w:rsidR="00292225" w:rsidRPr="002269E4">
        <w:rPr>
          <w:rFonts w:ascii="Times New Roman" w:hAnsi="Times New Roman" w:cs="Times New Roman"/>
          <w:szCs w:val="24"/>
        </w:rPr>
        <w:t>Country F</w:t>
      </w:r>
      <w:r w:rsidRPr="002269E4">
        <w:rPr>
          <w:rFonts w:ascii="Times New Roman" w:hAnsi="Times New Roman" w:cs="Times New Roman"/>
          <w:szCs w:val="24"/>
        </w:rPr>
        <w:t xml:space="preserve"> merchandising multi-national company;</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54269">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 xml:space="preserve">Apart from the matters stated in her email dated 14 April 2022 about the Covid-19 situation and factories closing in the </w:t>
      </w:r>
      <w:proofErr w:type="spellStart"/>
      <w:r w:rsidR="00DE5E58" w:rsidRPr="002269E4">
        <w:rPr>
          <w:rFonts w:ascii="Times New Roman" w:hAnsi="Times New Roman" w:cs="Times New Roman"/>
          <w:szCs w:val="24"/>
        </w:rPr>
        <w:t>the</w:t>
      </w:r>
      <w:proofErr w:type="spellEnd"/>
      <w:r w:rsidR="00DE5E58" w:rsidRPr="002269E4">
        <w:rPr>
          <w:rFonts w:ascii="Times New Roman" w:hAnsi="Times New Roman" w:cs="Times New Roman"/>
          <w:szCs w:val="24"/>
        </w:rPr>
        <w:t xml:space="preserve"> Mainland</w:t>
      </w:r>
      <w:r w:rsidRPr="002269E4">
        <w:rPr>
          <w:rFonts w:ascii="Times New Roman" w:hAnsi="Times New Roman" w:cs="Times New Roman"/>
          <w:szCs w:val="24"/>
        </w:rPr>
        <w:t xml:space="preserve"> which caused her a lot of stress in her work, the Appellant also mentioned the lockdown in </w:t>
      </w:r>
      <w:r w:rsidR="00DE5E58" w:rsidRPr="002269E4">
        <w:rPr>
          <w:rFonts w:ascii="Times New Roman" w:hAnsi="Times New Roman" w:cs="Times New Roman"/>
          <w:szCs w:val="24"/>
        </w:rPr>
        <w:t>Country D</w:t>
      </w:r>
      <w:r w:rsidRPr="002269E4">
        <w:rPr>
          <w:rFonts w:ascii="Times New Roman" w:hAnsi="Times New Roman" w:cs="Times New Roman"/>
          <w:szCs w:val="24"/>
        </w:rPr>
        <w:t xml:space="preserve"> and </w:t>
      </w:r>
      <w:r w:rsidR="00DE5E58" w:rsidRPr="002269E4">
        <w:rPr>
          <w:rFonts w:ascii="Times New Roman" w:hAnsi="Times New Roman" w:cs="Times New Roman"/>
          <w:szCs w:val="24"/>
        </w:rPr>
        <w:t>Country E</w:t>
      </w:r>
      <w:r w:rsidRPr="002269E4">
        <w:rPr>
          <w:rFonts w:ascii="Times New Roman" w:hAnsi="Times New Roman" w:cs="Times New Roman"/>
          <w:szCs w:val="24"/>
        </w:rPr>
        <w:t xml:space="preserve"> in March 2020 causing shortage of supplies in her company’s business which caused her additional stress.  The Appellant also had to work overnight to deal with the workload and different issues coming from works.   Due to all these stress, she was not in a right state of mind and made a mistake in filling in the 2019/20 Return;</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54269">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 xml:space="preserve">The Appellant tried to explain the mistake by suggesting that the 2019/20 Return was confusing and she thought the input amount would be monthly rental instead of annual rental.  The Appellant also thought the monthly rental was HK$32,000 instead of the correct amount of HK$35,000.  The Appellant also said </w:t>
      </w:r>
      <w:proofErr w:type="spellStart"/>
      <w:r w:rsidR="00D404A6" w:rsidRPr="002269E4">
        <w:rPr>
          <w:rFonts w:ascii="Times New Roman" w:hAnsi="Times New Roman" w:cs="Times New Roman"/>
          <w:szCs w:val="24"/>
        </w:rPr>
        <w:t>Mr</w:t>
      </w:r>
      <w:proofErr w:type="spellEnd"/>
      <w:r w:rsidR="00D404A6" w:rsidRPr="002269E4">
        <w:rPr>
          <w:rFonts w:ascii="Times New Roman" w:hAnsi="Times New Roman" w:cs="Times New Roman"/>
          <w:szCs w:val="24"/>
        </w:rPr>
        <w:t xml:space="preserve"> B</w:t>
      </w:r>
      <w:r w:rsidRPr="002269E4">
        <w:rPr>
          <w:rFonts w:ascii="Times New Roman" w:hAnsi="Times New Roman" w:cs="Times New Roman"/>
          <w:szCs w:val="24"/>
        </w:rPr>
        <w:t xml:space="preserve"> was the person who was more familiar with the Property and tax reporting.  However, the Appellant also admitted that in filling the 2019/20 Return she did not consult </w:t>
      </w:r>
      <w:proofErr w:type="spellStart"/>
      <w:r w:rsidR="00D404A6" w:rsidRPr="002269E4">
        <w:rPr>
          <w:rFonts w:ascii="Times New Roman" w:hAnsi="Times New Roman" w:cs="Times New Roman"/>
          <w:szCs w:val="24"/>
        </w:rPr>
        <w:t>Mr</w:t>
      </w:r>
      <w:proofErr w:type="spellEnd"/>
      <w:r w:rsidR="00D404A6" w:rsidRPr="002269E4">
        <w:rPr>
          <w:rFonts w:ascii="Times New Roman" w:hAnsi="Times New Roman" w:cs="Times New Roman"/>
          <w:szCs w:val="24"/>
        </w:rPr>
        <w:t xml:space="preserve"> B</w:t>
      </w:r>
      <w:r w:rsidRPr="002269E4">
        <w:rPr>
          <w:rFonts w:ascii="Times New Roman" w:hAnsi="Times New Roman" w:cs="Times New Roman"/>
          <w:szCs w:val="24"/>
        </w:rPr>
        <w:t xml:space="preserve"> nor did she contact the Department for clarification;</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54269">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The Appellant also admitted that the Property was owned for some time and the 2019/20 Return was not the first time she filled in the property tax return concerning the Property;</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54269">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The Appellant acknowledged that the rental amount was indeed understated.  She apologized for the mistake and she asked for a lessor penalty (or it to be waived); and</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E54269">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The Appellant acknowledged that she had no difficulty in paying the additional tax of HK$4,700.</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After the Appellant has testified, the Appellant decided not to call </w:t>
      </w:r>
      <w:proofErr w:type="spellStart"/>
      <w:r w:rsidR="00D404A6" w:rsidRPr="002269E4">
        <w:rPr>
          <w:rFonts w:ascii="Times New Roman" w:hAnsi="Times New Roman" w:cs="Times New Roman"/>
          <w:szCs w:val="24"/>
        </w:rPr>
        <w:t>Mr</w:t>
      </w:r>
      <w:proofErr w:type="spellEnd"/>
      <w:r w:rsidR="00D404A6" w:rsidRPr="002269E4">
        <w:rPr>
          <w:rFonts w:ascii="Times New Roman" w:hAnsi="Times New Roman" w:cs="Times New Roman"/>
          <w:szCs w:val="24"/>
        </w:rPr>
        <w:t xml:space="preserve"> B</w:t>
      </w:r>
      <w:r w:rsidRPr="002269E4">
        <w:rPr>
          <w:rFonts w:ascii="Times New Roman" w:hAnsi="Times New Roman" w:cs="Times New Roman"/>
          <w:szCs w:val="24"/>
        </w:rPr>
        <w:t xml:space="preserve"> as witness (who was initially listed by the Appellant as a witness although no prior witness statement had been produced).</w:t>
      </w:r>
    </w:p>
    <w:p w:rsidR="00A40DF9" w:rsidRPr="002269E4" w:rsidRDefault="00A40DF9" w:rsidP="001C5608">
      <w:pPr>
        <w:widowControl/>
        <w:overflowPunct w:val="0"/>
        <w:autoSpaceDE w:val="0"/>
        <w:autoSpaceDN w:val="0"/>
        <w:jc w:val="both"/>
        <w:rPr>
          <w:rFonts w:ascii="Times New Roman" w:hAnsi="Times New Roman" w:cs="Times New Roman"/>
          <w:b/>
          <w:szCs w:val="24"/>
          <w:u w:val="single"/>
        </w:rPr>
      </w:pPr>
    </w:p>
    <w:p w:rsidR="00A40DF9" w:rsidRPr="002269E4" w:rsidRDefault="00A40DF9" w:rsidP="001C5608">
      <w:pPr>
        <w:widowControl/>
        <w:overflowPunct w:val="0"/>
        <w:autoSpaceDE w:val="0"/>
        <w:autoSpaceDN w:val="0"/>
        <w:jc w:val="both"/>
        <w:rPr>
          <w:rFonts w:ascii="Times New Roman" w:hAnsi="Times New Roman" w:cs="Times New Roman"/>
          <w:b/>
          <w:szCs w:val="24"/>
        </w:rPr>
      </w:pPr>
      <w:r w:rsidRPr="002269E4">
        <w:rPr>
          <w:rFonts w:ascii="Times New Roman" w:hAnsi="Times New Roman" w:cs="Times New Roman"/>
          <w:b/>
          <w:szCs w:val="24"/>
        </w:rPr>
        <w:t>Analysis</w:t>
      </w:r>
    </w:p>
    <w:p w:rsidR="002F2E4D" w:rsidRPr="002269E4" w:rsidRDefault="002F2E4D" w:rsidP="001C5608">
      <w:pPr>
        <w:widowControl/>
        <w:overflowPunct w:val="0"/>
        <w:autoSpaceDE w:val="0"/>
        <w:autoSpaceDN w:val="0"/>
        <w:jc w:val="both"/>
        <w:rPr>
          <w:rFonts w:ascii="Times New Roman" w:hAnsi="Times New Roman" w:cs="Times New Roman"/>
          <w:b/>
          <w:szCs w:val="24"/>
          <w:u w:val="single"/>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There is no dispute from the Appellant in this case:</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F23945">
      <w:pPr>
        <w:pStyle w:val="ac"/>
        <w:widowControl/>
        <w:numPr>
          <w:ilvl w:val="0"/>
          <w:numId w:val="15"/>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The Appellant admitted to have made an incorrect tax return in the 2019/20 Return by understating rental income of HK$388,000, representing 92.38% of the total income;</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A127CC">
      <w:pPr>
        <w:pStyle w:val="ac"/>
        <w:widowControl/>
        <w:numPr>
          <w:ilvl w:val="0"/>
          <w:numId w:val="15"/>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The amount of tax which would have been undercharged if the tax return was accepted as correct, was HK$46,560 or 94.64% of the correct amount of tax of HK$49,198;</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A127CC">
      <w:pPr>
        <w:pStyle w:val="ac"/>
        <w:widowControl/>
        <w:numPr>
          <w:ilvl w:val="0"/>
          <w:numId w:val="15"/>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 xml:space="preserve">The Appellant is liable under section 82A of the Ordinance to additional tax by way of penalty not exceeding treble the undercharged amount unless the incorrect return was made with reasonable excuse; </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A127CC">
      <w:pPr>
        <w:pStyle w:val="ac"/>
        <w:widowControl/>
        <w:numPr>
          <w:ilvl w:val="0"/>
          <w:numId w:val="15"/>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The amount of additional tax imposed was HK$4,700, equivalent to 10.09% of the tax that would have been undercharged;</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A127CC">
      <w:pPr>
        <w:pStyle w:val="ac"/>
        <w:widowControl/>
        <w:numPr>
          <w:ilvl w:val="0"/>
          <w:numId w:val="15"/>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The additional tax imposed (if the Appellant is liable) therefore does not exceed the amount for which the Appellant would be liable under Section 82A of the Ordinance.</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The issues in this appeal are therefore:</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F23D78">
      <w:pPr>
        <w:pStyle w:val="ac"/>
        <w:widowControl/>
        <w:numPr>
          <w:ilvl w:val="0"/>
          <w:numId w:val="16"/>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 xml:space="preserve">Whether the circumstances of the Appellant in making the incorrect return constitute </w:t>
      </w:r>
      <w:r w:rsidR="00591568" w:rsidRPr="002269E4">
        <w:rPr>
          <w:rFonts w:ascii="Times New Roman" w:hAnsi="Times New Roman" w:cs="Times New Roman"/>
          <w:szCs w:val="24"/>
        </w:rPr>
        <w:t>‘</w:t>
      </w:r>
      <w:r w:rsidRPr="002269E4">
        <w:rPr>
          <w:rFonts w:ascii="Times New Roman" w:hAnsi="Times New Roman" w:cs="Times New Roman"/>
          <w:szCs w:val="24"/>
        </w:rPr>
        <w:t>reasonable excuse</w:t>
      </w:r>
      <w:r w:rsidR="00591568" w:rsidRPr="002269E4">
        <w:rPr>
          <w:rFonts w:ascii="Times New Roman" w:hAnsi="Times New Roman" w:cs="Times New Roman"/>
          <w:szCs w:val="24"/>
        </w:rPr>
        <w:t>’</w:t>
      </w:r>
      <w:r w:rsidRPr="002269E4">
        <w:rPr>
          <w:rFonts w:ascii="Times New Roman" w:hAnsi="Times New Roman" w:cs="Times New Roman"/>
          <w:szCs w:val="24"/>
        </w:rPr>
        <w:t xml:space="preserve"> within the meaning of Section 82A(1) of the Ordinance; and</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F23D78">
      <w:pPr>
        <w:pStyle w:val="ac"/>
        <w:widowControl/>
        <w:numPr>
          <w:ilvl w:val="0"/>
          <w:numId w:val="16"/>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 xml:space="preserve">If the answer to issue (1) is negative, then whether, having regard to the circumstances, the amount of additional tax is excessive under Section </w:t>
      </w:r>
      <w:proofErr w:type="gramStart"/>
      <w:r w:rsidRPr="002269E4">
        <w:rPr>
          <w:rFonts w:ascii="Times New Roman" w:hAnsi="Times New Roman" w:cs="Times New Roman"/>
          <w:szCs w:val="24"/>
        </w:rPr>
        <w:t>82B(</w:t>
      </w:r>
      <w:proofErr w:type="gramEnd"/>
      <w:r w:rsidRPr="002269E4">
        <w:rPr>
          <w:rFonts w:ascii="Times New Roman" w:hAnsi="Times New Roman" w:cs="Times New Roman"/>
          <w:szCs w:val="24"/>
        </w:rPr>
        <w:t>2)(c) of the Ordinance.</w:t>
      </w:r>
    </w:p>
    <w:p w:rsidR="00A40DF9" w:rsidRPr="002269E4" w:rsidRDefault="00A40DF9" w:rsidP="001C5608">
      <w:pPr>
        <w:widowControl/>
        <w:overflowPunct w:val="0"/>
        <w:autoSpaceDE w:val="0"/>
        <w:autoSpaceDN w:val="0"/>
        <w:jc w:val="both"/>
        <w:rPr>
          <w:rFonts w:ascii="Times New Roman" w:hAnsi="Times New Roman" w:cs="Times New Roman"/>
          <w:i/>
          <w:szCs w:val="24"/>
        </w:rPr>
      </w:pPr>
    </w:p>
    <w:p w:rsidR="00A40DF9" w:rsidRPr="002269E4" w:rsidRDefault="00A40DF9" w:rsidP="001C5608">
      <w:pPr>
        <w:widowControl/>
        <w:overflowPunct w:val="0"/>
        <w:autoSpaceDE w:val="0"/>
        <w:autoSpaceDN w:val="0"/>
        <w:jc w:val="both"/>
        <w:rPr>
          <w:rFonts w:ascii="Times New Roman" w:hAnsi="Times New Roman" w:cs="Times New Roman"/>
          <w:b/>
          <w:i/>
          <w:szCs w:val="24"/>
        </w:rPr>
      </w:pPr>
      <w:r w:rsidRPr="002269E4">
        <w:rPr>
          <w:rFonts w:ascii="Times New Roman" w:hAnsi="Times New Roman" w:cs="Times New Roman"/>
          <w:b/>
          <w:i/>
          <w:szCs w:val="24"/>
        </w:rPr>
        <w:t>Issue 1 – Reasonable excuse</w:t>
      </w:r>
    </w:p>
    <w:p w:rsidR="002F2E4D" w:rsidRPr="002269E4" w:rsidRDefault="002F2E4D" w:rsidP="001C5608">
      <w:pPr>
        <w:widowControl/>
        <w:overflowPunct w:val="0"/>
        <w:autoSpaceDE w:val="0"/>
        <w:autoSpaceDN w:val="0"/>
        <w:jc w:val="both"/>
        <w:rPr>
          <w:rFonts w:ascii="Times New Roman" w:hAnsi="Times New Roman" w:cs="Times New Roman"/>
          <w:i/>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The concept of </w:t>
      </w:r>
      <w:r w:rsidR="00591568" w:rsidRPr="002269E4">
        <w:rPr>
          <w:rFonts w:ascii="Times New Roman" w:hAnsi="Times New Roman" w:cs="Times New Roman"/>
          <w:szCs w:val="24"/>
        </w:rPr>
        <w:t>‘</w:t>
      </w:r>
      <w:r w:rsidRPr="002269E4">
        <w:rPr>
          <w:rFonts w:ascii="Times New Roman" w:hAnsi="Times New Roman" w:cs="Times New Roman"/>
          <w:szCs w:val="24"/>
        </w:rPr>
        <w:t>reasonable excuse</w:t>
      </w:r>
      <w:r w:rsidR="00591568" w:rsidRPr="002269E4">
        <w:rPr>
          <w:rFonts w:ascii="Times New Roman" w:hAnsi="Times New Roman" w:cs="Times New Roman"/>
          <w:szCs w:val="24"/>
        </w:rPr>
        <w:t>’</w:t>
      </w:r>
      <w:r w:rsidRPr="002269E4">
        <w:rPr>
          <w:rFonts w:ascii="Times New Roman" w:hAnsi="Times New Roman" w:cs="Times New Roman"/>
          <w:szCs w:val="24"/>
        </w:rPr>
        <w:t xml:space="preserve"> within the meaning of Section </w:t>
      </w:r>
      <w:proofErr w:type="gramStart"/>
      <w:r w:rsidRPr="002269E4">
        <w:rPr>
          <w:rFonts w:ascii="Times New Roman" w:hAnsi="Times New Roman" w:cs="Times New Roman"/>
          <w:szCs w:val="24"/>
        </w:rPr>
        <w:t>82A(</w:t>
      </w:r>
      <w:proofErr w:type="gramEnd"/>
      <w:r w:rsidRPr="002269E4">
        <w:rPr>
          <w:rFonts w:ascii="Times New Roman" w:hAnsi="Times New Roman" w:cs="Times New Roman"/>
          <w:szCs w:val="24"/>
        </w:rPr>
        <w:t xml:space="preserve">1) of the Ordinance has been considered by </w:t>
      </w:r>
      <w:proofErr w:type="spellStart"/>
      <w:r w:rsidRPr="002269E4">
        <w:rPr>
          <w:rFonts w:ascii="Times New Roman" w:hAnsi="Times New Roman" w:cs="Times New Roman"/>
          <w:szCs w:val="24"/>
        </w:rPr>
        <w:t>Mr</w:t>
      </w:r>
      <w:proofErr w:type="spellEnd"/>
      <w:r w:rsidRPr="002269E4">
        <w:rPr>
          <w:rFonts w:ascii="Times New Roman" w:hAnsi="Times New Roman" w:cs="Times New Roman"/>
          <w:szCs w:val="24"/>
        </w:rPr>
        <w:t xml:space="preserve"> Justice Lam (as he then was) in </w:t>
      </w:r>
      <w:r w:rsidRPr="002269E4">
        <w:rPr>
          <w:rFonts w:ascii="Times New Roman" w:hAnsi="Times New Roman" w:cs="Times New Roman"/>
          <w:szCs w:val="24"/>
          <w:u w:val="single"/>
        </w:rPr>
        <w:t xml:space="preserve">Koo Ming </w:t>
      </w:r>
      <w:proofErr w:type="spellStart"/>
      <w:r w:rsidRPr="002269E4">
        <w:rPr>
          <w:rFonts w:ascii="Times New Roman" w:hAnsi="Times New Roman" w:cs="Times New Roman"/>
          <w:szCs w:val="24"/>
          <w:u w:val="single"/>
        </w:rPr>
        <w:t>Kown</w:t>
      </w:r>
      <w:proofErr w:type="spellEnd"/>
      <w:r w:rsidRPr="002269E4">
        <w:rPr>
          <w:rFonts w:ascii="Times New Roman" w:hAnsi="Times New Roman" w:cs="Times New Roman"/>
          <w:szCs w:val="24"/>
          <w:u w:val="single"/>
        </w:rPr>
        <w:t xml:space="preserve"> and Another v. The Commissioner of Inland Revenue</w:t>
      </w:r>
      <w:r w:rsidRPr="002269E4">
        <w:rPr>
          <w:rFonts w:ascii="Times New Roman" w:hAnsi="Times New Roman" w:cs="Times New Roman"/>
          <w:szCs w:val="24"/>
        </w:rPr>
        <w:t xml:space="preserve"> [2018] HKCFI 2593, at paragraphs 100 to 103:</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591568" w:rsidP="004A083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szCs w:val="24"/>
        </w:rPr>
        <w:t>‘</w:t>
      </w:r>
      <w:r w:rsidR="00A40DF9" w:rsidRPr="002269E4">
        <w:rPr>
          <w:rFonts w:ascii="Times New Roman" w:hAnsi="Times New Roman" w:cs="Times New Roman"/>
          <w:i/>
          <w:iCs/>
          <w:szCs w:val="24"/>
        </w:rPr>
        <w:t xml:space="preserve">100. </w:t>
      </w:r>
      <w:proofErr w:type="gramStart"/>
      <w:r w:rsidR="00A40DF9" w:rsidRPr="002269E4">
        <w:rPr>
          <w:rFonts w:ascii="Times New Roman" w:hAnsi="Times New Roman" w:cs="Times New Roman"/>
          <w:i/>
          <w:iCs/>
          <w:szCs w:val="24"/>
        </w:rPr>
        <w:t>Each</w:t>
      </w:r>
      <w:proofErr w:type="gramEnd"/>
      <w:r w:rsidR="00A40DF9" w:rsidRPr="002269E4">
        <w:rPr>
          <w:rFonts w:ascii="Times New Roman" w:hAnsi="Times New Roman" w:cs="Times New Roman"/>
          <w:i/>
          <w:iCs/>
          <w:szCs w:val="24"/>
        </w:rPr>
        <w:t xml:space="preserve"> of the questions raised … concerns the concept of </w:t>
      </w:r>
      <w:r w:rsidRPr="002269E4">
        <w:rPr>
          <w:rFonts w:ascii="Times New Roman" w:hAnsi="Times New Roman" w:cs="Times New Roman"/>
          <w:i/>
          <w:iCs/>
          <w:szCs w:val="24"/>
        </w:rPr>
        <w:t>‘</w:t>
      </w:r>
      <w:r w:rsidR="00A40DF9" w:rsidRPr="002269E4">
        <w:rPr>
          <w:rFonts w:ascii="Times New Roman" w:hAnsi="Times New Roman" w:cs="Times New Roman"/>
          <w:i/>
          <w:iCs/>
          <w:szCs w:val="24"/>
        </w:rPr>
        <w:t>reasonable excuse</w:t>
      </w:r>
      <w:r w:rsidRPr="002269E4">
        <w:rPr>
          <w:rFonts w:ascii="Times New Roman" w:hAnsi="Times New Roman" w:cs="Times New Roman"/>
          <w:i/>
          <w:iCs/>
          <w:szCs w:val="24"/>
        </w:rPr>
        <w:t>’</w:t>
      </w:r>
      <w:r w:rsidR="00A40DF9" w:rsidRPr="002269E4">
        <w:rPr>
          <w:rFonts w:ascii="Times New Roman" w:hAnsi="Times New Roman" w:cs="Times New Roman"/>
          <w:i/>
          <w:iCs/>
          <w:szCs w:val="24"/>
        </w:rPr>
        <w:t xml:space="preserve"> within the meaning of s 82A (1). This is a familiar expression in the law, used in various statutes to create a </w:t>
      </w:r>
      <w:proofErr w:type="spellStart"/>
      <w:r w:rsidR="00A40DF9" w:rsidRPr="002269E4">
        <w:rPr>
          <w:rFonts w:ascii="Times New Roman" w:hAnsi="Times New Roman" w:cs="Times New Roman"/>
          <w:i/>
          <w:iCs/>
          <w:szCs w:val="24"/>
        </w:rPr>
        <w:t>defence</w:t>
      </w:r>
      <w:proofErr w:type="spellEnd"/>
      <w:r w:rsidR="00A40DF9" w:rsidRPr="002269E4">
        <w:rPr>
          <w:rFonts w:ascii="Times New Roman" w:hAnsi="Times New Roman" w:cs="Times New Roman"/>
          <w:i/>
          <w:iCs/>
          <w:szCs w:val="24"/>
        </w:rPr>
        <w:t xml:space="preserve"> exonerating a person who would otherwise be subject to civil or criminal liability.</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A40DF9" w:rsidP="00D7738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101. In HKSAR v Ho Loy (2016) 19 HKCFAR 110, which concerned the offence under regulation 61(2) of contraven</w:t>
      </w:r>
      <w:r w:rsidR="00DE1013" w:rsidRPr="002269E4">
        <w:rPr>
          <w:rFonts w:ascii="Times New Roman" w:hAnsi="Times New Roman" w:cs="Times New Roman"/>
          <w:i/>
          <w:iCs/>
          <w:szCs w:val="24"/>
        </w:rPr>
        <w:t xml:space="preserve">ing without  reasonable excuse </w:t>
      </w:r>
      <w:r w:rsidRPr="002269E4">
        <w:rPr>
          <w:rFonts w:ascii="Times New Roman" w:hAnsi="Times New Roman" w:cs="Times New Roman"/>
          <w:i/>
          <w:iCs/>
          <w:szCs w:val="24"/>
        </w:rPr>
        <w:t>any relevant provision of the Road Traffic (Traffic Control) Regulations (</w:t>
      </w:r>
      <w:proofErr w:type="spellStart"/>
      <w:r w:rsidRPr="002269E4">
        <w:rPr>
          <w:rFonts w:ascii="Times New Roman" w:hAnsi="Times New Roman" w:cs="Times New Roman"/>
          <w:i/>
          <w:iCs/>
          <w:szCs w:val="24"/>
        </w:rPr>
        <w:t>Cap</w:t>
      </w:r>
      <w:r w:rsidR="00DC4DA3" w:rsidRPr="002269E4">
        <w:rPr>
          <w:rFonts w:ascii="Times New Roman" w:hAnsi="Times New Roman" w:cs="Times New Roman"/>
          <w:i/>
          <w:iCs/>
          <w:szCs w:val="24"/>
        </w:rPr>
        <w:t>ter</w:t>
      </w:r>
      <w:proofErr w:type="spellEnd"/>
      <w:r w:rsidRPr="002269E4">
        <w:rPr>
          <w:rFonts w:ascii="Times New Roman" w:hAnsi="Times New Roman" w:cs="Times New Roman"/>
          <w:i/>
          <w:iCs/>
          <w:szCs w:val="24"/>
        </w:rPr>
        <w:t xml:space="preserve"> 374G), </w:t>
      </w:r>
      <w:proofErr w:type="spellStart"/>
      <w:r w:rsidRPr="002269E4">
        <w:rPr>
          <w:rFonts w:ascii="Times New Roman" w:hAnsi="Times New Roman" w:cs="Times New Roman"/>
          <w:i/>
          <w:iCs/>
          <w:szCs w:val="24"/>
        </w:rPr>
        <w:t>Fok</w:t>
      </w:r>
      <w:proofErr w:type="spellEnd"/>
      <w:r w:rsidRPr="002269E4">
        <w:rPr>
          <w:rFonts w:ascii="Times New Roman" w:hAnsi="Times New Roman" w:cs="Times New Roman"/>
          <w:i/>
          <w:iCs/>
          <w:szCs w:val="24"/>
        </w:rPr>
        <w:t xml:space="preserve"> PJ stated (footnotes omitted):</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591568" w:rsidP="00DD48D1">
      <w:pPr>
        <w:pStyle w:val="ac"/>
        <w:widowControl/>
        <w:overflowPunct w:val="0"/>
        <w:autoSpaceDE w:val="0"/>
        <w:autoSpaceDN w:val="0"/>
        <w:ind w:leftChars="945" w:left="2268"/>
        <w:jc w:val="both"/>
        <w:rPr>
          <w:rFonts w:ascii="Times New Roman" w:hAnsi="Times New Roman" w:cs="Times New Roman"/>
          <w:i/>
          <w:iCs/>
          <w:szCs w:val="24"/>
        </w:rPr>
      </w:pPr>
      <w:proofErr w:type="gramStart"/>
      <w:r w:rsidRPr="002269E4">
        <w:rPr>
          <w:rFonts w:ascii="Times New Roman" w:hAnsi="Times New Roman" w:cs="Times New Roman"/>
          <w:i/>
          <w:iCs/>
          <w:szCs w:val="24"/>
        </w:rPr>
        <w:t>‘</w:t>
      </w:r>
      <w:r w:rsidR="00A40DF9" w:rsidRPr="002269E4">
        <w:rPr>
          <w:rFonts w:ascii="Times New Roman" w:hAnsi="Times New Roman" w:cs="Times New Roman"/>
          <w:i/>
          <w:iCs/>
          <w:szCs w:val="24"/>
        </w:rPr>
        <w:t xml:space="preserve"> 36</w:t>
      </w:r>
      <w:proofErr w:type="gramEnd"/>
      <w:r w:rsidR="00A40DF9" w:rsidRPr="002269E4">
        <w:rPr>
          <w:rFonts w:ascii="Times New Roman" w:hAnsi="Times New Roman" w:cs="Times New Roman"/>
          <w:i/>
          <w:iCs/>
          <w:szCs w:val="24"/>
        </w:rPr>
        <w:t xml:space="preserve">. The expression ‘without reasonable excuse’ occurs in various statutory contexts. A consideration of the </w:t>
      </w:r>
      <w:proofErr w:type="spellStart"/>
      <w:r w:rsidR="00A40DF9" w:rsidRPr="002269E4">
        <w:rPr>
          <w:rFonts w:ascii="Times New Roman" w:hAnsi="Times New Roman" w:cs="Times New Roman"/>
          <w:i/>
          <w:iCs/>
          <w:szCs w:val="24"/>
        </w:rPr>
        <w:t>defence</w:t>
      </w:r>
      <w:proofErr w:type="spellEnd"/>
      <w:r w:rsidR="00A40DF9" w:rsidRPr="002269E4">
        <w:rPr>
          <w:rFonts w:ascii="Times New Roman" w:hAnsi="Times New Roman" w:cs="Times New Roman"/>
          <w:i/>
          <w:iCs/>
          <w:szCs w:val="24"/>
        </w:rPr>
        <w:t xml:space="preserve"> involves looking to three matters. First, self‑evidently, the matters said to constitute reasonable excuse must be identified. Secondly, the court will then examine whether the excuse is genuine, since the reason asserted for departing from a relevant prescription must be the real reason for doing so. Thirdly, the court must make an assessment of whether that excuse is reasonable, which the court will do on an objective standard depending on the particular facts of the case.</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A40DF9" w:rsidP="00DD48D1">
      <w:pPr>
        <w:pStyle w:val="ac"/>
        <w:widowControl/>
        <w:overflowPunct w:val="0"/>
        <w:autoSpaceDE w:val="0"/>
        <w:autoSpaceDN w:val="0"/>
        <w:ind w:leftChars="945" w:left="2268"/>
        <w:jc w:val="both"/>
        <w:rPr>
          <w:rFonts w:ascii="Times New Roman" w:hAnsi="Times New Roman" w:cs="Times New Roman"/>
          <w:i/>
          <w:iCs/>
          <w:szCs w:val="24"/>
        </w:rPr>
      </w:pPr>
      <w:r w:rsidRPr="002269E4">
        <w:rPr>
          <w:rFonts w:ascii="Times New Roman" w:hAnsi="Times New Roman" w:cs="Times New Roman"/>
          <w:i/>
          <w:iCs/>
          <w:szCs w:val="24"/>
        </w:rPr>
        <w:t xml:space="preserve">37. In determining whether an excuse is reasonable or not, it will be relevant to have regard to the context in which the </w:t>
      </w:r>
      <w:proofErr w:type="spellStart"/>
      <w:r w:rsidRPr="002269E4">
        <w:rPr>
          <w:rFonts w:ascii="Times New Roman" w:hAnsi="Times New Roman" w:cs="Times New Roman"/>
          <w:i/>
          <w:iCs/>
          <w:szCs w:val="24"/>
        </w:rPr>
        <w:t>defence</w:t>
      </w:r>
      <w:proofErr w:type="spellEnd"/>
      <w:r w:rsidRPr="002269E4">
        <w:rPr>
          <w:rFonts w:ascii="Times New Roman" w:hAnsi="Times New Roman" w:cs="Times New Roman"/>
          <w:i/>
          <w:iCs/>
          <w:szCs w:val="24"/>
        </w:rPr>
        <w:t xml:space="preserve"> of reasonable excuse arises, since that context may suggest either a narrow or wide range of circumstances that might constitute a reasonable excuse. For example, the range of circumstances in which there is a reasonable excuse for failing to provide a sample of blood or urine in the context of the laws against driving under the influence of drink has been held to be narrow, since the circumstances giving rise to the offence are always essentially similar so that what might be a reasonable excuse for committing it can be envisaged. In other contexts, the </w:t>
      </w:r>
      <w:proofErr w:type="spellStart"/>
      <w:r w:rsidRPr="002269E4">
        <w:rPr>
          <w:rFonts w:ascii="Times New Roman" w:hAnsi="Times New Roman" w:cs="Times New Roman"/>
          <w:i/>
          <w:iCs/>
          <w:szCs w:val="24"/>
        </w:rPr>
        <w:t>defence</w:t>
      </w:r>
      <w:proofErr w:type="spellEnd"/>
      <w:r w:rsidRPr="002269E4">
        <w:rPr>
          <w:rFonts w:ascii="Times New Roman" w:hAnsi="Times New Roman" w:cs="Times New Roman"/>
          <w:i/>
          <w:iCs/>
          <w:szCs w:val="24"/>
        </w:rPr>
        <w:t xml:space="preserve"> may be construed more widely and the question of whether or not an excuse is reasonable will be determined in the light of the particular facts and circumstances of the individual case.</w:t>
      </w:r>
      <w:r w:rsidR="00591568" w:rsidRPr="002269E4">
        <w:rPr>
          <w:rFonts w:ascii="Times New Roman" w:hAnsi="Times New Roman" w:cs="Times New Roman"/>
          <w:i/>
          <w:iCs/>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A40DF9" w:rsidP="00D7738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102. In a similar vein to what </w:t>
      </w:r>
      <w:proofErr w:type="spellStart"/>
      <w:r w:rsidRPr="002269E4">
        <w:rPr>
          <w:rFonts w:ascii="Times New Roman" w:hAnsi="Times New Roman" w:cs="Times New Roman"/>
          <w:i/>
          <w:iCs/>
          <w:szCs w:val="24"/>
        </w:rPr>
        <w:t>Fok</w:t>
      </w:r>
      <w:proofErr w:type="spellEnd"/>
      <w:r w:rsidRPr="002269E4">
        <w:rPr>
          <w:rFonts w:ascii="Times New Roman" w:hAnsi="Times New Roman" w:cs="Times New Roman"/>
          <w:i/>
          <w:iCs/>
          <w:szCs w:val="24"/>
        </w:rPr>
        <w:t xml:space="preserve"> PJ said in §37 of Ho Loy, the majority of the High Court of </w:t>
      </w:r>
      <w:r w:rsidR="00292225" w:rsidRPr="002269E4">
        <w:rPr>
          <w:rFonts w:ascii="Times New Roman" w:hAnsi="Times New Roman" w:cs="Times New Roman"/>
          <w:i/>
          <w:iCs/>
          <w:szCs w:val="24"/>
        </w:rPr>
        <w:t>Country F</w:t>
      </w:r>
      <w:r w:rsidRPr="002269E4">
        <w:rPr>
          <w:rFonts w:ascii="Times New Roman" w:hAnsi="Times New Roman" w:cs="Times New Roman"/>
          <w:i/>
          <w:iCs/>
          <w:szCs w:val="24"/>
        </w:rPr>
        <w:t xml:space="preserve"> in </w:t>
      </w:r>
      <w:proofErr w:type="spellStart"/>
      <w:r w:rsidRPr="002269E4">
        <w:rPr>
          <w:rFonts w:ascii="Times New Roman" w:hAnsi="Times New Roman" w:cs="Times New Roman"/>
          <w:i/>
          <w:iCs/>
          <w:szCs w:val="24"/>
        </w:rPr>
        <w:t>Taikato</w:t>
      </w:r>
      <w:proofErr w:type="spellEnd"/>
      <w:r w:rsidRPr="002269E4">
        <w:rPr>
          <w:rFonts w:ascii="Times New Roman" w:hAnsi="Times New Roman" w:cs="Times New Roman"/>
          <w:i/>
          <w:iCs/>
          <w:szCs w:val="24"/>
        </w:rPr>
        <w:t xml:space="preserve"> v The Queen (1996) 186 CLR 454 stated (at p 464) that </w:t>
      </w:r>
      <w:r w:rsidR="00591568" w:rsidRPr="002269E4">
        <w:rPr>
          <w:rFonts w:ascii="Times New Roman" w:hAnsi="Times New Roman" w:cs="Times New Roman"/>
          <w:i/>
          <w:iCs/>
          <w:szCs w:val="24"/>
        </w:rPr>
        <w:t>‘</w:t>
      </w:r>
      <w:r w:rsidRPr="002269E4">
        <w:rPr>
          <w:rFonts w:ascii="Times New Roman" w:hAnsi="Times New Roman" w:cs="Times New Roman"/>
          <w:i/>
          <w:iCs/>
          <w:szCs w:val="24"/>
        </w:rPr>
        <w:t xml:space="preserve">what is a reasonable excuse depends not only on the circumstances of the individual case but also on the purpose of the provision to which the </w:t>
      </w:r>
      <w:proofErr w:type="spellStart"/>
      <w:r w:rsidRPr="002269E4">
        <w:rPr>
          <w:rFonts w:ascii="Times New Roman" w:hAnsi="Times New Roman" w:cs="Times New Roman"/>
          <w:i/>
          <w:iCs/>
          <w:szCs w:val="24"/>
        </w:rPr>
        <w:t>defence</w:t>
      </w:r>
      <w:proofErr w:type="spellEnd"/>
      <w:r w:rsidRPr="002269E4">
        <w:rPr>
          <w:rFonts w:ascii="Times New Roman" w:hAnsi="Times New Roman" w:cs="Times New Roman"/>
          <w:i/>
          <w:iCs/>
          <w:szCs w:val="24"/>
        </w:rPr>
        <w:t xml:space="preserve"> of ‘reasonable excuse’ is an exception</w:t>
      </w:r>
      <w:r w:rsidR="00591568" w:rsidRPr="002269E4">
        <w:rPr>
          <w:rFonts w:ascii="Times New Roman" w:hAnsi="Times New Roman" w:cs="Times New Roman"/>
          <w:i/>
          <w:iCs/>
          <w:szCs w:val="24"/>
        </w:rPr>
        <w:t>’</w:t>
      </w:r>
      <w:r w:rsidRPr="002269E4">
        <w:rPr>
          <w:rFonts w:ascii="Times New Roman" w:hAnsi="Times New Roman" w:cs="Times New Roman"/>
          <w:i/>
          <w:iCs/>
          <w:szCs w:val="24"/>
        </w:rPr>
        <w:t xml:space="preserve">. This statement was adopted by Tang PJ in Secretary for Justice </w:t>
      </w:r>
      <w:proofErr w:type="gramStart"/>
      <w:r w:rsidRPr="002269E4">
        <w:rPr>
          <w:rFonts w:ascii="Times New Roman" w:hAnsi="Times New Roman" w:cs="Times New Roman"/>
          <w:i/>
          <w:iCs/>
          <w:szCs w:val="24"/>
        </w:rPr>
        <w:t>v</w:t>
      </w:r>
      <w:proofErr w:type="gramEnd"/>
      <w:r w:rsidRPr="002269E4">
        <w:rPr>
          <w:rFonts w:ascii="Times New Roman" w:hAnsi="Times New Roman" w:cs="Times New Roman"/>
          <w:i/>
          <w:iCs/>
          <w:szCs w:val="24"/>
        </w:rPr>
        <w:t xml:space="preserve"> Chan Chi Wan Stephen (2017) 20 HKCFAR 98 at §96, albeit his Lordship was the only member of the court who considered that the question of </w:t>
      </w:r>
      <w:r w:rsidR="00591568" w:rsidRPr="002269E4">
        <w:rPr>
          <w:rFonts w:ascii="Times New Roman" w:hAnsi="Times New Roman" w:cs="Times New Roman"/>
          <w:i/>
          <w:iCs/>
          <w:szCs w:val="24"/>
        </w:rPr>
        <w:t>‘</w:t>
      </w:r>
      <w:r w:rsidRPr="002269E4">
        <w:rPr>
          <w:rFonts w:ascii="Times New Roman" w:hAnsi="Times New Roman" w:cs="Times New Roman"/>
          <w:i/>
          <w:iCs/>
          <w:szCs w:val="24"/>
        </w:rPr>
        <w:t>reasonable excuse</w:t>
      </w:r>
      <w:r w:rsidR="00591568" w:rsidRPr="002269E4">
        <w:rPr>
          <w:rFonts w:ascii="Times New Roman" w:hAnsi="Times New Roman" w:cs="Times New Roman"/>
          <w:i/>
          <w:iCs/>
          <w:szCs w:val="24"/>
        </w:rPr>
        <w:t>’</w:t>
      </w:r>
      <w:r w:rsidRPr="002269E4">
        <w:rPr>
          <w:rFonts w:ascii="Times New Roman" w:hAnsi="Times New Roman" w:cs="Times New Roman"/>
          <w:i/>
          <w:iCs/>
          <w:szCs w:val="24"/>
        </w:rPr>
        <w:t xml:space="preserve"> was engaged in that case.</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A40DF9" w:rsidP="00D7738F">
      <w:pPr>
        <w:pStyle w:val="ac"/>
        <w:widowControl/>
        <w:overflowPunct w:val="0"/>
        <w:autoSpaceDE w:val="0"/>
        <w:autoSpaceDN w:val="0"/>
        <w:ind w:leftChars="650" w:left="1560"/>
        <w:jc w:val="both"/>
        <w:rPr>
          <w:rFonts w:ascii="Times New Roman" w:hAnsi="Times New Roman" w:cs="Times New Roman"/>
          <w:szCs w:val="24"/>
        </w:rPr>
      </w:pPr>
      <w:r w:rsidRPr="002269E4">
        <w:rPr>
          <w:rFonts w:ascii="Times New Roman" w:hAnsi="Times New Roman" w:cs="Times New Roman"/>
          <w:i/>
          <w:iCs/>
          <w:szCs w:val="24"/>
        </w:rPr>
        <w:t xml:space="preserve">103. In approaching the </w:t>
      </w:r>
      <w:proofErr w:type="spellStart"/>
      <w:r w:rsidRPr="002269E4">
        <w:rPr>
          <w:rFonts w:ascii="Times New Roman" w:hAnsi="Times New Roman" w:cs="Times New Roman"/>
          <w:i/>
          <w:iCs/>
          <w:szCs w:val="24"/>
        </w:rPr>
        <w:t>defence</w:t>
      </w:r>
      <w:proofErr w:type="spellEnd"/>
      <w:r w:rsidRPr="002269E4">
        <w:rPr>
          <w:rFonts w:ascii="Times New Roman" w:hAnsi="Times New Roman" w:cs="Times New Roman"/>
          <w:i/>
          <w:iCs/>
          <w:szCs w:val="24"/>
        </w:rPr>
        <w:t xml:space="preserve"> of reasonable excuse in an appeal from the Board under the Ordinance, it is important to bear in mind that whether or not a reasonable excuse has been made out is a question of fact in each case, to be decided by the Board and not by the court: Frank </w:t>
      </w:r>
      <w:proofErr w:type="spellStart"/>
      <w:r w:rsidRPr="002269E4">
        <w:rPr>
          <w:rFonts w:ascii="Times New Roman" w:hAnsi="Times New Roman" w:cs="Times New Roman"/>
          <w:i/>
          <w:iCs/>
          <w:szCs w:val="24"/>
        </w:rPr>
        <w:t>Galliers</w:t>
      </w:r>
      <w:proofErr w:type="spellEnd"/>
      <w:r w:rsidRPr="002269E4">
        <w:rPr>
          <w:rFonts w:ascii="Times New Roman" w:hAnsi="Times New Roman" w:cs="Times New Roman"/>
          <w:i/>
          <w:iCs/>
          <w:szCs w:val="24"/>
        </w:rPr>
        <w:t xml:space="preserve"> Ltd v Customs and Excise Commissioners [1993] STC 284, 292b. In another context it has been said to be </w:t>
      </w:r>
      <w:r w:rsidR="00591568" w:rsidRPr="002269E4">
        <w:rPr>
          <w:rFonts w:ascii="Times New Roman" w:hAnsi="Times New Roman" w:cs="Times New Roman"/>
          <w:i/>
          <w:iCs/>
          <w:szCs w:val="24"/>
        </w:rPr>
        <w:t>‘</w:t>
      </w:r>
      <w:r w:rsidRPr="002269E4">
        <w:rPr>
          <w:rFonts w:ascii="Times New Roman" w:hAnsi="Times New Roman" w:cs="Times New Roman"/>
          <w:i/>
          <w:iCs/>
          <w:szCs w:val="24"/>
        </w:rPr>
        <w:t>par excellence a matter for the jury</w:t>
      </w:r>
      <w:r w:rsidR="00591568" w:rsidRPr="002269E4">
        <w:rPr>
          <w:rFonts w:ascii="Times New Roman" w:hAnsi="Times New Roman" w:cs="Times New Roman"/>
          <w:i/>
          <w:iCs/>
          <w:szCs w:val="24"/>
        </w:rPr>
        <w:t>’</w:t>
      </w:r>
      <w:r w:rsidRPr="002269E4">
        <w:rPr>
          <w:rFonts w:ascii="Times New Roman" w:hAnsi="Times New Roman" w:cs="Times New Roman"/>
          <w:i/>
          <w:iCs/>
          <w:szCs w:val="24"/>
        </w:rPr>
        <w:t xml:space="preserve">: R v </w:t>
      </w:r>
      <w:proofErr w:type="spellStart"/>
      <w:r w:rsidRPr="002269E4">
        <w:rPr>
          <w:rFonts w:ascii="Times New Roman" w:hAnsi="Times New Roman" w:cs="Times New Roman"/>
          <w:i/>
          <w:iCs/>
          <w:szCs w:val="24"/>
        </w:rPr>
        <w:t>Unah</w:t>
      </w:r>
      <w:proofErr w:type="spellEnd"/>
      <w:r w:rsidRPr="002269E4">
        <w:rPr>
          <w:rFonts w:ascii="Times New Roman" w:hAnsi="Times New Roman" w:cs="Times New Roman"/>
          <w:i/>
          <w:iCs/>
          <w:szCs w:val="24"/>
        </w:rPr>
        <w:t xml:space="preserve"> [2012] 1 WLR 545, §6. It is well established that the scope for impugning a finding of fact such as this on an appeal confined to questions of law is very limited: see </w:t>
      </w:r>
      <w:proofErr w:type="spellStart"/>
      <w:r w:rsidRPr="002269E4">
        <w:rPr>
          <w:rFonts w:ascii="Times New Roman" w:hAnsi="Times New Roman" w:cs="Times New Roman"/>
          <w:i/>
          <w:iCs/>
          <w:szCs w:val="24"/>
        </w:rPr>
        <w:t>eg</w:t>
      </w:r>
      <w:proofErr w:type="spellEnd"/>
      <w:r w:rsidRPr="002269E4">
        <w:rPr>
          <w:rFonts w:ascii="Times New Roman" w:hAnsi="Times New Roman" w:cs="Times New Roman"/>
          <w:i/>
          <w:iCs/>
          <w:szCs w:val="24"/>
        </w:rPr>
        <w:t xml:space="preserve"> </w:t>
      </w:r>
      <w:proofErr w:type="spellStart"/>
      <w:r w:rsidRPr="002269E4">
        <w:rPr>
          <w:rFonts w:ascii="Times New Roman" w:hAnsi="Times New Roman" w:cs="Times New Roman"/>
          <w:i/>
          <w:iCs/>
          <w:szCs w:val="24"/>
        </w:rPr>
        <w:t>Kwong</w:t>
      </w:r>
      <w:proofErr w:type="spellEnd"/>
      <w:r w:rsidRPr="002269E4">
        <w:rPr>
          <w:rFonts w:ascii="Times New Roman" w:hAnsi="Times New Roman" w:cs="Times New Roman"/>
          <w:i/>
          <w:iCs/>
          <w:szCs w:val="24"/>
        </w:rPr>
        <w:t xml:space="preserve"> Mile Services Ltd (in members’ voluntary winding‑up) v Commissioner of Inland Revenue (2004) 7 HKCFAR 275 at §§31‑37.</w:t>
      </w:r>
      <w:r w:rsidR="00591568" w:rsidRPr="002269E4">
        <w:rPr>
          <w:rFonts w:ascii="Times New Roman" w:hAnsi="Times New Roman" w:cs="Times New Roman"/>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The gist of the history of the enactment of Sections 82A and 82B was also recited at paragraphs 22 and 23 of </w:t>
      </w:r>
      <w:r w:rsidRPr="002269E4">
        <w:rPr>
          <w:rFonts w:ascii="Times New Roman" w:hAnsi="Times New Roman" w:cs="Times New Roman"/>
          <w:szCs w:val="24"/>
          <w:u w:val="single"/>
        </w:rPr>
        <w:t xml:space="preserve">Koo Ming </w:t>
      </w:r>
      <w:proofErr w:type="spellStart"/>
      <w:r w:rsidRPr="002269E4">
        <w:rPr>
          <w:rFonts w:ascii="Times New Roman" w:hAnsi="Times New Roman" w:cs="Times New Roman"/>
          <w:szCs w:val="24"/>
          <w:u w:val="single"/>
        </w:rPr>
        <w:t>Kown</w:t>
      </w:r>
      <w:proofErr w:type="spellEnd"/>
      <w:r w:rsidRPr="002269E4">
        <w:rPr>
          <w:rFonts w:ascii="Times New Roman" w:hAnsi="Times New Roman" w:cs="Times New Roman"/>
          <w:szCs w:val="24"/>
          <w:u w:val="single"/>
        </w:rPr>
        <w:t xml:space="preserve"> and Another v. The Commissioner of Inland Revenue</w:t>
      </w:r>
      <w:r w:rsidRPr="002269E4">
        <w:rPr>
          <w:rFonts w:ascii="Times New Roman" w:hAnsi="Times New Roman" w:cs="Times New Roman"/>
          <w:szCs w:val="24"/>
        </w:rPr>
        <w:t xml:space="preserve"> [2018] HKCFI 2593, as follows:</w:t>
      </w:r>
    </w:p>
    <w:p w:rsidR="002F2E4D" w:rsidRPr="002269E4" w:rsidRDefault="002F2E4D" w:rsidP="002F2E4D">
      <w:pPr>
        <w:pStyle w:val="ac"/>
        <w:widowControl/>
        <w:overflowPunct w:val="0"/>
        <w:autoSpaceDE w:val="0"/>
        <w:autoSpaceDN w:val="0"/>
        <w:ind w:leftChars="0" w:left="360"/>
        <w:jc w:val="both"/>
        <w:rPr>
          <w:rFonts w:ascii="Times New Roman" w:hAnsi="Times New Roman" w:cs="Times New Roman"/>
          <w:szCs w:val="24"/>
        </w:rPr>
      </w:pPr>
    </w:p>
    <w:p w:rsidR="00A40DF9" w:rsidRPr="002269E4" w:rsidRDefault="00591568" w:rsidP="00D7738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szCs w:val="24"/>
        </w:rPr>
        <w:t>‘</w:t>
      </w:r>
      <w:r w:rsidR="00A40DF9" w:rsidRPr="002269E4">
        <w:rPr>
          <w:rFonts w:ascii="Times New Roman" w:hAnsi="Times New Roman" w:cs="Times New Roman"/>
          <w:i/>
          <w:iCs/>
          <w:szCs w:val="24"/>
        </w:rPr>
        <w:t xml:space="preserve">22. The history of </w:t>
      </w:r>
      <w:proofErr w:type="spellStart"/>
      <w:r w:rsidR="00A40DF9" w:rsidRPr="002269E4">
        <w:rPr>
          <w:rFonts w:ascii="Times New Roman" w:hAnsi="Times New Roman" w:cs="Times New Roman"/>
          <w:i/>
          <w:iCs/>
          <w:szCs w:val="24"/>
        </w:rPr>
        <w:t>ss</w:t>
      </w:r>
      <w:proofErr w:type="spellEnd"/>
      <w:r w:rsidR="00A40DF9" w:rsidRPr="002269E4">
        <w:rPr>
          <w:rFonts w:ascii="Times New Roman" w:hAnsi="Times New Roman" w:cs="Times New Roman"/>
          <w:i/>
          <w:iCs/>
          <w:szCs w:val="24"/>
        </w:rPr>
        <w:t xml:space="preserve"> 82A and 82B was set out in D17/08 (2008) 23 IRBRD 301, at §135 onwards. They arose from the proposals of the Commissioner and the recommendations of the Inland Revenue Ordinance   Review Committee which considered those proposals and reported in 1968. Their report stated:</w:t>
      </w:r>
    </w:p>
    <w:p w:rsidR="003506EA" w:rsidRPr="002269E4" w:rsidRDefault="003506EA" w:rsidP="00D7738F">
      <w:pPr>
        <w:pStyle w:val="ac"/>
        <w:widowControl/>
        <w:overflowPunct w:val="0"/>
        <w:autoSpaceDE w:val="0"/>
        <w:autoSpaceDN w:val="0"/>
        <w:ind w:leftChars="650" w:left="1560"/>
        <w:jc w:val="both"/>
        <w:rPr>
          <w:rFonts w:ascii="Times New Roman" w:hAnsi="Times New Roman" w:cs="Times New Roman"/>
          <w:i/>
          <w:iCs/>
          <w:szCs w:val="24"/>
        </w:rPr>
      </w:pPr>
    </w:p>
    <w:p w:rsidR="00A40DF9" w:rsidRPr="002269E4" w:rsidRDefault="00591568" w:rsidP="00B8115D">
      <w:pPr>
        <w:pStyle w:val="ac"/>
        <w:widowControl/>
        <w:overflowPunct w:val="0"/>
        <w:autoSpaceDE w:val="0"/>
        <w:autoSpaceDN w:val="0"/>
        <w:ind w:leftChars="945" w:left="2268"/>
        <w:jc w:val="both"/>
        <w:rPr>
          <w:rFonts w:ascii="Times New Roman" w:hAnsi="Times New Roman" w:cs="Times New Roman"/>
          <w:i/>
          <w:iCs/>
          <w:szCs w:val="24"/>
        </w:rPr>
      </w:pPr>
      <w:r w:rsidRPr="002269E4">
        <w:rPr>
          <w:rFonts w:ascii="Times New Roman" w:hAnsi="Times New Roman" w:cs="Times New Roman"/>
          <w:i/>
          <w:iCs/>
          <w:szCs w:val="24"/>
        </w:rPr>
        <w:t>‘</w:t>
      </w:r>
      <w:r w:rsidR="00A40DF9" w:rsidRPr="002269E4">
        <w:rPr>
          <w:rFonts w:ascii="Times New Roman" w:hAnsi="Times New Roman" w:cs="Times New Roman"/>
          <w:i/>
          <w:iCs/>
          <w:szCs w:val="24"/>
        </w:rPr>
        <w:t xml:space="preserve">397. The Commissioner felt there was need for an alternative to Court action which would authorize him to impose penalties for most offences except those of </w:t>
      </w:r>
      <w:proofErr w:type="spellStart"/>
      <w:r w:rsidR="00A40DF9" w:rsidRPr="002269E4">
        <w:rPr>
          <w:rFonts w:ascii="Times New Roman" w:hAnsi="Times New Roman" w:cs="Times New Roman"/>
          <w:i/>
          <w:iCs/>
          <w:szCs w:val="24"/>
        </w:rPr>
        <w:t>wilful</w:t>
      </w:r>
      <w:proofErr w:type="spellEnd"/>
      <w:r w:rsidR="00A40DF9" w:rsidRPr="002269E4">
        <w:rPr>
          <w:rFonts w:ascii="Times New Roman" w:hAnsi="Times New Roman" w:cs="Times New Roman"/>
          <w:i/>
          <w:iCs/>
          <w:szCs w:val="24"/>
        </w:rPr>
        <w:t xml:space="preserve"> intent to evade tax. He pointed out that it would save the taxpayer’s time as well as an unpleasant appearance in Court and would also save the time spent by officials of the Inland Revenue Department, the Legal Department, and the Court on the preparation and hearing of comparatively minor cases. He agreed that he had the power to compound offences, and this worked reasonably well in routine offences such as failing to lodge returns by due date. However, he had found difficulty in convincing a person who has understated his income that he should pay a penalty in addition to the additional tax payable by assessment. Where an offender is unwilling to compound his offence, the only alternative available to the Department is to prepare a case for prosecution in Court for an offence under either Section 80(2) or Section 82(1).</w:t>
      </w:r>
    </w:p>
    <w:p w:rsidR="003506EA" w:rsidRPr="002269E4" w:rsidRDefault="003506EA" w:rsidP="00D7738F">
      <w:pPr>
        <w:pStyle w:val="ac"/>
        <w:widowControl/>
        <w:overflowPunct w:val="0"/>
        <w:autoSpaceDE w:val="0"/>
        <w:autoSpaceDN w:val="0"/>
        <w:ind w:leftChars="650" w:left="1560"/>
        <w:jc w:val="both"/>
        <w:rPr>
          <w:rFonts w:ascii="Times New Roman" w:hAnsi="Times New Roman" w:cs="Times New Roman"/>
          <w:i/>
          <w:iCs/>
          <w:szCs w:val="24"/>
        </w:rPr>
      </w:pPr>
    </w:p>
    <w:p w:rsidR="00A40DF9" w:rsidRPr="002269E4" w:rsidRDefault="00A40DF9" w:rsidP="00B8115D">
      <w:pPr>
        <w:pStyle w:val="ac"/>
        <w:widowControl/>
        <w:overflowPunct w:val="0"/>
        <w:autoSpaceDE w:val="0"/>
        <w:autoSpaceDN w:val="0"/>
        <w:ind w:leftChars="945" w:left="2268"/>
        <w:jc w:val="both"/>
        <w:rPr>
          <w:rFonts w:ascii="Times New Roman" w:hAnsi="Times New Roman" w:cs="Times New Roman"/>
          <w:i/>
          <w:iCs/>
          <w:szCs w:val="24"/>
        </w:rPr>
      </w:pPr>
      <w:r w:rsidRPr="002269E4">
        <w:rPr>
          <w:rFonts w:ascii="Times New Roman" w:hAnsi="Times New Roman" w:cs="Times New Roman"/>
          <w:i/>
          <w:iCs/>
          <w:szCs w:val="24"/>
        </w:rPr>
        <w:t xml:space="preserve">398. The Commissioner submitted that where any person has been undercharged to tax as a consequence of any incorrect return, statement or information made or given to the Department, or where he would have been undercharged if the return, etc. had been accepted, it would be reasonable to empower the Department to impose a penalty, up to the amount of the tax undercharged, according to the acceptability of the excuse offered by the offender: similar powers are to be found in the tax laws of other territories, including South Africa, </w:t>
      </w:r>
      <w:r w:rsidR="00292225" w:rsidRPr="002269E4">
        <w:rPr>
          <w:rFonts w:ascii="Times New Roman" w:hAnsi="Times New Roman" w:cs="Times New Roman"/>
          <w:i/>
          <w:iCs/>
          <w:szCs w:val="24"/>
        </w:rPr>
        <w:t>Country F</w:t>
      </w:r>
      <w:r w:rsidRPr="002269E4">
        <w:rPr>
          <w:rFonts w:ascii="Times New Roman" w:hAnsi="Times New Roman" w:cs="Times New Roman"/>
          <w:i/>
          <w:iCs/>
          <w:szCs w:val="24"/>
        </w:rPr>
        <w:t>, Malaysia and Singapore. …</w:t>
      </w:r>
      <w:r w:rsidR="00591568" w:rsidRPr="002269E4">
        <w:rPr>
          <w:rFonts w:ascii="Times New Roman" w:hAnsi="Times New Roman" w:cs="Times New Roman"/>
          <w:i/>
          <w:iCs/>
          <w:szCs w:val="24"/>
        </w:rPr>
        <w:t>’</w:t>
      </w:r>
    </w:p>
    <w:p w:rsidR="003506EA" w:rsidRPr="002269E4" w:rsidRDefault="003506EA" w:rsidP="00D7738F">
      <w:pPr>
        <w:pStyle w:val="ac"/>
        <w:widowControl/>
        <w:overflowPunct w:val="0"/>
        <w:autoSpaceDE w:val="0"/>
        <w:autoSpaceDN w:val="0"/>
        <w:ind w:leftChars="650" w:left="1560"/>
        <w:jc w:val="both"/>
        <w:rPr>
          <w:rFonts w:ascii="Times New Roman" w:hAnsi="Times New Roman" w:cs="Times New Roman"/>
          <w:i/>
          <w:iCs/>
          <w:szCs w:val="24"/>
        </w:rPr>
      </w:pPr>
    </w:p>
    <w:p w:rsidR="00A40DF9" w:rsidRPr="002269E4" w:rsidRDefault="00A40DF9" w:rsidP="00D7738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23. The Review Committee, being in general agreement with providing an administrative penalty as an alternative to court proceedings for at least certain offences which were punishable under Part 14, made recommendations which</w:t>
      </w:r>
      <w:r w:rsidR="003313D9" w:rsidRPr="002269E4">
        <w:rPr>
          <w:rFonts w:ascii="Times New Roman" w:hAnsi="Times New Roman" w:cs="Times New Roman"/>
          <w:i/>
          <w:iCs/>
          <w:szCs w:val="24"/>
        </w:rPr>
        <w:t xml:space="preserve"> led to the enactment of </w:t>
      </w:r>
      <w:proofErr w:type="spellStart"/>
      <w:r w:rsidR="003313D9" w:rsidRPr="002269E4">
        <w:rPr>
          <w:rFonts w:ascii="Times New Roman" w:hAnsi="Times New Roman" w:cs="Times New Roman"/>
          <w:i/>
          <w:iCs/>
          <w:szCs w:val="24"/>
        </w:rPr>
        <w:t>ss</w:t>
      </w:r>
      <w:proofErr w:type="spellEnd"/>
      <w:r w:rsidR="003313D9" w:rsidRPr="002269E4">
        <w:rPr>
          <w:rFonts w:ascii="Times New Roman" w:hAnsi="Times New Roman" w:cs="Times New Roman"/>
          <w:i/>
          <w:iCs/>
          <w:szCs w:val="24"/>
        </w:rPr>
        <w:t xml:space="preserve"> 82A</w:t>
      </w:r>
      <w:r w:rsidR="00DE1013" w:rsidRPr="002269E4">
        <w:rPr>
          <w:rFonts w:ascii="Times New Roman" w:hAnsi="Times New Roman" w:cs="Times New Roman"/>
          <w:i/>
          <w:iCs/>
          <w:szCs w:val="24"/>
        </w:rPr>
        <w:t xml:space="preserve"> and 82B in 1969, with</w:t>
      </w:r>
      <w:r w:rsidRPr="002269E4">
        <w:rPr>
          <w:rFonts w:ascii="Times New Roman" w:hAnsi="Times New Roman" w:cs="Times New Roman"/>
          <w:i/>
          <w:iCs/>
          <w:szCs w:val="24"/>
        </w:rPr>
        <w:t xml:space="preserve"> s </w:t>
      </w:r>
      <w:proofErr w:type="gramStart"/>
      <w:r w:rsidRPr="002269E4">
        <w:rPr>
          <w:rFonts w:ascii="Times New Roman" w:hAnsi="Times New Roman" w:cs="Times New Roman"/>
          <w:i/>
          <w:iCs/>
          <w:szCs w:val="24"/>
        </w:rPr>
        <w:t>82A(</w:t>
      </w:r>
      <w:proofErr w:type="gramEnd"/>
      <w:r w:rsidRPr="002269E4">
        <w:rPr>
          <w:rFonts w:ascii="Times New Roman" w:hAnsi="Times New Roman" w:cs="Times New Roman"/>
          <w:i/>
          <w:iCs/>
          <w:szCs w:val="24"/>
        </w:rPr>
        <w:t>1)(a) -(e) tracking the language of the pre-existing s 80(2)(a)-(e). The maximum amount of the administrative penalty at that time was the amount of the tax undercharged. An amendment trebled it in 1975.</w:t>
      </w:r>
      <w:r w:rsidR="00591568" w:rsidRPr="002269E4">
        <w:rPr>
          <w:rFonts w:ascii="Times New Roman" w:hAnsi="Times New Roman" w:cs="Times New Roman"/>
          <w:i/>
          <w:iCs/>
          <w:szCs w:val="24"/>
        </w:rPr>
        <w:t>’</w:t>
      </w:r>
    </w:p>
    <w:p w:rsidR="002F2E4D" w:rsidRPr="002269E4" w:rsidRDefault="002F2E4D" w:rsidP="001C5608">
      <w:pPr>
        <w:widowControl/>
        <w:overflowPunct w:val="0"/>
        <w:autoSpaceDE w:val="0"/>
        <w:autoSpaceDN w:val="0"/>
        <w:ind w:left="360"/>
        <w:jc w:val="both"/>
        <w:rPr>
          <w:rFonts w:ascii="Times New Roman" w:hAnsi="Times New Roman" w:cs="Times New Roman"/>
          <w:i/>
          <w:iCs/>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In 1975, amendments were made to, among others, Section </w:t>
      </w:r>
      <w:proofErr w:type="gramStart"/>
      <w:r w:rsidRPr="002269E4">
        <w:rPr>
          <w:rFonts w:ascii="Times New Roman" w:hAnsi="Times New Roman" w:cs="Times New Roman"/>
          <w:szCs w:val="24"/>
        </w:rPr>
        <w:t>82A(</w:t>
      </w:r>
      <w:proofErr w:type="gramEnd"/>
      <w:r w:rsidRPr="002269E4">
        <w:rPr>
          <w:rFonts w:ascii="Times New Roman" w:hAnsi="Times New Roman" w:cs="Times New Roman"/>
          <w:szCs w:val="24"/>
        </w:rPr>
        <w:t xml:space="preserve">1) of the Ordinance to empower the Commissioner to charge additional tax up to treble amount of the undercharged tax.  The legislative discussion leading up to the 1975 amendments has been cited in </w:t>
      </w:r>
      <w:r w:rsidRPr="002269E4">
        <w:rPr>
          <w:rFonts w:ascii="Times New Roman" w:hAnsi="Times New Roman" w:cs="Times New Roman"/>
          <w:iCs/>
          <w:szCs w:val="24"/>
          <w:u w:val="single"/>
        </w:rPr>
        <w:t>D17/08</w:t>
      </w:r>
      <w:r w:rsidRPr="002269E4">
        <w:rPr>
          <w:rFonts w:ascii="Times New Roman" w:hAnsi="Times New Roman" w:cs="Times New Roman"/>
          <w:iCs/>
          <w:szCs w:val="24"/>
        </w:rPr>
        <w:t xml:space="preserve"> (2008) 23 IRBRD 301</w:t>
      </w:r>
      <w:r w:rsidRPr="002269E4">
        <w:rPr>
          <w:rFonts w:ascii="Times New Roman" w:hAnsi="Times New Roman" w:cs="Times New Roman"/>
          <w:szCs w:val="24"/>
        </w:rPr>
        <w:t>, at paragraphs 143 and 144:</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591568" w:rsidP="00C1324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szCs w:val="24"/>
        </w:rPr>
        <w:t>‘</w:t>
      </w:r>
      <w:r w:rsidR="00A40DF9" w:rsidRPr="002269E4">
        <w:rPr>
          <w:rFonts w:ascii="Times New Roman" w:hAnsi="Times New Roman" w:cs="Times New Roman"/>
          <w:i/>
          <w:iCs/>
          <w:szCs w:val="24"/>
        </w:rPr>
        <w:t>143.</w:t>
      </w:r>
      <w:r w:rsidR="00A40DF9" w:rsidRPr="002269E4">
        <w:rPr>
          <w:rFonts w:ascii="Times New Roman" w:hAnsi="Times New Roman" w:cs="Times New Roman"/>
          <w:i/>
          <w:iCs/>
          <w:szCs w:val="24"/>
        </w:rPr>
        <w:tab/>
        <w:t>The Hansard recorded what the Financial Secretary said when he moved the second reading of the amendment bill on 2 April 1975:</w:t>
      </w:r>
    </w:p>
    <w:p w:rsidR="00A40DF9" w:rsidRPr="002269E4" w:rsidRDefault="00A40DF9" w:rsidP="001C5608">
      <w:pPr>
        <w:widowControl/>
        <w:overflowPunct w:val="0"/>
        <w:autoSpaceDE w:val="0"/>
        <w:autoSpaceDN w:val="0"/>
        <w:ind w:left="360"/>
        <w:jc w:val="both"/>
        <w:rPr>
          <w:rFonts w:ascii="Times New Roman" w:hAnsi="Times New Roman" w:cs="Times New Roman"/>
          <w:i/>
          <w:iCs/>
          <w:szCs w:val="24"/>
        </w:rPr>
      </w:pPr>
    </w:p>
    <w:p w:rsidR="00A40DF9" w:rsidRPr="002269E4" w:rsidRDefault="00A40DF9" w:rsidP="00C1324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‘THE FINANCIAL SECRETARY moved the second reading of:—</w:t>
      </w:r>
      <w:r w:rsidR="00591568" w:rsidRPr="002269E4">
        <w:rPr>
          <w:rFonts w:ascii="Times New Roman" w:hAnsi="Times New Roman" w:cs="Times New Roman"/>
          <w:i/>
          <w:iCs/>
          <w:szCs w:val="24"/>
        </w:rPr>
        <w:t>’</w:t>
      </w:r>
      <w:r w:rsidRPr="002269E4">
        <w:rPr>
          <w:rFonts w:ascii="Times New Roman" w:hAnsi="Times New Roman" w:cs="Times New Roman"/>
          <w:i/>
          <w:iCs/>
          <w:szCs w:val="24"/>
        </w:rPr>
        <w:t>A bill to amend the Inland Revenue Ordinance.</w:t>
      </w:r>
      <w:r w:rsidR="00591568" w:rsidRPr="002269E4">
        <w:rPr>
          <w:rFonts w:ascii="Times New Roman" w:hAnsi="Times New Roman" w:cs="Times New Roman"/>
          <w:i/>
          <w:iCs/>
          <w:szCs w:val="24"/>
        </w:rPr>
        <w:t>’</w:t>
      </w:r>
    </w:p>
    <w:p w:rsidR="00A40DF9" w:rsidRPr="002269E4" w:rsidRDefault="00A40DF9" w:rsidP="001C5608">
      <w:pPr>
        <w:widowControl/>
        <w:overflowPunct w:val="0"/>
        <w:autoSpaceDE w:val="0"/>
        <w:autoSpaceDN w:val="0"/>
        <w:ind w:left="360"/>
        <w:jc w:val="both"/>
        <w:rPr>
          <w:rFonts w:ascii="Times New Roman" w:hAnsi="Times New Roman" w:cs="Times New Roman"/>
          <w:i/>
          <w:iCs/>
          <w:szCs w:val="24"/>
        </w:rPr>
      </w:pPr>
    </w:p>
    <w:p w:rsidR="00A40DF9" w:rsidRPr="002269E4" w:rsidRDefault="00A40DF9" w:rsidP="00C1324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He said:—Sir, during the course of my 1974 budget speech I said that the present investigation powers and penalty provisions in Parts IX and XIV of the Inland Revenue Ordinance needed strengthening.  The bill at present before Council is intended to achieve just this.  </w:t>
      </w:r>
      <w:proofErr w:type="spellStart"/>
      <w:r w:rsidRPr="002269E4">
        <w:rPr>
          <w:rFonts w:ascii="Times New Roman" w:hAnsi="Times New Roman" w:cs="Times New Roman"/>
          <w:i/>
          <w:iCs/>
          <w:szCs w:val="24"/>
        </w:rPr>
        <w:t>Honourable</w:t>
      </w:r>
      <w:proofErr w:type="spellEnd"/>
      <w:r w:rsidRPr="002269E4">
        <w:rPr>
          <w:rFonts w:ascii="Times New Roman" w:hAnsi="Times New Roman" w:cs="Times New Roman"/>
          <w:i/>
          <w:iCs/>
          <w:szCs w:val="24"/>
        </w:rPr>
        <w:t xml:space="preserve"> Members will no doubt recall that in 1969, following the recommendations of the last Inland Revenue Ordinance Review Committee, extended powers, which included the right to impose an administrative penalty in cases of tax evasion, were given to the Commissioner of Inland Revenue.  These amendments, coupled with the establishment of a special Investigation Section in the Inland Revenue Department, have certainly had their effect—the total amount of tax and penalties imposed in the five years since 31st March 1969 amounted to $35 million, which, of course, excludes the unquantifiable, but nevertheless known, effect that action of this sort has on the accuracy of current returns.  Nevertheless, it is the view of the Commissioner that there is still a lot that can be done in this field but he is hindered by the fact that first this is proving an expensive and time-consuming operation and that secondly the penalties are not sufficiently high to act as a deterrent to some would-be evaders.  As recently as the year ended 31st March 1974, the average understatement of earnings and profits in the cases finalized by the Investigation Section was as high as 79 per cent.  This is a frightening figure, particularly at a time when we need every cent we can lay our hands on—legitimately lay our hands on—to meet the ever increasing demands on General Revenue.</w:t>
      </w:r>
    </w:p>
    <w:p w:rsidR="00A40DF9" w:rsidRPr="002269E4" w:rsidRDefault="00A40DF9" w:rsidP="001C5608">
      <w:pPr>
        <w:widowControl/>
        <w:overflowPunct w:val="0"/>
        <w:autoSpaceDE w:val="0"/>
        <w:autoSpaceDN w:val="0"/>
        <w:ind w:left="360"/>
        <w:jc w:val="both"/>
        <w:rPr>
          <w:rFonts w:ascii="Times New Roman" w:hAnsi="Times New Roman" w:cs="Times New Roman"/>
          <w:i/>
          <w:iCs/>
          <w:szCs w:val="24"/>
        </w:rPr>
      </w:pPr>
    </w:p>
    <w:p w:rsidR="00A40DF9" w:rsidRPr="002269E4" w:rsidRDefault="00A40DF9" w:rsidP="00C1324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Whilst some of the amendments are of a comparatively minor nature—some of the amendments proposed in this bill—and are adequately explained in the explanatory memorandum, there are two which do call for particular comment.</w:t>
      </w:r>
    </w:p>
    <w:p w:rsidR="00A40DF9" w:rsidRPr="002269E4" w:rsidRDefault="00A40DF9" w:rsidP="001C5608">
      <w:pPr>
        <w:widowControl/>
        <w:overflowPunct w:val="0"/>
        <w:autoSpaceDE w:val="0"/>
        <w:autoSpaceDN w:val="0"/>
        <w:ind w:left="360"/>
        <w:jc w:val="both"/>
        <w:rPr>
          <w:rFonts w:ascii="Times New Roman" w:hAnsi="Times New Roman" w:cs="Times New Roman"/>
          <w:i/>
          <w:iCs/>
          <w:szCs w:val="24"/>
        </w:rPr>
      </w:pPr>
    </w:p>
    <w:p w:rsidR="00A40DF9" w:rsidRPr="002269E4" w:rsidRDefault="00A40DF9" w:rsidP="00C1324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w:t>
      </w:r>
    </w:p>
    <w:p w:rsidR="00A40DF9" w:rsidRPr="002269E4" w:rsidRDefault="00A40DF9" w:rsidP="001C5608">
      <w:pPr>
        <w:widowControl/>
        <w:overflowPunct w:val="0"/>
        <w:autoSpaceDE w:val="0"/>
        <w:autoSpaceDN w:val="0"/>
        <w:ind w:firstLine="360"/>
        <w:jc w:val="both"/>
        <w:rPr>
          <w:rFonts w:ascii="Times New Roman" w:hAnsi="Times New Roman" w:cs="Times New Roman"/>
          <w:i/>
          <w:iCs/>
          <w:szCs w:val="24"/>
        </w:rPr>
      </w:pPr>
    </w:p>
    <w:p w:rsidR="00A40DF9" w:rsidRPr="002269E4" w:rsidRDefault="00A40DF9" w:rsidP="00C1324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The other amendment or really group of amendments which merits elaboration is the increase in the penalties which the courts may impose from $2,000 plus a fine equal to the amount of tax undercharged, to $2,000 plus treble the amount of the tax undercharged.  This is provided for in clause 6 and it should also be noted that by clause 7 the Commissioner is empowered, subject to a right of appeal by the taxpayer, to impose an administrative penalty known as </w:t>
      </w:r>
      <w:r w:rsidR="00591568" w:rsidRPr="002269E4">
        <w:rPr>
          <w:rFonts w:ascii="Times New Roman" w:hAnsi="Times New Roman" w:cs="Times New Roman"/>
          <w:i/>
          <w:iCs/>
          <w:szCs w:val="24"/>
        </w:rPr>
        <w:t>‘</w:t>
      </w:r>
      <w:r w:rsidRPr="002269E4">
        <w:rPr>
          <w:rFonts w:ascii="Times New Roman" w:hAnsi="Times New Roman" w:cs="Times New Roman"/>
          <w:i/>
          <w:iCs/>
          <w:szCs w:val="24"/>
        </w:rPr>
        <w:t>additional tax</w:t>
      </w:r>
      <w:r w:rsidR="00591568" w:rsidRPr="002269E4">
        <w:rPr>
          <w:rFonts w:ascii="Times New Roman" w:hAnsi="Times New Roman" w:cs="Times New Roman"/>
          <w:i/>
          <w:iCs/>
          <w:szCs w:val="24"/>
        </w:rPr>
        <w:t>’</w:t>
      </w:r>
      <w:r w:rsidRPr="002269E4">
        <w:rPr>
          <w:rFonts w:ascii="Times New Roman" w:hAnsi="Times New Roman" w:cs="Times New Roman"/>
          <w:i/>
          <w:iCs/>
          <w:szCs w:val="24"/>
        </w:rPr>
        <w:t>.  These amendments also bring into the net for the first time the case where the taxpayer just sits back and quietly fails to submit a return at all.</w:t>
      </w:r>
    </w:p>
    <w:p w:rsidR="00A40DF9" w:rsidRPr="002269E4" w:rsidRDefault="00A40DF9" w:rsidP="001C5608">
      <w:pPr>
        <w:widowControl/>
        <w:overflowPunct w:val="0"/>
        <w:autoSpaceDE w:val="0"/>
        <w:autoSpaceDN w:val="0"/>
        <w:jc w:val="both"/>
        <w:rPr>
          <w:rFonts w:ascii="Times New Roman" w:hAnsi="Times New Roman" w:cs="Times New Roman"/>
          <w:i/>
          <w:iCs/>
          <w:szCs w:val="24"/>
        </w:rPr>
      </w:pPr>
    </w:p>
    <w:p w:rsidR="00A40DF9" w:rsidRPr="002269E4" w:rsidRDefault="00A40DF9" w:rsidP="00C1324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Clearly these amendments are intended as a deterrent and also as a punishment to the guilty.  It will be evident from the figures I have already given to </w:t>
      </w:r>
      <w:proofErr w:type="spellStart"/>
      <w:r w:rsidRPr="002269E4">
        <w:rPr>
          <w:rFonts w:ascii="Times New Roman" w:hAnsi="Times New Roman" w:cs="Times New Roman"/>
          <w:i/>
          <w:iCs/>
          <w:szCs w:val="24"/>
        </w:rPr>
        <w:t>honourable</w:t>
      </w:r>
      <w:proofErr w:type="spellEnd"/>
      <w:r w:rsidRPr="002269E4">
        <w:rPr>
          <w:rFonts w:ascii="Times New Roman" w:hAnsi="Times New Roman" w:cs="Times New Roman"/>
          <w:i/>
          <w:iCs/>
          <w:szCs w:val="24"/>
        </w:rPr>
        <w:t xml:space="preserve"> Members that the existing penalty is simply not sufficient as a deterrent.  As regards punishment, it will I hope be readily appreciated that, because of high interest rates and inflation, even where the maximum penalty of 100 per cent is imposed as it is in the worst type of case, the taxpayer is often no worse off than if he had paid the tax in due time.  Furthermore, it must be remembered that with a standard rate of 15 per cent, except for corporations where the rate is now happily 16½ per cent, the worst that can happen to an offender if he is caught is to pay tax at 30 or 33 per cent—to put it at its lowest level it is worth taking a sporting chance, although let me say at once that I consider there is nothing sporting about the tax evader.  His action, if undetected, simply shifts the burden of the tax on to those who are honest enough to contribute according to law.  He deserves no sympathy from this Council and I trust he will get none.  I would also remind </w:t>
      </w:r>
      <w:proofErr w:type="spellStart"/>
      <w:r w:rsidRPr="002269E4">
        <w:rPr>
          <w:rFonts w:ascii="Times New Roman" w:hAnsi="Times New Roman" w:cs="Times New Roman"/>
          <w:i/>
          <w:iCs/>
          <w:szCs w:val="24"/>
        </w:rPr>
        <w:t>honourable</w:t>
      </w:r>
      <w:proofErr w:type="spellEnd"/>
      <w:r w:rsidRPr="002269E4">
        <w:rPr>
          <w:rFonts w:ascii="Times New Roman" w:hAnsi="Times New Roman" w:cs="Times New Roman"/>
          <w:i/>
          <w:iCs/>
          <w:szCs w:val="24"/>
        </w:rPr>
        <w:t xml:space="preserve"> Members that, in some </w:t>
      </w:r>
      <w:proofErr w:type="spellStart"/>
      <w:r w:rsidRPr="002269E4">
        <w:rPr>
          <w:rFonts w:ascii="Times New Roman" w:hAnsi="Times New Roman" w:cs="Times New Roman"/>
          <w:i/>
          <w:iCs/>
          <w:szCs w:val="24"/>
        </w:rPr>
        <w:t>neighbouring</w:t>
      </w:r>
      <w:proofErr w:type="spellEnd"/>
      <w:r w:rsidRPr="002269E4">
        <w:rPr>
          <w:rFonts w:ascii="Times New Roman" w:hAnsi="Times New Roman" w:cs="Times New Roman"/>
          <w:i/>
          <w:iCs/>
          <w:szCs w:val="24"/>
        </w:rPr>
        <w:t xml:space="preserve"> countries, the penalties when added to the tax are confiscatory in that in some cases they can exceed the amount of income on which they are levied.  Even the maximum 300 per cent penalty now proposed will still not be anywhere near confiscatory in Hong Kong.</w:t>
      </w:r>
    </w:p>
    <w:p w:rsidR="00A40DF9" w:rsidRPr="002269E4" w:rsidRDefault="00A40DF9" w:rsidP="001C5608">
      <w:pPr>
        <w:widowControl/>
        <w:overflowPunct w:val="0"/>
        <w:autoSpaceDE w:val="0"/>
        <w:autoSpaceDN w:val="0"/>
        <w:jc w:val="both"/>
        <w:rPr>
          <w:rFonts w:ascii="Times New Roman" w:hAnsi="Times New Roman" w:cs="Times New Roman"/>
          <w:i/>
          <w:iCs/>
          <w:szCs w:val="24"/>
        </w:rPr>
      </w:pPr>
    </w:p>
    <w:p w:rsidR="00A40DF9" w:rsidRPr="002269E4" w:rsidRDefault="00A40DF9" w:rsidP="00C1324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An additional motive behind the increase in the penalty is to give the Commissioner a greater degree of flexibility in fixing the amount of the penalty.  At present, as I have already indicated, if one does no more than recover what one should have paid to the Exchequer in the first instance, the penalty would very often have to be close to the 100 per cent margin.  There is very little therefore that the Commissioner can offer by way of inducement to a taxpayer to make a clean breast of things and submit corrected returns.  Furthermore, it has been the Commissioner’s experience that once having been caught out, the taxpayer often sits back and leaves it to the department to build up the necessary statements from which his true profits can be ascertained.  This is a laborious, painstaking task and it is ironic that this should be done at Government’s expense when the fault lies entirely with the taxpayer.  There is however an insufficient range of penalties for the Commissioner to hold out some inducement to the taxpayer at this stage to pay his own accountant to do his own work at his own expense.</w:t>
      </w:r>
    </w:p>
    <w:p w:rsidR="00A40DF9" w:rsidRPr="002269E4" w:rsidRDefault="00A40DF9" w:rsidP="001C5608">
      <w:pPr>
        <w:widowControl/>
        <w:overflowPunct w:val="0"/>
        <w:autoSpaceDE w:val="0"/>
        <w:autoSpaceDN w:val="0"/>
        <w:jc w:val="both"/>
        <w:rPr>
          <w:rFonts w:ascii="Times New Roman" w:hAnsi="Times New Roman" w:cs="Times New Roman"/>
          <w:i/>
          <w:iCs/>
          <w:szCs w:val="24"/>
        </w:rPr>
      </w:pPr>
    </w:p>
    <w:p w:rsidR="00A40DF9" w:rsidRPr="002269E4" w:rsidRDefault="00A40DF9" w:rsidP="00C1324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In this connection, I should like to place on record what the Commissioner’s practice in relation to the full voluntary disclosure of tax evasion is.  Where offences under the Inland Revenue Ordinance have been committed, the Commissioner may institute prosecution under Part XIV of the ordinance.  He is, however, also given power to compound these offences, that is to say, to accept a monetary settlement instead of sanctioning the institution of a prosecution.  Alternatively, he is given the power to impose additional tax in lieu of prosecution.  Although no undertaking can be given as to whether or not the Commissioner will refrain from prosecution in the case of any particular person, it is the practice of the Commissioner to be influenced by the fact that a person has made a full confession of any offence to which he has been a party and has given full facilities for investigation and has provided corrected returns accompanied by detailed statements in support of these returns.  These facts will also have a </w:t>
      </w:r>
      <w:proofErr w:type="spellStart"/>
      <w:r w:rsidRPr="002269E4">
        <w:rPr>
          <w:rFonts w:ascii="Times New Roman" w:hAnsi="Times New Roman" w:cs="Times New Roman"/>
          <w:i/>
          <w:iCs/>
          <w:szCs w:val="24"/>
        </w:rPr>
        <w:t>favourable</w:t>
      </w:r>
      <w:proofErr w:type="spellEnd"/>
      <w:r w:rsidRPr="002269E4">
        <w:rPr>
          <w:rFonts w:ascii="Times New Roman" w:hAnsi="Times New Roman" w:cs="Times New Roman"/>
          <w:i/>
          <w:iCs/>
          <w:szCs w:val="24"/>
        </w:rPr>
        <w:t xml:space="preserve"> bearing on the amount of the penalty or where applicable, additional tax, in settlement.’</w:t>
      </w:r>
    </w:p>
    <w:p w:rsidR="00A40DF9" w:rsidRPr="002269E4" w:rsidRDefault="00A40DF9" w:rsidP="001C5608">
      <w:pPr>
        <w:widowControl/>
        <w:overflowPunct w:val="0"/>
        <w:autoSpaceDE w:val="0"/>
        <w:autoSpaceDN w:val="0"/>
        <w:ind w:left="360"/>
        <w:jc w:val="both"/>
        <w:rPr>
          <w:rFonts w:ascii="Times New Roman" w:hAnsi="Times New Roman" w:cs="Times New Roman"/>
          <w:i/>
          <w:iCs/>
          <w:szCs w:val="24"/>
        </w:rPr>
      </w:pPr>
    </w:p>
    <w:p w:rsidR="00A40DF9" w:rsidRPr="002269E4" w:rsidRDefault="00DD03C9" w:rsidP="00C1324F">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144.  </w:t>
      </w:r>
      <w:r w:rsidR="00A40DF9" w:rsidRPr="002269E4">
        <w:rPr>
          <w:rFonts w:ascii="Times New Roman" w:hAnsi="Times New Roman" w:cs="Times New Roman"/>
          <w:i/>
          <w:iCs/>
          <w:szCs w:val="24"/>
        </w:rPr>
        <w:t>At the resumption of debate on second reading, the Financial Secretary said on 18 June 1975 that:</w:t>
      </w:r>
    </w:p>
    <w:p w:rsidR="00A40DF9" w:rsidRPr="002269E4" w:rsidRDefault="00A40DF9" w:rsidP="001C5608">
      <w:pPr>
        <w:widowControl/>
        <w:overflowPunct w:val="0"/>
        <w:autoSpaceDE w:val="0"/>
        <w:autoSpaceDN w:val="0"/>
        <w:ind w:left="360"/>
        <w:jc w:val="both"/>
        <w:rPr>
          <w:rFonts w:ascii="Times New Roman" w:hAnsi="Times New Roman" w:cs="Times New Roman"/>
          <w:i/>
          <w:iCs/>
          <w:szCs w:val="24"/>
        </w:rPr>
      </w:pPr>
    </w:p>
    <w:p w:rsidR="00A40DF9" w:rsidRPr="002269E4" w:rsidRDefault="00A40DF9" w:rsidP="00C1324F">
      <w:pPr>
        <w:pStyle w:val="ac"/>
        <w:widowControl/>
        <w:overflowPunct w:val="0"/>
        <w:autoSpaceDE w:val="0"/>
        <w:autoSpaceDN w:val="0"/>
        <w:ind w:leftChars="650" w:left="1560"/>
        <w:jc w:val="both"/>
        <w:rPr>
          <w:rFonts w:ascii="Times New Roman" w:hAnsi="Times New Roman" w:cs="Times New Roman"/>
          <w:szCs w:val="24"/>
        </w:rPr>
      </w:pPr>
      <w:r w:rsidRPr="002269E4">
        <w:rPr>
          <w:rFonts w:ascii="Times New Roman" w:hAnsi="Times New Roman" w:cs="Times New Roman"/>
          <w:i/>
          <w:iCs/>
          <w:szCs w:val="24"/>
        </w:rPr>
        <w:t>‘I of course welcome [</w:t>
      </w:r>
      <w:proofErr w:type="spellStart"/>
      <w:r w:rsidRPr="002269E4">
        <w:rPr>
          <w:rFonts w:ascii="Times New Roman" w:hAnsi="Times New Roman" w:cs="Times New Roman"/>
          <w:i/>
          <w:iCs/>
          <w:szCs w:val="24"/>
        </w:rPr>
        <w:t>honourable</w:t>
      </w:r>
      <w:proofErr w:type="spellEnd"/>
      <w:r w:rsidRPr="002269E4">
        <w:rPr>
          <w:rFonts w:ascii="Times New Roman" w:hAnsi="Times New Roman" w:cs="Times New Roman"/>
          <w:i/>
          <w:iCs/>
          <w:szCs w:val="24"/>
        </w:rPr>
        <w:t xml:space="preserve"> Members’] support of the Government’s objective of reducing the incidence of tax evasion, not only to protect the revenue – and if the revenue is not protected our low and narrowly based fiscal system is put at risk – but also to re-assure honest taxpayers that they alone are not expected to carry the burden of public expenditure.</w:t>
      </w:r>
      <w:r w:rsidRPr="002269E4">
        <w:rPr>
          <w:rFonts w:ascii="Times New Roman" w:hAnsi="Times New Roman" w:cs="Times New Roman"/>
          <w:szCs w:val="24"/>
        </w:rPr>
        <w:t>’</w:t>
      </w:r>
      <w:r w:rsidR="00591568" w:rsidRPr="002269E4">
        <w:rPr>
          <w:rFonts w:ascii="Times New Roman" w:hAnsi="Times New Roman" w:cs="Times New Roman"/>
          <w:szCs w:val="24"/>
        </w:rPr>
        <w:t>’</w:t>
      </w:r>
    </w:p>
    <w:p w:rsidR="00A40DF9" w:rsidRPr="002269E4" w:rsidRDefault="00A40DF9" w:rsidP="001C5608">
      <w:pPr>
        <w:widowControl/>
        <w:overflowPunct w:val="0"/>
        <w:autoSpaceDE w:val="0"/>
        <w:autoSpaceDN w:val="0"/>
        <w:ind w:left="36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From the legislative history of section 82A(1) of the Ordinance, the underlying policies of imposing additional tax can be summarized as follows: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FF1D7E">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To deter tax evasion through filing of incorrect tax return and encourage taxpayers to file correct returns;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F4C76">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To discourage taxpayers from taking chances of understating income and benefiting from the late payment of the correct tax;</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F4C76">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To reduce incidence of tax evasion to preserve the Department’s limited resources from investigation when the fault lies with the taxpayer by filing incorrect return;</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F4C76">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To empower the Commissioner the right to impose an administrative penalty in cases of tax evasion instead of commencing prosecution for minor cases to save the Government’s expenses;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F4C76">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To provide initiatives for offender to provide full facilities for investigation;</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F4C76">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To protect our revenue which is already a low and narrowly based fiscal system; and</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F4C76">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To ensure fairness to taxpayers who have correctly filed returns so that they do not carry the burden of public expenditure.</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Similar observations of the underlying policies have been made by the Board in </w:t>
      </w:r>
      <w:r w:rsidRPr="002269E4">
        <w:rPr>
          <w:rFonts w:ascii="Times New Roman" w:hAnsi="Times New Roman" w:cs="Times New Roman"/>
          <w:szCs w:val="24"/>
          <w:u w:val="single"/>
        </w:rPr>
        <w:t>D35/08</w:t>
      </w:r>
      <w:r w:rsidRPr="002269E4">
        <w:rPr>
          <w:rFonts w:ascii="Times New Roman" w:hAnsi="Times New Roman" w:cs="Times New Roman"/>
          <w:szCs w:val="24"/>
        </w:rPr>
        <w:t>, as follows: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591568" w:rsidP="0005017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szCs w:val="24"/>
        </w:rPr>
        <w:t>‘</w:t>
      </w:r>
      <w:r w:rsidR="008A5857" w:rsidRPr="002269E4">
        <w:rPr>
          <w:rFonts w:ascii="Times New Roman" w:hAnsi="Times New Roman" w:cs="Times New Roman"/>
          <w:i/>
          <w:iCs/>
          <w:szCs w:val="24"/>
        </w:rPr>
        <w:t xml:space="preserve">51.   </w:t>
      </w:r>
      <w:r w:rsidR="00A40DF9" w:rsidRPr="002269E4">
        <w:rPr>
          <w:rFonts w:ascii="Times New Roman" w:hAnsi="Times New Roman" w:cs="Times New Roman"/>
          <w:i/>
          <w:iCs/>
          <w:szCs w:val="24"/>
        </w:rPr>
        <w:t xml:space="preserve">Articles 106 and 108 of the Basic Law provide that the Hong Kong Special Administrative Region shall have independent finances and </w:t>
      </w:r>
      <w:proofErr w:type="spellStart"/>
      <w:r w:rsidR="00A40DF9" w:rsidRPr="002269E4">
        <w:rPr>
          <w:rFonts w:ascii="Times New Roman" w:hAnsi="Times New Roman" w:cs="Times New Roman"/>
          <w:i/>
          <w:iCs/>
          <w:szCs w:val="24"/>
        </w:rPr>
        <w:t>practise</w:t>
      </w:r>
      <w:proofErr w:type="spellEnd"/>
      <w:r w:rsidR="00A40DF9" w:rsidRPr="002269E4">
        <w:rPr>
          <w:rFonts w:ascii="Times New Roman" w:hAnsi="Times New Roman" w:cs="Times New Roman"/>
          <w:i/>
          <w:iCs/>
          <w:szCs w:val="24"/>
        </w:rPr>
        <w:t xml:space="preserve"> an independent taxation system.</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8A5857" w:rsidP="0005017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52.   </w:t>
      </w:r>
      <w:r w:rsidR="00A40DF9" w:rsidRPr="002269E4">
        <w:rPr>
          <w:rFonts w:ascii="Times New Roman" w:hAnsi="Times New Roman" w:cs="Times New Roman"/>
          <w:i/>
          <w:iCs/>
          <w:szCs w:val="24"/>
        </w:rPr>
        <w:t>Articles 107 and 108 of the Basic Law provide that the HKSAR shall:</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8A5857" w:rsidP="0005017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(a)   </w:t>
      </w:r>
      <w:r w:rsidR="00A40DF9" w:rsidRPr="002269E4">
        <w:rPr>
          <w:rFonts w:ascii="Times New Roman" w:hAnsi="Times New Roman" w:cs="Times New Roman"/>
          <w:i/>
          <w:iCs/>
          <w:szCs w:val="24"/>
        </w:rPr>
        <w:t>taking the low tax policy  previously pursued in Hong Kong as reference, enact laws on its own concerning types of taxes, tax rates, tax reductions, allowances and exemptions, and other matters of taxation; and</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8A5857" w:rsidP="0005017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(b)   </w:t>
      </w:r>
      <w:proofErr w:type="gramStart"/>
      <w:r w:rsidR="00A40DF9" w:rsidRPr="002269E4">
        <w:rPr>
          <w:rFonts w:ascii="Times New Roman" w:hAnsi="Times New Roman" w:cs="Times New Roman"/>
          <w:i/>
          <w:iCs/>
          <w:szCs w:val="24"/>
        </w:rPr>
        <w:t>follow</w:t>
      </w:r>
      <w:proofErr w:type="gramEnd"/>
      <w:r w:rsidR="00A40DF9" w:rsidRPr="002269E4">
        <w:rPr>
          <w:rFonts w:ascii="Times New Roman" w:hAnsi="Times New Roman" w:cs="Times New Roman"/>
          <w:i/>
          <w:iCs/>
          <w:szCs w:val="24"/>
        </w:rPr>
        <w:t xml:space="preserve"> the principle of keeping expenditure within the limits of revenues in drawing up its budget, and strive to achieve a fiscal balance, avoid deficits and keep the budget commensurate with the growth rate of its gross domestic product.</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8A5857" w:rsidP="0005017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53   </w:t>
      </w:r>
      <w:r w:rsidR="00A40DF9" w:rsidRPr="002269E4">
        <w:rPr>
          <w:rFonts w:ascii="Times New Roman" w:hAnsi="Times New Roman" w:cs="Times New Roman"/>
          <w:i/>
          <w:iCs/>
          <w:szCs w:val="24"/>
        </w:rPr>
        <w:t>Direct taxation on earnings and profits is an important source of income for HKSAR.</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8A5857" w:rsidP="0005017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54.   </w:t>
      </w:r>
      <w:r w:rsidR="00A40DF9" w:rsidRPr="002269E4">
        <w:rPr>
          <w:rFonts w:ascii="Times New Roman" w:hAnsi="Times New Roman" w:cs="Times New Roman"/>
          <w:i/>
          <w:iCs/>
          <w:szCs w:val="24"/>
        </w:rPr>
        <w:t>While the tax rates are low and the fiscal system is narrowly based, the demands on general revenue are ever increasing.</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8A5857" w:rsidP="0005017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55.   </w:t>
      </w:r>
      <w:r w:rsidR="00A40DF9" w:rsidRPr="002269E4">
        <w:rPr>
          <w:rFonts w:ascii="Times New Roman" w:hAnsi="Times New Roman" w:cs="Times New Roman"/>
          <w:i/>
          <w:iCs/>
          <w:szCs w:val="24"/>
        </w:rPr>
        <w:t>Omission or understatement of receipts in tax returns causes loss in revenue if the returns are accepted by the Revenue as correct.  Failure to notify chargeability, if undetected by the Revenue, causes loss in revenue.  Delay in submitting returns may delay the timely collection of revenue.</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8A5857" w:rsidP="0005017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56.   </w:t>
      </w:r>
      <w:r w:rsidR="00A40DF9" w:rsidRPr="002269E4">
        <w:rPr>
          <w:rFonts w:ascii="Times New Roman" w:hAnsi="Times New Roman" w:cs="Times New Roman"/>
          <w:i/>
          <w:iCs/>
          <w:szCs w:val="24"/>
        </w:rPr>
        <w:t>The Inland Revenue Department makes millions of assessments each year.  A high degree of compliance by the taxpayers in submitting timely, true correct and complete tax returns and information to the Revenue is crucial for the effective operation of HKSAR’s tax system.</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8A5857" w:rsidP="0005017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57.   </w:t>
      </w:r>
      <w:r w:rsidR="00A40DF9" w:rsidRPr="002269E4">
        <w:rPr>
          <w:rFonts w:ascii="Times New Roman" w:hAnsi="Times New Roman" w:cs="Times New Roman"/>
          <w:i/>
          <w:iCs/>
          <w:szCs w:val="24"/>
        </w:rPr>
        <w:t>The Revenue can check the accuracy of returns, conduct field audits and prosecute suspected offenders.  It can also deploy resources and manpower to copy information it received to the taxpayers.</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8A5857" w:rsidP="0005017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58.   </w:t>
      </w:r>
      <w:r w:rsidR="00A40DF9" w:rsidRPr="002269E4">
        <w:rPr>
          <w:rFonts w:ascii="Times New Roman" w:hAnsi="Times New Roman" w:cs="Times New Roman"/>
          <w:i/>
          <w:iCs/>
          <w:szCs w:val="24"/>
        </w:rPr>
        <w:t>Put in proper perspective, we consider it a waste of the Revenue’s limited resources to:</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8A5857" w:rsidP="0005017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(a)   </w:t>
      </w:r>
      <w:proofErr w:type="gramStart"/>
      <w:r w:rsidR="00A40DF9" w:rsidRPr="002269E4">
        <w:rPr>
          <w:rFonts w:ascii="Times New Roman" w:hAnsi="Times New Roman" w:cs="Times New Roman"/>
          <w:i/>
          <w:iCs/>
          <w:szCs w:val="24"/>
        </w:rPr>
        <w:t>conduct</w:t>
      </w:r>
      <w:proofErr w:type="gramEnd"/>
      <w:r w:rsidR="00A40DF9" w:rsidRPr="002269E4">
        <w:rPr>
          <w:rFonts w:ascii="Times New Roman" w:hAnsi="Times New Roman" w:cs="Times New Roman"/>
          <w:i/>
          <w:iCs/>
          <w:szCs w:val="24"/>
        </w:rPr>
        <w:t xml:space="preserve"> checks, investigations and audits which are avoidable had there been a high degree of compliance by taxpayers of their statutory reporting duties; and</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8A5857" w:rsidP="0005017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 xml:space="preserve">(b)   </w:t>
      </w:r>
      <w:proofErr w:type="gramStart"/>
      <w:r w:rsidR="00A40DF9" w:rsidRPr="002269E4">
        <w:rPr>
          <w:rFonts w:ascii="Times New Roman" w:hAnsi="Times New Roman" w:cs="Times New Roman"/>
          <w:i/>
          <w:iCs/>
          <w:szCs w:val="24"/>
        </w:rPr>
        <w:t>pamper</w:t>
      </w:r>
      <w:proofErr w:type="gramEnd"/>
      <w:r w:rsidR="00A40DF9" w:rsidRPr="002269E4">
        <w:rPr>
          <w:rFonts w:ascii="Times New Roman" w:hAnsi="Times New Roman" w:cs="Times New Roman"/>
          <w:i/>
          <w:iCs/>
          <w:szCs w:val="24"/>
        </w:rPr>
        <w:t xml:space="preserve"> taxpayers who turn a blind eye to their duty to submit timely, true correct and complete tax returns and information.</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A40DF9" w:rsidP="0005017A">
      <w:pPr>
        <w:pStyle w:val="ac"/>
        <w:widowControl/>
        <w:overflowPunct w:val="0"/>
        <w:autoSpaceDE w:val="0"/>
        <w:autoSpaceDN w:val="0"/>
        <w:ind w:leftChars="650" w:left="1560"/>
        <w:jc w:val="both"/>
        <w:rPr>
          <w:rFonts w:ascii="Times New Roman" w:hAnsi="Times New Roman" w:cs="Times New Roman"/>
          <w:i/>
          <w:iCs/>
          <w:szCs w:val="24"/>
        </w:rPr>
      </w:pPr>
      <w:r w:rsidRPr="002269E4">
        <w:rPr>
          <w:rFonts w:ascii="Times New Roman" w:hAnsi="Times New Roman" w:cs="Times New Roman"/>
          <w:i/>
          <w:iCs/>
          <w:szCs w:val="24"/>
        </w:rPr>
        <w:t>This is also unfair to the honest and compliant taxpayers who take great care to comply and exercise due diligence in complying with their statutory reporting duties.  There is no reason for the honest and compliant taxpayers exercising due diligence in the discharge of their statutory reporting duties to foot the bill.  Those in breach, not those who comply, should pay.</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8A5857" w:rsidP="0005017A">
      <w:pPr>
        <w:pStyle w:val="ac"/>
        <w:widowControl/>
        <w:overflowPunct w:val="0"/>
        <w:autoSpaceDE w:val="0"/>
        <w:autoSpaceDN w:val="0"/>
        <w:ind w:leftChars="650" w:left="1560"/>
        <w:jc w:val="both"/>
        <w:rPr>
          <w:rFonts w:ascii="Times New Roman" w:hAnsi="Times New Roman" w:cs="Times New Roman"/>
          <w:szCs w:val="24"/>
        </w:rPr>
      </w:pPr>
      <w:r w:rsidRPr="002269E4">
        <w:rPr>
          <w:rFonts w:ascii="Times New Roman" w:hAnsi="Times New Roman" w:cs="Times New Roman"/>
          <w:i/>
          <w:iCs/>
          <w:szCs w:val="24"/>
        </w:rPr>
        <w:t xml:space="preserve">59.   </w:t>
      </w:r>
      <w:r w:rsidR="00A40DF9" w:rsidRPr="002269E4">
        <w:rPr>
          <w:rFonts w:ascii="Times New Roman" w:hAnsi="Times New Roman" w:cs="Times New Roman"/>
          <w:i/>
          <w:iCs/>
          <w:szCs w:val="24"/>
        </w:rPr>
        <w:t>Penalty tax serves two purposes – to punish the delinquent taxpayers and to deter these and other taxpayers.</w:t>
      </w:r>
      <w:r w:rsidR="00591568" w:rsidRPr="002269E4">
        <w:rPr>
          <w:rFonts w:ascii="Times New Roman" w:hAnsi="Times New Roman" w:cs="Times New Roman"/>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Having regard to the underlying policies of imposing additional tax to taxpayers who have filed incorrect tax return, Section </w:t>
      </w:r>
      <w:proofErr w:type="gramStart"/>
      <w:r w:rsidRPr="002269E4">
        <w:rPr>
          <w:rFonts w:ascii="Times New Roman" w:hAnsi="Times New Roman" w:cs="Times New Roman"/>
          <w:szCs w:val="24"/>
        </w:rPr>
        <w:t>82A(</w:t>
      </w:r>
      <w:proofErr w:type="gramEnd"/>
      <w:r w:rsidRPr="002269E4">
        <w:rPr>
          <w:rFonts w:ascii="Times New Roman" w:hAnsi="Times New Roman" w:cs="Times New Roman"/>
          <w:szCs w:val="24"/>
        </w:rPr>
        <w:t xml:space="preserve">1) of the Ordinance does not only serve to punish or deter the taxpayer who understated his income, but also to protect the integrity of the revenue system and to ensure fairness to taxpayers who comply with their statutory reporting duties.  It follows, in such context, that the range of circumstances that might constitute a reasonable excuse under Section </w:t>
      </w:r>
      <w:proofErr w:type="gramStart"/>
      <w:r w:rsidRPr="002269E4">
        <w:rPr>
          <w:rFonts w:ascii="Times New Roman" w:hAnsi="Times New Roman" w:cs="Times New Roman"/>
          <w:szCs w:val="24"/>
        </w:rPr>
        <w:t>82A(</w:t>
      </w:r>
      <w:proofErr w:type="gramEnd"/>
      <w:r w:rsidRPr="002269E4">
        <w:rPr>
          <w:rFonts w:ascii="Times New Roman" w:hAnsi="Times New Roman" w:cs="Times New Roman"/>
          <w:szCs w:val="24"/>
        </w:rPr>
        <w:t>1) of the Ordinance must be a narrower one to ensure compliance of the statutory obligations by taxpayers.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Indeed, the Board has consistently taken a serious view of omission and understatement of income, see </w:t>
      </w:r>
      <w:r w:rsidRPr="002269E4">
        <w:rPr>
          <w:rFonts w:ascii="Times New Roman" w:hAnsi="Times New Roman" w:cs="Times New Roman"/>
          <w:iCs/>
          <w:szCs w:val="24"/>
          <w:u w:val="single"/>
        </w:rPr>
        <w:t>D16/07</w:t>
      </w:r>
      <w:r w:rsidRPr="002269E4">
        <w:rPr>
          <w:rFonts w:ascii="Times New Roman" w:hAnsi="Times New Roman" w:cs="Times New Roman"/>
          <w:iCs/>
          <w:szCs w:val="24"/>
        </w:rPr>
        <w:t xml:space="preserve">, IRBRD, </w:t>
      </w:r>
      <w:proofErr w:type="spellStart"/>
      <w:r w:rsidRPr="002269E4">
        <w:rPr>
          <w:rFonts w:ascii="Times New Roman" w:hAnsi="Times New Roman" w:cs="Times New Roman"/>
          <w:iCs/>
          <w:szCs w:val="24"/>
        </w:rPr>
        <w:t>vol</w:t>
      </w:r>
      <w:proofErr w:type="spellEnd"/>
      <w:r w:rsidRPr="002269E4">
        <w:rPr>
          <w:rFonts w:ascii="Times New Roman" w:hAnsi="Times New Roman" w:cs="Times New Roman"/>
          <w:iCs/>
          <w:szCs w:val="24"/>
        </w:rPr>
        <w:t xml:space="preserve"> 22, 454</w:t>
      </w:r>
      <w:r w:rsidRPr="002269E4">
        <w:rPr>
          <w:rFonts w:ascii="Times New Roman" w:hAnsi="Times New Roman" w:cs="Times New Roman"/>
          <w:szCs w:val="24"/>
        </w:rPr>
        <w:t xml:space="preserve"> at paragraphs 125 - 128, where the Board cited a number of Board decisions and extracted the following principles from those cases: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591568" w:rsidP="008E02DE">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szCs w:val="24"/>
        </w:rPr>
        <w:t>‘</w:t>
      </w:r>
      <w:r w:rsidR="00F87217" w:rsidRPr="002269E4">
        <w:rPr>
          <w:rFonts w:ascii="Times New Roman" w:hAnsi="Times New Roman" w:cs="Times New Roman"/>
          <w:i/>
          <w:iCs/>
          <w:szCs w:val="24"/>
        </w:rPr>
        <w:t>(</w:t>
      </w:r>
      <w:proofErr w:type="gramStart"/>
      <w:r w:rsidR="00F87217" w:rsidRPr="002269E4">
        <w:rPr>
          <w:rFonts w:ascii="Times New Roman" w:hAnsi="Times New Roman" w:cs="Times New Roman"/>
          <w:i/>
          <w:iCs/>
          <w:szCs w:val="24"/>
        </w:rPr>
        <w:t>a</w:t>
      </w:r>
      <w:proofErr w:type="gramEnd"/>
      <w:r w:rsidR="00F87217" w:rsidRPr="002269E4">
        <w:rPr>
          <w:rFonts w:ascii="Times New Roman" w:hAnsi="Times New Roman" w:cs="Times New Roman"/>
          <w:i/>
          <w:iCs/>
          <w:szCs w:val="24"/>
        </w:rPr>
        <w:t xml:space="preserve">)   </w:t>
      </w:r>
      <w:r w:rsidR="00A40DF9" w:rsidRPr="002269E4">
        <w:rPr>
          <w:rFonts w:ascii="Times New Roman" w:hAnsi="Times New Roman" w:cs="Times New Roman"/>
          <w:i/>
          <w:iCs/>
          <w:szCs w:val="24"/>
        </w:rPr>
        <w:t>Receipt and accrual of income and the total amount in the 12-month period in a year of assessment are factual matters within the personal knowledge of the taxpayer.  Such knowledge does not depend on the taxpayer being supplied with employer’s return(s) or remembering about employer’s return(s).</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F87217" w:rsidP="008E02DE">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i/>
          <w:iCs/>
          <w:szCs w:val="24"/>
        </w:rPr>
        <w:t xml:space="preserve">(b)   </w:t>
      </w:r>
      <w:r w:rsidR="00A40DF9" w:rsidRPr="002269E4">
        <w:rPr>
          <w:rFonts w:ascii="Times New Roman" w:hAnsi="Times New Roman" w:cs="Times New Roman"/>
          <w:i/>
          <w:iCs/>
          <w:szCs w:val="24"/>
        </w:rPr>
        <w:t xml:space="preserve">In cases where the taxpayer was paid by </w:t>
      </w:r>
      <w:proofErr w:type="spellStart"/>
      <w:r w:rsidR="00A40DF9" w:rsidRPr="002269E4">
        <w:rPr>
          <w:rFonts w:ascii="Times New Roman" w:hAnsi="Times New Roman" w:cs="Times New Roman"/>
          <w:i/>
          <w:iCs/>
          <w:szCs w:val="24"/>
        </w:rPr>
        <w:t>autopay</w:t>
      </w:r>
      <w:proofErr w:type="spellEnd"/>
      <w:r w:rsidR="00A40DF9" w:rsidRPr="002269E4">
        <w:rPr>
          <w:rFonts w:ascii="Times New Roman" w:hAnsi="Times New Roman" w:cs="Times New Roman"/>
          <w:i/>
          <w:iCs/>
          <w:szCs w:val="24"/>
        </w:rPr>
        <w:t xml:space="preserve"> or deposits into the taxpayer’s bank account, the taxpayer could easily have ascertained and checked the correct total amount of income by reference to the banking records.</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F87217" w:rsidP="008E02DE">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i/>
          <w:iCs/>
          <w:szCs w:val="24"/>
        </w:rPr>
        <w:t xml:space="preserve">(c)   </w:t>
      </w:r>
      <w:r w:rsidR="00A40DF9" w:rsidRPr="002269E4">
        <w:rPr>
          <w:rFonts w:ascii="Times New Roman" w:hAnsi="Times New Roman" w:cs="Times New Roman"/>
          <w:i/>
          <w:iCs/>
          <w:szCs w:val="24"/>
        </w:rPr>
        <w:t xml:space="preserve">Carelessness or recklessness is not a </w:t>
      </w:r>
      <w:proofErr w:type="spellStart"/>
      <w:r w:rsidR="00A40DF9" w:rsidRPr="002269E4">
        <w:rPr>
          <w:rFonts w:ascii="Times New Roman" w:hAnsi="Times New Roman" w:cs="Times New Roman"/>
          <w:i/>
          <w:iCs/>
          <w:szCs w:val="24"/>
        </w:rPr>
        <w:t>licence</w:t>
      </w:r>
      <w:proofErr w:type="spellEnd"/>
      <w:r w:rsidR="00A40DF9" w:rsidRPr="002269E4">
        <w:rPr>
          <w:rFonts w:ascii="Times New Roman" w:hAnsi="Times New Roman" w:cs="Times New Roman"/>
          <w:i/>
          <w:iCs/>
          <w:szCs w:val="24"/>
        </w:rPr>
        <w:t xml:space="preserve"> to understate or omit one’s income.</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F87217" w:rsidP="008E02DE">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i/>
          <w:iCs/>
          <w:szCs w:val="24"/>
        </w:rPr>
        <w:t xml:space="preserve">(d)   </w:t>
      </w:r>
      <w:r w:rsidR="00A40DF9" w:rsidRPr="002269E4">
        <w:rPr>
          <w:rFonts w:ascii="Times New Roman" w:hAnsi="Times New Roman" w:cs="Times New Roman"/>
          <w:i/>
          <w:iCs/>
          <w:szCs w:val="24"/>
        </w:rPr>
        <w:t>While an intention to evade tax is undoubtedly an aggravating factor, lack of intention to evade tax is not a mitigating factor for the simple reason that no taxpayer should have the intention to evade tax.</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F87217" w:rsidP="008E02DE">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i/>
          <w:iCs/>
          <w:szCs w:val="24"/>
        </w:rPr>
        <w:t xml:space="preserve">(e)   </w:t>
      </w:r>
      <w:r w:rsidR="00A40DF9" w:rsidRPr="002269E4">
        <w:rPr>
          <w:rFonts w:ascii="Times New Roman" w:hAnsi="Times New Roman" w:cs="Times New Roman"/>
          <w:i/>
          <w:iCs/>
          <w:szCs w:val="24"/>
        </w:rPr>
        <w:t>There is no duty on the part of the Revenue to warn a taxpayer before invoking section 82A.</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F87217" w:rsidP="008E02DE">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i/>
          <w:iCs/>
          <w:szCs w:val="24"/>
        </w:rPr>
        <w:t xml:space="preserve">(f)   </w:t>
      </w:r>
      <w:r w:rsidR="00A40DF9" w:rsidRPr="002269E4">
        <w:rPr>
          <w:rFonts w:ascii="Times New Roman" w:hAnsi="Times New Roman" w:cs="Times New Roman"/>
          <w:i/>
          <w:iCs/>
          <w:szCs w:val="24"/>
        </w:rPr>
        <w:t>Payment of tax is not a relevant factor.  It is the duty of every taxpayer to pay the correct amount of tax.  If he/she does not pay tax, on time or at all, he/she will be subject to enforcement action.</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835D34" w:rsidP="008E02DE">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i/>
          <w:iCs/>
          <w:szCs w:val="24"/>
        </w:rPr>
        <w:t xml:space="preserve">(g)  </w:t>
      </w:r>
      <w:r w:rsidR="00A40DF9" w:rsidRPr="002269E4">
        <w:rPr>
          <w:rFonts w:ascii="Times New Roman" w:hAnsi="Times New Roman" w:cs="Times New Roman"/>
          <w:i/>
          <w:iCs/>
          <w:szCs w:val="24"/>
        </w:rPr>
        <w:t>The fact that the Revenue was vigilant enough to detect the understatement is not a mitigating factor.  The fact that the Revenue suffered no financial loss is not a mitigating factor.  It is an aggravating factor if the Revenue has suffered financial loss.</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F87217" w:rsidP="008E02DE">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i/>
          <w:iCs/>
          <w:szCs w:val="24"/>
        </w:rPr>
        <w:t xml:space="preserve">(h)   </w:t>
      </w:r>
      <w:r w:rsidR="00A40DF9" w:rsidRPr="002269E4">
        <w:rPr>
          <w:rFonts w:ascii="Times New Roman" w:hAnsi="Times New Roman" w:cs="Times New Roman"/>
          <w:i/>
          <w:iCs/>
          <w:szCs w:val="24"/>
        </w:rPr>
        <w:t>Financial difficulty or inability to pay the penalty must be proved by cogent evidence.</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F87217" w:rsidP="008E02DE">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i/>
          <w:iCs/>
          <w:szCs w:val="24"/>
        </w:rPr>
        <w:t>(</w:t>
      </w:r>
      <w:proofErr w:type="spellStart"/>
      <w:r w:rsidRPr="002269E4">
        <w:rPr>
          <w:rFonts w:ascii="Times New Roman" w:hAnsi="Times New Roman" w:cs="Times New Roman"/>
          <w:i/>
          <w:iCs/>
          <w:szCs w:val="24"/>
        </w:rPr>
        <w:t>i</w:t>
      </w:r>
      <w:proofErr w:type="spellEnd"/>
      <w:r w:rsidRPr="002269E4">
        <w:rPr>
          <w:rFonts w:ascii="Times New Roman" w:hAnsi="Times New Roman" w:cs="Times New Roman"/>
          <w:i/>
          <w:iCs/>
          <w:szCs w:val="24"/>
        </w:rPr>
        <w:t xml:space="preserve">)   </w:t>
      </w:r>
      <w:r w:rsidR="00A40DF9" w:rsidRPr="002269E4">
        <w:rPr>
          <w:rFonts w:ascii="Times New Roman" w:hAnsi="Times New Roman" w:cs="Times New Roman"/>
          <w:i/>
          <w:iCs/>
          <w:szCs w:val="24"/>
        </w:rPr>
        <w:t>In cases of an incorrect return, it is wholly unrealistic for a taxpayer to ask for zero penalty.  If anything, this is an indication that the taxpayer is still not taking his/her duties seriously.</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F87217" w:rsidP="008E02DE">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i/>
          <w:iCs/>
          <w:szCs w:val="24"/>
        </w:rPr>
        <w:t xml:space="preserve">(j)   </w:t>
      </w:r>
      <w:r w:rsidR="00A40DF9" w:rsidRPr="002269E4">
        <w:rPr>
          <w:rFonts w:ascii="Times New Roman" w:hAnsi="Times New Roman" w:cs="Times New Roman"/>
          <w:i/>
          <w:iCs/>
          <w:szCs w:val="24"/>
        </w:rPr>
        <w:t>There must be a real difference in penalty between those who mitigate their breaches by being co-operative and those who aggravate their breaches by being obstructive.</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F87217" w:rsidP="008E02DE">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i/>
          <w:iCs/>
          <w:szCs w:val="24"/>
        </w:rPr>
        <w:t xml:space="preserve">(k)   </w:t>
      </w:r>
      <w:r w:rsidR="00A40DF9" w:rsidRPr="002269E4">
        <w:rPr>
          <w:rFonts w:ascii="Times New Roman" w:hAnsi="Times New Roman" w:cs="Times New Roman"/>
          <w:i/>
          <w:iCs/>
          <w:szCs w:val="24"/>
        </w:rPr>
        <w:t>A second or further contravention is an aggravating factor.  If a taxpayer does not get the message from the Revenue’s or the Board’s treatment of the first or earlier contraventions and does not take proper steps to ensure full and complete reporting of income, a heavier penalty should, as a general rule, be imposed for subsequent contraventions.</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F87217" w:rsidP="008E02DE">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i/>
          <w:iCs/>
          <w:szCs w:val="24"/>
        </w:rPr>
        <w:t xml:space="preserve">(l)   </w:t>
      </w:r>
      <w:r w:rsidR="00A40DF9" w:rsidRPr="002269E4">
        <w:rPr>
          <w:rFonts w:ascii="Times New Roman" w:hAnsi="Times New Roman" w:cs="Times New Roman"/>
          <w:i/>
          <w:iCs/>
          <w:szCs w:val="24"/>
        </w:rPr>
        <w:t>A blatant breach should be punished by a stiff penalty.</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D65D00" w:rsidP="00B9551B">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i/>
          <w:iCs/>
          <w:szCs w:val="24"/>
        </w:rPr>
        <w:t xml:space="preserve">(m)  </w:t>
      </w:r>
      <w:r w:rsidR="00A40DF9" w:rsidRPr="002269E4">
        <w:rPr>
          <w:rFonts w:ascii="Times New Roman" w:hAnsi="Times New Roman" w:cs="Times New Roman"/>
          <w:i/>
          <w:iCs/>
          <w:szCs w:val="24"/>
        </w:rPr>
        <w:t>In cases where the Board concludes that the additional tax assessment is excessive, the Board will reduce the penalty assessment.</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D65D00" w:rsidP="008E02DE">
      <w:pPr>
        <w:pStyle w:val="ac"/>
        <w:widowControl/>
        <w:overflowPunct w:val="0"/>
        <w:autoSpaceDE w:val="0"/>
        <w:autoSpaceDN w:val="0"/>
        <w:ind w:leftChars="638" w:left="1531"/>
        <w:jc w:val="both"/>
        <w:rPr>
          <w:rFonts w:ascii="Times New Roman" w:hAnsi="Times New Roman" w:cs="Times New Roman"/>
          <w:i/>
          <w:iCs/>
          <w:szCs w:val="24"/>
        </w:rPr>
      </w:pPr>
      <w:r w:rsidRPr="002269E4">
        <w:rPr>
          <w:rFonts w:ascii="Times New Roman" w:hAnsi="Times New Roman" w:cs="Times New Roman"/>
          <w:i/>
          <w:iCs/>
          <w:szCs w:val="24"/>
        </w:rPr>
        <w:t xml:space="preserve">(n)  </w:t>
      </w:r>
      <w:r w:rsidR="00A40DF9" w:rsidRPr="002269E4">
        <w:rPr>
          <w:rFonts w:ascii="Times New Roman" w:hAnsi="Times New Roman" w:cs="Times New Roman"/>
          <w:i/>
          <w:iCs/>
          <w:szCs w:val="24"/>
        </w:rPr>
        <w:t>In appropriate cases where the Board concludes that the additional tax assessment is manifestly inadequate, the Board will increase the additional tax assessment.</w:t>
      </w:r>
    </w:p>
    <w:p w:rsidR="00A40DF9" w:rsidRPr="002269E4" w:rsidRDefault="00A40DF9" w:rsidP="001C5608">
      <w:pPr>
        <w:pStyle w:val="ac"/>
        <w:widowControl/>
        <w:overflowPunct w:val="0"/>
        <w:autoSpaceDE w:val="0"/>
        <w:autoSpaceDN w:val="0"/>
        <w:jc w:val="both"/>
        <w:rPr>
          <w:rFonts w:ascii="Times New Roman" w:hAnsi="Times New Roman" w:cs="Times New Roman"/>
          <w:i/>
          <w:iCs/>
          <w:szCs w:val="24"/>
        </w:rPr>
      </w:pPr>
    </w:p>
    <w:p w:rsidR="00A40DF9" w:rsidRPr="002269E4" w:rsidRDefault="00F87217" w:rsidP="008E02DE">
      <w:pPr>
        <w:pStyle w:val="ac"/>
        <w:widowControl/>
        <w:overflowPunct w:val="0"/>
        <w:autoSpaceDE w:val="0"/>
        <w:autoSpaceDN w:val="0"/>
        <w:ind w:leftChars="638" w:left="1531"/>
        <w:jc w:val="both"/>
        <w:rPr>
          <w:rFonts w:ascii="Times New Roman" w:hAnsi="Times New Roman" w:cs="Times New Roman"/>
          <w:szCs w:val="24"/>
        </w:rPr>
      </w:pPr>
      <w:r w:rsidRPr="002269E4">
        <w:rPr>
          <w:rFonts w:ascii="Times New Roman" w:hAnsi="Times New Roman" w:cs="Times New Roman"/>
          <w:i/>
          <w:iCs/>
          <w:szCs w:val="24"/>
        </w:rPr>
        <w:t xml:space="preserve">(o)   </w:t>
      </w:r>
      <w:r w:rsidR="00A40DF9" w:rsidRPr="002269E4">
        <w:rPr>
          <w:rFonts w:ascii="Times New Roman" w:hAnsi="Times New Roman" w:cs="Times New Roman"/>
          <w:i/>
          <w:iCs/>
          <w:szCs w:val="24"/>
        </w:rPr>
        <w:t>Where the Board concludes that the appeal is frivolous and vexatious or an abuse of the process of appeal, the Board may impose an order on costs.</w:t>
      </w:r>
      <w:r w:rsidR="00591568" w:rsidRPr="002269E4">
        <w:rPr>
          <w:rFonts w:ascii="Times New Roman" w:hAnsi="Times New Roman" w:cs="Times New Roman"/>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Having regard to the principles as stated above, it is clear that the Appellant’s circumstances significantly fall short of what would have been a reasonable excuse under section 82A(1) of the Ordinance.  The Board does not find the Appellant’s circumstances, individually or collectively, exonerating.   The reasons being:</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846202">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There is no evidence suggesting that the Appellant was not able to manage her personal affairs, in particular her statutory obligations to report income to the Department, due to her (alleged) stress at work;</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082A0A">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Stress by itself can hardly be a justification, let alone reasonable excuse, for one not to comply wi</w:t>
      </w:r>
      <w:r w:rsidR="005E2263" w:rsidRPr="002269E4">
        <w:rPr>
          <w:rFonts w:ascii="Times New Roman" w:hAnsi="Times New Roman" w:cs="Times New Roman"/>
          <w:szCs w:val="24"/>
        </w:rPr>
        <w:t xml:space="preserve">th one’s statutory obligation. </w:t>
      </w:r>
      <w:r w:rsidRPr="002269E4">
        <w:rPr>
          <w:rFonts w:ascii="Times New Roman" w:hAnsi="Times New Roman" w:cs="Times New Roman"/>
          <w:szCs w:val="24"/>
        </w:rPr>
        <w:t xml:space="preserve">This is so having regard to the underlying objectives of section </w:t>
      </w:r>
      <w:proofErr w:type="gramStart"/>
      <w:r w:rsidRPr="002269E4">
        <w:rPr>
          <w:rFonts w:ascii="Times New Roman" w:hAnsi="Times New Roman" w:cs="Times New Roman"/>
          <w:szCs w:val="24"/>
        </w:rPr>
        <w:t>82A(</w:t>
      </w:r>
      <w:proofErr w:type="gramEnd"/>
      <w:r w:rsidRPr="002269E4">
        <w:rPr>
          <w:rFonts w:ascii="Times New Roman" w:hAnsi="Times New Roman" w:cs="Times New Roman"/>
          <w:szCs w:val="24"/>
        </w:rPr>
        <w:t>1) of the Ordinance in protecting the revenue and ensuring fairness, it would not be fair to other taxpayers who are able to duly fulfill their tax reportin</w:t>
      </w:r>
      <w:r w:rsidR="005E2263" w:rsidRPr="002269E4">
        <w:rPr>
          <w:rFonts w:ascii="Times New Roman" w:hAnsi="Times New Roman" w:cs="Times New Roman"/>
          <w:szCs w:val="24"/>
        </w:rPr>
        <w:t xml:space="preserve">g obligations. </w:t>
      </w:r>
      <w:r w:rsidRPr="002269E4">
        <w:rPr>
          <w:rFonts w:ascii="Times New Roman" w:hAnsi="Times New Roman" w:cs="Times New Roman"/>
          <w:szCs w:val="24"/>
        </w:rPr>
        <w:t>The Board also agrees with the Commissioner that the Appellant’s failure to file a correct return was due to the Appellant’s choice not to pay due regard or attach a lower weight to her filing obligations, rather than inability due to work stress.</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082A0A">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 xml:space="preserve">In relation to the Appellant’s own (alleged) confusion of the 2019/20 Return, it is not a genuine justification.  The Appellant is a highly-educated person who is familiar with the fields of business, finance and accounting.  She has also been working in a multi-national company as a senior management.  The Board finds that the 2019/20 Return is clear enough so that no reasonable person in the position and experience of the Appellant would be confused as to the information required, in particular the Appellant had had the experience in filing previous property tax return.  If the Appellant were indeed confused as she claimed, she should have sought the clarification either from the Department or </w:t>
      </w:r>
      <w:proofErr w:type="spellStart"/>
      <w:r w:rsidR="00D404A6" w:rsidRPr="002269E4">
        <w:rPr>
          <w:rFonts w:ascii="Times New Roman" w:hAnsi="Times New Roman" w:cs="Times New Roman"/>
          <w:szCs w:val="24"/>
        </w:rPr>
        <w:t>Mr</w:t>
      </w:r>
      <w:proofErr w:type="spellEnd"/>
      <w:r w:rsidR="00D404A6" w:rsidRPr="002269E4">
        <w:rPr>
          <w:rFonts w:ascii="Times New Roman" w:hAnsi="Times New Roman" w:cs="Times New Roman"/>
          <w:szCs w:val="24"/>
        </w:rPr>
        <w:t xml:space="preserve"> B</w:t>
      </w:r>
      <w:r w:rsidRPr="002269E4">
        <w:rPr>
          <w:rFonts w:ascii="Times New Roman" w:hAnsi="Times New Roman" w:cs="Times New Roman"/>
          <w:szCs w:val="24"/>
        </w:rPr>
        <w:t xml:space="preserve"> which she did not do so.</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082A0A">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2269E4">
        <w:rPr>
          <w:rFonts w:ascii="Times New Roman" w:hAnsi="Times New Roman" w:cs="Times New Roman"/>
          <w:szCs w:val="24"/>
        </w:rPr>
        <w:t>Despite the reporting of the so-called one-month rental income in the 2019/20 Return erroneously, the Appellant, however, was careful to claim a deduction of rates for the full year in Part 3.3(1) thereof. The amount claimed, being HK$10,016, was more than the quarterly rates and government rent payable totaling HK$4,950 and far exceeded the quarterly rates of HK$2,531 or monthly rates of HK$844 (HK$2,531/3).  Further, even the alleged one-month rental was not the correct amount (which should have been HK$35,000 instead of HK$32,000).  All these demonstrate the lack of care on the part of the Appellant i</w:t>
      </w:r>
      <w:r w:rsidR="009F4025" w:rsidRPr="002269E4">
        <w:rPr>
          <w:rFonts w:ascii="Times New Roman" w:hAnsi="Times New Roman" w:cs="Times New Roman"/>
          <w:szCs w:val="24"/>
        </w:rPr>
        <w:t xml:space="preserve">n filling the 2019/20 Return. </w:t>
      </w:r>
      <w:r w:rsidRPr="002269E4">
        <w:rPr>
          <w:rFonts w:ascii="Times New Roman" w:hAnsi="Times New Roman" w:cs="Times New Roman"/>
          <w:szCs w:val="24"/>
        </w:rPr>
        <w:t>Carelessness or recklessness cannot be a reasonable excuse to understate or omit one’s income.</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In the circumstances, the Board does not find any reasonable excuse of the Appellant in making the incorrect 2019/20 Return.  The liability of the Taxpayer to pay additional tax under Section </w:t>
      </w:r>
      <w:proofErr w:type="gramStart"/>
      <w:r w:rsidRPr="002269E4">
        <w:rPr>
          <w:rFonts w:ascii="Times New Roman" w:hAnsi="Times New Roman" w:cs="Times New Roman"/>
          <w:szCs w:val="24"/>
        </w:rPr>
        <w:t>82A(</w:t>
      </w:r>
      <w:proofErr w:type="gramEnd"/>
      <w:r w:rsidRPr="002269E4">
        <w:rPr>
          <w:rFonts w:ascii="Times New Roman" w:hAnsi="Times New Roman" w:cs="Times New Roman"/>
          <w:szCs w:val="24"/>
        </w:rPr>
        <w:t>1) of the Ordinance do stand.</w:t>
      </w:r>
    </w:p>
    <w:p w:rsidR="00A40DF9" w:rsidRPr="002269E4" w:rsidRDefault="00A40DF9" w:rsidP="001C5608">
      <w:pPr>
        <w:widowControl/>
        <w:overflowPunct w:val="0"/>
        <w:autoSpaceDE w:val="0"/>
        <w:autoSpaceDN w:val="0"/>
        <w:jc w:val="both"/>
        <w:rPr>
          <w:rFonts w:ascii="Times New Roman" w:hAnsi="Times New Roman" w:cs="Times New Roman"/>
          <w:i/>
          <w:szCs w:val="24"/>
        </w:rPr>
      </w:pPr>
    </w:p>
    <w:p w:rsidR="009F4025" w:rsidRPr="002269E4" w:rsidRDefault="009F4025" w:rsidP="001C5608">
      <w:pPr>
        <w:widowControl/>
        <w:overflowPunct w:val="0"/>
        <w:autoSpaceDE w:val="0"/>
        <w:autoSpaceDN w:val="0"/>
        <w:jc w:val="both"/>
        <w:rPr>
          <w:rFonts w:ascii="Times New Roman" w:hAnsi="Times New Roman" w:cs="Times New Roman"/>
          <w:i/>
          <w:szCs w:val="24"/>
        </w:rPr>
      </w:pPr>
    </w:p>
    <w:p w:rsidR="009F4025" w:rsidRPr="002269E4" w:rsidRDefault="009F4025" w:rsidP="001C5608">
      <w:pPr>
        <w:widowControl/>
        <w:overflowPunct w:val="0"/>
        <w:autoSpaceDE w:val="0"/>
        <w:autoSpaceDN w:val="0"/>
        <w:jc w:val="both"/>
        <w:rPr>
          <w:rFonts w:ascii="Times New Roman" w:hAnsi="Times New Roman" w:cs="Times New Roman"/>
          <w:i/>
          <w:szCs w:val="24"/>
        </w:rPr>
      </w:pPr>
    </w:p>
    <w:p w:rsidR="00A40DF9" w:rsidRPr="002269E4" w:rsidRDefault="00A40DF9" w:rsidP="001C5608">
      <w:pPr>
        <w:widowControl/>
        <w:overflowPunct w:val="0"/>
        <w:autoSpaceDE w:val="0"/>
        <w:autoSpaceDN w:val="0"/>
        <w:jc w:val="both"/>
        <w:rPr>
          <w:rFonts w:ascii="Times New Roman" w:hAnsi="Times New Roman" w:cs="Times New Roman"/>
          <w:b/>
          <w:i/>
          <w:szCs w:val="24"/>
        </w:rPr>
      </w:pPr>
      <w:r w:rsidRPr="002269E4">
        <w:rPr>
          <w:rFonts w:ascii="Times New Roman" w:hAnsi="Times New Roman" w:cs="Times New Roman"/>
          <w:b/>
          <w:i/>
          <w:szCs w:val="24"/>
        </w:rPr>
        <w:t>Issue 2 – Whether the additional tax is excessive</w:t>
      </w:r>
    </w:p>
    <w:p w:rsidR="00E57FBC" w:rsidRPr="002269E4" w:rsidRDefault="00E57FBC" w:rsidP="001C5608">
      <w:pPr>
        <w:widowControl/>
        <w:overflowPunct w:val="0"/>
        <w:autoSpaceDE w:val="0"/>
        <w:autoSpaceDN w:val="0"/>
        <w:jc w:val="both"/>
        <w:rPr>
          <w:rFonts w:ascii="Times New Roman" w:hAnsi="Times New Roman" w:cs="Times New Roman"/>
          <w:i/>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Under Section </w:t>
      </w:r>
      <w:proofErr w:type="gramStart"/>
      <w:r w:rsidRPr="002269E4">
        <w:rPr>
          <w:rFonts w:ascii="Times New Roman" w:hAnsi="Times New Roman" w:cs="Times New Roman"/>
          <w:szCs w:val="24"/>
        </w:rPr>
        <w:t>82A(</w:t>
      </w:r>
      <w:proofErr w:type="gramEnd"/>
      <w:r w:rsidRPr="002269E4">
        <w:rPr>
          <w:rFonts w:ascii="Times New Roman" w:hAnsi="Times New Roman" w:cs="Times New Roman"/>
          <w:szCs w:val="24"/>
        </w:rPr>
        <w:t xml:space="preserve">1) of the Ordinance, it empowers the Commissioner to charge up to treble of the understated amount.  The amount of additional tax imposed on the Appellant was a mere HK$4,700, or about 10.09% of the undercharged tax.  </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In comparison to the relatively modest additional tax imposed on her, the Appellant understated her income by more than 90%.</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The Appellant admitted that she does not have any financial difficulty to pay the HK$4,700.  After all, the Appellant’s income from her employment exceeds HK$1 million a year.  The rental income from the Property also exceeded HK$400,000 a year.</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The Appellant should have known about her mistake in understating the rental income after the receipt of the original tax demand note, which had significantly understated the tax payable.  The Appellant, however, sat back and did nothing to rectify until questions were being asked by the Department in the following financial year.</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These circumstances demonstrate that the Appellant’s plea for reduction of additional tax is by itself an unattractive one.  Apart from the fact that it was the first time the Appellant filed an incorrect return and that the mistake was likely not intentional, the Board does not consider there were any other mitigating circumstances. </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 xml:space="preserve">On behalf of the Commissioner, it was submitted that for simple and inadvertent omission or understatement of income in first offence case, it has long been the Department's policy to impose a penalty of 10% of the tax undercharged. This practice has been endorsed by the Board in dealing with numerous appeals against assessments of additional tax. In </w:t>
      </w:r>
      <w:r w:rsidRPr="002269E4">
        <w:rPr>
          <w:rFonts w:ascii="Times New Roman" w:hAnsi="Times New Roman" w:cs="Times New Roman"/>
          <w:szCs w:val="24"/>
          <w:u w:val="single"/>
        </w:rPr>
        <w:t>D8/96</w:t>
      </w:r>
      <w:r w:rsidRPr="002269E4">
        <w:rPr>
          <w:rFonts w:ascii="Times New Roman" w:hAnsi="Times New Roman" w:cs="Times New Roman"/>
          <w:szCs w:val="24"/>
        </w:rPr>
        <w:t xml:space="preserve">, </w:t>
      </w:r>
      <w:r w:rsidRPr="002269E4">
        <w:rPr>
          <w:rFonts w:ascii="Times New Roman" w:hAnsi="Times New Roman" w:cs="Times New Roman"/>
          <w:szCs w:val="24"/>
          <w:u w:val="single"/>
        </w:rPr>
        <w:t>D94/98</w:t>
      </w:r>
      <w:r w:rsidRPr="002269E4">
        <w:rPr>
          <w:rFonts w:ascii="Times New Roman" w:hAnsi="Times New Roman" w:cs="Times New Roman"/>
          <w:szCs w:val="24"/>
        </w:rPr>
        <w:t xml:space="preserve"> and </w:t>
      </w:r>
      <w:r w:rsidRPr="002269E4">
        <w:rPr>
          <w:rFonts w:ascii="Times New Roman" w:hAnsi="Times New Roman" w:cs="Times New Roman"/>
          <w:szCs w:val="24"/>
          <w:u w:val="single"/>
        </w:rPr>
        <w:t>D4/19</w:t>
      </w:r>
      <w:r w:rsidRPr="002269E4">
        <w:rPr>
          <w:rFonts w:ascii="Times New Roman" w:hAnsi="Times New Roman" w:cs="Times New Roman"/>
          <w:szCs w:val="24"/>
        </w:rPr>
        <w:t xml:space="preserve">, the Boards consistently held that the norm of 10% penalty was appropriate in cases where the taxpayer made a genuine mistake in filing an incorrect return.  It was also pointed out in </w:t>
      </w:r>
      <w:r w:rsidRPr="002269E4">
        <w:rPr>
          <w:rFonts w:ascii="Times New Roman" w:hAnsi="Times New Roman" w:cs="Times New Roman"/>
          <w:szCs w:val="24"/>
          <w:u w:val="single"/>
        </w:rPr>
        <w:t>D4/19</w:t>
      </w:r>
      <w:r w:rsidRPr="002269E4">
        <w:rPr>
          <w:rFonts w:ascii="Times New Roman" w:hAnsi="Times New Roman" w:cs="Times New Roman"/>
          <w:szCs w:val="24"/>
        </w:rPr>
        <w:t xml:space="preserve"> that it was wholly unrealistic for a taxpayer to ask for zero penalty.  Besides, the absence of dishonest intent does not automatically entitle the taxpayer to a low or nominal penalty under section 82A as stated in </w:t>
      </w:r>
      <w:r w:rsidRPr="002269E4">
        <w:rPr>
          <w:rFonts w:ascii="Times New Roman" w:hAnsi="Times New Roman" w:cs="Times New Roman"/>
          <w:szCs w:val="24"/>
          <w:u w:val="single"/>
        </w:rPr>
        <w:t>D16/07</w:t>
      </w:r>
      <w:r w:rsidRPr="002269E4">
        <w:rPr>
          <w:rFonts w:ascii="Times New Roman" w:hAnsi="Times New Roman" w:cs="Times New Roman"/>
          <w:szCs w:val="24"/>
        </w:rPr>
        <w:t>.</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rPr>
      </w:pPr>
      <w:r w:rsidRPr="002269E4">
        <w:rPr>
          <w:rFonts w:ascii="Times New Roman" w:hAnsi="Times New Roman" w:cs="Times New Roman"/>
          <w:szCs w:val="24"/>
        </w:rPr>
        <w:t>Having review the previous decisions of the Board and the circumstances of this case, the Board agrees with the Commissioner that additional tax of 10.09% of the undercharged tax cannot by any means be regarded as excessive.</w:t>
      </w:r>
    </w:p>
    <w:p w:rsidR="00E57FBC" w:rsidRPr="002269E4" w:rsidRDefault="00E57FBC" w:rsidP="00E57FBC">
      <w:pPr>
        <w:pStyle w:val="ac"/>
        <w:widowControl/>
        <w:overflowPunct w:val="0"/>
        <w:autoSpaceDE w:val="0"/>
        <w:autoSpaceDN w:val="0"/>
        <w:ind w:leftChars="0" w:left="360"/>
        <w:jc w:val="both"/>
        <w:rPr>
          <w:rFonts w:ascii="Times New Roman" w:hAnsi="Times New Roman" w:cs="Times New Roman"/>
          <w:szCs w:val="24"/>
        </w:rPr>
      </w:pPr>
    </w:p>
    <w:p w:rsidR="00A40DF9" w:rsidRPr="002269E4" w:rsidRDefault="00A40DF9" w:rsidP="001C5608">
      <w:pPr>
        <w:widowControl/>
        <w:overflowPunct w:val="0"/>
        <w:autoSpaceDE w:val="0"/>
        <w:autoSpaceDN w:val="0"/>
        <w:jc w:val="both"/>
        <w:rPr>
          <w:rFonts w:ascii="Times New Roman" w:hAnsi="Times New Roman" w:cs="Times New Roman"/>
          <w:b/>
          <w:szCs w:val="24"/>
        </w:rPr>
      </w:pPr>
      <w:r w:rsidRPr="002269E4">
        <w:rPr>
          <w:rFonts w:ascii="Times New Roman" w:hAnsi="Times New Roman" w:cs="Times New Roman"/>
          <w:b/>
          <w:szCs w:val="24"/>
        </w:rPr>
        <w:t>Conclusion</w:t>
      </w:r>
    </w:p>
    <w:p w:rsidR="00E57FBC" w:rsidRPr="002269E4" w:rsidRDefault="00E57FBC" w:rsidP="001C5608">
      <w:pPr>
        <w:widowControl/>
        <w:overflowPunct w:val="0"/>
        <w:autoSpaceDE w:val="0"/>
        <w:autoSpaceDN w:val="0"/>
        <w:jc w:val="both"/>
        <w:rPr>
          <w:rFonts w:ascii="Times New Roman" w:hAnsi="Times New Roman" w:cs="Times New Roman"/>
          <w:b/>
          <w:szCs w:val="24"/>
          <w:u w:val="single"/>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u w:val="single"/>
        </w:rPr>
      </w:pPr>
      <w:r w:rsidRPr="002269E4">
        <w:rPr>
          <w:rFonts w:ascii="Times New Roman" w:hAnsi="Times New Roman" w:cs="Times New Roman"/>
          <w:szCs w:val="24"/>
        </w:rPr>
        <w:t>This appeal is accordingly dismissed.</w:t>
      </w:r>
    </w:p>
    <w:p w:rsidR="00A40DF9" w:rsidRPr="002269E4" w:rsidRDefault="00A40DF9" w:rsidP="001C5608">
      <w:pPr>
        <w:pStyle w:val="ac"/>
        <w:widowControl/>
        <w:overflowPunct w:val="0"/>
        <w:autoSpaceDE w:val="0"/>
        <w:autoSpaceDN w:val="0"/>
        <w:jc w:val="both"/>
        <w:rPr>
          <w:rFonts w:ascii="Times New Roman" w:hAnsi="Times New Roman" w:cs="Times New Roman"/>
          <w:szCs w:val="24"/>
          <w:u w:val="single"/>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u w:val="single"/>
        </w:rPr>
      </w:pPr>
      <w:r w:rsidRPr="002269E4">
        <w:rPr>
          <w:rFonts w:ascii="Times New Roman" w:hAnsi="Times New Roman" w:cs="Times New Roman"/>
          <w:szCs w:val="24"/>
        </w:rPr>
        <w:t>Under Section 68(9) of the Ordinance, the Board may order the Appellant to pay costs of the Board not exceeding a sum of HK$25,000 and such sum shall be added to the tax charged and recovered therewith.</w:t>
      </w:r>
    </w:p>
    <w:p w:rsidR="00A40DF9" w:rsidRPr="002269E4" w:rsidRDefault="00A40DF9" w:rsidP="001C5608">
      <w:pPr>
        <w:pStyle w:val="ac"/>
        <w:widowControl/>
        <w:overflowPunct w:val="0"/>
        <w:autoSpaceDE w:val="0"/>
        <w:autoSpaceDN w:val="0"/>
        <w:jc w:val="both"/>
        <w:rPr>
          <w:rFonts w:ascii="Times New Roman" w:hAnsi="Times New Roman" w:cs="Times New Roman"/>
          <w:szCs w:val="24"/>
        </w:rPr>
      </w:pPr>
    </w:p>
    <w:p w:rsidR="00A40DF9" w:rsidRPr="002269E4" w:rsidRDefault="00A40DF9" w:rsidP="00D272BB">
      <w:pPr>
        <w:numPr>
          <w:ilvl w:val="0"/>
          <w:numId w:val="6"/>
        </w:numPr>
        <w:overflowPunct w:val="0"/>
        <w:autoSpaceDE w:val="0"/>
        <w:autoSpaceDN w:val="0"/>
        <w:ind w:left="0" w:firstLine="0"/>
        <w:jc w:val="both"/>
        <w:rPr>
          <w:rFonts w:ascii="Times New Roman" w:hAnsi="Times New Roman" w:cs="Times New Roman"/>
          <w:szCs w:val="24"/>
          <w:u w:val="single"/>
        </w:rPr>
      </w:pPr>
      <w:r w:rsidRPr="002269E4">
        <w:rPr>
          <w:rFonts w:ascii="Times New Roman" w:hAnsi="Times New Roman" w:cs="Times New Roman"/>
          <w:szCs w:val="24"/>
        </w:rPr>
        <w:t xml:space="preserve">The Board is of the view that there are no merits in the Appellant’s appeal.  As the result of the appeal, government resources have been expended in order to hear the appeal.  We order the Appellant to pay a sum of HK$2,500 as costs of the Board which shall be added to the tax charged and recovered therewith.      </w:t>
      </w:r>
    </w:p>
    <w:p w:rsidR="00A40DF9" w:rsidRPr="002269E4" w:rsidRDefault="00A40DF9" w:rsidP="001C5608">
      <w:pPr>
        <w:widowControl/>
        <w:overflowPunct w:val="0"/>
        <w:autoSpaceDE w:val="0"/>
        <w:autoSpaceDN w:val="0"/>
        <w:jc w:val="both"/>
        <w:rPr>
          <w:rFonts w:ascii="Times New Roman" w:hAnsi="Times New Roman" w:cs="Times New Roman"/>
          <w:szCs w:val="24"/>
        </w:rPr>
      </w:pPr>
    </w:p>
    <w:sectPr w:rsidR="00A40DF9" w:rsidRPr="002269E4"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49" w:rsidRDefault="00B51049" w:rsidP="00CA6261">
      <w:r>
        <w:separator/>
      </w:r>
    </w:p>
  </w:endnote>
  <w:endnote w:type="continuationSeparator" w:id="0">
    <w:p w:rsidR="00B51049" w:rsidRDefault="00B5104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華康楷書體W5">
    <w:altName w:val="Malgun Gothic Semilight"/>
    <w:charset w:val="88"/>
    <w:family w:val="script"/>
    <w:pitch w:val="fixed"/>
    <w:sig w:usb0="00000000" w:usb1="38CFFDFA" w:usb2="00000016" w:usb3="00000000" w:csb0="00160001"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7275D3" w:rsidRPr="007275D3">
      <w:rPr>
        <w:rFonts w:ascii="Times New Roman" w:hAnsi="Times New Roman" w:cs="Times New Roman"/>
        <w:noProof/>
        <w:lang w:val="zh-TW"/>
      </w:rPr>
      <w:t>21</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reviewed da</w:t>
    </w:r>
    <w:r w:rsidRPr="00622AF2">
      <w:rPr>
        <w:rFonts w:ascii="Times New Roman" w:eastAsia="DengXian" w:hAnsi="Times New Roman" w:cs="Times New Roman"/>
        <w:color w:val="000000" w:themeColor="text1"/>
      </w:rPr>
      <w:t xml:space="preserve">te: </w:t>
    </w:r>
    <w:r w:rsidR="00622AF2" w:rsidRPr="00622AF2">
      <w:rPr>
        <w:rFonts w:ascii="Times New Roman" w:eastAsia="DengXian" w:hAnsi="Times New Roman" w:cs="Times New Roman"/>
        <w:color w:val="000000" w:themeColor="text1"/>
      </w:rPr>
      <w:t>December</w:t>
    </w:r>
    <w:r w:rsidRPr="00622AF2">
      <w:rPr>
        <w:rFonts w:ascii="Times New Roman" w:eastAsia="DengXian" w:hAnsi="Times New Roman" w:cs="Times New Roman"/>
        <w:color w:val="000000" w:themeColor="text1"/>
      </w:rPr>
      <w:t xml:space="preserve"> 20</w:t>
    </w:r>
    <w:r w:rsidR="00622AF2" w:rsidRPr="00622AF2">
      <w:rPr>
        <w:rFonts w:ascii="Times New Roman" w:eastAsia="DengXian" w:hAnsi="Times New Roman" w:cs="Times New Roman"/>
        <w:color w:val="000000" w:themeColor="text1"/>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49" w:rsidRDefault="00B51049" w:rsidP="00CA6261">
      <w:r>
        <w:separator/>
      </w:r>
    </w:p>
  </w:footnote>
  <w:footnote w:type="continuationSeparator" w:id="0">
    <w:p w:rsidR="00B51049" w:rsidRDefault="00B51049"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w:t>
    </w:r>
    <w:r w:rsidRPr="00622AF2">
      <w:rPr>
        <w:rFonts w:ascii="Times New Roman" w:eastAsia="細明體" w:hAnsi="Times New Roman" w:cs="Times New Roman"/>
        <w:color w:val="000000" w:themeColor="text1"/>
        <w:szCs w:val="20"/>
        <w:lang w:val="en-GB"/>
      </w:rPr>
      <w:t>0</w:t>
    </w:r>
    <w:r w:rsidR="00622AF2" w:rsidRPr="00622AF2">
      <w:rPr>
        <w:rFonts w:ascii="Times New Roman" w:eastAsia="細明體" w:hAnsi="Times New Roman" w:cs="Times New Roman"/>
        <w:color w:val="000000" w:themeColor="text1"/>
        <w:szCs w:val="20"/>
        <w:lang w:val="en-GB"/>
      </w:rPr>
      <w:t>23-24</w:t>
    </w:r>
    <w:r w:rsidRPr="00622AF2">
      <w:rPr>
        <w:rFonts w:ascii="Times New Roman" w:eastAsia="細明體" w:hAnsi="Times New Roman" w:cs="Times New Roman"/>
        <w:color w:val="000000" w:themeColor="text1"/>
        <w:szCs w:val="20"/>
        <w:lang w:val="en-GB"/>
      </w:rPr>
      <w:t xml:space="preserve">) VOLUME </w:t>
    </w:r>
    <w:r w:rsidR="00622AF2" w:rsidRPr="00622AF2">
      <w:rPr>
        <w:rFonts w:ascii="Times New Roman" w:eastAsia="細明體" w:hAnsi="Times New Roman" w:cs="Times New Roman"/>
        <w:color w:val="000000" w:themeColor="text1"/>
        <w:szCs w:val="20"/>
        <w:lang w:val="en-GB" w:eastAsia="zh-HK"/>
      </w:rPr>
      <w:t>38</w:t>
    </w:r>
    <w:r w:rsidRPr="00622AF2">
      <w:rPr>
        <w:rFonts w:ascii="Times New Roman" w:eastAsia="細明體" w:hAnsi="Times New Roman" w:cs="Times New Roman"/>
        <w:color w:val="000000" w:themeColor="text1"/>
        <w:szCs w:val="20"/>
        <w:lang w:val="en-GB"/>
      </w:rPr>
      <w:t xml:space="preserve"> INL</w:t>
    </w:r>
    <w:r w:rsidRPr="00CA6261">
      <w:rPr>
        <w:rFonts w:ascii="Times New Roman" w:eastAsia="細明體" w:hAnsi="Times New Roman" w:cs="Times New Roman"/>
        <w:szCs w:val="20"/>
        <w:lang w:val="en-GB"/>
      </w:rPr>
      <w:t>AND REVENUE BOARD OF REVIEW DECISIONS</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BFA"/>
    <w:multiLevelType w:val="hybridMultilevel"/>
    <w:tmpl w:val="A37A318E"/>
    <w:lvl w:ilvl="0" w:tplc="441C76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E568D"/>
    <w:multiLevelType w:val="hybridMultilevel"/>
    <w:tmpl w:val="2932D6F2"/>
    <w:lvl w:ilvl="0" w:tplc="ADCA97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E07B5"/>
    <w:multiLevelType w:val="hybridMultilevel"/>
    <w:tmpl w:val="734A6406"/>
    <w:lvl w:ilvl="0" w:tplc="E1867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477923"/>
    <w:multiLevelType w:val="hybridMultilevel"/>
    <w:tmpl w:val="0D32B406"/>
    <w:lvl w:ilvl="0" w:tplc="F956D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C2F98"/>
    <w:multiLevelType w:val="hybridMultilevel"/>
    <w:tmpl w:val="54D02EAE"/>
    <w:lvl w:ilvl="0" w:tplc="470AB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C19C2"/>
    <w:multiLevelType w:val="multilevel"/>
    <w:tmpl w:val="A2484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F2E28"/>
    <w:multiLevelType w:val="hybridMultilevel"/>
    <w:tmpl w:val="734A6406"/>
    <w:lvl w:ilvl="0" w:tplc="E1867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38E55F95"/>
    <w:multiLevelType w:val="hybridMultilevel"/>
    <w:tmpl w:val="92A40234"/>
    <w:lvl w:ilvl="0" w:tplc="7C6A6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D5530"/>
    <w:multiLevelType w:val="hybridMultilevel"/>
    <w:tmpl w:val="734A6406"/>
    <w:lvl w:ilvl="0" w:tplc="E1867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B64EE1"/>
    <w:multiLevelType w:val="hybridMultilevel"/>
    <w:tmpl w:val="C80AA8EC"/>
    <w:lvl w:ilvl="0" w:tplc="E12CE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D5AE4"/>
    <w:multiLevelType w:val="hybridMultilevel"/>
    <w:tmpl w:val="AE98A80A"/>
    <w:lvl w:ilvl="0" w:tplc="4738BD96">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14"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811B5D"/>
    <w:multiLevelType w:val="hybridMultilevel"/>
    <w:tmpl w:val="09DA6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F7215C"/>
    <w:multiLevelType w:val="hybridMultilevel"/>
    <w:tmpl w:val="3ECEE600"/>
    <w:lvl w:ilvl="0" w:tplc="7D20B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737C74"/>
    <w:multiLevelType w:val="hybridMultilevel"/>
    <w:tmpl w:val="9F02833E"/>
    <w:lvl w:ilvl="0" w:tplc="6850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A454BB"/>
    <w:multiLevelType w:val="hybridMultilevel"/>
    <w:tmpl w:val="BC1608F8"/>
    <w:lvl w:ilvl="0" w:tplc="29B44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D4144B"/>
    <w:multiLevelType w:val="hybridMultilevel"/>
    <w:tmpl w:val="43488D7A"/>
    <w:lvl w:ilvl="0" w:tplc="6908D8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8"/>
  </w:num>
  <w:num w:numId="3">
    <w:abstractNumId w:val="13"/>
  </w:num>
  <w:num w:numId="4">
    <w:abstractNumId w:val="14"/>
  </w:num>
  <w:num w:numId="5">
    <w:abstractNumId w:val="15"/>
  </w:num>
  <w:num w:numId="6">
    <w:abstractNumId w:val="16"/>
  </w:num>
  <w:num w:numId="7">
    <w:abstractNumId w:val="18"/>
  </w:num>
  <w:num w:numId="8">
    <w:abstractNumId w:val="19"/>
  </w:num>
  <w:num w:numId="9">
    <w:abstractNumId w:val="0"/>
  </w:num>
  <w:num w:numId="10">
    <w:abstractNumId w:val="1"/>
  </w:num>
  <w:num w:numId="11">
    <w:abstractNumId w:val="10"/>
  </w:num>
  <w:num w:numId="12">
    <w:abstractNumId w:val="20"/>
  </w:num>
  <w:num w:numId="13">
    <w:abstractNumId w:val="12"/>
  </w:num>
  <w:num w:numId="14">
    <w:abstractNumId w:val="17"/>
  </w:num>
  <w:num w:numId="15">
    <w:abstractNumId w:val="5"/>
  </w:num>
  <w:num w:numId="16">
    <w:abstractNumId w:val="11"/>
  </w:num>
  <w:num w:numId="17">
    <w:abstractNumId w:val="9"/>
  </w:num>
  <w:num w:numId="18">
    <w:abstractNumId w:val="4"/>
  </w:num>
  <w:num w:numId="19">
    <w:abstractNumId w:val="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Ed+TkGdiq2IzwX02/8xPbAogsl9S67Y+IJ2FDHUNYpLPXG2aEjrtn4rcbVJ6pfSgUefzqv5KxBETM6U8n3Sk3A==" w:salt="JQwlGQJbi+b4r6rBbmMmtg=="/>
  <w:defaultTabStop w:val="1531"/>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45208"/>
    <w:rsid w:val="0005017A"/>
    <w:rsid w:val="00071CDF"/>
    <w:rsid w:val="00082A0A"/>
    <w:rsid w:val="00083436"/>
    <w:rsid w:val="000E2232"/>
    <w:rsid w:val="0011395E"/>
    <w:rsid w:val="001139EA"/>
    <w:rsid w:val="001239E1"/>
    <w:rsid w:val="0013046E"/>
    <w:rsid w:val="00143110"/>
    <w:rsid w:val="00150992"/>
    <w:rsid w:val="0016205C"/>
    <w:rsid w:val="0016646F"/>
    <w:rsid w:val="00172DEC"/>
    <w:rsid w:val="00186BF3"/>
    <w:rsid w:val="001C44D5"/>
    <w:rsid w:val="001C5608"/>
    <w:rsid w:val="001D1FD4"/>
    <w:rsid w:val="001D3B1B"/>
    <w:rsid w:val="001D7665"/>
    <w:rsid w:val="002050F5"/>
    <w:rsid w:val="00212A51"/>
    <w:rsid w:val="002269E4"/>
    <w:rsid w:val="0028663E"/>
    <w:rsid w:val="00292225"/>
    <w:rsid w:val="00293136"/>
    <w:rsid w:val="002A1168"/>
    <w:rsid w:val="002A4657"/>
    <w:rsid w:val="002B1740"/>
    <w:rsid w:val="002B70E2"/>
    <w:rsid w:val="002D66A2"/>
    <w:rsid w:val="002E5B74"/>
    <w:rsid w:val="002F0CEC"/>
    <w:rsid w:val="002F2E4D"/>
    <w:rsid w:val="00304A74"/>
    <w:rsid w:val="00324221"/>
    <w:rsid w:val="003313D9"/>
    <w:rsid w:val="0034689F"/>
    <w:rsid w:val="003506EA"/>
    <w:rsid w:val="003B2F11"/>
    <w:rsid w:val="003B2FEF"/>
    <w:rsid w:val="003D08F1"/>
    <w:rsid w:val="00416CD0"/>
    <w:rsid w:val="00433667"/>
    <w:rsid w:val="0043702C"/>
    <w:rsid w:val="004437A7"/>
    <w:rsid w:val="00473B82"/>
    <w:rsid w:val="004A083A"/>
    <w:rsid w:val="004A1D62"/>
    <w:rsid w:val="004C6DBE"/>
    <w:rsid w:val="004E6106"/>
    <w:rsid w:val="00510CF0"/>
    <w:rsid w:val="00511974"/>
    <w:rsid w:val="005331A1"/>
    <w:rsid w:val="00542120"/>
    <w:rsid w:val="005601B1"/>
    <w:rsid w:val="0057697B"/>
    <w:rsid w:val="00591568"/>
    <w:rsid w:val="0059405F"/>
    <w:rsid w:val="005C7405"/>
    <w:rsid w:val="005D35D0"/>
    <w:rsid w:val="005D4234"/>
    <w:rsid w:val="005D5BD8"/>
    <w:rsid w:val="005D69E8"/>
    <w:rsid w:val="005E2263"/>
    <w:rsid w:val="005E59B8"/>
    <w:rsid w:val="006005CE"/>
    <w:rsid w:val="0061547C"/>
    <w:rsid w:val="00622AF2"/>
    <w:rsid w:val="00626338"/>
    <w:rsid w:val="006305FD"/>
    <w:rsid w:val="006452BC"/>
    <w:rsid w:val="00653D38"/>
    <w:rsid w:val="00670863"/>
    <w:rsid w:val="006A6D7B"/>
    <w:rsid w:val="006A73B6"/>
    <w:rsid w:val="006B740B"/>
    <w:rsid w:val="006C4D7A"/>
    <w:rsid w:val="006C6786"/>
    <w:rsid w:val="006D1897"/>
    <w:rsid w:val="006D4796"/>
    <w:rsid w:val="00725BF4"/>
    <w:rsid w:val="007275D3"/>
    <w:rsid w:val="00727E7C"/>
    <w:rsid w:val="0075628E"/>
    <w:rsid w:val="007B29B6"/>
    <w:rsid w:val="007C23A1"/>
    <w:rsid w:val="007C58EF"/>
    <w:rsid w:val="007F2F81"/>
    <w:rsid w:val="00805B0F"/>
    <w:rsid w:val="008175ED"/>
    <w:rsid w:val="0083055E"/>
    <w:rsid w:val="008332BD"/>
    <w:rsid w:val="00835D34"/>
    <w:rsid w:val="00836379"/>
    <w:rsid w:val="008421AA"/>
    <w:rsid w:val="00846202"/>
    <w:rsid w:val="0085221C"/>
    <w:rsid w:val="008749FF"/>
    <w:rsid w:val="008833AA"/>
    <w:rsid w:val="00885C03"/>
    <w:rsid w:val="008A4822"/>
    <w:rsid w:val="008A5857"/>
    <w:rsid w:val="008C0789"/>
    <w:rsid w:val="008E02DE"/>
    <w:rsid w:val="008E3E09"/>
    <w:rsid w:val="008E6432"/>
    <w:rsid w:val="008F6952"/>
    <w:rsid w:val="00902CB2"/>
    <w:rsid w:val="00912D63"/>
    <w:rsid w:val="00920AFE"/>
    <w:rsid w:val="00920BB1"/>
    <w:rsid w:val="00971BF4"/>
    <w:rsid w:val="009769D1"/>
    <w:rsid w:val="00977262"/>
    <w:rsid w:val="00981C7C"/>
    <w:rsid w:val="00992999"/>
    <w:rsid w:val="009971DD"/>
    <w:rsid w:val="009A595A"/>
    <w:rsid w:val="009E25F4"/>
    <w:rsid w:val="009F3702"/>
    <w:rsid w:val="009F4025"/>
    <w:rsid w:val="00A127CC"/>
    <w:rsid w:val="00A21005"/>
    <w:rsid w:val="00A40DF9"/>
    <w:rsid w:val="00A64722"/>
    <w:rsid w:val="00A74B10"/>
    <w:rsid w:val="00AD0F16"/>
    <w:rsid w:val="00AD574B"/>
    <w:rsid w:val="00AE0298"/>
    <w:rsid w:val="00AE30EC"/>
    <w:rsid w:val="00B12D73"/>
    <w:rsid w:val="00B51049"/>
    <w:rsid w:val="00B8115D"/>
    <w:rsid w:val="00B8782D"/>
    <w:rsid w:val="00B9551B"/>
    <w:rsid w:val="00BA76C3"/>
    <w:rsid w:val="00BD05EA"/>
    <w:rsid w:val="00BE46A2"/>
    <w:rsid w:val="00BF03F7"/>
    <w:rsid w:val="00BF1BA3"/>
    <w:rsid w:val="00C1324F"/>
    <w:rsid w:val="00C2474B"/>
    <w:rsid w:val="00C31A9A"/>
    <w:rsid w:val="00C6064B"/>
    <w:rsid w:val="00CA6261"/>
    <w:rsid w:val="00CC5834"/>
    <w:rsid w:val="00D202DE"/>
    <w:rsid w:val="00D272BB"/>
    <w:rsid w:val="00D404A6"/>
    <w:rsid w:val="00D520B2"/>
    <w:rsid w:val="00D65D00"/>
    <w:rsid w:val="00D7738F"/>
    <w:rsid w:val="00D956FB"/>
    <w:rsid w:val="00D95B53"/>
    <w:rsid w:val="00DC4DA3"/>
    <w:rsid w:val="00DD03C9"/>
    <w:rsid w:val="00DD48D1"/>
    <w:rsid w:val="00DE1013"/>
    <w:rsid w:val="00DE5E58"/>
    <w:rsid w:val="00DF4C76"/>
    <w:rsid w:val="00DF7BAE"/>
    <w:rsid w:val="00E269F5"/>
    <w:rsid w:val="00E31C25"/>
    <w:rsid w:val="00E34801"/>
    <w:rsid w:val="00E3782D"/>
    <w:rsid w:val="00E523D1"/>
    <w:rsid w:val="00E54269"/>
    <w:rsid w:val="00E57FBC"/>
    <w:rsid w:val="00E67E90"/>
    <w:rsid w:val="00EA4F2B"/>
    <w:rsid w:val="00EB55C0"/>
    <w:rsid w:val="00EC07F3"/>
    <w:rsid w:val="00EC2E19"/>
    <w:rsid w:val="00ED3879"/>
    <w:rsid w:val="00EE2527"/>
    <w:rsid w:val="00F22C62"/>
    <w:rsid w:val="00F23945"/>
    <w:rsid w:val="00F23D78"/>
    <w:rsid w:val="00F53657"/>
    <w:rsid w:val="00F56C8D"/>
    <w:rsid w:val="00F65004"/>
    <w:rsid w:val="00F87217"/>
    <w:rsid w:val="00FB0574"/>
    <w:rsid w:val="00FB7E7D"/>
    <w:rsid w:val="00FD5268"/>
    <w:rsid w:val="00FF1D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EC2027"/>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paragraph" w:customStyle="1" w:styleId="TableParagraph">
    <w:name w:val="Table Paragraph"/>
    <w:basedOn w:val="a"/>
    <w:uiPriority w:val="1"/>
    <w:qFormat/>
    <w:rsid w:val="00A40DF9"/>
    <w:pPr>
      <w:autoSpaceDE w:val="0"/>
      <w:autoSpaceDN w:val="0"/>
      <w:spacing w:before="56"/>
    </w:pPr>
    <w:rPr>
      <w:rFonts w:ascii="Times New Roman" w:eastAsia="Times New Roma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0EDCE-D1C7-4A8E-821A-22B30493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303</TotalTime>
  <Pages>21</Pages>
  <Words>6957</Words>
  <Characters>39657</Characters>
  <Application>Microsoft Office Word</Application>
  <DocSecurity>8</DocSecurity>
  <Lines>330</Lines>
  <Paragraphs>93</Paragraphs>
  <ScaleCrop>false</ScaleCrop>
  <Company>HKSARG</Company>
  <LinksUpToDate>false</LinksUpToDate>
  <CharactersWithSpaces>46521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174</cp:revision>
  <cp:lastPrinted>2025-01-02T06:39:00Z</cp:lastPrinted>
  <dcterms:created xsi:type="dcterms:W3CDTF">2024-12-09T04:01:00Z</dcterms:created>
  <dcterms:modified xsi:type="dcterms:W3CDTF">2025-01-02T06:50:00Z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