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6EB" w:rsidRPr="003810E8" w:rsidRDefault="00DB76EB" w:rsidP="00C76027">
      <w:pPr>
        <w:pStyle w:val="af8"/>
        <w:tabs>
          <w:tab w:val="left" w:pos="1276"/>
        </w:tabs>
        <w:snapToGrid w:val="0"/>
        <w:ind w:rightChars="-29" w:right="-58"/>
        <w:contextualSpacing/>
        <w:mirrorIndents/>
        <w:rPr>
          <w:rFonts w:ascii="Times New Roman" w:eastAsiaTheme="majorEastAsia" w:hAnsi="Times New Roman"/>
          <w:szCs w:val="24"/>
        </w:rPr>
      </w:pPr>
      <w:bookmarkStart w:id="0" w:name="_GoBack"/>
      <w:bookmarkEnd w:id="0"/>
      <w:r w:rsidRPr="003810E8">
        <w:rPr>
          <w:rFonts w:ascii="Times New Roman" w:eastAsiaTheme="majorEastAsia" w:hAnsi="Times New Roman"/>
          <w:szCs w:val="24"/>
        </w:rPr>
        <w:t>Case No. D3</w:t>
      </w:r>
      <w:r w:rsidRPr="003810E8">
        <w:rPr>
          <w:rFonts w:ascii="Times New Roman" w:eastAsiaTheme="majorEastAsia" w:hAnsi="Times New Roman"/>
          <w:szCs w:val="24"/>
          <w:lang w:eastAsia="zh-HK"/>
        </w:rPr>
        <w:t>/2</w:t>
      </w:r>
      <w:r w:rsidRPr="003810E8">
        <w:rPr>
          <w:rFonts w:ascii="Times New Roman" w:eastAsiaTheme="majorEastAsia" w:hAnsi="Times New Roman"/>
          <w:szCs w:val="24"/>
        </w:rPr>
        <w:t>4</w:t>
      </w:r>
    </w:p>
    <w:p w:rsidR="00DB76EB" w:rsidRPr="003810E8" w:rsidRDefault="00DB76EB" w:rsidP="00AC0034">
      <w:pPr>
        <w:tabs>
          <w:tab w:val="left" w:pos="1276"/>
        </w:tabs>
        <w:snapToGrid w:val="0"/>
        <w:ind w:rightChars="-29" w:right="-58"/>
        <w:contextualSpacing/>
        <w:mirrorIndents/>
        <w:rPr>
          <w:rFonts w:eastAsiaTheme="majorEastAsia"/>
          <w:sz w:val="24"/>
          <w:szCs w:val="24"/>
        </w:rPr>
      </w:pPr>
    </w:p>
    <w:p w:rsidR="00DB76EB" w:rsidRPr="003810E8" w:rsidRDefault="00DB76EB" w:rsidP="00AC0034">
      <w:pPr>
        <w:tabs>
          <w:tab w:val="left" w:pos="1276"/>
        </w:tabs>
        <w:snapToGrid w:val="0"/>
        <w:ind w:rightChars="-29" w:right="-58"/>
        <w:contextualSpacing/>
        <w:mirrorIndents/>
        <w:rPr>
          <w:rFonts w:eastAsiaTheme="majorEastAsia"/>
          <w:sz w:val="24"/>
          <w:szCs w:val="24"/>
          <w:lang w:val="en-US"/>
        </w:rPr>
      </w:pPr>
    </w:p>
    <w:p w:rsidR="00DB76EB" w:rsidRPr="003810E8" w:rsidRDefault="00DB76EB" w:rsidP="00AC0034">
      <w:pPr>
        <w:tabs>
          <w:tab w:val="left" w:pos="1276"/>
        </w:tabs>
        <w:snapToGrid w:val="0"/>
        <w:ind w:rightChars="-29" w:right="-58"/>
        <w:contextualSpacing/>
        <w:mirrorIndents/>
        <w:rPr>
          <w:rFonts w:eastAsiaTheme="majorEastAsia"/>
          <w:sz w:val="24"/>
          <w:szCs w:val="24"/>
        </w:rPr>
      </w:pPr>
    </w:p>
    <w:p w:rsidR="00DB76EB" w:rsidRPr="003810E8" w:rsidRDefault="00DB76EB" w:rsidP="00AC0034">
      <w:pPr>
        <w:tabs>
          <w:tab w:val="left" w:pos="1276"/>
        </w:tabs>
        <w:snapToGrid w:val="0"/>
        <w:ind w:rightChars="-29" w:right="-58"/>
        <w:contextualSpacing/>
        <w:mirrorIndents/>
        <w:rPr>
          <w:rFonts w:eastAsiaTheme="majorEastAsia"/>
          <w:sz w:val="24"/>
          <w:szCs w:val="24"/>
        </w:rPr>
      </w:pPr>
    </w:p>
    <w:p w:rsidR="00783C93" w:rsidRPr="00971E49" w:rsidRDefault="00783C93" w:rsidP="00D57ACF">
      <w:pPr>
        <w:tabs>
          <w:tab w:val="left" w:pos="1276"/>
        </w:tabs>
        <w:adjustRightInd/>
        <w:ind w:rightChars="-29" w:right="-58"/>
        <w:jc w:val="both"/>
        <w:rPr>
          <w:rFonts w:eastAsia="華康楷書體W5"/>
          <w:sz w:val="24"/>
          <w:szCs w:val="24"/>
        </w:rPr>
      </w:pPr>
      <w:r w:rsidRPr="00D57ACF">
        <w:rPr>
          <w:rFonts w:eastAsia="華康楷書體W5"/>
          <w:b/>
          <w:sz w:val="24"/>
          <w:szCs w:val="24"/>
        </w:rPr>
        <w:t xml:space="preserve">Property </w:t>
      </w:r>
      <w:r w:rsidR="00351908">
        <w:rPr>
          <w:rFonts w:eastAsia="華康楷書體W5"/>
          <w:b/>
          <w:sz w:val="24"/>
          <w:szCs w:val="24"/>
        </w:rPr>
        <w:t>t</w:t>
      </w:r>
      <w:r w:rsidRPr="00D57ACF">
        <w:rPr>
          <w:rFonts w:eastAsia="華康楷書體W5"/>
          <w:b/>
          <w:sz w:val="24"/>
          <w:szCs w:val="24"/>
        </w:rPr>
        <w:t xml:space="preserve">ax </w:t>
      </w:r>
      <w:r w:rsidRPr="00971E49">
        <w:rPr>
          <w:rFonts w:eastAsia="華康楷書體W5"/>
          <w:sz w:val="24"/>
          <w:szCs w:val="24"/>
        </w:rPr>
        <w:t>– rental income paid to another – whether liable for property tax – complaints of unfairness – jurisdiction of the Board – sections 5, 5B(2), 56 and 68(4) of the Inland Revenue Ordinance (‘IRO’)</w:t>
      </w:r>
    </w:p>
    <w:p w:rsidR="00783C93" w:rsidRPr="00036E26" w:rsidRDefault="00783C93" w:rsidP="00AC0034">
      <w:pPr>
        <w:tabs>
          <w:tab w:val="left" w:pos="0"/>
          <w:tab w:val="left" w:pos="1276"/>
        </w:tabs>
        <w:snapToGrid w:val="0"/>
        <w:ind w:rightChars="-29" w:right="-58"/>
        <w:contextualSpacing/>
        <w:mirrorIndents/>
        <w:rPr>
          <w:rFonts w:eastAsiaTheme="majorEastAsia"/>
          <w:sz w:val="24"/>
          <w:szCs w:val="24"/>
          <w:lang w:val="en-US"/>
        </w:rPr>
      </w:pPr>
    </w:p>
    <w:p w:rsidR="00DB76EB" w:rsidRPr="00036E26" w:rsidRDefault="00DB76EB" w:rsidP="00AC0034">
      <w:pPr>
        <w:tabs>
          <w:tab w:val="left" w:pos="0"/>
          <w:tab w:val="left" w:pos="1276"/>
        </w:tabs>
        <w:snapToGrid w:val="0"/>
        <w:ind w:rightChars="-29" w:right="-58"/>
        <w:contextualSpacing/>
        <w:mirrorIndents/>
        <w:rPr>
          <w:rFonts w:eastAsiaTheme="majorEastAsia"/>
          <w:sz w:val="24"/>
          <w:szCs w:val="24"/>
          <w:lang w:val="en-US"/>
        </w:rPr>
      </w:pPr>
      <w:r w:rsidRPr="00036E26">
        <w:rPr>
          <w:rFonts w:eastAsiaTheme="majorEastAsia"/>
          <w:sz w:val="24"/>
          <w:szCs w:val="24"/>
          <w:lang w:val="en-US"/>
        </w:rPr>
        <w:t>Panel: Wong Man Kit Anson SC (chairman), Cheng Kit Hung David and Lai Ka Man.</w:t>
      </w:r>
    </w:p>
    <w:p w:rsidR="00DB76EB" w:rsidRPr="00036E26" w:rsidRDefault="00DB76EB" w:rsidP="00AC0034">
      <w:pPr>
        <w:tabs>
          <w:tab w:val="left" w:pos="840"/>
          <w:tab w:val="left" w:pos="1276"/>
        </w:tabs>
        <w:snapToGrid w:val="0"/>
        <w:ind w:rightChars="-29" w:right="-58"/>
        <w:contextualSpacing/>
        <w:mirrorIndents/>
        <w:rPr>
          <w:rFonts w:eastAsiaTheme="majorEastAsia"/>
          <w:sz w:val="24"/>
          <w:szCs w:val="24"/>
          <w:lang w:val="en-US"/>
        </w:rPr>
      </w:pPr>
    </w:p>
    <w:p w:rsidR="00DB76EB" w:rsidRPr="00036E26" w:rsidRDefault="00DB76EB" w:rsidP="00AC0034">
      <w:pPr>
        <w:tabs>
          <w:tab w:val="left" w:pos="840"/>
          <w:tab w:val="left" w:pos="1276"/>
        </w:tabs>
        <w:snapToGrid w:val="0"/>
        <w:ind w:rightChars="-29" w:right="-58"/>
        <w:contextualSpacing/>
        <w:mirrorIndents/>
        <w:rPr>
          <w:rFonts w:eastAsiaTheme="majorEastAsia"/>
          <w:sz w:val="24"/>
          <w:szCs w:val="24"/>
          <w:lang w:val="en-US"/>
        </w:rPr>
      </w:pPr>
      <w:r w:rsidRPr="00036E26">
        <w:rPr>
          <w:rFonts w:eastAsiaTheme="majorEastAsia"/>
          <w:sz w:val="24"/>
          <w:szCs w:val="24"/>
          <w:lang w:val="en-US"/>
        </w:rPr>
        <w:t>Dates of hearing: 5 June 2024.</w:t>
      </w:r>
    </w:p>
    <w:p w:rsidR="00DB76EB" w:rsidRPr="00036E26" w:rsidRDefault="00DB76EB" w:rsidP="00AC0034">
      <w:pPr>
        <w:tabs>
          <w:tab w:val="left" w:pos="840"/>
          <w:tab w:val="left" w:pos="1276"/>
        </w:tabs>
        <w:snapToGrid w:val="0"/>
        <w:ind w:rightChars="-29" w:right="-58"/>
        <w:contextualSpacing/>
        <w:mirrorIndents/>
        <w:rPr>
          <w:rFonts w:eastAsiaTheme="majorEastAsia"/>
          <w:sz w:val="24"/>
          <w:szCs w:val="24"/>
          <w:lang w:val="en-US"/>
        </w:rPr>
      </w:pPr>
      <w:r w:rsidRPr="00036E26">
        <w:rPr>
          <w:rFonts w:eastAsiaTheme="majorEastAsia"/>
          <w:sz w:val="24"/>
          <w:szCs w:val="24"/>
          <w:lang w:val="en-US"/>
        </w:rPr>
        <w:t>Date of decision: 26 June 2024.</w:t>
      </w:r>
    </w:p>
    <w:p w:rsidR="00DB76EB" w:rsidRPr="00036E26" w:rsidRDefault="00DB76EB" w:rsidP="008669F8">
      <w:pPr>
        <w:tabs>
          <w:tab w:val="left" w:pos="0"/>
          <w:tab w:val="left" w:pos="1276"/>
        </w:tabs>
        <w:snapToGrid w:val="0"/>
        <w:ind w:rightChars="-29" w:right="-58"/>
        <w:contextualSpacing/>
        <w:mirrorIndents/>
        <w:rPr>
          <w:rFonts w:eastAsiaTheme="majorEastAsia"/>
          <w:sz w:val="24"/>
          <w:szCs w:val="24"/>
          <w:lang w:val="en-US"/>
        </w:rPr>
      </w:pPr>
    </w:p>
    <w:p w:rsidR="00DB76EB" w:rsidRDefault="00DB76EB" w:rsidP="00C90264">
      <w:pPr>
        <w:tabs>
          <w:tab w:val="left" w:pos="0"/>
          <w:tab w:val="left" w:pos="1276"/>
        </w:tabs>
        <w:snapToGrid w:val="0"/>
        <w:ind w:rightChars="-29" w:right="-58"/>
        <w:contextualSpacing/>
        <w:mirrorIndents/>
        <w:rPr>
          <w:rFonts w:eastAsiaTheme="majorEastAsia"/>
          <w:sz w:val="24"/>
          <w:szCs w:val="24"/>
          <w:lang w:val="en-US"/>
        </w:rPr>
      </w:pPr>
    </w:p>
    <w:p w:rsidR="009B1F50" w:rsidRPr="008B6D5E" w:rsidRDefault="009B1F50" w:rsidP="00F00F0F">
      <w:pPr>
        <w:tabs>
          <w:tab w:val="left" w:pos="1276"/>
        </w:tabs>
        <w:adjustRightInd/>
        <w:ind w:firstLineChars="354" w:firstLine="850"/>
        <w:jc w:val="both"/>
        <w:rPr>
          <w:rFonts w:eastAsiaTheme="majorEastAsia"/>
          <w:sz w:val="24"/>
          <w:szCs w:val="24"/>
          <w:lang w:val="en-US"/>
        </w:rPr>
      </w:pPr>
      <w:r w:rsidRPr="008B6D5E">
        <w:rPr>
          <w:rFonts w:eastAsiaTheme="majorEastAsia"/>
          <w:sz w:val="24"/>
          <w:szCs w:val="24"/>
          <w:lang w:val="en-US"/>
        </w:rPr>
        <w:t>Mr A and Ms B were spouses and joint owners of a property. The property was let out by Mr A and Mr B. The lease provided for the rent to be paid into a designated account in Ms B’s name.</w:t>
      </w:r>
    </w:p>
    <w:p w:rsidR="009B1F50" w:rsidRPr="009B1F50" w:rsidRDefault="009B1F50" w:rsidP="009B1F50">
      <w:pPr>
        <w:tabs>
          <w:tab w:val="left" w:pos="0"/>
          <w:tab w:val="left" w:pos="1276"/>
        </w:tabs>
        <w:snapToGrid w:val="0"/>
        <w:ind w:rightChars="-29" w:right="-58"/>
        <w:contextualSpacing/>
        <w:mirrorIndents/>
        <w:rPr>
          <w:rFonts w:eastAsiaTheme="majorEastAsia"/>
          <w:sz w:val="24"/>
          <w:szCs w:val="24"/>
          <w:lang w:val="en-US"/>
        </w:rPr>
      </w:pPr>
    </w:p>
    <w:p w:rsidR="009B1F50" w:rsidRDefault="009B1F50" w:rsidP="00217624">
      <w:pPr>
        <w:tabs>
          <w:tab w:val="left" w:pos="1276"/>
        </w:tabs>
        <w:adjustRightInd/>
        <w:ind w:firstLineChars="354" w:firstLine="850"/>
        <w:jc w:val="both"/>
        <w:rPr>
          <w:rFonts w:eastAsiaTheme="majorEastAsia"/>
          <w:sz w:val="24"/>
          <w:szCs w:val="24"/>
          <w:lang w:val="en-US"/>
        </w:rPr>
      </w:pPr>
      <w:r w:rsidRPr="009B1F50">
        <w:rPr>
          <w:rFonts w:eastAsiaTheme="majorEastAsia"/>
          <w:sz w:val="24"/>
          <w:szCs w:val="24"/>
          <w:lang w:val="en-US"/>
        </w:rPr>
        <w:t>For the relevant year of assessment, property tax was raised against Mr A and Ms B proportional to the period which they were owners of the property. Mr A objected mainly on the basis that he did not receive any rental income and that Ms B had absconded. The assessment was affirmed by the Commissioner.</w:t>
      </w:r>
    </w:p>
    <w:p w:rsidR="009B1F50" w:rsidRPr="009B1F50" w:rsidRDefault="009B1F50" w:rsidP="009B1F50">
      <w:pPr>
        <w:tabs>
          <w:tab w:val="left" w:pos="0"/>
          <w:tab w:val="left" w:pos="1276"/>
        </w:tabs>
        <w:snapToGrid w:val="0"/>
        <w:ind w:rightChars="-29" w:right="-58"/>
        <w:contextualSpacing/>
        <w:mirrorIndents/>
        <w:rPr>
          <w:rFonts w:eastAsiaTheme="majorEastAsia"/>
          <w:sz w:val="24"/>
          <w:szCs w:val="24"/>
          <w:lang w:val="en-US"/>
        </w:rPr>
      </w:pPr>
    </w:p>
    <w:p w:rsidR="009B1F50" w:rsidRDefault="009B1F50" w:rsidP="00217624">
      <w:pPr>
        <w:tabs>
          <w:tab w:val="left" w:pos="1276"/>
        </w:tabs>
        <w:adjustRightInd/>
        <w:ind w:firstLineChars="354" w:firstLine="850"/>
        <w:jc w:val="both"/>
        <w:rPr>
          <w:rFonts w:eastAsiaTheme="majorEastAsia"/>
          <w:sz w:val="24"/>
          <w:szCs w:val="24"/>
          <w:lang w:val="en-US"/>
        </w:rPr>
      </w:pPr>
      <w:r w:rsidRPr="009B1F50">
        <w:rPr>
          <w:rFonts w:eastAsiaTheme="majorEastAsia"/>
          <w:sz w:val="24"/>
          <w:szCs w:val="24"/>
          <w:lang w:val="en-US"/>
        </w:rPr>
        <w:t>Mr A appealed repeating essentially his grounds of objection. Mr A further complained that no action was taken by the Inland Revenue Department (‘IRD’) against Ms B.</w:t>
      </w:r>
    </w:p>
    <w:p w:rsidR="009B1F50" w:rsidRPr="009B1F50" w:rsidRDefault="009B1F50" w:rsidP="009B1F50">
      <w:pPr>
        <w:tabs>
          <w:tab w:val="left" w:pos="0"/>
          <w:tab w:val="left" w:pos="1276"/>
        </w:tabs>
        <w:snapToGrid w:val="0"/>
        <w:ind w:rightChars="-29" w:right="-58"/>
        <w:contextualSpacing/>
        <w:mirrorIndents/>
        <w:rPr>
          <w:rFonts w:eastAsiaTheme="majorEastAsia"/>
          <w:sz w:val="24"/>
          <w:szCs w:val="24"/>
          <w:lang w:val="en-US"/>
        </w:rPr>
      </w:pPr>
    </w:p>
    <w:p w:rsidR="009B1F50" w:rsidRDefault="009B1F50" w:rsidP="00217624">
      <w:pPr>
        <w:tabs>
          <w:tab w:val="left" w:pos="1276"/>
        </w:tabs>
        <w:adjustRightInd/>
        <w:ind w:firstLineChars="354" w:firstLine="850"/>
        <w:jc w:val="both"/>
        <w:rPr>
          <w:rFonts w:eastAsiaTheme="majorEastAsia"/>
          <w:sz w:val="24"/>
          <w:szCs w:val="24"/>
          <w:lang w:val="en-US"/>
        </w:rPr>
      </w:pPr>
      <w:r w:rsidRPr="009B1F50">
        <w:rPr>
          <w:rFonts w:eastAsiaTheme="majorEastAsia"/>
          <w:sz w:val="24"/>
          <w:szCs w:val="24"/>
          <w:lang w:val="en-US"/>
        </w:rPr>
        <w:t>At the hearing, Mr A did not dispute the assessment, nor that the IRD has the right to raise the assessment against him. He complained that the IRD had acted unfairly by taking no action against Ms B.</w:t>
      </w:r>
    </w:p>
    <w:p w:rsidR="009B1F50" w:rsidRDefault="009B1F50" w:rsidP="00C90264">
      <w:pPr>
        <w:tabs>
          <w:tab w:val="left" w:pos="0"/>
          <w:tab w:val="left" w:pos="1276"/>
        </w:tabs>
        <w:snapToGrid w:val="0"/>
        <w:ind w:rightChars="-29" w:right="-58"/>
        <w:contextualSpacing/>
        <w:mirrorIndents/>
        <w:rPr>
          <w:rFonts w:eastAsiaTheme="majorEastAsia"/>
          <w:sz w:val="24"/>
          <w:szCs w:val="24"/>
          <w:lang w:val="en-US"/>
        </w:rPr>
      </w:pPr>
    </w:p>
    <w:p w:rsidR="009B1F50" w:rsidRPr="009B1F50" w:rsidRDefault="009B1F50" w:rsidP="00C90264">
      <w:pPr>
        <w:tabs>
          <w:tab w:val="left" w:pos="0"/>
          <w:tab w:val="left" w:pos="1276"/>
        </w:tabs>
        <w:snapToGrid w:val="0"/>
        <w:ind w:rightChars="-29" w:right="-58"/>
        <w:contextualSpacing/>
        <w:mirrorIndents/>
        <w:rPr>
          <w:rFonts w:eastAsiaTheme="majorEastAsia"/>
          <w:sz w:val="24"/>
          <w:szCs w:val="24"/>
          <w:lang w:val="en-US"/>
        </w:rPr>
      </w:pPr>
    </w:p>
    <w:p w:rsidR="00783C93" w:rsidRPr="000D2E05" w:rsidRDefault="00783C93" w:rsidP="003A3FBA">
      <w:pPr>
        <w:snapToGrid w:val="0"/>
        <w:ind w:leftChars="425" w:left="850"/>
        <w:contextualSpacing/>
        <w:mirrorIndents/>
        <w:jc w:val="both"/>
        <w:rPr>
          <w:rFonts w:eastAsiaTheme="majorEastAsia"/>
          <w:b/>
          <w:sz w:val="24"/>
          <w:szCs w:val="24"/>
          <w:lang w:val="en-US"/>
        </w:rPr>
      </w:pPr>
      <w:r w:rsidRPr="000D2E05">
        <w:rPr>
          <w:rFonts w:eastAsiaTheme="majorEastAsia"/>
          <w:b/>
          <w:sz w:val="24"/>
          <w:szCs w:val="24"/>
          <w:lang w:val="en-US"/>
        </w:rPr>
        <w:t>Held:</w:t>
      </w:r>
    </w:p>
    <w:p w:rsidR="000D2E05" w:rsidRPr="00036E26" w:rsidRDefault="000D2E05" w:rsidP="00C90264">
      <w:pPr>
        <w:tabs>
          <w:tab w:val="left" w:pos="0"/>
          <w:tab w:val="left" w:pos="1276"/>
        </w:tabs>
        <w:snapToGrid w:val="0"/>
        <w:ind w:rightChars="-29" w:right="-58"/>
        <w:contextualSpacing/>
        <w:mirrorIndents/>
        <w:rPr>
          <w:rFonts w:eastAsiaTheme="majorEastAsia"/>
          <w:sz w:val="24"/>
          <w:szCs w:val="24"/>
          <w:lang w:val="en-US"/>
        </w:rPr>
      </w:pPr>
    </w:p>
    <w:p w:rsidR="00783C93" w:rsidRPr="0025195C" w:rsidRDefault="00783C93" w:rsidP="0025195C">
      <w:pPr>
        <w:pStyle w:val="ac"/>
        <w:numPr>
          <w:ilvl w:val="0"/>
          <w:numId w:val="44"/>
        </w:numPr>
        <w:snapToGrid w:val="0"/>
        <w:ind w:leftChars="0"/>
        <w:contextualSpacing/>
        <w:mirrorIndents/>
        <w:jc w:val="both"/>
        <w:rPr>
          <w:rFonts w:eastAsiaTheme="majorEastAsia"/>
          <w:sz w:val="24"/>
          <w:szCs w:val="24"/>
          <w:lang w:val="en-US"/>
        </w:rPr>
      </w:pPr>
      <w:r w:rsidRPr="0025195C">
        <w:rPr>
          <w:rFonts w:eastAsiaTheme="majorEastAsia"/>
          <w:sz w:val="24"/>
          <w:szCs w:val="24"/>
          <w:lang w:val="en-US"/>
        </w:rPr>
        <w:t>The Board has no jurisdiction to hear and determine Mr A’s complaint that the IRD had allegedly acted unfairly against him. These are matters of judicial review and may only be heard by the High Court.</w:t>
      </w:r>
    </w:p>
    <w:p w:rsidR="000D2E05" w:rsidRPr="00036E26" w:rsidRDefault="000D2E05" w:rsidP="00C90264">
      <w:pPr>
        <w:pStyle w:val="ac"/>
        <w:overflowPunct/>
        <w:autoSpaceDE/>
        <w:autoSpaceDN/>
        <w:snapToGrid w:val="0"/>
        <w:ind w:leftChars="0" w:left="720"/>
        <w:contextualSpacing/>
        <w:mirrorIndents/>
        <w:jc w:val="both"/>
        <w:textAlignment w:val="auto"/>
        <w:rPr>
          <w:rFonts w:eastAsiaTheme="majorEastAsia"/>
          <w:sz w:val="24"/>
          <w:szCs w:val="24"/>
          <w:lang w:val="en-US"/>
        </w:rPr>
      </w:pPr>
    </w:p>
    <w:p w:rsidR="00783C93" w:rsidRPr="0025195C" w:rsidRDefault="00783C93" w:rsidP="0025195C">
      <w:pPr>
        <w:pStyle w:val="ac"/>
        <w:numPr>
          <w:ilvl w:val="0"/>
          <w:numId w:val="44"/>
        </w:numPr>
        <w:snapToGrid w:val="0"/>
        <w:ind w:leftChars="0"/>
        <w:contextualSpacing/>
        <w:mirrorIndents/>
        <w:jc w:val="both"/>
        <w:rPr>
          <w:rFonts w:eastAsiaTheme="majorEastAsia"/>
          <w:sz w:val="24"/>
          <w:szCs w:val="24"/>
          <w:lang w:val="en-US"/>
        </w:rPr>
      </w:pPr>
      <w:r w:rsidRPr="0025195C">
        <w:rPr>
          <w:rFonts w:eastAsiaTheme="majorEastAsia"/>
          <w:sz w:val="24"/>
          <w:szCs w:val="24"/>
          <w:lang w:val="en-US"/>
        </w:rPr>
        <w:t xml:space="preserve">Under IRO section 68(4), the onus of proving that the assessment is excessive or incorrect is on Mr A. There is no basis to suggest that the assessment is incorrect or otherwise excessive. </w:t>
      </w:r>
    </w:p>
    <w:p w:rsidR="000D2E05" w:rsidRPr="008669F8" w:rsidRDefault="000D2E05" w:rsidP="00C90264">
      <w:pPr>
        <w:pStyle w:val="ac"/>
        <w:overflowPunct/>
        <w:autoSpaceDE/>
        <w:autoSpaceDN/>
        <w:snapToGrid w:val="0"/>
        <w:ind w:leftChars="0" w:left="720"/>
        <w:contextualSpacing/>
        <w:mirrorIndents/>
        <w:jc w:val="both"/>
        <w:textAlignment w:val="auto"/>
        <w:rPr>
          <w:rFonts w:eastAsiaTheme="majorEastAsia"/>
          <w:sz w:val="24"/>
          <w:szCs w:val="24"/>
          <w:lang w:val="en-US"/>
        </w:rPr>
      </w:pPr>
    </w:p>
    <w:p w:rsidR="00E829EF" w:rsidRDefault="00783C93" w:rsidP="00E829EF">
      <w:pPr>
        <w:pStyle w:val="ac"/>
        <w:numPr>
          <w:ilvl w:val="0"/>
          <w:numId w:val="44"/>
        </w:numPr>
        <w:snapToGrid w:val="0"/>
        <w:ind w:leftChars="0"/>
        <w:contextualSpacing/>
        <w:mirrorIndents/>
        <w:jc w:val="both"/>
        <w:rPr>
          <w:rFonts w:eastAsiaTheme="majorEastAsia"/>
          <w:sz w:val="24"/>
          <w:szCs w:val="24"/>
          <w:lang w:val="en-US"/>
        </w:rPr>
      </w:pPr>
      <w:r w:rsidRPr="0025195C">
        <w:rPr>
          <w:rFonts w:eastAsiaTheme="majorEastAsia"/>
          <w:sz w:val="24"/>
          <w:szCs w:val="24"/>
          <w:lang w:val="en-US"/>
        </w:rPr>
        <w:t xml:space="preserve">By virtue of IRO section 5B(2), the IRD has the right to raise property tax against Mr A as manner of payment under the lease were agreed to by Mr A, thus the rentals paid to Ms B were payments ‘to the order of’ Mr A. </w:t>
      </w:r>
    </w:p>
    <w:p w:rsidR="001773D8" w:rsidRDefault="00E829EF">
      <w:pPr>
        <w:overflowPunct/>
        <w:autoSpaceDE/>
        <w:autoSpaceDN/>
        <w:adjustRightInd/>
        <w:textAlignment w:val="auto"/>
        <w:rPr>
          <w:rFonts w:eastAsiaTheme="majorEastAsia"/>
          <w:sz w:val="24"/>
          <w:szCs w:val="24"/>
          <w:lang w:val="en-US"/>
        </w:rPr>
      </w:pPr>
      <w:r>
        <w:rPr>
          <w:rFonts w:eastAsiaTheme="majorEastAsia"/>
          <w:sz w:val="24"/>
          <w:szCs w:val="24"/>
          <w:lang w:val="en-US"/>
        </w:rPr>
        <w:br w:type="page"/>
      </w:r>
    </w:p>
    <w:p w:rsidR="00E829EF" w:rsidRPr="00990CC5" w:rsidRDefault="00E829EF" w:rsidP="001773D8">
      <w:pPr>
        <w:pStyle w:val="ac"/>
        <w:numPr>
          <w:ilvl w:val="0"/>
          <w:numId w:val="44"/>
        </w:numPr>
        <w:snapToGrid w:val="0"/>
        <w:ind w:leftChars="681" w:left="1842" w:hangingChars="200"/>
        <w:contextualSpacing/>
        <w:mirrorIndents/>
        <w:jc w:val="right"/>
        <w:rPr>
          <w:rFonts w:eastAsiaTheme="majorEastAsia"/>
          <w:sz w:val="24"/>
          <w:szCs w:val="24"/>
          <w:lang w:val="en-US" w:eastAsia="zh-HK"/>
        </w:rPr>
      </w:pPr>
      <w:r w:rsidRPr="00E829EF">
        <w:rPr>
          <w:rFonts w:eastAsiaTheme="majorEastAsia"/>
          <w:sz w:val="24"/>
          <w:szCs w:val="24"/>
          <w:lang w:val="en-US" w:eastAsia="zh-HK"/>
        </w:rPr>
        <w:lastRenderedPageBreak/>
        <w:t>The Board dismissed the appeal and confirmed the assessment.</w:t>
      </w:r>
    </w:p>
    <w:p w:rsidR="001773D8" w:rsidRDefault="001773D8" w:rsidP="00AC0034">
      <w:pPr>
        <w:tabs>
          <w:tab w:val="left" w:pos="1276"/>
        </w:tabs>
        <w:snapToGrid w:val="0"/>
        <w:ind w:rightChars="-29" w:right="-58"/>
        <w:contextualSpacing/>
        <w:mirrorIndents/>
        <w:rPr>
          <w:rFonts w:eastAsiaTheme="majorEastAsia"/>
          <w:b/>
          <w:sz w:val="24"/>
          <w:szCs w:val="24"/>
          <w:lang w:val="en-US" w:eastAsia="zh-HK"/>
        </w:rPr>
      </w:pPr>
    </w:p>
    <w:p w:rsidR="001773D8" w:rsidRDefault="001773D8" w:rsidP="00AC0034">
      <w:pPr>
        <w:tabs>
          <w:tab w:val="left" w:pos="1276"/>
        </w:tabs>
        <w:snapToGrid w:val="0"/>
        <w:ind w:rightChars="-29" w:right="-58"/>
        <w:contextualSpacing/>
        <w:mirrorIndents/>
        <w:rPr>
          <w:rFonts w:eastAsiaTheme="majorEastAsia"/>
          <w:b/>
          <w:sz w:val="24"/>
          <w:szCs w:val="24"/>
          <w:lang w:val="en-US" w:eastAsia="zh-HK"/>
        </w:rPr>
      </w:pPr>
    </w:p>
    <w:p w:rsidR="00DB76EB" w:rsidRPr="003810E8" w:rsidRDefault="00DB76EB" w:rsidP="00AC0034">
      <w:pPr>
        <w:tabs>
          <w:tab w:val="left" w:pos="1276"/>
        </w:tabs>
        <w:snapToGrid w:val="0"/>
        <w:ind w:rightChars="-29" w:right="-58"/>
        <w:contextualSpacing/>
        <w:mirrorIndents/>
        <w:rPr>
          <w:rFonts w:eastAsiaTheme="majorEastAsia"/>
          <w:b/>
          <w:sz w:val="24"/>
          <w:szCs w:val="24"/>
          <w:lang w:val="en-US" w:eastAsia="zh-HK"/>
        </w:rPr>
      </w:pPr>
      <w:r w:rsidRPr="003810E8">
        <w:rPr>
          <w:rFonts w:eastAsiaTheme="majorEastAsia"/>
          <w:b/>
          <w:sz w:val="24"/>
          <w:szCs w:val="24"/>
          <w:lang w:val="en-US" w:eastAsia="zh-HK"/>
        </w:rPr>
        <w:t>Appeal dismissed.</w:t>
      </w:r>
    </w:p>
    <w:p w:rsidR="00DB76EB" w:rsidRPr="003810E8" w:rsidRDefault="00DB76EB" w:rsidP="00AC0034">
      <w:pPr>
        <w:tabs>
          <w:tab w:val="left" w:pos="1276"/>
        </w:tabs>
        <w:snapToGrid w:val="0"/>
        <w:ind w:rightChars="-29" w:right="-58"/>
        <w:contextualSpacing/>
        <w:mirrorIndents/>
        <w:rPr>
          <w:rFonts w:eastAsiaTheme="majorEastAsia"/>
          <w:sz w:val="24"/>
          <w:szCs w:val="24"/>
          <w:lang w:val="en-US" w:eastAsia="zh-HK"/>
        </w:rPr>
      </w:pPr>
    </w:p>
    <w:p w:rsidR="00DB76EB" w:rsidRPr="003810E8" w:rsidRDefault="00DB76EB" w:rsidP="00AC0034">
      <w:pPr>
        <w:tabs>
          <w:tab w:val="left" w:pos="1276"/>
        </w:tabs>
        <w:snapToGrid w:val="0"/>
        <w:ind w:left="1620" w:rightChars="-29" w:right="-58" w:hanging="1620"/>
        <w:contextualSpacing/>
        <w:mirrorIndents/>
        <w:rPr>
          <w:rFonts w:eastAsiaTheme="majorEastAsia"/>
          <w:color w:val="000000"/>
          <w:sz w:val="24"/>
          <w:szCs w:val="24"/>
          <w:lang w:val="en-US"/>
        </w:rPr>
      </w:pPr>
      <w:r w:rsidRPr="003810E8">
        <w:rPr>
          <w:rFonts w:eastAsiaTheme="majorEastAsia"/>
          <w:color w:val="000000"/>
          <w:sz w:val="24"/>
          <w:szCs w:val="24"/>
          <w:lang w:val="en-US"/>
        </w:rPr>
        <w:t>Cases referred to:</w:t>
      </w:r>
    </w:p>
    <w:p w:rsidR="00DB76EB" w:rsidRPr="003810E8" w:rsidRDefault="00DB76EB" w:rsidP="00AC0034">
      <w:pPr>
        <w:tabs>
          <w:tab w:val="left" w:pos="1276"/>
        </w:tabs>
        <w:snapToGrid w:val="0"/>
        <w:ind w:rightChars="-29" w:right="-58"/>
        <w:contextualSpacing/>
        <w:mirrorIndents/>
        <w:rPr>
          <w:rFonts w:eastAsiaTheme="majorEastAsia"/>
          <w:sz w:val="24"/>
          <w:szCs w:val="24"/>
          <w:lang w:val="en" w:eastAsia="zh-HK"/>
        </w:rPr>
      </w:pPr>
    </w:p>
    <w:p w:rsidR="00DB76EB" w:rsidRPr="003810E8" w:rsidRDefault="00DB76EB" w:rsidP="001E2590">
      <w:pPr>
        <w:tabs>
          <w:tab w:val="left" w:pos="825"/>
        </w:tabs>
        <w:snapToGrid w:val="0"/>
        <w:ind w:left="567" w:rightChars="-29" w:right="-58" w:hanging="1620"/>
        <w:contextualSpacing/>
        <w:mirrorIndents/>
        <w:rPr>
          <w:rFonts w:eastAsiaTheme="majorEastAsia"/>
          <w:color w:val="000000"/>
          <w:sz w:val="24"/>
          <w:szCs w:val="24"/>
          <w:lang w:val="en-US"/>
        </w:rPr>
      </w:pPr>
      <w:r w:rsidRPr="003810E8">
        <w:rPr>
          <w:rFonts w:eastAsiaTheme="majorEastAsia"/>
          <w:sz w:val="24"/>
          <w:szCs w:val="24"/>
          <w:lang w:val="en-US" w:eastAsia="zh-HK"/>
        </w:rPr>
        <w:tab/>
      </w:r>
      <w:r w:rsidRPr="003810E8">
        <w:rPr>
          <w:rFonts w:eastAsiaTheme="majorEastAsia"/>
          <w:color w:val="000000"/>
          <w:sz w:val="24"/>
          <w:szCs w:val="24"/>
          <w:lang w:val="en-US"/>
        </w:rPr>
        <w:t>D27/98, IRBRD, vol 13, 227</w:t>
      </w:r>
    </w:p>
    <w:p w:rsidR="00DB76EB" w:rsidRPr="003810E8" w:rsidRDefault="00DB76EB" w:rsidP="001E2590">
      <w:pPr>
        <w:tabs>
          <w:tab w:val="left" w:pos="825"/>
        </w:tabs>
        <w:snapToGrid w:val="0"/>
        <w:ind w:left="567" w:rightChars="-29" w:right="-58" w:hanging="1620"/>
        <w:contextualSpacing/>
        <w:mirrorIndents/>
        <w:rPr>
          <w:rFonts w:eastAsiaTheme="majorEastAsia"/>
          <w:sz w:val="24"/>
          <w:szCs w:val="24"/>
          <w:lang w:val="en-US" w:eastAsia="zh-HK"/>
        </w:rPr>
      </w:pPr>
      <w:r w:rsidRPr="003810E8">
        <w:rPr>
          <w:rFonts w:eastAsiaTheme="majorEastAsia"/>
          <w:sz w:val="24"/>
          <w:szCs w:val="24"/>
          <w:lang w:val="en-US" w:eastAsia="zh-HK"/>
        </w:rPr>
        <w:tab/>
      </w:r>
      <w:r w:rsidRPr="001E2590">
        <w:rPr>
          <w:rFonts w:eastAsiaTheme="majorEastAsia"/>
          <w:color w:val="000000"/>
          <w:sz w:val="24"/>
          <w:szCs w:val="24"/>
          <w:lang w:val="en-US"/>
        </w:rPr>
        <w:t>D6</w:t>
      </w:r>
      <w:r w:rsidRPr="003810E8">
        <w:rPr>
          <w:rFonts w:eastAsiaTheme="majorEastAsia"/>
          <w:sz w:val="24"/>
          <w:szCs w:val="24"/>
          <w:lang w:val="en-US" w:eastAsia="zh-HK"/>
        </w:rPr>
        <w:t>/10, (2010-11) IRBRD, vol 25, 234</w:t>
      </w:r>
    </w:p>
    <w:p w:rsidR="00DB76EB" w:rsidRPr="003810E8" w:rsidRDefault="00DB76EB" w:rsidP="001E2590">
      <w:pPr>
        <w:tabs>
          <w:tab w:val="left" w:pos="825"/>
        </w:tabs>
        <w:snapToGrid w:val="0"/>
        <w:ind w:left="567" w:rightChars="-29" w:right="-58" w:hanging="1620"/>
        <w:contextualSpacing/>
        <w:mirrorIndents/>
        <w:rPr>
          <w:rFonts w:eastAsiaTheme="majorEastAsia"/>
          <w:sz w:val="24"/>
          <w:szCs w:val="24"/>
          <w:lang w:val="en-US" w:eastAsia="zh-HK"/>
        </w:rPr>
      </w:pPr>
      <w:r w:rsidRPr="003810E8">
        <w:rPr>
          <w:rFonts w:eastAsiaTheme="majorEastAsia"/>
          <w:sz w:val="24"/>
          <w:szCs w:val="24"/>
          <w:lang w:val="en-US" w:eastAsia="zh-HK"/>
        </w:rPr>
        <w:tab/>
        <w:t>D42/12, (2012-13) IRBRD, vol 27, 881</w:t>
      </w:r>
    </w:p>
    <w:p w:rsidR="00DB76EB" w:rsidRPr="003810E8" w:rsidRDefault="00DB76EB" w:rsidP="001E2590">
      <w:pPr>
        <w:tabs>
          <w:tab w:val="left" w:pos="825"/>
        </w:tabs>
        <w:snapToGrid w:val="0"/>
        <w:ind w:left="567" w:rightChars="-29" w:right="-58" w:hanging="1620"/>
        <w:contextualSpacing/>
        <w:mirrorIndents/>
        <w:rPr>
          <w:rFonts w:eastAsiaTheme="majorEastAsia"/>
          <w:color w:val="000000"/>
          <w:sz w:val="24"/>
          <w:szCs w:val="24"/>
          <w:lang w:val="en-US"/>
        </w:rPr>
      </w:pPr>
      <w:r w:rsidRPr="003810E8">
        <w:rPr>
          <w:rFonts w:eastAsiaTheme="majorEastAsia"/>
          <w:sz w:val="24"/>
          <w:szCs w:val="24"/>
          <w:lang w:val="en-US" w:eastAsia="zh-HK"/>
        </w:rPr>
        <w:tab/>
      </w:r>
      <w:r w:rsidRPr="003810E8">
        <w:rPr>
          <w:rFonts w:eastAsiaTheme="majorEastAsia"/>
          <w:color w:val="000000"/>
          <w:sz w:val="24"/>
          <w:szCs w:val="24"/>
          <w:lang w:val="en-US"/>
        </w:rPr>
        <w:t>Apsin v. Estill [1987] STC 723</w:t>
      </w:r>
    </w:p>
    <w:p w:rsidR="00DB76EB" w:rsidRPr="003810E8" w:rsidRDefault="00DB76EB" w:rsidP="001E2590">
      <w:pPr>
        <w:tabs>
          <w:tab w:val="left" w:pos="825"/>
        </w:tabs>
        <w:snapToGrid w:val="0"/>
        <w:ind w:left="567" w:rightChars="-29" w:right="-58" w:hanging="1620"/>
        <w:contextualSpacing/>
        <w:mirrorIndents/>
        <w:rPr>
          <w:rFonts w:eastAsiaTheme="majorEastAsia"/>
          <w:color w:val="000000"/>
          <w:sz w:val="24"/>
          <w:szCs w:val="24"/>
          <w:lang w:val="en-US"/>
        </w:rPr>
      </w:pPr>
      <w:r w:rsidRPr="003810E8">
        <w:rPr>
          <w:rFonts w:eastAsiaTheme="majorEastAsia"/>
          <w:color w:val="000000"/>
          <w:sz w:val="24"/>
          <w:szCs w:val="24"/>
          <w:lang w:val="en-US"/>
        </w:rPr>
        <w:tab/>
        <w:t>D21/10, (2010-11) IRBRD, vol 25, 410</w:t>
      </w:r>
    </w:p>
    <w:p w:rsidR="00DB76EB" w:rsidRPr="003810E8" w:rsidRDefault="00DB76EB" w:rsidP="00AC0034">
      <w:pPr>
        <w:tabs>
          <w:tab w:val="left" w:pos="1276"/>
        </w:tabs>
        <w:snapToGrid w:val="0"/>
        <w:ind w:left="1620" w:rightChars="-29" w:right="-58" w:hanging="1620"/>
        <w:contextualSpacing/>
        <w:mirrorIndents/>
        <w:rPr>
          <w:rFonts w:eastAsiaTheme="majorEastAsia"/>
          <w:color w:val="000000"/>
          <w:sz w:val="24"/>
          <w:szCs w:val="24"/>
          <w:lang w:val="en-US"/>
        </w:rPr>
      </w:pPr>
      <w:r w:rsidRPr="003810E8">
        <w:rPr>
          <w:rFonts w:eastAsiaTheme="majorEastAsia"/>
          <w:color w:val="000000"/>
          <w:sz w:val="24"/>
          <w:szCs w:val="24"/>
          <w:lang w:val="en-US"/>
        </w:rPr>
        <w:tab/>
      </w:r>
    </w:p>
    <w:p w:rsidR="0089580F" w:rsidRDefault="00DB76EB" w:rsidP="0089580F">
      <w:pPr>
        <w:tabs>
          <w:tab w:val="left" w:pos="1276"/>
        </w:tabs>
        <w:snapToGrid w:val="0"/>
        <w:ind w:rightChars="-29" w:right="-58"/>
        <w:contextualSpacing/>
        <w:mirrorIndents/>
        <w:rPr>
          <w:rFonts w:eastAsiaTheme="majorEastAsia"/>
          <w:sz w:val="24"/>
          <w:szCs w:val="24"/>
          <w:lang w:val="en-US" w:eastAsia="zh-HK"/>
        </w:rPr>
      </w:pPr>
      <w:r w:rsidRPr="003810E8">
        <w:rPr>
          <w:rFonts w:eastAsiaTheme="majorEastAsia"/>
          <w:sz w:val="24"/>
          <w:szCs w:val="24"/>
          <w:lang w:val="en-US" w:eastAsia="zh-HK"/>
        </w:rPr>
        <w:t>Robert Chui</w:t>
      </w:r>
      <w:r w:rsidRPr="003810E8">
        <w:rPr>
          <w:rFonts w:eastAsiaTheme="majorEastAsia"/>
          <w:sz w:val="24"/>
          <w:szCs w:val="24"/>
        </w:rPr>
        <w:t xml:space="preserve"> </w:t>
      </w:r>
      <w:r w:rsidRPr="003810E8">
        <w:rPr>
          <w:rFonts w:eastAsiaTheme="majorEastAsia"/>
          <w:sz w:val="24"/>
          <w:szCs w:val="24"/>
          <w:lang w:val="en-US" w:eastAsia="zh-HK"/>
        </w:rPr>
        <w:t>of Robert Chui CPA Limited, for the Appellant.</w:t>
      </w:r>
    </w:p>
    <w:p w:rsidR="00DB76EB" w:rsidRDefault="00DB76EB" w:rsidP="0089580F">
      <w:pPr>
        <w:tabs>
          <w:tab w:val="left" w:pos="1276"/>
        </w:tabs>
        <w:snapToGrid w:val="0"/>
        <w:ind w:rightChars="-29" w:right="-58"/>
        <w:contextualSpacing/>
        <w:mirrorIndents/>
        <w:rPr>
          <w:rFonts w:eastAsiaTheme="majorEastAsia"/>
          <w:sz w:val="24"/>
          <w:szCs w:val="24"/>
          <w:lang w:val="en-US" w:eastAsia="zh-HK"/>
        </w:rPr>
      </w:pPr>
      <w:r w:rsidRPr="003810E8">
        <w:rPr>
          <w:rFonts w:eastAsiaTheme="majorEastAsia"/>
          <w:sz w:val="24"/>
          <w:szCs w:val="24"/>
          <w:lang w:val="en-US" w:eastAsia="zh-HK"/>
        </w:rPr>
        <w:t>Cheng Po Fung, for the Commissioner of Inland Revenue.</w:t>
      </w:r>
    </w:p>
    <w:p w:rsidR="00FB3272" w:rsidRPr="003810E8" w:rsidRDefault="00FB3272" w:rsidP="00AC0034">
      <w:pPr>
        <w:snapToGrid w:val="0"/>
        <w:contextualSpacing/>
        <w:mirrorIndents/>
        <w:rPr>
          <w:rFonts w:eastAsiaTheme="majorEastAsia"/>
          <w:sz w:val="24"/>
          <w:szCs w:val="24"/>
          <w:lang w:val="en-US" w:eastAsia="zh-HK"/>
        </w:rPr>
      </w:pPr>
    </w:p>
    <w:p w:rsidR="00986AE2" w:rsidRDefault="00986AE2" w:rsidP="00986AE2">
      <w:pPr>
        <w:overflowPunct/>
        <w:autoSpaceDE/>
        <w:autoSpaceDN/>
        <w:adjustRightInd/>
        <w:textAlignment w:val="auto"/>
        <w:rPr>
          <w:rFonts w:eastAsiaTheme="majorEastAsia"/>
          <w:b/>
          <w:sz w:val="24"/>
          <w:szCs w:val="24"/>
          <w:lang w:val="en-US"/>
        </w:rPr>
      </w:pPr>
    </w:p>
    <w:p w:rsidR="00DB76EB" w:rsidRPr="009778EF" w:rsidRDefault="009778EF" w:rsidP="00986AE2">
      <w:pPr>
        <w:overflowPunct/>
        <w:autoSpaceDE/>
        <w:autoSpaceDN/>
        <w:adjustRightInd/>
        <w:textAlignment w:val="auto"/>
        <w:rPr>
          <w:rFonts w:eastAsiaTheme="majorEastAsia"/>
          <w:b/>
          <w:sz w:val="24"/>
          <w:szCs w:val="24"/>
          <w:lang w:val="en-US"/>
        </w:rPr>
      </w:pPr>
      <w:r w:rsidRPr="009778EF">
        <w:rPr>
          <w:rFonts w:eastAsiaTheme="majorEastAsia"/>
          <w:b/>
          <w:sz w:val="24"/>
          <w:szCs w:val="24"/>
          <w:lang w:val="en-US"/>
        </w:rPr>
        <w:t>Decision:</w:t>
      </w:r>
    </w:p>
    <w:p w:rsidR="00DB76EB" w:rsidRPr="009778EF" w:rsidRDefault="00DB76EB" w:rsidP="00AC0034">
      <w:pPr>
        <w:snapToGrid w:val="0"/>
        <w:contextualSpacing/>
        <w:mirrorIndents/>
        <w:rPr>
          <w:rFonts w:eastAsiaTheme="majorEastAsia"/>
          <w:b/>
          <w:sz w:val="24"/>
          <w:szCs w:val="24"/>
          <w:lang w:val="en-US"/>
        </w:rPr>
      </w:pPr>
    </w:p>
    <w:p w:rsidR="00DB76EB" w:rsidRPr="009778EF" w:rsidRDefault="00C70715" w:rsidP="00AC0034">
      <w:pPr>
        <w:snapToGrid w:val="0"/>
        <w:contextualSpacing/>
        <w:mirrorIndents/>
        <w:rPr>
          <w:rFonts w:eastAsiaTheme="majorEastAsia"/>
          <w:b/>
          <w:sz w:val="24"/>
          <w:szCs w:val="24"/>
          <w:lang w:val="en-US"/>
        </w:rPr>
      </w:pPr>
      <w:r w:rsidRPr="009778EF">
        <w:rPr>
          <w:rFonts w:eastAsiaTheme="majorEastAsia"/>
          <w:b/>
          <w:sz w:val="24"/>
          <w:szCs w:val="24"/>
          <w:lang w:val="en-US"/>
        </w:rPr>
        <w:t xml:space="preserve">A.  </w:t>
      </w:r>
      <w:r w:rsidR="00DB76EB" w:rsidRPr="009778EF">
        <w:rPr>
          <w:rFonts w:eastAsiaTheme="majorEastAsia"/>
          <w:b/>
          <w:sz w:val="24"/>
          <w:szCs w:val="24"/>
          <w:lang w:val="en-US"/>
        </w:rPr>
        <w:t>Introduction</w:t>
      </w:r>
    </w:p>
    <w:p w:rsidR="00DB76EB" w:rsidRPr="003810E8" w:rsidRDefault="00DB76EB" w:rsidP="00AC0034">
      <w:pPr>
        <w:snapToGrid w:val="0"/>
        <w:contextualSpacing/>
        <w:mirrorIndents/>
        <w:rPr>
          <w:rFonts w:eastAsiaTheme="majorEastAsia"/>
          <w:sz w:val="24"/>
          <w:szCs w:val="24"/>
          <w:lang w:val="en-US"/>
        </w:rPr>
      </w:pPr>
    </w:p>
    <w:p w:rsidR="00DB76EB" w:rsidRPr="003810E8" w:rsidRDefault="00DB76EB" w:rsidP="005431B1">
      <w:pPr>
        <w:pStyle w:val="ac"/>
        <w:ind w:leftChars="0" w:left="0"/>
        <w:jc w:val="both"/>
        <w:rPr>
          <w:rFonts w:eastAsiaTheme="majorEastAsia"/>
          <w:sz w:val="24"/>
          <w:szCs w:val="24"/>
          <w:lang w:val="en-US"/>
        </w:rPr>
      </w:pPr>
      <w:r w:rsidRPr="003810E8">
        <w:rPr>
          <w:rFonts w:eastAsiaTheme="majorEastAsia"/>
          <w:sz w:val="24"/>
          <w:szCs w:val="24"/>
          <w:lang w:val="en-US"/>
        </w:rPr>
        <w:t>1.</w:t>
      </w:r>
      <w:r w:rsidRPr="003810E8">
        <w:rPr>
          <w:rFonts w:eastAsiaTheme="majorEastAsia"/>
          <w:sz w:val="24"/>
          <w:szCs w:val="24"/>
          <w:lang w:val="en-US"/>
        </w:rPr>
        <w:tab/>
        <w:t xml:space="preserve">This is the appeal by </w:t>
      </w:r>
      <w:r w:rsidR="004B18C9">
        <w:rPr>
          <w:rFonts w:eastAsiaTheme="majorEastAsia"/>
          <w:sz w:val="24"/>
          <w:szCs w:val="24"/>
          <w:lang w:val="en-US"/>
        </w:rPr>
        <w:t>Mr A</w:t>
      </w:r>
      <w:r w:rsidRPr="003810E8">
        <w:rPr>
          <w:rFonts w:eastAsiaTheme="majorEastAsia"/>
          <w:sz w:val="24"/>
          <w:szCs w:val="24"/>
          <w:lang w:val="en-US"/>
        </w:rPr>
        <w:t xml:space="preserve"> against the Commissioner’s Determination dated 5 February 2024 (the </w:t>
      </w:r>
      <w:r w:rsidR="00F73067">
        <w:rPr>
          <w:rFonts w:eastAsiaTheme="majorEastAsia"/>
          <w:sz w:val="24"/>
          <w:szCs w:val="24"/>
          <w:lang w:val="en-US"/>
        </w:rPr>
        <w:t>‘</w:t>
      </w:r>
      <w:r w:rsidRPr="000622CC">
        <w:rPr>
          <w:rFonts w:eastAsiaTheme="majorEastAsia"/>
          <w:b/>
          <w:sz w:val="24"/>
          <w:szCs w:val="24"/>
          <w:lang w:val="en-US"/>
        </w:rPr>
        <w:t>Determination</w:t>
      </w:r>
      <w:r w:rsidR="00F73067">
        <w:rPr>
          <w:rFonts w:eastAsiaTheme="majorEastAsia"/>
          <w:sz w:val="24"/>
          <w:szCs w:val="24"/>
          <w:lang w:val="en-US"/>
        </w:rPr>
        <w:t>’</w:t>
      </w:r>
      <w:r w:rsidRPr="003810E8">
        <w:rPr>
          <w:rFonts w:eastAsiaTheme="majorEastAsia"/>
          <w:sz w:val="24"/>
          <w:szCs w:val="24"/>
          <w:lang w:val="en-US"/>
        </w:rPr>
        <w:t xml:space="preserve">) in respect of the Property Tax Assessment for the year of assessment 2021/22 (the </w:t>
      </w:r>
      <w:r w:rsidR="00F73067">
        <w:rPr>
          <w:rFonts w:eastAsiaTheme="majorEastAsia"/>
          <w:sz w:val="24"/>
          <w:szCs w:val="24"/>
          <w:lang w:val="en-US"/>
        </w:rPr>
        <w:t>‘</w:t>
      </w:r>
      <w:r w:rsidRPr="000622CC">
        <w:rPr>
          <w:rFonts w:eastAsiaTheme="majorEastAsia"/>
          <w:b/>
          <w:sz w:val="24"/>
          <w:szCs w:val="24"/>
          <w:lang w:val="en-US"/>
        </w:rPr>
        <w:t>Assessment</w:t>
      </w:r>
      <w:r w:rsidR="00F73067">
        <w:rPr>
          <w:rFonts w:eastAsiaTheme="majorEastAsia"/>
          <w:sz w:val="24"/>
          <w:szCs w:val="24"/>
          <w:lang w:val="en-US"/>
        </w:rPr>
        <w:t>’</w:t>
      </w:r>
      <w:r w:rsidRPr="003810E8">
        <w:rPr>
          <w:rFonts w:eastAsiaTheme="majorEastAsia"/>
          <w:sz w:val="24"/>
          <w:szCs w:val="24"/>
          <w:lang w:val="en-US"/>
        </w:rPr>
        <w:t xml:space="preserve">) raised on him and </w:t>
      </w:r>
      <w:r w:rsidR="000F1CF0">
        <w:rPr>
          <w:rFonts w:eastAsiaTheme="majorEastAsia"/>
          <w:sz w:val="24"/>
          <w:szCs w:val="24"/>
          <w:lang w:val="en-US"/>
        </w:rPr>
        <w:t>Ms B</w:t>
      </w:r>
      <w:r w:rsidRPr="003810E8">
        <w:rPr>
          <w:rFonts w:eastAsiaTheme="majorEastAsia"/>
          <w:sz w:val="24"/>
          <w:szCs w:val="24"/>
          <w:lang w:val="en-US"/>
        </w:rPr>
        <w:t>.</w:t>
      </w:r>
    </w:p>
    <w:p w:rsidR="00DB76EB" w:rsidRPr="003810E8" w:rsidRDefault="00DB76EB" w:rsidP="00AC0034">
      <w:pPr>
        <w:snapToGrid w:val="0"/>
        <w:contextualSpacing/>
        <w:mirrorIndents/>
        <w:rPr>
          <w:rFonts w:eastAsiaTheme="majorEastAsia"/>
          <w:sz w:val="24"/>
          <w:szCs w:val="24"/>
          <w:lang w:val="en-US"/>
        </w:rPr>
      </w:pPr>
    </w:p>
    <w:p w:rsidR="00DB76EB" w:rsidRPr="009778EF" w:rsidRDefault="00C70715" w:rsidP="00AC0034">
      <w:pPr>
        <w:snapToGrid w:val="0"/>
        <w:contextualSpacing/>
        <w:mirrorIndents/>
        <w:rPr>
          <w:rFonts w:eastAsiaTheme="majorEastAsia"/>
          <w:b/>
          <w:sz w:val="24"/>
          <w:szCs w:val="24"/>
          <w:lang w:val="en-US"/>
        </w:rPr>
      </w:pPr>
      <w:r w:rsidRPr="009778EF">
        <w:rPr>
          <w:rFonts w:eastAsiaTheme="majorEastAsia"/>
          <w:b/>
          <w:sz w:val="24"/>
          <w:szCs w:val="24"/>
          <w:lang w:val="en-US"/>
        </w:rPr>
        <w:t xml:space="preserve">B.  </w:t>
      </w:r>
      <w:r w:rsidR="00DB76EB" w:rsidRPr="009778EF">
        <w:rPr>
          <w:rFonts w:eastAsiaTheme="majorEastAsia"/>
          <w:b/>
          <w:sz w:val="24"/>
          <w:szCs w:val="24"/>
          <w:lang w:val="en-US"/>
        </w:rPr>
        <w:t>Factual Background</w:t>
      </w:r>
    </w:p>
    <w:p w:rsidR="00DB76EB" w:rsidRPr="003810E8" w:rsidRDefault="00DB76EB" w:rsidP="00AC0034">
      <w:pPr>
        <w:snapToGrid w:val="0"/>
        <w:contextualSpacing/>
        <w:mirrorIndents/>
        <w:rPr>
          <w:rFonts w:eastAsiaTheme="majorEastAsia"/>
          <w:sz w:val="24"/>
          <w:szCs w:val="24"/>
          <w:lang w:val="en-US"/>
        </w:rPr>
      </w:pPr>
    </w:p>
    <w:p w:rsidR="00DB76EB" w:rsidRPr="003810E8" w:rsidRDefault="00DB76EB" w:rsidP="008B752A">
      <w:pPr>
        <w:pStyle w:val="ac"/>
        <w:ind w:leftChars="0" w:left="0"/>
        <w:jc w:val="both"/>
        <w:rPr>
          <w:rFonts w:eastAsiaTheme="majorEastAsia"/>
          <w:sz w:val="24"/>
          <w:szCs w:val="24"/>
          <w:lang w:val="en-US"/>
        </w:rPr>
      </w:pPr>
      <w:r w:rsidRPr="003810E8">
        <w:rPr>
          <w:rFonts w:eastAsiaTheme="majorEastAsia"/>
          <w:sz w:val="24"/>
          <w:szCs w:val="24"/>
          <w:lang w:val="en-US"/>
        </w:rPr>
        <w:t>2.</w:t>
      </w:r>
      <w:r w:rsidRPr="003810E8">
        <w:rPr>
          <w:rFonts w:eastAsiaTheme="majorEastAsia"/>
          <w:sz w:val="24"/>
          <w:szCs w:val="24"/>
          <w:lang w:val="en-US"/>
        </w:rPr>
        <w:tab/>
        <w:t>The factual background leading to the Assessment is simple and straightforward.</w:t>
      </w:r>
    </w:p>
    <w:p w:rsidR="00DB76EB" w:rsidRPr="003810E8" w:rsidRDefault="00DB76EB" w:rsidP="00AC0034">
      <w:pPr>
        <w:snapToGrid w:val="0"/>
        <w:contextualSpacing/>
        <w:mirrorIndents/>
        <w:rPr>
          <w:rFonts w:eastAsiaTheme="majorEastAsia"/>
          <w:sz w:val="24"/>
          <w:szCs w:val="24"/>
          <w:lang w:val="en-US"/>
        </w:rPr>
      </w:pPr>
    </w:p>
    <w:p w:rsidR="00DB76EB" w:rsidRPr="003810E8" w:rsidRDefault="00DB76EB" w:rsidP="008B752A">
      <w:pPr>
        <w:pStyle w:val="ac"/>
        <w:ind w:leftChars="0" w:left="0"/>
        <w:jc w:val="both"/>
        <w:rPr>
          <w:rFonts w:eastAsiaTheme="majorEastAsia"/>
          <w:sz w:val="24"/>
          <w:szCs w:val="24"/>
          <w:lang w:val="en-US"/>
        </w:rPr>
      </w:pPr>
      <w:r w:rsidRPr="003810E8">
        <w:rPr>
          <w:rFonts w:eastAsiaTheme="majorEastAsia"/>
          <w:sz w:val="24"/>
          <w:szCs w:val="24"/>
          <w:lang w:val="en-US"/>
        </w:rPr>
        <w:t>3.</w:t>
      </w:r>
      <w:r w:rsidRPr="003810E8">
        <w:rPr>
          <w:rFonts w:eastAsiaTheme="majorEastAsia"/>
          <w:sz w:val="24"/>
          <w:szCs w:val="24"/>
          <w:lang w:val="en-US"/>
        </w:rPr>
        <w:tab/>
        <w:t xml:space="preserve">At the material time, </w:t>
      </w:r>
      <w:r w:rsidR="004B18C9">
        <w:rPr>
          <w:rFonts w:eastAsiaTheme="majorEastAsia"/>
          <w:sz w:val="24"/>
          <w:szCs w:val="24"/>
          <w:lang w:val="en-US"/>
        </w:rPr>
        <w:t>Mr A</w:t>
      </w:r>
      <w:r w:rsidRPr="003810E8">
        <w:rPr>
          <w:rFonts w:eastAsiaTheme="majorEastAsia"/>
          <w:sz w:val="24"/>
          <w:szCs w:val="24"/>
          <w:lang w:val="en-US"/>
        </w:rPr>
        <w:t xml:space="preserve"> and </w:t>
      </w:r>
      <w:r w:rsidR="000F1CF0">
        <w:rPr>
          <w:rFonts w:eastAsiaTheme="majorEastAsia"/>
          <w:sz w:val="24"/>
          <w:szCs w:val="24"/>
          <w:lang w:val="en-US"/>
        </w:rPr>
        <w:t>Ms B</w:t>
      </w:r>
      <w:r w:rsidRPr="003810E8">
        <w:rPr>
          <w:rFonts w:eastAsiaTheme="majorEastAsia"/>
          <w:sz w:val="24"/>
          <w:szCs w:val="24"/>
          <w:lang w:val="en-US"/>
        </w:rPr>
        <w:t xml:space="preserve"> were husband and wife.</w:t>
      </w:r>
    </w:p>
    <w:p w:rsidR="00DB76EB" w:rsidRPr="003810E8" w:rsidRDefault="00DB76EB" w:rsidP="00AC0034">
      <w:pPr>
        <w:snapToGrid w:val="0"/>
        <w:contextualSpacing/>
        <w:mirrorIndents/>
        <w:rPr>
          <w:rFonts w:eastAsiaTheme="majorEastAsia"/>
          <w:sz w:val="24"/>
          <w:szCs w:val="24"/>
          <w:lang w:val="en-US"/>
        </w:rPr>
      </w:pPr>
    </w:p>
    <w:p w:rsidR="00DB76EB" w:rsidRPr="003810E8" w:rsidRDefault="00DB76EB" w:rsidP="008B752A">
      <w:pPr>
        <w:pStyle w:val="ac"/>
        <w:ind w:leftChars="0" w:left="0"/>
        <w:jc w:val="both"/>
        <w:rPr>
          <w:rFonts w:eastAsiaTheme="majorEastAsia"/>
          <w:sz w:val="24"/>
          <w:szCs w:val="24"/>
          <w:lang w:val="en-US"/>
        </w:rPr>
      </w:pPr>
      <w:r w:rsidRPr="003810E8">
        <w:rPr>
          <w:rFonts w:eastAsiaTheme="majorEastAsia"/>
          <w:sz w:val="24"/>
          <w:szCs w:val="24"/>
          <w:lang w:val="en-US"/>
        </w:rPr>
        <w:t>4.</w:t>
      </w:r>
      <w:r w:rsidRPr="003810E8">
        <w:rPr>
          <w:rFonts w:eastAsiaTheme="majorEastAsia"/>
          <w:sz w:val="24"/>
          <w:szCs w:val="24"/>
          <w:lang w:val="en-US"/>
        </w:rPr>
        <w:tab/>
        <w:t xml:space="preserve">By an agreement for sale and purchase dated 24 November 2017, </w:t>
      </w:r>
      <w:r w:rsidR="004B18C9">
        <w:rPr>
          <w:rFonts w:eastAsiaTheme="majorEastAsia"/>
          <w:sz w:val="24"/>
          <w:szCs w:val="24"/>
          <w:lang w:val="en-US"/>
        </w:rPr>
        <w:t>Mr A</w:t>
      </w:r>
      <w:r w:rsidRPr="003810E8">
        <w:rPr>
          <w:rFonts w:eastAsiaTheme="majorEastAsia"/>
          <w:sz w:val="24"/>
          <w:szCs w:val="24"/>
          <w:lang w:val="en-US"/>
        </w:rPr>
        <w:t xml:space="preserve"> and </w:t>
      </w:r>
      <w:r w:rsidR="000F1CF0">
        <w:rPr>
          <w:rFonts w:eastAsiaTheme="majorEastAsia"/>
          <w:sz w:val="24"/>
          <w:szCs w:val="24"/>
          <w:lang w:val="en-US"/>
        </w:rPr>
        <w:t>Ms B</w:t>
      </w:r>
      <w:r w:rsidRPr="003810E8">
        <w:rPr>
          <w:rFonts w:eastAsiaTheme="majorEastAsia"/>
          <w:sz w:val="24"/>
          <w:szCs w:val="24"/>
          <w:lang w:val="en-US"/>
        </w:rPr>
        <w:t xml:space="preserve"> as joint tenants purchased the property located at </w:t>
      </w:r>
      <w:r w:rsidR="00967A48">
        <w:rPr>
          <w:rFonts w:eastAsiaTheme="majorEastAsia"/>
          <w:sz w:val="24"/>
          <w:szCs w:val="24"/>
          <w:lang w:val="en-US"/>
        </w:rPr>
        <w:t>Address C</w:t>
      </w:r>
      <w:r w:rsidRPr="003810E8">
        <w:rPr>
          <w:rFonts w:eastAsiaTheme="majorEastAsia"/>
          <w:sz w:val="24"/>
          <w:szCs w:val="24"/>
          <w:lang w:val="en-US"/>
        </w:rPr>
        <w:t xml:space="preserve"> (the </w:t>
      </w:r>
      <w:r w:rsidR="00F73067">
        <w:rPr>
          <w:rFonts w:eastAsiaTheme="majorEastAsia"/>
          <w:sz w:val="24"/>
          <w:szCs w:val="24"/>
          <w:lang w:val="en-US"/>
        </w:rPr>
        <w:t>‘</w:t>
      </w:r>
      <w:r w:rsidRPr="00967A48">
        <w:rPr>
          <w:rFonts w:eastAsiaTheme="majorEastAsia"/>
          <w:b/>
          <w:sz w:val="24"/>
          <w:szCs w:val="24"/>
          <w:lang w:val="en-US"/>
        </w:rPr>
        <w:t>Property</w:t>
      </w:r>
      <w:r w:rsidR="00F73067">
        <w:rPr>
          <w:rFonts w:eastAsiaTheme="majorEastAsia"/>
          <w:sz w:val="24"/>
          <w:szCs w:val="24"/>
          <w:lang w:val="en-US"/>
        </w:rPr>
        <w:t>’</w:t>
      </w:r>
      <w:r w:rsidRPr="003810E8">
        <w:rPr>
          <w:rFonts w:eastAsiaTheme="majorEastAsia"/>
          <w:sz w:val="24"/>
          <w:szCs w:val="24"/>
          <w:lang w:val="en-US"/>
        </w:rPr>
        <w:t>) at the co</w:t>
      </w:r>
      <w:r w:rsidR="00000978">
        <w:rPr>
          <w:rFonts w:eastAsiaTheme="majorEastAsia"/>
          <w:sz w:val="24"/>
          <w:szCs w:val="24"/>
          <w:lang w:val="en-US"/>
        </w:rPr>
        <w:t xml:space="preserve">nsideration of HK$17,000,000.  </w:t>
      </w:r>
      <w:r w:rsidR="004B18C9">
        <w:rPr>
          <w:rFonts w:eastAsiaTheme="majorEastAsia"/>
          <w:sz w:val="24"/>
          <w:szCs w:val="24"/>
          <w:lang w:val="en-US"/>
        </w:rPr>
        <w:t>Mr A</w:t>
      </w:r>
      <w:r w:rsidRPr="003810E8">
        <w:rPr>
          <w:rFonts w:eastAsiaTheme="majorEastAsia"/>
          <w:sz w:val="24"/>
          <w:szCs w:val="24"/>
          <w:lang w:val="en-US"/>
        </w:rPr>
        <w:t xml:space="preserve"> and </w:t>
      </w:r>
      <w:r w:rsidR="000F1CF0">
        <w:rPr>
          <w:rFonts w:eastAsiaTheme="majorEastAsia"/>
          <w:sz w:val="24"/>
          <w:szCs w:val="24"/>
          <w:lang w:val="en-US"/>
        </w:rPr>
        <w:t>Ms B</w:t>
      </w:r>
      <w:r w:rsidRPr="003810E8">
        <w:rPr>
          <w:rFonts w:eastAsiaTheme="majorEastAsia"/>
          <w:sz w:val="24"/>
          <w:szCs w:val="24"/>
          <w:lang w:val="en-US"/>
        </w:rPr>
        <w:t xml:space="preserve"> ceased to own the Property on 14 January 2022 when it was assigned to the next owner.</w:t>
      </w:r>
    </w:p>
    <w:p w:rsidR="00DB76EB" w:rsidRPr="003810E8" w:rsidRDefault="00DB76EB" w:rsidP="00AC0034">
      <w:pPr>
        <w:snapToGrid w:val="0"/>
        <w:contextualSpacing/>
        <w:mirrorIndents/>
        <w:rPr>
          <w:rFonts w:eastAsiaTheme="majorEastAsia"/>
          <w:sz w:val="24"/>
          <w:szCs w:val="24"/>
          <w:lang w:val="en-US"/>
        </w:rPr>
      </w:pPr>
    </w:p>
    <w:p w:rsidR="00DB76EB" w:rsidRPr="003810E8" w:rsidRDefault="00DB76EB" w:rsidP="008B752A">
      <w:pPr>
        <w:pStyle w:val="ac"/>
        <w:ind w:leftChars="0" w:left="0"/>
        <w:jc w:val="both"/>
        <w:rPr>
          <w:rFonts w:eastAsiaTheme="majorEastAsia"/>
          <w:sz w:val="24"/>
          <w:szCs w:val="24"/>
          <w:lang w:val="en-US"/>
        </w:rPr>
      </w:pPr>
      <w:r w:rsidRPr="003810E8">
        <w:rPr>
          <w:rFonts w:eastAsiaTheme="majorEastAsia"/>
          <w:sz w:val="24"/>
          <w:szCs w:val="24"/>
          <w:lang w:val="en-US"/>
        </w:rPr>
        <w:t>5.</w:t>
      </w:r>
      <w:r w:rsidRPr="003810E8">
        <w:rPr>
          <w:rFonts w:eastAsiaTheme="majorEastAsia"/>
          <w:sz w:val="24"/>
          <w:szCs w:val="24"/>
          <w:lang w:val="en-US"/>
        </w:rPr>
        <w:tab/>
        <w:t xml:space="preserve">On </w:t>
      </w:r>
      <w:r w:rsidR="007025FC">
        <w:rPr>
          <w:rFonts w:eastAsiaTheme="majorEastAsia"/>
          <w:sz w:val="24"/>
          <w:szCs w:val="24"/>
          <w:lang w:val="en-US"/>
        </w:rPr>
        <w:t>XX</w:t>
      </w:r>
      <w:r w:rsidRPr="003810E8">
        <w:rPr>
          <w:rFonts w:eastAsiaTheme="majorEastAsia"/>
          <w:sz w:val="24"/>
          <w:szCs w:val="24"/>
          <w:lang w:val="en-US"/>
        </w:rPr>
        <w:t xml:space="preserve"> April 2020, </w:t>
      </w:r>
      <w:r w:rsidR="004B18C9">
        <w:rPr>
          <w:rFonts w:eastAsiaTheme="majorEastAsia"/>
          <w:sz w:val="24"/>
          <w:szCs w:val="24"/>
          <w:lang w:val="en-US"/>
        </w:rPr>
        <w:t>Mr A</w:t>
      </w:r>
      <w:r w:rsidRPr="003810E8">
        <w:rPr>
          <w:rFonts w:eastAsiaTheme="majorEastAsia"/>
          <w:sz w:val="24"/>
          <w:szCs w:val="24"/>
          <w:lang w:val="en-US"/>
        </w:rPr>
        <w:t xml:space="preserve"> and </w:t>
      </w:r>
      <w:r w:rsidR="000F1CF0">
        <w:rPr>
          <w:rFonts w:eastAsiaTheme="majorEastAsia"/>
          <w:sz w:val="24"/>
          <w:szCs w:val="24"/>
          <w:lang w:val="en-US"/>
        </w:rPr>
        <w:t>Ms B</w:t>
      </w:r>
      <w:r w:rsidRPr="003810E8">
        <w:rPr>
          <w:rFonts w:eastAsiaTheme="majorEastAsia"/>
          <w:sz w:val="24"/>
          <w:szCs w:val="24"/>
          <w:lang w:val="en-US"/>
        </w:rPr>
        <w:t xml:space="preserve"> entered into a tenancy agreement (the </w:t>
      </w:r>
      <w:r w:rsidR="00F73067">
        <w:rPr>
          <w:rFonts w:eastAsiaTheme="majorEastAsia"/>
          <w:sz w:val="24"/>
          <w:szCs w:val="24"/>
          <w:lang w:val="en-US"/>
        </w:rPr>
        <w:t>‘</w:t>
      </w:r>
      <w:r w:rsidRPr="00643B3C">
        <w:rPr>
          <w:rFonts w:eastAsiaTheme="majorEastAsia"/>
          <w:b/>
          <w:sz w:val="24"/>
          <w:szCs w:val="24"/>
          <w:lang w:val="en-US"/>
        </w:rPr>
        <w:t>Tenancy Agreement</w:t>
      </w:r>
      <w:r w:rsidR="00F73067">
        <w:rPr>
          <w:rFonts w:eastAsiaTheme="majorEastAsia"/>
          <w:sz w:val="24"/>
          <w:szCs w:val="24"/>
          <w:lang w:val="en-US"/>
        </w:rPr>
        <w:t>’</w:t>
      </w:r>
      <w:r w:rsidRPr="003810E8">
        <w:rPr>
          <w:rFonts w:eastAsiaTheme="majorEastAsia"/>
          <w:sz w:val="24"/>
          <w:szCs w:val="24"/>
          <w:lang w:val="en-US"/>
        </w:rPr>
        <w:t xml:space="preserve">) with </w:t>
      </w:r>
      <w:r w:rsidR="00AD7582">
        <w:rPr>
          <w:rFonts w:eastAsiaTheme="majorEastAsia"/>
          <w:sz w:val="24"/>
          <w:szCs w:val="24"/>
          <w:lang w:val="en-US"/>
        </w:rPr>
        <w:t>Company D</w:t>
      </w:r>
      <w:r w:rsidRPr="003810E8">
        <w:rPr>
          <w:rFonts w:eastAsiaTheme="majorEastAsia"/>
          <w:sz w:val="24"/>
          <w:szCs w:val="24"/>
          <w:lang w:val="en-US"/>
        </w:rPr>
        <w:t xml:space="preserve"> (the </w:t>
      </w:r>
      <w:r w:rsidR="00F73067">
        <w:rPr>
          <w:rFonts w:eastAsiaTheme="majorEastAsia"/>
          <w:sz w:val="24"/>
          <w:szCs w:val="24"/>
          <w:lang w:val="en-US"/>
        </w:rPr>
        <w:t>‘</w:t>
      </w:r>
      <w:r w:rsidRPr="00643B3C">
        <w:rPr>
          <w:rFonts w:eastAsiaTheme="majorEastAsia"/>
          <w:b/>
          <w:sz w:val="24"/>
          <w:szCs w:val="24"/>
          <w:lang w:val="en-US"/>
        </w:rPr>
        <w:t>Tenant</w:t>
      </w:r>
      <w:r w:rsidR="00F73067">
        <w:rPr>
          <w:rFonts w:eastAsiaTheme="majorEastAsia"/>
          <w:sz w:val="24"/>
          <w:szCs w:val="24"/>
          <w:lang w:val="en-US"/>
        </w:rPr>
        <w:t>’</w:t>
      </w:r>
      <w:r w:rsidRPr="003810E8">
        <w:rPr>
          <w:rFonts w:eastAsiaTheme="majorEastAsia"/>
          <w:sz w:val="24"/>
          <w:szCs w:val="24"/>
          <w:lang w:val="en-US"/>
        </w:rPr>
        <w:t>) in respect of the Property.</w:t>
      </w:r>
    </w:p>
    <w:p w:rsidR="00DB76EB" w:rsidRPr="003810E8" w:rsidRDefault="00DB76EB" w:rsidP="00AC0034">
      <w:pPr>
        <w:snapToGrid w:val="0"/>
        <w:contextualSpacing/>
        <w:mirrorIndents/>
        <w:rPr>
          <w:rFonts w:eastAsiaTheme="majorEastAsia"/>
          <w:sz w:val="24"/>
          <w:szCs w:val="24"/>
          <w:lang w:val="en-US"/>
        </w:rPr>
      </w:pPr>
    </w:p>
    <w:p w:rsidR="00DB76EB" w:rsidRPr="003810E8" w:rsidRDefault="00DB76EB" w:rsidP="008B752A">
      <w:pPr>
        <w:pStyle w:val="ac"/>
        <w:ind w:leftChars="0" w:left="0"/>
        <w:jc w:val="both"/>
        <w:rPr>
          <w:rFonts w:eastAsiaTheme="majorEastAsia"/>
          <w:sz w:val="24"/>
          <w:szCs w:val="24"/>
          <w:lang w:val="en-US"/>
        </w:rPr>
      </w:pPr>
      <w:r w:rsidRPr="003810E8">
        <w:rPr>
          <w:rFonts w:eastAsiaTheme="majorEastAsia"/>
          <w:sz w:val="24"/>
          <w:szCs w:val="24"/>
          <w:lang w:val="en-US"/>
        </w:rPr>
        <w:t>6.</w:t>
      </w:r>
      <w:r w:rsidRPr="003810E8">
        <w:rPr>
          <w:rFonts w:eastAsiaTheme="majorEastAsia"/>
          <w:sz w:val="24"/>
          <w:szCs w:val="24"/>
          <w:lang w:val="en-US"/>
        </w:rPr>
        <w:tab/>
        <w:t xml:space="preserve">Under the Tenancy Agreement, the term of tenancy was for 2 years starting from </w:t>
      </w:r>
      <w:r w:rsidR="00AD7582">
        <w:rPr>
          <w:rFonts w:eastAsiaTheme="majorEastAsia"/>
          <w:sz w:val="24"/>
          <w:szCs w:val="24"/>
          <w:lang w:val="en-US"/>
        </w:rPr>
        <w:t>XX</w:t>
      </w:r>
      <w:r w:rsidRPr="003810E8">
        <w:rPr>
          <w:rFonts w:eastAsiaTheme="majorEastAsia"/>
          <w:sz w:val="24"/>
          <w:szCs w:val="24"/>
          <w:lang w:val="en-US"/>
        </w:rPr>
        <w:t xml:space="preserve"> April 2020 and the monthly rental payable by the Tenant was HK$42,000 (exclusive of, </w:t>
      </w:r>
      <w:r w:rsidRPr="002264CE">
        <w:rPr>
          <w:rFonts w:eastAsiaTheme="majorEastAsia"/>
          <w:i/>
          <w:sz w:val="24"/>
          <w:szCs w:val="24"/>
          <w:lang w:val="en-US"/>
        </w:rPr>
        <w:t>inter alia</w:t>
      </w:r>
      <w:r w:rsidRPr="003810E8">
        <w:rPr>
          <w:rFonts w:eastAsiaTheme="majorEastAsia"/>
          <w:sz w:val="24"/>
          <w:szCs w:val="24"/>
          <w:lang w:val="en-US"/>
        </w:rPr>
        <w:t>¸ management fees and rates).</w:t>
      </w:r>
    </w:p>
    <w:p w:rsidR="00DB76EB" w:rsidRPr="003810E8" w:rsidRDefault="00DB76EB" w:rsidP="00AC0034">
      <w:pPr>
        <w:snapToGrid w:val="0"/>
        <w:contextualSpacing/>
        <w:mirrorIndents/>
        <w:rPr>
          <w:rFonts w:eastAsiaTheme="majorEastAsia"/>
          <w:sz w:val="24"/>
          <w:szCs w:val="24"/>
          <w:lang w:val="en-US"/>
        </w:rPr>
      </w:pPr>
    </w:p>
    <w:p w:rsidR="00DB76EB" w:rsidRPr="003810E8" w:rsidRDefault="00DB76EB" w:rsidP="000E754D">
      <w:pPr>
        <w:pStyle w:val="ac"/>
        <w:ind w:leftChars="0" w:left="0"/>
        <w:jc w:val="both"/>
        <w:rPr>
          <w:rFonts w:eastAsiaTheme="majorEastAsia"/>
          <w:sz w:val="24"/>
          <w:szCs w:val="24"/>
          <w:lang w:val="en-US"/>
        </w:rPr>
      </w:pPr>
      <w:r w:rsidRPr="003810E8">
        <w:rPr>
          <w:rFonts w:eastAsiaTheme="majorEastAsia"/>
          <w:sz w:val="24"/>
          <w:szCs w:val="24"/>
          <w:lang w:val="en-US"/>
        </w:rPr>
        <w:t>7.</w:t>
      </w:r>
      <w:r w:rsidRPr="003810E8">
        <w:rPr>
          <w:rFonts w:eastAsiaTheme="majorEastAsia"/>
          <w:sz w:val="24"/>
          <w:szCs w:val="24"/>
          <w:lang w:val="en-US"/>
        </w:rPr>
        <w:tab/>
        <w:t xml:space="preserve">The Tenancy Agreement, which was signed by both </w:t>
      </w:r>
      <w:r w:rsidR="004B18C9">
        <w:rPr>
          <w:rFonts w:eastAsiaTheme="majorEastAsia"/>
          <w:sz w:val="24"/>
          <w:szCs w:val="24"/>
          <w:lang w:val="en-US"/>
        </w:rPr>
        <w:t>Mr A</w:t>
      </w:r>
      <w:r w:rsidRPr="003810E8">
        <w:rPr>
          <w:rFonts w:eastAsiaTheme="majorEastAsia"/>
          <w:sz w:val="24"/>
          <w:szCs w:val="24"/>
          <w:lang w:val="en-US"/>
        </w:rPr>
        <w:t xml:space="preserve"> and </w:t>
      </w:r>
      <w:r w:rsidR="000F1CF0">
        <w:rPr>
          <w:rFonts w:eastAsiaTheme="majorEastAsia"/>
          <w:sz w:val="24"/>
          <w:szCs w:val="24"/>
          <w:lang w:val="en-US"/>
        </w:rPr>
        <w:t>Ms B</w:t>
      </w:r>
      <w:r w:rsidRPr="003810E8">
        <w:rPr>
          <w:rFonts w:eastAsiaTheme="majorEastAsia"/>
          <w:sz w:val="24"/>
          <w:szCs w:val="24"/>
          <w:lang w:val="en-US"/>
        </w:rPr>
        <w:t xml:space="preserve">, expressly provided that all rentals should be paid into </w:t>
      </w:r>
      <w:r w:rsidR="000F1CF0">
        <w:rPr>
          <w:rFonts w:eastAsiaTheme="majorEastAsia"/>
          <w:sz w:val="24"/>
          <w:szCs w:val="24"/>
          <w:lang w:val="en-US"/>
        </w:rPr>
        <w:t>Ms B</w:t>
      </w:r>
      <w:r w:rsidRPr="003810E8">
        <w:rPr>
          <w:rFonts w:eastAsiaTheme="majorEastAsia"/>
          <w:sz w:val="24"/>
          <w:szCs w:val="24"/>
          <w:lang w:val="en-US"/>
        </w:rPr>
        <w:t xml:space="preserve">’s designated account at </w:t>
      </w:r>
      <w:r w:rsidR="00405225">
        <w:rPr>
          <w:rFonts w:eastAsiaTheme="majorEastAsia"/>
          <w:sz w:val="24"/>
          <w:szCs w:val="24"/>
          <w:lang w:val="en-US"/>
        </w:rPr>
        <w:t>Bank E</w:t>
      </w:r>
      <w:r w:rsidRPr="003810E8">
        <w:rPr>
          <w:rFonts w:eastAsiaTheme="majorEastAsia"/>
          <w:sz w:val="24"/>
          <w:szCs w:val="24"/>
          <w:lang w:val="en-US"/>
        </w:rPr>
        <w:t xml:space="preserve"> (</w:t>
      </w:r>
      <w:r w:rsidR="00F73067">
        <w:rPr>
          <w:rFonts w:eastAsiaTheme="majorEastAsia"/>
          <w:sz w:val="24"/>
          <w:szCs w:val="24"/>
          <w:lang w:val="en-US"/>
        </w:rPr>
        <w:t>‘</w:t>
      </w:r>
      <w:r w:rsidR="000F1CF0" w:rsidRPr="00282352">
        <w:rPr>
          <w:rFonts w:eastAsiaTheme="majorEastAsia"/>
          <w:b/>
          <w:sz w:val="24"/>
          <w:szCs w:val="24"/>
          <w:lang w:val="en-US"/>
        </w:rPr>
        <w:t>Ms B</w:t>
      </w:r>
      <w:r w:rsidRPr="00282352">
        <w:rPr>
          <w:rFonts w:eastAsiaTheme="majorEastAsia"/>
          <w:b/>
          <w:sz w:val="24"/>
          <w:szCs w:val="24"/>
          <w:lang w:val="en-US"/>
        </w:rPr>
        <w:t>’s Account</w:t>
      </w:r>
      <w:r w:rsidR="00F73067">
        <w:rPr>
          <w:rFonts w:eastAsiaTheme="majorEastAsia"/>
          <w:sz w:val="24"/>
          <w:szCs w:val="24"/>
          <w:lang w:val="en-US"/>
        </w:rPr>
        <w:t>’</w:t>
      </w:r>
      <w:r w:rsidRPr="003810E8">
        <w:rPr>
          <w:rFonts w:eastAsiaTheme="majorEastAsia"/>
          <w:sz w:val="24"/>
          <w:szCs w:val="24"/>
          <w:lang w:val="en-US"/>
        </w:rPr>
        <w:t>).</w:t>
      </w:r>
    </w:p>
    <w:p w:rsidR="00DB76EB" w:rsidRPr="003810E8" w:rsidRDefault="00DB76EB" w:rsidP="008B752A">
      <w:pPr>
        <w:pStyle w:val="ac"/>
        <w:ind w:leftChars="0" w:left="0"/>
        <w:jc w:val="both"/>
        <w:rPr>
          <w:rFonts w:eastAsiaTheme="majorEastAsia"/>
          <w:sz w:val="24"/>
          <w:szCs w:val="24"/>
          <w:lang w:val="en-US"/>
        </w:rPr>
      </w:pPr>
      <w:r w:rsidRPr="003810E8">
        <w:rPr>
          <w:rFonts w:eastAsiaTheme="majorEastAsia"/>
          <w:sz w:val="24"/>
          <w:szCs w:val="24"/>
          <w:lang w:val="en-US"/>
        </w:rPr>
        <w:lastRenderedPageBreak/>
        <w:t>8.</w:t>
      </w:r>
      <w:r w:rsidRPr="003810E8">
        <w:rPr>
          <w:rFonts w:eastAsiaTheme="majorEastAsia"/>
          <w:sz w:val="24"/>
          <w:szCs w:val="24"/>
          <w:lang w:val="en-US"/>
        </w:rPr>
        <w:tab/>
      </w:r>
      <w:r w:rsidR="004B18C9">
        <w:rPr>
          <w:rFonts w:eastAsiaTheme="majorEastAsia"/>
          <w:sz w:val="24"/>
          <w:szCs w:val="24"/>
          <w:lang w:val="en-US"/>
        </w:rPr>
        <w:t>Mr A</w:t>
      </w:r>
      <w:r w:rsidRPr="003810E8">
        <w:rPr>
          <w:rFonts w:eastAsiaTheme="majorEastAsia"/>
          <w:sz w:val="24"/>
          <w:szCs w:val="24"/>
          <w:lang w:val="en-US"/>
        </w:rPr>
        <w:t xml:space="preserve"> filed the Property Tax Return in respect of the Property for the year of assessment 2021/22 (the </w:t>
      </w:r>
      <w:r w:rsidR="00F73067">
        <w:rPr>
          <w:rFonts w:eastAsiaTheme="majorEastAsia"/>
          <w:sz w:val="24"/>
          <w:szCs w:val="24"/>
          <w:lang w:val="en-US"/>
        </w:rPr>
        <w:t>‘</w:t>
      </w:r>
      <w:r w:rsidRPr="00375D4A">
        <w:rPr>
          <w:rFonts w:eastAsiaTheme="majorEastAsia"/>
          <w:b/>
          <w:sz w:val="24"/>
          <w:szCs w:val="24"/>
          <w:lang w:val="en-US"/>
        </w:rPr>
        <w:t>Tax Return</w:t>
      </w:r>
      <w:r w:rsidR="00F73067">
        <w:rPr>
          <w:rFonts w:eastAsiaTheme="majorEastAsia"/>
          <w:sz w:val="24"/>
          <w:szCs w:val="24"/>
          <w:lang w:val="en-US"/>
        </w:rPr>
        <w:t>’</w:t>
      </w:r>
      <w:r w:rsidRPr="003810E8">
        <w:rPr>
          <w:rFonts w:eastAsiaTheme="majorEastAsia"/>
          <w:sz w:val="24"/>
          <w:szCs w:val="24"/>
          <w:lang w:val="en-US"/>
        </w:rPr>
        <w:t xml:space="preserve">).  In the Tax Return, </w:t>
      </w:r>
      <w:r w:rsidR="004B18C9">
        <w:rPr>
          <w:rFonts w:eastAsiaTheme="majorEastAsia"/>
          <w:sz w:val="24"/>
          <w:szCs w:val="24"/>
          <w:lang w:val="en-US"/>
        </w:rPr>
        <w:t>Mr A</w:t>
      </w:r>
      <w:r w:rsidRPr="003810E8">
        <w:rPr>
          <w:rFonts w:eastAsiaTheme="majorEastAsia"/>
          <w:sz w:val="24"/>
          <w:szCs w:val="24"/>
          <w:lang w:val="en-US"/>
        </w:rPr>
        <w:t xml:space="preserve"> reported, </w:t>
      </w:r>
      <w:r w:rsidRPr="002264CE">
        <w:rPr>
          <w:rFonts w:eastAsiaTheme="majorEastAsia"/>
          <w:i/>
          <w:sz w:val="24"/>
          <w:szCs w:val="24"/>
          <w:lang w:val="en-US"/>
        </w:rPr>
        <w:t>inter alia</w:t>
      </w:r>
      <w:r w:rsidRPr="003810E8">
        <w:rPr>
          <w:rFonts w:eastAsiaTheme="majorEastAsia"/>
          <w:sz w:val="24"/>
          <w:szCs w:val="24"/>
          <w:lang w:val="en-US"/>
        </w:rPr>
        <w:t xml:space="preserve">, that the address of </w:t>
      </w:r>
      <w:r w:rsidR="000F1CF0">
        <w:rPr>
          <w:rFonts w:eastAsiaTheme="majorEastAsia"/>
          <w:sz w:val="24"/>
          <w:szCs w:val="24"/>
          <w:lang w:val="en-US"/>
        </w:rPr>
        <w:t>Ms B</w:t>
      </w:r>
      <w:r w:rsidRPr="003810E8">
        <w:rPr>
          <w:rFonts w:eastAsiaTheme="majorEastAsia"/>
          <w:sz w:val="24"/>
          <w:szCs w:val="24"/>
          <w:lang w:val="en-US"/>
        </w:rPr>
        <w:t xml:space="preserve"> was unknown and no information was available concerning the rental income for the period from 1 April 2021 to 14 January 2022</w:t>
      </w:r>
    </w:p>
    <w:p w:rsidR="00DB76EB" w:rsidRPr="003810E8" w:rsidRDefault="00DB76EB" w:rsidP="00AC0034">
      <w:pPr>
        <w:snapToGrid w:val="0"/>
        <w:contextualSpacing/>
        <w:mirrorIndents/>
        <w:rPr>
          <w:rFonts w:eastAsiaTheme="majorEastAsia"/>
          <w:sz w:val="24"/>
          <w:szCs w:val="24"/>
          <w:lang w:val="en-US"/>
        </w:rPr>
      </w:pPr>
    </w:p>
    <w:p w:rsidR="00DB76EB" w:rsidRPr="003810E8" w:rsidRDefault="00DB76EB" w:rsidP="008B752A">
      <w:pPr>
        <w:pStyle w:val="ac"/>
        <w:ind w:leftChars="0" w:left="0"/>
        <w:jc w:val="both"/>
        <w:rPr>
          <w:rFonts w:eastAsiaTheme="majorEastAsia"/>
          <w:sz w:val="24"/>
          <w:szCs w:val="24"/>
          <w:lang w:val="en-US"/>
        </w:rPr>
      </w:pPr>
      <w:r w:rsidRPr="003810E8">
        <w:rPr>
          <w:rFonts w:eastAsiaTheme="majorEastAsia"/>
          <w:sz w:val="24"/>
          <w:szCs w:val="24"/>
          <w:lang w:val="en-US"/>
        </w:rPr>
        <w:t>9.</w:t>
      </w:r>
      <w:r w:rsidRPr="003810E8">
        <w:rPr>
          <w:rFonts w:eastAsiaTheme="majorEastAsia"/>
          <w:sz w:val="24"/>
          <w:szCs w:val="24"/>
          <w:lang w:val="en-US"/>
        </w:rPr>
        <w:tab/>
        <w:t xml:space="preserve">In a letter dated 29 April 2022 attached to the Tax Return, </w:t>
      </w:r>
      <w:r w:rsidR="004B18C9">
        <w:rPr>
          <w:rFonts w:eastAsiaTheme="majorEastAsia"/>
          <w:sz w:val="24"/>
          <w:szCs w:val="24"/>
          <w:lang w:val="en-US"/>
        </w:rPr>
        <w:t>Mr A</w:t>
      </w:r>
      <w:r w:rsidRPr="003810E8">
        <w:rPr>
          <w:rFonts w:eastAsiaTheme="majorEastAsia"/>
          <w:sz w:val="24"/>
          <w:szCs w:val="24"/>
          <w:lang w:val="en-US"/>
        </w:rPr>
        <w:t xml:space="preserve"> through his tax representative stated that he had no control over and did not receive any of the rentals, which were paid to </w:t>
      </w:r>
      <w:r w:rsidR="000F1CF0">
        <w:rPr>
          <w:rFonts w:eastAsiaTheme="majorEastAsia"/>
          <w:sz w:val="24"/>
          <w:szCs w:val="24"/>
          <w:lang w:val="en-US"/>
        </w:rPr>
        <w:t>Ms B</w:t>
      </w:r>
      <w:r w:rsidRPr="003810E8">
        <w:rPr>
          <w:rFonts w:eastAsiaTheme="majorEastAsia"/>
          <w:sz w:val="24"/>
          <w:szCs w:val="24"/>
          <w:lang w:val="en-US"/>
        </w:rPr>
        <w:t xml:space="preserve">’s Account pursuant to the Tenancy Agreement, and that </w:t>
      </w:r>
      <w:r w:rsidR="000F1CF0">
        <w:rPr>
          <w:rFonts w:eastAsiaTheme="majorEastAsia"/>
          <w:sz w:val="24"/>
          <w:szCs w:val="24"/>
          <w:lang w:val="en-US"/>
        </w:rPr>
        <w:t>Ms B</w:t>
      </w:r>
      <w:r w:rsidRPr="003810E8">
        <w:rPr>
          <w:rFonts w:eastAsiaTheme="majorEastAsia"/>
          <w:sz w:val="24"/>
          <w:szCs w:val="24"/>
          <w:lang w:val="en-US"/>
        </w:rPr>
        <w:t xml:space="preserve"> had absconded since March 2021.</w:t>
      </w:r>
    </w:p>
    <w:p w:rsidR="00DB76EB" w:rsidRPr="003810E8" w:rsidRDefault="00DB76EB" w:rsidP="00AC0034">
      <w:pPr>
        <w:snapToGrid w:val="0"/>
        <w:contextualSpacing/>
        <w:mirrorIndents/>
        <w:rPr>
          <w:rFonts w:eastAsiaTheme="majorEastAsia"/>
          <w:sz w:val="24"/>
          <w:szCs w:val="24"/>
          <w:lang w:val="en-US"/>
        </w:rPr>
      </w:pPr>
    </w:p>
    <w:p w:rsidR="00DB76EB" w:rsidRPr="003810E8" w:rsidRDefault="00DB76EB" w:rsidP="008B752A">
      <w:pPr>
        <w:pStyle w:val="ac"/>
        <w:ind w:leftChars="0" w:left="0"/>
        <w:jc w:val="both"/>
        <w:rPr>
          <w:rFonts w:eastAsiaTheme="majorEastAsia"/>
          <w:sz w:val="24"/>
          <w:szCs w:val="24"/>
          <w:lang w:val="en-US"/>
        </w:rPr>
      </w:pPr>
      <w:r w:rsidRPr="003810E8">
        <w:rPr>
          <w:rFonts w:eastAsiaTheme="majorEastAsia"/>
          <w:sz w:val="24"/>
          <w:szCs w:val="24"/>
          <w:lang w:val="en-US"/>
        </w:rPr>
        <w:t>10.</w:t>
      </w:r>
      <w:r w:rsidRPr="003810E8">
        <w:rPr>
          <w:rFonts w:eastAsiaTheme="majorEastAsia"/>
          <w:sz w:val="24"/>
          <w:szCs w:val="24"/>
          <w:lang w:val="en-US"/>
        </w:rPr>
        <w:tab/>
        <w:t xml:space="preserve">Based on the Tenancy Agreement, the Assessor raised on </w:t>
      </w:r>
      <w:r w:rsidR="004B18C9">
        <w:rPr>
          <w:rFonts w:eastAsiaTheme="majorEastAsia"/>
          <w:sz w:val="24"/>
          <w:szCs w:val="24"/>
          <w:lang w:val="en-US"/>
        </w:rPr>
        <w:t>Mr A</w:t>
      </w:r>
      <w:r w:rsidRPr="003810E8">
        <w:rPr>
          <w:rFonts w:eastAsiaTheme="majorEastAsia"/>
          <w:sz w:val="24"/>
          <w:szCs w:val="24"/>
          <w:lang w:val="en-US"/>
        </w:rPr>
        <w:t xml:space="preserve"> and </w:t>
      </w:r>
      <w:r w:rsidR="000F1CF0">
        <w:rPr>
          <w:rFonts w:eastAsiaTheme="majorEastAsia"/>
          <w:sz w:val="24"/>
          <w:szCs w:val="24"/>
          <w:lang w:val="en-US"/>
        </w:rPr>
        <w:t>Ms B</w:t>
      </w:r>
      <w:r w:rsidRPr="003810E8">
        <w:rPr>
          <w:rFonts w:eastAsiaTheme="majorEastAsia"/>
          <w:sz w:val="24"/>
          <w:szCs w:val="24"/>
          <w:lang w:val="en-US"/>
        </w:rPr>
        <w:t xml:space="preserve"> the Assessment as follows:-</w:t>
      </w:r>
    </w:p>
    <w:p w:rsidR="00165490" w:rsidRDefault="00165490" w:rsidP="00AC0034">
      <w:pPr>
        <w:snapToGrid w:val="0"/>
        <w:contextualSpacing/>
        <w:mirrorIndents/>
        <w:rPr>
          <w:rFonts w:eastAsiaTheme="majorEastAsia"/>
          <w:sz w:val="24"/>
          <w:szCs w:val="24"/>
          <w:lang w:val="en-US"/>
        </w:rPr>
      </w:pPr>
    </w:p>
    <w:tbl>
      <w:tblPr>
        <w:tblStyle w:val="ad"/>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1"/>
        <w:gridCol w:w="1076"/>
      </w:tblGrid>
      <w:tr w:rsidR="00D236D8" w:rsidTr="00DA342D">
        <w:tc>
          <w:tcPr>
            <w:tcW w:w="6379" w:type="dxa"/>
          </w:tcPr>
          <w:p w:rsidR="00D236D8" w:rsidRDefault="00D236D8" w:rsidP="00AC0034">
            <w:pPr>
              <w:snapToGrid w:val="0"/>
              <w:contextualSpacing/>
              <w:mirrorIndents/>
              <w:rPr>
                <w:rFonts w:eastAsiaTheme="majorEastAsia"/>
                <w:sz w:val="24"/>
                <w:szCs w:val="24"/>
                <w:lang w:val="en-US"/>
              </w:rPr>
            </w:pPr>
          </w:p>
        </w:tc>
        <w:tc>
          <w:tcPr>
            <w:tcW w:w="928" w:type="dxa"/>
          </w:tcPr>
          <w:p w:rsidR="00D236D8" w:rsidRDefault="00D236D8" w:rsidP="00D236D8">
            <w:pPr>
              <w:snapToGrid w:val="0"/>
              <w:contextualSpacing/>
              <w:mirrorIndents/>
              <w:jc w:val="right"/>
              <w:rPr>
                <w:rFonts w:eastAsiaTheme="majorEastAsia"/>
                <w:sz w:val="24"/>
                <w:szCs w:val="24"/>
                <w:lang w:val="en-US"/>
              </w:rPr>
            </w:pPr>
            <w:r w:rsidRPr="003810E8">
              <w:rPr>
                <w:rFonts w:eastAsiaTheme="majorEastAsia"/>
                <w:sz w:val="24"/>
                <w:szCs w:val="24"/>
                <w:lang w:val="en-US"/>
              </w:rPr>
              <w:t>HK$</w:t>
            </w:r>
          </w:p>
        </w:tc>
      </w:tr>
      <w:tr w:rsidR="00D236D8" w:rsidTr="00DA342D">
        <w:tc>
          <w:tcPr>
            <w:tcW w:w="6379" w:type="dxa"/>
          </w:tcPr>
          <w:p w:rsidR="00D236D8" w:rsidRDefault="00D236D8" w:rsidP="00AC0034">
            <w:pPr>
              <w:snapToGrid w:val="0"/>
              <w:contextualSpacing/>
              <w:mirrorIndents/>
              <w:rPr>
                <w:rFonts w:eastAsiaTheme="majorEastAsia"/>
                <w:sz w:val="24"/>
                <w:szCs w:val="24"/>
                <w:lang w:val="en-US"/>
              </w:rPr>
            </w:pPr>
            <w:r w:rsidRPr="003810E8">
              <w:rPr>
                <w:rFonts w:eastAsiaTheme="majorEastAsia"/>
                <w:sz w:val="24"/>
                <w:szCs w:val="24"/>
                <w:lang w:val="en-US"/>
              </w:rPr>
              <w:t>Assessable Value</w:t>
            </w:r>
          </w:p>
        </w:tc>
        <w:tc>
          <w:tcPr>
            <w:tcW w:w="928" w:type="dxa"/>
          </w:tcPr>
          <w:p w:rsidR="00D236D8" w:rsidRDefault="00D236D8" w:rsidP="00D236D8">
            <w:pPr>
              <w:snapToGrid w:val="0"/>
              <w:contextualSpacing/>
              <w:mirrorIndents/>
              <w:jc w:val="right"/>
              <w:rPr>
                <w:rFonts w:eastAsiaTheme="majorEastAsia"/>
                <w:sz w:val="24"/>
                <w:szCs w:val="24"/>
                <w:lang w:val="en-US"/>
              </w:rPr>
            </w:pPr>
            <w:r w:rsidRPr="003810E8">
              <w:rPr>
                <w:rFonts w:eastAsiaTheme="majorEastAsia"/>
                <w:sz w:val="24"/>
                <w:szCs w:val="24"/>
                <w:lang w:val="en-US"/>
              </w:rPr>
              <w:t>395,613</w:t>
            </w:r>
            <w:r w:rsidR="002510FE">
              <w:rPr>
                <w:rStyle w:val="aa"/>
                <w:rFonts w:eastAsiaTheme="majorEastAsia"/>
                <w:sz w:val="24"/>
                <w:szCs w:val="24"/>
                <w:lang w:val="en-US"/>
              </w:rPr>
              <w:footnoteReference w:id="1"/>
            </w:r>
          </w:p>
        </w:tc>
      </w:tr>
      <w:tr w:rsidR="00D236D8" w:rsidTr="00DA342D">
        <w:tc>
          <w:tcPr>
            <w:tcW w:w="6379" w:type="dxa"/>
          </w:tcPr>
          <w:p w:rsidR="00D236D8" w:rsidRDefault="00D236D8" w:rsidP="00AC0034">
            <w:pPr>
              <w:snapToGrid w:val="0"/>
              <w:contextualSpacing/>
              <w:mirrorIndents/>
              <w:rPr>
                <w:rFonts w:eastAsiaTheme="majorEastAsia"/>
                <w:sz w:val="24"/>
                <w:szCs w:val="24"/>
                <w:lang w:val="en-US"/>
              </w:rPr>
            </w:pPr>
            <w:r w:rsidRPr="00D236D8">
              <w:rPr>
                <w:rFonts w:eastAsiaTheme="majorEastAsia"/>
                <w:sz w:val="24"/>
                <w:szCs w:val="24"/>
                <w:u w:val="single"/>
                <w:lang w:val="en-US"/>
              </w:rPr>
              <w:t>LESS</w:t>
            </w:r>
            <w:r w:rsidRPr="003810E8">
              <w:rPr>
                <w:rFonts w:eastAsiaTheme="majorEastAsia"/>
                <w:sz w:val="24"/>
                <w:szCs w:val="24"/>
                <w:lang w:val="en-US"/>
              </w:rPr>
              <w:t>: 20% statutory allowance</w:t>
            </w:r>
            <w:r w:rsidRPr="003810E8">
              <w:rPr>
                <w:rFonts w:eastAsiaTheme="majorEastAsia"/>
                <w:sz w:val="24"/>
                <w:szCs w:val="24"/>
                <w:lang w:val="en-US"/>
              </w:rPr>
              <w:tab/>
            </w:r>
          </w:p>
        </w:tc>
        <w:tc>
          <w:tcPr>
            <w:tcW w:w="928" w:type="dxa"/>
            <w:tcBorders>
              <w:bottom w:val="single" w:sz="4" w:space="0" w:color="auto"/>
            </w:tcBorders>
          </w:tcPr>
          <w:p w:rsidR="00D236D8" w:rsidRDefault="00D236D8" w:rsidP="00D236D8">
            <w:pPr>
              <w:snapToGrid w:val="0"/>
              <w:contextualSpacing/>
              <w:mirrorIndents/>
              <w:jc w:val="right"/>
              <w:rPr>
                <w:rFonts w:eastAsiaTheme="majorEastAsia"/>
                <w:sz w:val="24"/>
                <w:szCs w:val="24"/>
                <w:lang w:val="en-US"/>
              </w:rPr>
            </w:pPr>
            <w:r w:rsidRPr="003810E8">
              <w:rPr>
                <w:rFonts w:eastAsiaTheme="majorEastAsia"/>
                <w:sz w:val="24"/>
                <w:szCs w:val="24"/>
                <w:lang w:val="en-US"/>
              </w:rPr>
              <w:t>(79,123)</w:t>
            </w:r>
          </w:p>
        </w:tc>
      </w:tr>
      <w:tr w:rsidR="00D236D8" w:rsidTr="00DA342D">
        <w:tc>
          <w:tcPr>
            <w:tcW w:w="6379" w:type="dxa"/>
          </w:tcPr>
          <w:p w:rsidR="00D236D8" w:rsidRDefault="00D236D8" w:rsidP="00AC0034">
            <w:pPr>
              <w:snapToGrid w:val="0"/>
              <w:contextualSpacing/>
              <w:mirrorIndents/>
              <w:rPr>
                <w:rFonts w:eastAsiaTheme="majorEastAsia"/>
                <w:sz w:val="24"/>
                <w:szCs w:val="24"/>
                <w:lang w:val="en-US"/>
              </w:rPr>
            </w:pPr>
            <w:r w:rsidRPr="003810E8">
              <w:rPr>
                <w:rFonts w:eastAsiaTheme="majorEastAsia"/>
                <w:sz w:val="24"/>
                <w:szCs w:val="24"/>
                <w:lang w:val="en-US"/>
              </w:rPr>
              <w:t>New Assessable Value</w:t>
            </w:r>
          </w:p>
        </w:tc>
        <w:tc>
          <w:tcPr>
            <w:tcW w:w="928" w:type="dxa"/>
            <w:tcBorders>
              <w:top w:val="single" w:sz="4" w:space="0" w:color="auto"/>
              <w:bottom w:val="double" w:sz="4" w:space="0" w:color="auto"/>
            </w:tcBorders>
          </w:tcPr>
          <w:p w:rsidR="00D236D8" w:rsidRDefault="00D236D8" w:rsidP="00D236D8">
            <w:pPr>
              <w:snapToGrid w:val="0"/>
              <w:contextualSpacing/>
              <w:mirrorIndents/>
              <w:jc w:val="right"/>
              <w:rPr>
                <w:rFonts w:eastAsiaTheme="majorEastAsia"/>
                <w:sz w:val="24"/>
                <w:szCs w:val="24"/>
                <w:lang w:val="en-US"/>
              </w:rPr>
            </w:pPr>
            <w:r w:rsidRPr="003810E8">
              <w:rPr>
                <w:rFonts w:eastAsiaTheme="majorEastAsia"/>
                <w:sz w:val="24"/>
                <w:szCs w:val="24"/>
                <w:lang w:val="en-US"/>
              </w:rPr>
              <w:t>316,490</w:t>
            </w:r>
          </w:p>
        </w:tc>
      </w:tr>
      <w:tr w:rsidR="00DA342D" w:rsidTr="00DA342D">
        <w:tc>
          <w:tcPr>
            <w:tcW w:w="6379" w:type="dxa"/>
          </w:tcPr>
          <w:p w:rsidR="00DA342D" w:rsidRPr="003810E8" w:rsidRDefault="00DA342D" w:rsidP="00AC0034">
            <w:pPr>
              <w:snapToGrid w:val="0"/>
              <w:contextualSpacing/>
              <w:mirrorIndents/>
              <w:rPr>
                <w:rFonts w:eastAsiaTheme="majorEastAsia"/>
                <w:sz w:val="24"/>
                <w:szCs w:val="24"/>
                <w:lang w:val="en-US"/>
              </w:rPr>
            </w:pPr>
          </w:p>
        </w:tc>
        <w:tc>
          <w:tcPr>
            <w:tcW w:w="928" w:type="dxa"/>
            <w:tcBorders>
              <w:top w:val="single" w:sz="4" w:space="0" w:color="auto"/>
            </w:tcBorders>
          </w:tcPr>
          <w:p w:rsidR="00DA342D" w:rsidRPr="003810E8" w:rsidRDefault="00DA342D" w:rsidP="00D236D8">
            <w:pPr>
              <w:snapToGrid w:val="0"/>
              <w:contextualSpacing/>
              <w:mirrorIndents/>
              <w:jc w:val="right"/>
              <w:rPr>
                <w:rFonts w:eastAsiaTheme="majorEastAsia"/>
                <w:sz w:val="24"/>
                <w:szCs w:val="24"/>
                <w:lang w:val="en-US"/>
              </w:rPr>
            </w:pPr>
          </w:p>
        </w:tc>
      </w:tr>
      <w:tr w:rsidR="00D236D8" w:rsidTr="00DA342D">
        <w:tc>
          <w:tcPr>
            <w:tcW w:w="6379" w:type="dxa"/>
          </w:tcPr>
          <w:p w:rsidR="00D236D8" w:rsidRDefault="00D236D8" w:rsidP="00AC0034">
            <w:pPr>
              <w:snapToGrid w:val="0"/>
              <w:contextualSpacing/>
              <w:mirrorIndents/>
              <w:rPr>
                <w:rFonts w:eastAsiaTheme="majorEastAsia"/>
                <w:sz w:val="24"/>
                <w:szCs w:val="24"/>
                <w:lang w:val="en-US"/>
              </w:rPr>
            </w:pPr>
            <w:r w:rsidRPr="003810E8">
              <w:rPr>
                <w:rFonts w:eastAsiaTheme="majorEastAsia"/>
                <w:sz w:val="24"/>
                <w:szCs w:val="24"/>
                <w:lang w:val="en-US"/>
              </w:rPr>
              <w:t>Tax Payable thereon</w:t>
            </w:r>
          </w:p>
        </w:tc>
        <w:tc>
          <w:tcPr>
            <w:tcW w:w="928" w:type="dxa"/>
            <w:tcBorders>
              <w:bottom w:val="double" w:sz="4" w:space="0" w:color="auto"/>
            </w:tcBorders>
          </w:tcPr>
          <w:p w:rsidR="00D236D8" w:rsidRDefault="00D236D8" w:rsidP="00D236D8">
            <w:pPr>
              <w:snapToGrid w:val="0"/>
              <w:contextualSpacing/>
              <w:mirrorIndents/>
              <w:jc w:val="right"/>
              <w:rPr>
                <w:rFonts w:eastAsiaTheme="majorEastAsia"/>
                <w:sz w:val="24"/>
                <w:szCs w:val="24"/>
                <w:lang w:val="en-US"/>
              </w:rPr>
            </w:pPr>
            <w:r w:rsidRPr="003810E8">
              <w:rPr>
                <w:rFonts w:eastAsiaTheme="majorEastAsia"/>
                <w:sz w:val="24"/>
                <w:szCs w:val="24"/>
                <w:lang w:val="en-US"/>
              </w:rPr>
              <w:t>47,473</w:t>
            </w:r>
          </w:p>
        </w:tc>
      </w:tr>
    </w:tbl>
    <w:p w:rsidR="00DB76EB" w:rsidRPr="003810E8" w:rsidRDefault="00DB76EB" w:rsidP="00AC0034">
      <w:pPr>
        <w:snapToGrid w:val="0"/>
        <w:contextualSpacing/>
        <w:mirrorIndents/>
        <w:rPr>
          <w:rFonts w:eastAsiaTheme="majorEastAsia"/>
          <w:sz w:val="24"/>
          <w:szCs w:val="24"/>
          <w:lang w:val="en-US"/>
        </w:rPr>
      </w:pPr>
    </w:p>
    <w:p w:rsidR="00DB76EB" w:rsidRPr="003810E8" w:rsidRDefault="00DB76EB" w:rsidP="008B752A">
      <w:pPr>
        <w:pStyle w:val="ac"/>
        <w:ind w:leftChars="0" w:left="0"/>
        <w:jc w:val="both"/>
        <w:rPr>
          <w:rFonts w:eastAsiaTheme="majorEastAsia"/>
          <w:sz w:val="24"/>
          <w:szCs w:val="24"/>
          <w:lang w:val="en-US"/>
        </w:rPr>
      </w:pPr>
      <w:r w:rsidRPr="003810E8">
        <w:rPr>
          <w:rFonts w:eastAsiaTheme="majorEastAsia"/>
          <w:sz w:val="24"/>
          <w:szCs w:val="24"/>
          <w:lang w:val="en-US"/>
        </w:rPr>
        <w:t>11.</w:t>
      </w:r>
      <w:r w:rsidRPr="003810E8">
        <w:rPr>
          <w:rFonts w:eastAsiaTheme="majorEastAsia"/>
          <w:sz w:val="24"/>
          <w:szCs w:val="24"/>
          <w:lang w:val="en-US"/>
        </w:rPr>
        <w:tab/>
      </w:r>
      <w:r w:rsidR="004B18C9">
        <w:rPr>
          <w:rFonts w:eastAsiaTheme="majorEastAsia"/>
          <w:sz w:val="24"/>
          <w:szCs w:val="24"/>
          <w:lang w:val="en-US"/>
        </w:rPr>
        <w:t>Mr A</w:t>
      </w:r>
      <w:r w:rsidRPr="003810E8">
        <w:rPr>
          <w:rFonts w:eastAsiaTheme="majorEastAsia"/>
          <w:sz w:val="24"/>
          <w:szCs w:val="24"/>
          <w:lang w:val="en-US"/>
        </w:rPr>
        <w:t xml:space="preserve">, through his tax representative, objected to the Assessment claiming that (i) he did not receive any rental income in respect of the Property, (ii) he had lost and was unable to contact </w:t>
      </w:r>
      <w:r w:rsidR="000F1CF0">
        <w:rPr>
          <w:rFonts w:eastAsiaTheme="majorEastAsia"/>
          <w:sz w:val="24"/>
          <w:szCs w:val="24"/>
          <w:lang w:val="en-US"/>
        </w:rPr>
        <w:t>Ms B</w:t>
      </w:r>
      <w:r w:rsidRPr="003810E8">
        <w:rPr>
          <w:rFonts w:eastAsiaTheme="majorEastAsia"/>
          <w:sz w:val="24"/>
          <w:szCs w:val="24"/>
          <w:lang w:val="en-US"/>
        </w:rPr>
        <w:t xml:space="preserve">, (iii) he had filed a petition for divorce against </w:t>
      </w:r>
      <w:r w:rsidR="000F1CF0">
        <w:rPr>
          <w:rFonts w:eastAsiaTheme="majorEastAsia"/>
          <w:sz w:val="24"/>
          <w:szCs w:val="24"/>
          <w:lang w:val="en-US"/>
        </w:rPr>
        <w:t>Ms B</w:t>
      </w:r>
      <w:r w:rsidRPr="003810E8">
        <w:rPr>
          <w:rFonts w:eastAsiaTheme="majorEastAsia"/>
          <w:sz w:val="24"/>
          <w:szCs w:val="24"/>
          <w:lang w:val="en-US"/>
        </w:rPr>
        <w:t>, and (iv) the Property was sold by a financier as a result of default in mortgage loan repayment.</w:t>
      </w:r>
    </w:p>
    <w:p w:rsidR="00DB76EB" w:rsidRPr="003810E8" w:rsidRDefault="00DB76EB" w:rsidP="00AC0034">
      <w:pPr>
        <w:snapToGrid w:val="0"/>
        <w:contextualSpacing/>
        <w:mirrorIndents/>
        <w:rPr>
          <w:rFonts w:eastAsiaTheme="majorEastAsia"/>
          <w:sz w:val="24"/>
          <w:szCs w:val="24"/>
          <w:lang w:val="en-US"/>
        </w:rPr>
      </w:pPr>
    </w:p>
    <w:p w:rsidR="00DB76EB" w:rsidRPr="003810E8" w:rsidRDefault="00DB76EB" w:rsidP="008B752A">
      <w:pPr>
        <w:pStyle w:val="ac"/>
        <w:ind w:leftChars="0" w:left="0"/>
        <w:jc w:val="both"/>
        <w:rPr>
          <w:rFonts w:eastAsiaTheme="majorEastAsia"/>
          <w:sz w:val="24"/>
          <w:szCs w:val="24"/>
          <w:lang w:val="en-US"/>
        </w:rPr>
      </w:pPr>
      <w:r w:rsidRPr="003810E8">
        <w:rPr>
          <w:rFonts w:eastAsiaTheme="majorEastAsia"/>
          <w:sz w:val="24"/>
          <w:szCs w:val="24"/>
          <w:lang w:val="en-US"/>
        </w:rPr>
        <w:t>12.</w:t>
      </w:r>
      <w:r w:rsidRPr="003810E8">
        <w:rPr>
          <w:rFonts w:eastAsiaTheme="majorEastAsia"/>
          <w:sz w:val="24"/>
          <w:szCs w:val="24"/>
          <w:lang w:val="en-US"/>
        </w:rPr>
        <w:tab/>
        <w:t xml:space="preserve">By the Determination, the Commissioner rejected </w:t>
      </w:r>
      <w:r w:rsidR="004B18C9">
        <w:rPr>
          <w:rFonts w:eastAsiaTheme="majorEastAsia"/>
          <w:sz w:val="24"/>
          <w:szCs w:val="24"/>
          <w:lang w:val="en-US"/>
        </w:rPr>
        <w:t>Mr A</w:t>
      </w:r>
      <w:r w:rsidRPr="003810E8">
        <w:rPr>
          <w:rFonts w:eastAsiaTheme="majorEastAsia"/>
          <w:sz w:val="24"/>
          <w:szCs w:val="24"/>
          <w:lang w:val="en-US"/>
        </w:rPr>
        <w:t>’s objection and affirmed the Assessment.</w:t>
      </w:r>
    </w:p>
    <w:p w:rsidR="00DB76EB" w:rsidRPr="003810E8" w:rsidRDefault="00DB76EB" w:rsidP="00AC0034">
      <w:pPr>
        <w:snapToGrid w:val="0"/>
        <w:contextualSpacing/>
        <w:mirrorIndents/>
        <w:rPr>
          <w:rFonts w:eastAsiaTheme="majorEastAsia"/>
          <w:sz w:val="24"/>
          <w:szCs w:val="24"/>
          <w:lang w:val="en-US"/>
        </w:rPr>
      </w:pPr>
      <w:r w:rsidRPr="003810E8">
        <w:rPr>
          <w:rFonts w:eastAsiaTheme="majorEastAsia"/>
          <w:sz w:val="24"/>
          <w:szCs w:val="24"/>
          <w:lang w:val="en-US"/>
        </w:rPr>
        <w:t> </w:t>
      </w:r>
    </w:p>
    <w:p w:rsidR="00DB76EB" w:rsidRPr="009778EF" w:rsidRDefault="00C70715" w:rsidP="00AC0034">
      <w:pPr>
        <w:snapToGrid w:val="0"/>
        <w:contextualSpacing/>
        <w:mirrorIndents/>
        <w:rPr>
          <w:rFonts w:eastAsiaTheme="majorEastAsia"/>
          <w:b/>
          <w:sz w:val="24"/>
          <w:szCs w:val="24"/>
          <w:lang w:val="en-US"/>
        </w:rPr>
      </w:pPr>
      <w:r w:rsidRPr="009778EF">
        <w:rPr>
          <w:rFonts w:eastAsiaTheme="majorEastAsia"/>
          <w:b/>
          <w:sz w:val="24"/>
          <w:szCs w:val="24"/>
          <w:lang w:val="en-US"/>
        </w:rPr>
        <w:t xml:space="preserve">C.  </w:t>
      </w:r>
      <w:r w:rsidR="00DB76EB" w:rsidRPr="009778EF">
        <w:rPr>
          <w:rFonts w:eastAsiaTheme="majorEastAsia"/>
          <w:b/>
          <w:sz w:val="24"/>
          <w:szCs w:val="24"/>
          <w:lang w:val="en-US"/>
        </w:rPr>
        <w:t xml:space="preserve">This Appeal </w:t>
      </w:r>
    </w:p>
    <w:p w:rsidR="00DB76EB" w:rsidRPr="003810E8" w:rsidRDefault="00DB76EB" w:rsidP="00AC0034">
      <w:pPr>
        <w:snapToGrid w:val="0"/>
        <w:contextualSpacing/>
        <w:mirrorIndents/>
        <w:rPr>
          <w:rFonts w:eastAsiaTheme="majorEastAsia"/>
          <w:sz w:val="24"/>
          <w:szCs w:val="24"/>
          <w:lang w:val="en-US"/>
        </w:rPr>
      </w:pPr>
    </w:p>
    <w:p w:rsidR="00DB76EB" w:rsidRPr="003810E8" w:rsidRDefault="00DB76EB" w:rsidP="008B752A">
      <w:pPr>
        <w:pStyle w:val="ac"/>
        <w:ind w:leftChars="0" w:left="0"/>
        <w:jc w:val="both"/>
        <w:rPr>
          <w:rFonts w:eastAsiaTheme="majorEastAsia"/>
          <w:sz w:val="24"/>
          <w:szCs w:val="24"/>
          <w:lang w:val="en-US"/>
        </w:rPr>
      </w:pPr>
      <w:r w:rsidRPr="003810E8">
        <w:rPr>
          <w:rFonts w:eastAsiaTheme="majorEastAsia"/>
          <w:sz w:val="24"/>
          <w:szCs w:val="24"/>
          <w:lang w:val="en-US"/>
        </w:rPr>
        <w:t>13.</w:t>
      </w:r>
      <w:r w:rsidRPr="003810E8">
        <w:rPr>
          <w:rFonts w:eastAsiaTheme="majorEastAsia"/>
          <w:sz w:val="24"/>
          <w:szCs w:val="24"/>
          <w:lang w:val="en-US"/>
        </w:rPr>
        <w:tab/>
        <w:t xml:space="preserve">In the Notice of Appeal dated 4 March 2024 filed by </w:t>
      </w:r>
      <w:r w:rsidR="004B18C9">
        <w:rPr>
          <w:rFonts w:eastAsiaTheme="majorEastAsia"/>
          <w:sz w:val="24"/>
          <w:szCs w:val="24"/>
          <w:lang w:val="en-US"/>
        </w:rPr>
        <w:t>Mr A</w:t>
      </w:r>
      <w:r w:rsidRPr="003810E8">
        <w:rPr>
          <w:rFonts w:eastAsiaTheme="majorEastAsia"/>
          <w:sz w:val="24"/>
          <w:szCs w:val="24"/>
          <w:lang w:val="en-US"/>
        </w:rPr>
        <w:t xml:space="preserve">’s tax representative on his behalf, </w:t>
      </w:r>
      <w:r w:rsidR="004B18C9">
        <w:rPr>
          <w:rFonts w:eastAsiaTheme="majorEastAsia"/>
          <w:sz w:val="24"/>
          <w:szCs w:val="24"/>
          <w:lang w:val="en-US"/>
        </w:rPr>
        <w:t>Mr A</w:t>
      </w:r>
      <w:r w:rsidRPr="003810E8">
        <w:rPr>
          <w:rFonts w:eastAsiaTheme="majorEastAsia"/>
          <w:sz w:val="24"/>
          <w:szCs w:val="24"/>
          <w:lang w:val="en-US"/>
        </w:rPr>
        <w:t xml:space="preserve"> seeks to appeal against the Determination, claiming that </w:t>
      </w:r>
      <w:r w:rsidR="000F1CF0">
        <w:rPr>
          <w:rFonts w:eastAsiaTheme="majorEastAsia"/>
          <w:sz w:val="24"/>
          <w:szCs w:val="24"/>
          <w:lang w:val="en-US"/>
        </w:rPr>
        <w:t>Ms B</w:t>
      </w:r>
      <w:r w:rsidRPr="003810E8">
        <w:rPr>
          <w:rFonts w:eastAsiaTheme="majorEastAsia"/>
          <w:sz w:val="24"/>
          <w:szCs w:val="24"/>
          <w:lang w:val="en-US"/>
        </w:rPr>
        <w:t xml:space="preserve"> has substantial funds at bank, she took all money and absconded before the relevant assessment period, </w:t>
      </w:r>
      <w:r w:rsidR="004B18C9">
        <w:rPr>
          <w:rFonts w:eastAsiaTheme="majorEastAsia"/>
          <w:sz w:val="24"/>
          <w:szCs w:val="24"/>
          <w:lang w:val="en-US"/>
        </w:rPr>
        <w:t>Mr A</w:t>
      </w:r>
      <w:r w:rsidRPr="003810E8">
        <w:rPr>
          <w:rFonts w:eastAsiaTheme="majorEastAsia"/>
          <w:sz w:val="24"/>
          <w:szCs w:val="24"/>
          <w:lang w:val="en-US"/>
        </w:rPr>
        <w:t xml:space="preserve"> did not receive any rentals in relation to the Property, and the Inland Revenue Department (</w:t>
      </w:r>
      <w:r w:rsidR="00F73067">
        <w:rPr>
          <w:rFonts w:eastAsiaTheme="majorEastAsia"/>
          <w:sz w:val="24"/>
          <w:szCs w:val="24"/>
          <w:lang w:val="en-US"/>
        </w:rPr>
        <w:t>‘</w:t>
      </w:r>
      <w:r w:rsidRPr="00EB3216">
        <w:rPr>
          <w:rFonts w:eastAsiaTheme="majorEastAsia"/>
          <w:b/>
          <w:sz w:val="24"/>
          <w:szCs w:val="24"/>
          <w:lang w:val="en-US"/>
        </w:rPr>
        <w:t>IRD</w:t>
      </w:r>
      <w:r w:rsidR="00F73067">
        <w:rPr>
          <w:rFonts w:eastAsiaTheme="majorEastAsia"/>
          <w:sz w:val="24"/>
          <w:szCs w:val="24"/>
          <w:lang w:val="en-US"/>
        </w:rPr>
        <w:t>’</w:t>
      </w:r>
      <w:r w:rsidRPr="003810E8">
        <w:rPr>
          <w:rFonts w:eastAsiaTheme="majorEastAsia"/>
          <w:sz w:val="24"/>
          <w:szCs w:val="24"/>
          <w:lang w:val="en-US"/>
        </w:rPr>
        <w:t xml:space="preserve">) does not appear to have taken any against </w:t>
      </w:r>
      <w:r w:rsidR="000F1CF0">
        <w:rPr>
          <w:rFonts w:eastAsiaTheme="majorEastAsia"/>
          <w:sz w:val="24"/>
          <w:szCs w:val="24"/>
          <w:lang w:val="en-US"/>
        </w:rPr>
        <w:t>Ms B</w:t>
      </w:r>
      <w:r w:rsidRPr="003810E8">
        <w:rPr>
          <w:rFonts w:eastAsiaTheme="majorEastAsia"/>
          <w:sz w:val="24"/>
          <w:szCs w:val="24"/>
          <w:lang w:val="en-US"/>
        </w:rPr>
        <w:t>.</w:t>
      </w:r>
    </w:p>
    <w:p w:rsidR="00DB76EB" w:rsidRPr="003810E8" w:rsidRDefault="00DB76EB" w:rsidP="00AC0034">
      <w:pPr>
        <w:snapToGrid w:val="0"/>
        <w:contextualSpacing/>
        <w:mirrorIndents/>
        <w:rPr>
          <w:rFonts w:eastAsiaTheme="majorEastAsia"/>
          <w:sz w:val="24"/>
          <w:szCs w:val="24"/>
          <w:lang w:val="en-US"/>
        </w:rPr>
      </w:pPr>
    </w:p>
    <w:p w:rsidR="00DB76EB" w:rsidRPr="003810E8" w:rsidRDefault="00DB76EB" w:rsidP="008B752A">
      <w:pPr>
        <w:pStyle w:val="ac"/>
        <w:ind w:leftChars="0" w:left="0"/>
        <w:jc w:val="both"/>
        <w:rPr>
          <w:rFonts w:eastAsiaTheme="majorEastAsia"/>
          <w:sz w:val="24"/>
          <w:szCs w:val="24"/>
          <w:lang w:val="en-US"/>
        </w:rPr>
      </w:pPr>
      <w:r w:rsidRPr="003810E8">
        <w:rPr>
          <w:rFonts w:eastAsiaTheme="majorEastAsia"/>
          <w:sz w:val="24"/>
          <w:szCs w:val="24"/>
          <w:lang w:val="en-US"/>
        </w:rPr>
        <w:t>14.</w:t>
      </w:r>
      <w:r w:rsidRPr="003810E8">
        <w:rPr>
          <w:rFonts w:eastAsiaTheme="majorEastAsia"/>
          <w:sz w:val="24"/>
          <w:szCs w:val="24"/>
          <w:lang w:val="en-US"/>
        </w:rPr>
        <w:tab/>
        <w:t>For the purposes of this appeal, directions were given to the parties for the filing of witness statements, documents and submissions on which a party woul</w:t>
      </w:r>
      <w:r w:rsidR="00000978">
        <w:rPr>
          <w:rFonts w:eastAsiaTheme="majorEastAsia"/>
          <w:sz w:val="24"/>
          <w:szCs w:val="24"/>
          <w:lang w:val="en-US"/>
        </w:rPr>
        <w:t xml:space="preserve">d wish to rely in this appeal.  </w:t>
      </w:r>
      <w:r w:rsidR="004B18C9">
        <w:rPr>
          <w:rFonts w:eastAsiaTheme="majorEastAsia"/>
          <w:sz w:val="24"/>
          <w:szCs w:val="24"/>
          <w:lang w:val="en-US"/>
        </w:rPr>
        <w:t>Mr A</w:t>
      </w:r>
      <w:r w:rsidRPr="003810E8">
        <w:rPr>
          <w:rFonts w:eastAsiaTheme="majorEastAsia"/>
          <w:sz w:val="24"/>
          <w:szCs w:val="24"/>
          <w:lang w:val="en-US"/>
        </w:rPr>
        <w:t xml:space="preserve"> has not filed any such documents, and the IRD has filed documents and submissions in opposition to this appeal.</w:t>
      </w:r>
    </w:p>
    <w:p w:rsidR="00DB76EB" w:rsidRPr="003810E8" w:rsidRDefault="00DB76EB" w:rsidP="00AC0034">
      <w:pPr>
        <w:snapToGrid w:val="0"/>
        <w:contextualSpacing/>
        <w:mirrorIndents/>
        <w:rPr>
          <w:rFonts w:eastAsiaTheme="majorEastAsia"/>
          <w:sz w:val="24"/>
          <w:szCs w:val="24"/>
          <w:lang w:val="en-US"/>
        </w:rPr>
      </w:pPr>
    </w:p>
    <w:p w:rsidR="000E754D" w:rsidRDefault="000E754D">
      <w:pPr>
        <w:overflowPunct/>
        <w:autoSpaceDE/>
        <w:autoSpaceDN/>
        <w:adjustRightInd/>
        <w:textAlignment w:val="auto"/>
        <w:rPr>
          <w:rFonts w:eastAsiaTheme="majorEastAsia"/>
          <w:b/>
          <w:sz w:val="24"/>
          <w:szCs w:val="24"/>
          <w:lang w:val="en-US"/>
        </w:rPr>
      </w:pPr>
      <w:r>
        <w:rPr>
          <w:rFonts w:eastAsiaTheme="majorEastAsia"/>
          <w:b/>
          <w:sz w:val="24"/>
          <w:szCs w:val="24"/>
          <w:lang w:val="en-US"/>
        </w:rPr>
        <w:br w:type="page"/>
      </w:r>
    </w:p>
    <w:p w:rsidR="00DB76EB" w:rsidRPr="009778EF" w:rsidRDefault="00C70715" w:rsidP="00AC0034">
      <w:pPr>
        <w:snapToGrid w:val="0"/>
        <w:contextualSpacing/>
        <w:mirrorIndents/>
        <w:rPr>
          <w:rFonts w:eastAsiaTheme="majorEastAsia"/>
          <w:b/>
          <w:sz w:val="24"/>
          <w:szCs w:val="24"/>
          <w:lang w:val="en-US"/>
        </w:rPr>
      </w:pPr>
      <w:r w:rsidRPr="009778EF">
        <w:rPr>
          <w:rFonts w:eastAsiaTheme="majorEastAsia"/>
          <w:b/>
          <w:sz w:val="24"/>
          <w:szCs w:val="24"/>
          <w:lang w:val="en-US"/>
        </w:rPr>
        <w:lastRenderedPageBreak/>
        <w:t xml:space="preserve">D.  </w:t>
      </w:r>
      <w:r w:rsidR="00DB76EB" w:rsidRPr="009778EF">
        <w:rPr>
          <w:rFonts w:eastAsiaTheme="majorEastAsia"/>
          <w:b/>
          <w:sz w:val="24"/>
          <w:szCs w:val="24"/>
          <w:lang w:val="en-US"/>
        </w:rPr>
        <w:t>The Relevant Legal Principles</w:t>
      </w:r>
    </w:p>
    <w:p w:rsidR="00DB76EB" w:rsidRPr="003810E8" w:rsidRDefault="00DB76EB" w:rsidP="00AC0034">
      <w:pPr>
        <w:snapToGrid w:val="0"/>
        <w:contextualSpacing/>
        <w:mirrorIndents/>
        <w:rPr>
          <w:rFonts w:eastAsiaTheme="majorEastAsia"/>
          <w:sz w:val="24"/>
          <w:szCs w:val="24"/>
          <w:lang w:val="en-US"/>
        </w:rPr>
      </w:pPr>
    </w:p>
    <w:p w:rsidR="00DB76EB" w:rsidRPr="003810E8" w:rsidRDefault="00DB76EB" w:rsidP="008B752A">
      <w:pPr>
        <w:pStyle w:val="ac"/>
        <w:ind w:leftChars="0" w:left="0"/>
        <w:jc w:val="both"/>
        <w:rPr>
          <w:rFonts w:eastAsiaTheme="majorEastAsia"/>
          <w:sz w:val="24"/>
          <w:szCs w:val="24"/>
          <w:lang w:val="en-US"/>
        </w:rPr>
      </w:pPr>
      <w:r w:rsidRPr="003810E8">
        <w:rPr>
          <w:rFonts w:eastAsiaTheme="majorEastAsia"/>
          <w:sz w:val="24"/>
          <w:szCs w:val="24"/>
          <w:lang w:val="en-US"/>
        </w:rPr>
        <w:t>15.</w:t>
      </w:r>
      <w:r w:rsidRPr="003810E8">
        <w:rPr>
          <w:rFonts w:eastAsiaTheme="majorEastAsia"/>
          <w:sz w:val="24"/>
          <w:szCs w:val="24"/>
          <w:lang w:val="en-US"/>
        </w:rPr>
        <w:tab/>
        <w:t xml:space="preserve">The relevant statutory provisions and case law are helpfully set out in sections 3 and 4 of the written </w:t>
      </w:r>
      <w:r w:rsidR="00000978">
        <w:rPr>
          <w:rFonts w:eastAsiaTheme="majorEastAsia"/>
          <w:sz w:val="24"/>
          <w:szCs w:val="24"/>
          <w:lang w:val="en-US"/>
        </w:rPr>
        <w:t xml:space="preserve">submissions filed by the IRD.  </w:t>
      </w:r>
      <w:r w:rsidRPr="003810E8">
        <w:rPr>
          <w:rFonts w:eastAsiaTheme="majorEastAsia"/>
          <w:sz w:val="24"/>
          <w:szCs w:val="24"/>
          <w:lang w:val="en-US"/>
        </w:rPr>
        <w:t>For the purposes of this appeal, it is only necessary for us to highlight the followings.</w:t>
      </w:r>
    </w:p>
    <w:p w:rsidR="00DB76EB" w:rsidRPr="003810E8" w:rsidRDefault="00DB76EB" w:rsidP="00AC0034">
      <w:pPr>
        <w:snapToGrid w:val="0"/>
        <w:contextualSpacing/>
        <w:mirrorIndents/>
        <w:rPr>
          <w:rFonts w:eastAsiaTheme="majorEastAsia"/>
          <w:sz w:val="24"/>
          <w:szCs w:val="24"/>
          <w:lang w:val="en-US"/>
        </w:rPr>
      </w:pPr>
    </w:p>
    <w:p w:rsidR="00DB76EB" w:rsidRPr="003810E8" w:rsidRDefault="00DB76EB" w:rsidP="008B752A">
      <w:pPr>
        <w:pStyle w:val="ac"/>
        <w:ind w:leftChars="0" w:left="0"/>
        <w:jc w:val="both"/>
        <w:rPr>
          <w:rFonts w:eastAsiaTheme="majorEastAsia"/>
          <w:sz w:val="24"/>
          <w:szCs w:val="24"/>
          <w:lang w:val="en-US"/>
        </w:rPr>
      </w:pPr>
      <w:r w:rsidRPr="003810E8">
        <w:rPr>
          <w:rFonts w:eastAsiaTheme="majorEastAsia"/>
          <w:sz w:val="24"/>
          <w:szCs w:val="24"/>
          <w:lang w:val="en-US"/>
        </w:rPr>
        <w:t>16.</w:t>
      </w:r>
      <w:r w:rsidRPr="003810E8">
        <w:rPr>
          <w:rFonts w:eastAsiaTheme="majorEastAsia"/>
          <w:sz w:val="24"/>
          <w:szCs w:val="24"/>
          <w:lang w:val="en-US"/>
        </w:rPr>
        <w:tab/>
        <w:t>Section 5 of the Inland Revenue Ordinance (</w:t>
      </w:r>
      <w:r w:rsidR="00FF6DAD">
        <w:rPr>
          <w:rFonts w:eastAsiaTheme="majorEastAsia"/>
          <w:sz w:val="24"/>
          <w:szCs w:val="24"/>
          <w:lang w:val="en-US"/>
        </w:rPr>
        <w:t>Chapter</w:t>
      </w:r>
      <w:r w:rsidRPr="003810E8">
        <w:rPr>
          <w:rFonts w:eastAsiaTheme="majorEastAsia"/>
          <w:sz w:val="24"/>
          <w:szCs w:val="24"/>
          <w:lang w:val="en-US"/>
        </w:rPr>
        <w:t xml:space="preserve"> 112) (</w:t>
      </w:r>
      <w:r w:rsidR="00F73067">
        <w:rPr>
          <w:rFonts w:eastAsiaTheme="majorEastAsia"/>
          <w:sz w:val="24"/>
          <w:szCs w:val="24"/>
          <w:lang w:val="en-US"/>
        </w:rPr>
        <w:t>‘</w:t>
      </w:r>
      <w:r w:rsidRPr="00EB3216">
        <w:rPr>
          <w:rFonts w:eastAsiaTheme="majorEastAsia"/>
          <w:b/>
          <w:sz w:val="24"/>
          <w:szCs w:val="24"/>
          <w:lang w:val="en-US"/>
        </w:rPr>
        <w:t>IRO</w:t>
      </w:r>
      <w:r w:rsidR="00F73067">
        <w:rPr>
          <w:rFonts w:eastAsiaTheme="majorEastAsia"/>
          <w:sz w:val="24"/>
          <w:szCs w:val="24"/>
          <w:lang w:val="en-US"/>
        </w:rPr>
        <w:t>’</w:t>
      </w:r>
      <w:r w:rsidRPr="003810E8">
        <w:rPr>
          <w:rFonts w:eastAsiaTheme="majorEastAsia"/>
          <w:sz w:val="24"/>
          <w:szCs w:val="24"/>
          <w:lang w:val="en-US"/>
        </w:rPr>
        <w:t>) provides, so far as material, as follows:-</w:t>
      </w:r>
    </w:p>
    <w:p w:rsidR="00DB76EB" w:rsidRPr="003810E8" w:rsidRDefault="00DB76EB" w:rsidP="00AC0034">
      <w:pPr>
        <w:snapToGrid w:val="0"/>
        <w:contextualSpacing/>
        <w:mirrorIndents/>
        <w:rPr>
          <w:rFonts w:eastAsiaTheme="majorEastAsia"/>
          <w:sz w:val="24"/>
          <w:szCs w:val="24"/>
          <w:lang w:val="en-US"/>
        </w:rPr>
      </w:pPr>
    </w:p>
    <w:p w:rsidR="00DB76EB" w:rsidRPr="005F2095" w:rsidRDefault="00F73067" w:rsidP="0093191B">
      <w:pPr>
        <w:pStyle w:val="ac"/>
        <w:ind w:leftChars="780" w:left="1560"/>
        <w:jc w:val="both"/>
        <w:rPr>
          <w:rFonts w:eastAsiaTheme="majorEastAsia"/>
          <w:i/>
          <w:sz w:val="24"/>
          <w:szCs w:val="24"/>
          <w:lang w:val="en-US"/>
        </w:rPr>
      </w:pPr>
      <w:r>
        <w:rPr>
          <w:rFonts w:eastAsiaTheme="majorEastAsia"/>
          <w:i/>
          <w:sz w:val="24"/>
          <w:szCs w:val="24"/>
          <w:lang w:val="en-US"/>
        </w:rPr>
        <w:t>‘</w:t>
      </w:r>
      <w:r w:rsidR="00DB76EB" w:rsidRPr="005F2095">
        <w:rPr>
          <w:rFonts w:eastAsiaTheme="majorEastAsia"/>
          <w:i/>
          <w:sz w:val="24"/>
          <w:szCs w:val="24"/>
          <w:lang w:val="en-US"/>
        </w:rPr>
        <w:t xml:space="preserve">(1) Property tax shall, subject to the provisions of this Ordinance, be charged for each year of assessment on </w:t>
      </w:r>
      <w:r w:rsidR="00DB76EB" w:rsidRPr="00DE2500">
        <w:rPr>
          <w:rFonts w:eastAsiaTheme="majorEastAsia"/>
          <w:b/>
          <w:i/>
          <w:sz w:val="24"/>
          <w:szCs w:val="24"/>
          <w:lang w:val="en-US"/>
        </w:rPr>
        <w:t>every person being the owner of any land or buildings</w:t>
      </w:r>
      <w:r w:rsidR="00DB76EB" w:rsidRPr="005F2095">
        <w:rPr>
          <w:rFonts w:eastAsiaTheme="majorEastAsia"/>
          <w:i/>
          <w:sz w:val="24"/>
          <w:szCs w:val="24"/>
          <w:lang w:val="en-US"/>
        </w:rPr>
        <w:t xml:space="preserve"> or land and buildings wherever situate in Hong Kong and shall be computed at the standard rate on the net assessable value of such land or buildings or land and buildings for each such year…</w:t>
      </w:r>
    </w:p>
    <w:p w:rsidR="00DB76EB" w:rsidRPr="005F2095" w:rsidRDefault="00DB76EB" w:rsidP="00214FCF">
      <w:pPr>
        <w:snapToGrid w:val="0"/>
        <w:ind w:leftChars="638" w:left="1276" w:firstLineChars="240" w:firstLine="576"/>
        <w:contextualSpacing/>
        <w:mirrorIndents/>
        <w:rPr>
          <w:rFonts w:eastAsiaTheme="majorEastAsia"/>
          <w:i/>
          <w:sz w:val="24"/>
          <w:szCs w:val="24"/>
          <w:lang w:val="en-US"/>
        </w:rPr>
      </w:pPr>
    </w:p>
    <w:p w:rsidR="00DB76EB" w:rsidRPr="005F2095" w:rsidRDefault="00DB76EB" w:rsidP="0093191B">
      <w:pPr>
        <w:pStyle w:val="ac"/>
        <w:ind w:leftChars="780" w:left="1560"/>
        <w:jc w:val="both"/>
        <w:rPr>
          <w:rFonts w:eastAsiaTheme="majorEastAsia"/>
          <w:i/>
          <w:sz w:val="24"/>
          <w:szCs w:val="24"/>
          <w:lang w:val="en-US"/>
        </w:rPr>
      </w:pPr>
      <w:r w:rsidRPr="005F2095">
        <w:rPr>
          <w:rFonts w:eastAsiaTheme="majorEastAsia"/>
          <w:i/>
          <w:sz w:val="24"/>
          <w:szCs w:val="24"/>
          <w:lang w:val="en-US"/>
        </w:rPr>
        <w:t xml:space="preserve">(1A) In subsection (1), </w:t>
      </w:r>
      <w:r w:rsidRPr="00DE2500">
        <w:rPr>
          <w:rFonts w:eastAsiaTheme="majorEastAsia"/>
          <w:b/>
          <w:i/>
          <w:sz w:val="24"/>
          <w:szCs w:val="24"/>
          <w:lang w:val="en-US"/>
        </w:rPr>
        <w:t>net assessable value</w:t>
      </w:r>
      <w:r w:rsidRPr="005F2095">
        <w:rPr>
          <w:rFonts w:eastAsiaTheme="majorEastAsia"/>
          <w:i/>
          <w:sz w:val="24"/>
          <w:szCs w:val="24"/>
          <w:lang w:val="en-US"/>
        </w:rPr>
        <w:t xml:space="preserve"> (</w:t>
      </w:r>
      <w:r w:rsidRPr="005F2095">
        <w:rPr>
          <w:rFonts w:eastAsiaTheme="majorEastAsia"/>
          <w:i/>
          <w:sz w:val="24"/>
          <w:szCs w:val="24"/>
          <w:lang w:val="en-US"/>
        </w:rPr>
        <w:t>應評稅淨值</w:t>
      </w:r>
      <w:r w:rsidRPr="005F2095">
        <w:rPr>
          <w:rFonts w:eastAsiaTheme="majorEastAsia"/>
          <w:i/>
          <w:sz w:val="24"/>
          <w:szCs w:val="24"/>
          <w:lang w:val="en-US"/>
        </w:rPr>
        <w:t xml:space="preserve">) means the assessable value of land or buildings or land and buildings, </w:t>
      </w:r>
      <w:r w:rsidRPr="00DE2500">
        <w:rPr>
          <w:rFonts w:eastAsiaTheme="majorEastAsia"/>
          <w:b/>
          <w:i/>
          <w:sz w:val="24"/>
          <w:szCs w:val="24"/>
          <w:lang w:val="en-US"/>
        </w:rPr>
        <w:t>ascertained in accordance with section 5B</w:t>
      </w:r>
      <w:r w:rsidRPr="005F2095">
        <w:rPr>
          <w:rFonts w:eastAsiaTheme="majorEastAsia"/>
          <w:i/>
          <w:sz w:val="24"/>
          <w:szCs w:val="24"/>
          <w:lang w:val="en-US"/>
        </w:rPr>
        <w:t>.</w:t>
      </w:r>
      <w:r w:rsidR="00F73067">
        <w:rPr>
          <w:rFonts w:eastAsiaTheme="majorEastAsia"/>
          <w:i/>
          <w:sz w:val="24"/>
          <w:szCs w:val="24"/>
          <w:lang w:val="en-US"/>
        </w:rPr>
        <w:t>’</w:t>
      </w:r>
      <w:r w:rsidRPr="005F2095">
        <w:rPr>
          <w:rFonts w:eastAsiaTheme="majorEastAsia"/>
          <w:i/>
          <w:sz w:val="24"/>
          <w:szCs w:val="24"/>
          <w:lang w:val="en-US"/>
        </w:rPr>
        <w:t xml:space="preserve"> (emphasis added)</w:t>
      </w:r>
    </w:p>
    <w:p w:rsidR="00DB76EB" w:rsidRPr="003810E8" w:rsidRDefault="00DB76EB" w:rsidP="00AC0034">
      <w:pPr>
        <w:snapToGrid w:val="0"/>
        <w:contextualSpacing/>
        <w:mirrorIndents/>
        <w:rPr>
          <w:rFonts w:eastAsiaTheme="majorEastAsia"/>
          <w:sz w:val="24"/>
          <w:szCs w:val="24"/>
          <w:lang w:val="en-US"/>
        </w:rPr>
      </w:pPr>
    </w:p>
    <w:p w:rsidR="00DB76EB" w:rsidRPr="003810E8" w:rsidRDefault="00DB76EB" w:rsidP="008B752A">
      <w:pPr>
        <w:pStyle w:val="ac"/>
        <w:ind w:leftChars="0" w:left="0"/>
        <w:jc w:val="both"/>
        <w:rPr>
          <w:rFonts w:eastAsiaTheme="majorEastAsia"/>
          <w:sz w:val="24"/>
          <w:szCs w:val="24"/>
          <w:lang w:val="en-US"/>
        </w:rPr>
      </w:pPr>
      <w:r w:rsidRPr="003810E8">
        <w:rPr>
          <w:rFonts w:eastAsiaTheme="majorEastAsia"/>
          <w:sz w:val="24"/>
          <w:szCs w:val="24"/>
          <w:lang w:val="en-US"/>
        </w:rPr>
        <w:t>17.</w:t>
      </w:r>
      <w:r w:rsidRPr="003810E8">
        <w:rPr>
          <w:rFonts w:eastAsiaTheme="majorEastAsia"/>
          <w:sz w:val="24"/>
          <w:szCs w:val="24"/>
          <w:lang w:val="en-US"/>
        </w:rPr>
        <w:tab/>
        <w:t>IRO Section 5B(2) provides that:</w:t>
      </w:r>
      <w:r w:rsidR="000F31A7">
        <w:rPr>
          <w:rFonts w:eastAsiaTheme="majorEastAsia"/>
          <w:sz w:val="24"/>
          <w:szCs w:val="24"/>
          <w:lang w:val="en-US"/>
        </w:rPr>
        <w:t>-</w:t>
      </w:r>
    </w:p>
    <w:p w:rsidR="00DB76EB" w:rsidRPr="003810E8" w:rsidRDefault="00DB76EB" w:rsidP="00AC0034">
      <w:pPr>
        <w:snapToGrid w:val="0"/>
        <w:contextualSpacing/>
        <w:mirrorIndents/>
        <w:rPr>
          <w:rFonts w:eastAsiaTheme="majorEastAsia"/>
          <w:sz w:val="24"/>
          <w:szCs w:val="24"/>
          <w:lang w:val="en-US"/>
        </w:rPr>
      </w:pPr>
    </w:p>
    <w:p w:rsidR="00DB76EB" w:rsidRPr="005F2095" w:rsidRDefault="00F73067" w:rsidP="0093191B">
      <w:pPr>
        <w:pStyle w:val="ac"/>
        <w:ind w:leftChars="780" w:left="1560"/>
        <w:jc w:val="both"/>
        <w:rPr>
          <w:rFonts w:eastAsiaTheme="majorEastAsia"/>
          <w:i/>
          <w:sz w:val="24"/>
          <w:szCs w:val="24"/>
          <w:lang w:val="en-US"/>
        </w:rPr>
      </w:pPr>
      <w:r>
        <w:rPr>
          <w:rFonts w:eastAsiaTheme="majorEastAsia"/>
          <w:i/>
          <w:sz w:val="24"/>
          <w:szCs w:val="24"/>
          <w:lang w:val="en-US"/>
        </w:rPr>
        <w:t>‘</w:t>
      </w:r>
      <w:r w:rsidR="00DB76EB" w:rsidRPr="005F2095">
        <w:rPr>
          <w:rFonts w:eastAsiaTheme="majorEastAsia"/>
          <w:i/>
          <w:sz w:val="24"/>
          <w:szCs w:val="24"/>
          <w:lang w:val="en-US"/>
        </w:rPr>
        <w:t xml:space="preserve">The assessable value of land or buildings or land and buildings for each year of assessment shall be the consideration, in money or money’s worth, </w:t>
      </w:r>
      <w:r w:rsidR="00DB76EB" w:rsidRPr="00A934BB">
        <w:rPr>
          <w:rFonts w:eastAsiaTheme="majorEastAsia"/>
          <w:b/>
          <w:i/>
          <w:sz w:val="24"/>
          <w:szCs w:val="24"/>
          <w:lang w:val="en-US"/>
        </w:rPr>
        <w:t>payable</w:t>
      </w:r>
      <w:r w:rsidR="00DB76EB" w:rsidRPr="005F2095">
        <w:rPr>
          <w:rFonts w:eastAsiaTheme="majorEastAsia"/>
          <w:i/>
          <w:sz w:val="24"/>
          <w:szCs w:val="24"/>
          <w:lang w:val="en-US"/>
        </w:rPr>
        <w:t xml:space="preserve"> in that year to, </w:t>
      </w:r>
      <w:r w:rsidR="00DB76EB" w:rsidRPr="00A934BB">
        <w:rPr>
          <w:rFonts w:eastAsiaTheme="majorEastAsia"/>
          <w:b/>
          <w:i/>
          <w:sz w:val="24"/>
          <w:szCs w:val="24"/>
          <w:u w:val="single"/>
          <w:lang w:val="en-US"/>
        </w:rPr>
        <w:t>to the order of</w:t>
      </w:r>
      <w:r w:rsidR="00DB76EB" w:rsidRPr="005F2095">
        <w:rPr>
          <w:rFonts w:eastAsiaTheme="majorEastAsia"/>
          <w:i/>
          <w:sz w:val="24"/>
          <w:szCs w:val="24"/>
          <w:lang w:val="en-US"/>
        </w:rPr>
        <w:t>, or for the benefit of,</w:t>
      </w:r>
      <w:r w:rsidR="00DB76EB" w:rsidRPr="00A934BB">
        <w:rPr>
          <w:rFonts w:eastAsiaTheme="majorEastAsia"/>
          <w:b/>
          <w:i/>
          <w:sz w:val="24"/>
          <w:szCs w:val="24"/>
          <w:lang w:val="en-US"/>
        </w:rPr>
        <w:t xml:space="preserve"> the owner</w:t>
      </w:r>
      <w:r w:rsidR="00DB76EB" w:rsidRPr="005F2095">
        <w:rPr>
          <w:rFonts w:eastAsiaTheme="majorEastAsia"/>
          <w:i/>
          <w:sz w:val="24"/>
          <w:szCs w:val="24"/>
          <w:lang w:val="en-US"/>
        </w:rPr>
        <w:t xml:space="preserve"> in respect of the right of use of that land or buildings or land and buildings.</w:t>
      </w:r>
      <w:r>
        <w:rPr>
          <w:rFonts w:eastAsiaTheme="majorEastAsia"/>
          <w:i/>
          <w:sz w:val="24"/>
          <w:szCs w:val="24"/>
          <w:lang w:val="en-US"/>
        </w:rPr>
        <w:t>’</w:t>
      </w:r>
      <w:r w:rsidR="00DB76EB" w:rsidRPr="005F2095">
        <w:rPr>
          <w:rFonts w:eastAsiaTheme="majorEastAsia"/>
          <w:i/>
          <w:sz w:val="24"/>
          <w:szCs w:val="24"/>
          <w:lang w:val="en-US"/>
        </w:rPr>
        <w:t xml:space="preserve"> (emphasis added)</w:t>
      </w:r>
    </w:p>
    <w:p w:rsidR="00DB76EB" w:rsidRPr="003810E8" w:rsidRDefault="00DB76EB" w:rsidP="00AC0034">
      <w:pPr>
        <w:snapToGrid w:val="0"/>
        <w:contextualSpacing/>
        <w:mirrorIndents/>
        <w:rPr>
          <w:rFonts w:eastAsiaTheme="majorEastAsia"/>
          <w:sz w:val="24"/>
          <w:szCs w:val="24"/>
          <w:lang w:val="en-US"/>
        </w:rPr>
      </w:pPr>
    </w:p>
    <w:p w:rsidR="00DB76EB" w:rsidRPr="003810E8" w:rsidRDefault="00DB76EB" w:rsidP="008B752A">
      <w:pPr>
        <w:pStyle w:val="ac"/>
        <w:ind w:leftChars="0" w:left="0"/>
        <w:jc w:val="both"/>
        <w:rPr>
          <w:rFonts w:eastAsiaTheme="majorEastAsia"/>
          <w:sz w:val="24"/>
          <w:szCs w:val="24"/>
          <w:lang w:val="en-US"/>
        </w:rPr>
      </w:pPr>
      <w:r w:rsidRPr="003810E8">
        <w:rPr>
          <w:rFonts w:eastAsiaTheme="majorEastAsia"/>
          <w:sz w:val="24"/>
          <w:szCs w:val="24"/>
          <w:lang w:val="en-US"/>
        </w:rPr>
        <w:t>18.</w:t>
      </w:r>
      <w:r w:rsidRPr="003810E8">
        <w:rPr>
          <w:rFonts w:eastAsiaTheme="majorEastAsia"/>
          <w:sz w:val="24"/>
          <w:szCs w:val="24"/>
          <w:lang w:val="en-US"/>
        </w:rPr>
        <w:tab/>
        <w:t>IRO Section 56 provides, so far as material, that:-</w:t>
      </w:r>
    </w:p>
    <w:p w:rsidR="00DB76EB" w:rsidRPr="003810E8" w:rsidRDefault="00DB76EB" w:rsidP="00C17581">
      <w:pPr>
        <w:snapToGrid w:val="0"/>
        <w:ind w:leftChars="-213" w:left="-426"/>
        <w:contextualSpacing/>
        <w:mirrorIndents/>
        <w:rPr>
          <w:rFonts w:eastAsiaTheme="majorEastAsia"/>
          <w:sz w:val="24"/>
          <w:szCs w:val="24"/>
          <w:lang w:val="en-US"/>
        </w:rPr>
      </w:pPr>
    </w:p>
    <w:p w:rsidR="00DB76EB" w:rsidRPr="005F2095" w:rsidRDefault="00F73067" w:rsidP="0093191B">
      <w:pPr>
        <w:pStyle w:val="ac"/>
        <w:ind w:leftChars="780" w:left="1560"/>
        <w:jc w:val="both"/>
        <w:rPr>
          <w:rFonts w:eastAsiaTheme="majorEastAsia"/>
          <w:i/>
          <w:sz w:val="24"/>
          <w:szCs w:val="24"/>
          <w:lang w:val="en-US"/>
        </w:rPr>
      </w:pPr>
      <w:r>
        <w:rPr>
          <w:rFonts w:eastAsiaTheme="majorEastAsia"/>
          <w:i/>
          <w:sz w:val="24"/>
          <w:szCs w:val="24"/>
          <w:lang w:val="en-US"/>
        </w:rPr>
        <w:t>‘</w:t>
      </w:r>
      <w:r w:rsidR="00DB76EB" w:rsidRPr="005F2095">
        <w:rPr>
          <w:rFonts w:eastAsiaTheme="majorEastAsia"/>
          <w:i/>
          <w:sz w:val="24"/>
          <w:szCs w:val="24"/>
          <w:lang w:val="en-US"/>
        </w:rPr>
        <w:t xml:space="preserve">(1) </w:t>
      </w:r>
      <w:r w:rsidR="00DB76EB" w:rsidRPr="00570755">
        <w:rPr>
          <w:rFonts w:eastAsiaTheme="majorEastAsia"/>
          <w:b/>
          <w:i/>
          <w:sz w:val="24"/>
          <w:szCs w:val="24"/>
          <w:lang w:val="en-US"/>
        </w:rPr>
        <w:t>Where 2 or more persons are joint owners or owners in common</w:t>
      </w:r>
      <w:r w:rsidR="00DB76EB" w:rsidRPr="005F2095">
        <w:rPr>
          <w:rFonts w:eastAsiaTheme="majorEastAsia"/>
          <w:i/>
          <w:sz w:val="24"/>
          <w:szCs w:val="24"/>
          <w:lang w:val="en-US"/>
        </w:rPr>
        <w:t xml:space="preserve"> of any land or buildings or land and buildings,</w:t>
      </w:r>
      <w:r w:rsidR="00DB76EB" w:rsidRPr="00570755">
        <w:rPr>
          <w:rFonts w:eastAsiaTheme="majorEastAsia"/>
          <w:b/>
          <w:i/>
          <w:sz w:val="24"/>
          <w:szCs w:val="24"/>
          <w:lang w:val="en-US"/>
        </w:rPr>
        <w:t xml:space="preserve"> any of those persons</w:t>
      </w:r>
      <w:r w:rsidR="00DB76EB" w:rsidRPr="005F2095">
        <w:rPr>
          <w:rFonts w:eastAsiaTheme="majorEastAsia"/>
          <w:i/>
          <w:sz w:val="24"/>
          <w:szCs w:val="24"/>
          <w:lang w:val="en-US"/>
        </w:rPr>
        <w:t xml:space="preserve"> appearing from any deed, conveyance, judgment or other instrument in writing registered in the Land Registry under the Land Registration Ordinance (</w:t>
      </w:r>
      <w:r w:rsidR="00FF6DAD">
        <w:rPr>
          <w:rFonts w:eastAsiaTheme="majorEastAsia"/>
          <w:i/>
          <w:sz w:val="24"/>
          <w:szCs w:val="24"/>
          <w:lang w:val="en-US"/>
        </w:rPr>
        <w:t>Chapter</w:t>
      </w:r>
      <w:r w:rsidR="00DB76EB" w:rsidRPr="005F2095">
        <w:rPr>
          <w:rFonts w:eastAsiaTheme="majorEastAsia"/>
          <w:i/>
          <w:sz w:val="24"/>
          <w:szCs w:val="24"/>
          <w:lang w:val="en-US"/>
        </w:rPr>
        <w:t xml:space="preserve"> 128) to be such an owner </w:t>
      </w:r>
      <w:r w:rsidR="00DB76EB" w:rsidRPr="00570755">
        <w:rPr>
          <w:rFonts w:eastAsiaTheme="majorEastAsia"/>
          <w:b/>
          <w:i/>
          <w:sz w:val="24"/>
          <w:szCs w:val="24"/>
          <w:lang w:val="en-US"/>
        </w:rPr>
        <w:t>shall be answerable</w:t>
      </w:r>
      <w:r w:rsidR="00DB76EB" w:rsidRPr="005F2095">
        <w:rPr>
          <w:rFonts w:eastAsiaTheme="majorEastAsia"/>
          <w:i/>
          <w:sz w:val="24"/>
          <w:szCs w:val="24"/>
          <w:lang w:val="en-US"/>
        </w:rPr>
        <w:t xml:space="preserve"> for doing all such acts, matters and things as would be required to be done under the provisions of this Ordinance by a sole owner.</w:t>
      </w:r>
    </w:p>
    <w:p w:rsidR="0046126E" w:rsidRPr="005F2095" w:rsidRDefault="0046126E" w:rsidP="00B248CE">
      <w:pPr>
        <w:snapToGrid w:val="0"/>
        <w:ind w:leftChars="780" w:left="1560"/>
        <w:contextualSpacing/>
        <w:mirrorIndents/>
        <w:rPr>
          <w:rFonts w:eastAsiaTheme="majorEastAsia"/>
          <w:i/>
          <w:sz w:val="24"/>
          <w:szCs w:val="24"/>
          <w:lang w:val="en-US"/>
        </w:rPr>
      </w:pPr>
    </w:p>
    <w:p w:rsidR="00DB76EB" w:rsidRPr="005F2095" w:rsidRDefault="00DB76EB" w:rsidP="0093191B">
      <w:pPr>
        <w:pStyle w:val="ac"/>
        <w:ind w:leftChars="780" w:left="1560"/>
        <w:jc w:val="both"/>
        <w:rPr>
          <w:rFonts w:eastAsiaTheme="majorEastAsia"/>
          <w:i/>
          <w:sz w:val="24"/>
          <w:szCs w:val="24"/>
          <w:lang w:val="en-US"/>
        </w:rPr>
      </w:pPr>
      <w:r w:rsidRPr="005F2095">
        <w:rPr>
          <w:rFonts w:eastAsiaTheme="majorEastAsia"/>
          <w:i/>
          <w:sz w:val="24"/>
          <w:szCs w:val="24"/>
          <w:lang w:val="en-US"/>
        </w:rPr>
        <w:t>…</w:t>
      </w:r>
    </w:p>
    <w:p w:rsidR="0046126E" w:rsidRPr="003810E8" w:rsidRDefault="0046126E" w:rsidP="0093191B">
      <w:pPr>
        <w:pStyle w:val="ac"/>
        <w:ind w:leftChars="780" w:left="1560"/>
        <w:jc w:val="both"/>
        <w:rPr>
          <w:rFonts w:eastAsiaTheme="majorEastAsia"/>
          <w:sz w:val="24"/>
          <w:szCs w:val="24"/>
          <w:lang w:val="en-US"/>
        </w:rPr>
      </w:pPr>
    </w:p>
    <w:p w:rsidR="00DB76EB" w:rsidRPr="003810E8" w:rsidRDefault="006C095D" w:rsidP="0093191B">
      <w:pPr>
        <w:pStyle w:val="ac"/>
        <w:ind w:leftChars="780" w:left="1560"/>
        <w:jc w:val="both"/>
        <w:rPr>
          <w:rFonts w:eastAsiaTheme="majorEastAsia"/>
          <w:sz w:val="24"/>
          <w:szCs w:val="24"/>
          <w:lang w:val="en-US"/>
        </w:rPr>
      </w:pPr>
      <w:r w:rsidRPr="006C095D">
        <w:rPr>
          <w:rFonts w:eastAsia="新細明體"/>
          <w:i/>
          <w:iCs/>
          <w:kern w:val="2"/>
          <w:sz w:val="24"/>
          <w:szCs w:val="24"/>
          <w14:ligatures w14:val="standardContextual"/>
        </w:rPr>
        <w:t>(3) Where any person pays property tax under subsection (1) and that person is not, apart from that subsection, liable to that tax or part of it, that person may recover from any other person that tax or part of it to which that other person, apart from that subsection, is liable under this Ordinance.</w:t>
      </w:r>
      <w:r w:rsidR="00F73067">
        <w:rPr>
          <w:rFonts w:eastAsia="新細明體"/>
          <w:kern w:val="2"/>
          <w:sz w:val="24"/>
          <w:szCs w:val="24"/>
          <w14:ligatures w14:val="standardContextual"/>
        </w:rPr>
        <w:t>’</w:t>
      </w:r>
      <w:r w:rsidRPr="006C095D">
        <w:rPr>
          <w:rFonts w:eastAsia="新細明體"/>
          <w:kern w:val="2"/>
          <w:sz w:val="24"/>
          <w:szCs w:val="24"/>
          <w14:ligatures w14:val="standardContextual"/>
        </w:rPr>
        <w:t xml:space="preserve"> (emphasis added)</w:t>
      </w:r>
    </w:p>
    <w:p w:rsidR="00DB76EB" w:rsidRPr="003810E8" w:rsidRDefault="00DB76EB" w:rsidP="00AC0034">
      <w:pPr>
        <w:snapToGrid w:val="0"/>
        <w:contextualSpacing/>
        <w:mirrorIndents/>
        <w:rPr>
          <w:rFonts w:eastAsiaTheme="majorEastAsia"/>
          <w:sz w:val="24"/>
          <w:szCs w:val="24"/>
          <w:lang w:val="en-US"/>
        </w:rPr>
      </w:pPr>
    </w:p>
    <w:p w:rsidR="00DB76EB" w:rsidRPr="003810E8" w:rsidRDefault="00DB76EB" w:rsidP="008B752A">
      <w:pPr>
        <w:pStyle w:val="ac"/>
        <w:ind w:leftChars="0" w:left="0"/>
        <w:jc w:val="both"/>
        <w:rPr>
          <w:rFonts w:eastAsiaTheme="majorEastAsia"/>
          <w:sz w:val="24"/>
          <w:szCs w:val="24"/>
          <w:lang w:val="en-US"/>
        </w:rPr>
      </w:pPr>
      <w:r w:rsidRPr="003810E8">
        <w:rPr>
          <w:rFonts w:eastAsiaTheme="majorEastAsia"/>
          <w:sz w:val="24"/>
          <w:szCs w:val="24"/>
          <w:lang w:val="en-US"/>
        </w:rPr>
        <w:t>19.</w:t>
      </w:r>
      <w:r w:rsidRPr="003810E8">
        <w:rPr>
          <w:rFonts w:eastAsiaTheme="majorEastAsia"/>
          <w:sz w:val="24"/>
          <w:szCs w:val="24"/>
          <w:lang w:val="en-US"/>
        </w:rPr>
        <w:tab/>
        <w:t>In</w:t>
      </w:r>
      <w:r w:rsidRPr="00720C40">
        <w:rPr>
          <w:rFonts w:eastAsiaTheme="majorEastAsia"/>
          <w:sz w:val="24"/>
          <w:szCs w:val="24"/>
          <w:u w:val="single"/>
          <w:lang w:val="en-US"/>
        </w:rPr>
        <w:t xml:space="preserve"> D27/98</w:t>
      </w:r>
      <w:r w:rsidRPr="003810E8">
        <w:rPr>
          <w:rFonts w:eastAsiaTheme="majorEastAsia"/>
          <w:sz w:val="24"/>
          <w:szCs w:val="24"/>
          <w:lang w:val="en-US"/>
        </w:rPr>
        <w:t>, the taxpayer was the incor</w:t>
      </w:r>
      <w:r w:rsidR="00000978">
        <w:rPr>
          <w:rFonts w:eastAsiaTheme="majorEastAsia"/>
          <w:sz w:val="24"/>
          <w:szCs w:val="24"/>
          <w:lang w:val="en-US"/>
        </w:rPr>
        <w:t xml:space="preserve">porated owners of a building.  </w:t>
      </w:r>
      <w:r w:rsidRPr="003810E8">
        <w:rPr>
          <w:rFonts w:eastAsiaTheme="majorEastAsia"/>
          <w:sz w:val="24"/>
          <w:szCs w:val="24"/>
          <w:lang w:val="en-US"/>
        </w:rPr>
        <w:t xml:space="preserve">They objected to a property tax assessment in relation to the rental income derived from a car </w:t>
      </w:r>
      <w:r w:rsidRPr="003810E8">
        <w:rPr>
          <w:rFonts w:eastAsiaTheme="majorEastAsia"/>
          <w:sz w:val="24"/>
          <w:szCs w:val="24"/>
          <w:lang w:val="en-US"/>
        </w:rPr>
        <w:lastRenderedPageBreak/>
        <w:t xml:space="preserve">parking space on the ground, </w:t>
      </w:r>
      <w:r w:rsidRPr="002264CE">
        <w:rPr>
          <w:rFonts w:eastAsiaTheme="majorEastAsia"/>
          <w:i/>
          <w:sz w:val="24"/>
          <w:szCs w:val="24"/>
          <w:lang w:val="en-US"/>
        </w:rPr>
        <w:t>inter alia</w:t>
      </w:r>
      <w:r w:rsidRPr="003810E8">
        <w:rPr>
          <w:rFonts w:eastAsiaTheme="majorEastAsia"/>
          <w:sz w:val="24"/>
          <w:szCs w:val="24"/>
          <w:lang w:val="en-US"/>
        </w:rPr>
        <w:t>, that such income were deposited into the management fund of the building, but n</w:t>
      </w:r>
      <w:r w:rsidR="00DC1A9C">
        <w:rPr>
          <w:rFonts w:eastAsiaTheme="majorEastAsia"/>
          <w:sz w:val="24"/>
          <w:szCs w:val="24"/>
          <w:lang w:val="en-US"/>
        </w:rPr>
        <w:t xml:space="preserve">ot received by the taxpayer.  </w:t>
      </w:r>
      <w:r w:rsidRPr="003810E8">
        <w:rPr>
          <w:rFonts w:eastAsiaTheme="majorEastAsia"/>
          <w:sz w:val="24"/>
          <w:szCs w:val="24"/>
          <w:lang w:val="en-US"/>
        </w:rPr>
        <w:t xml:space="preserve">The Board (chaired by Benjamin Yu SC) rejected this argument on the basis that </w:t>
      </w:r>
      <w:r w:rsidR="00F73067">
        <w:rPr>
          <w:rFonts w:eastAsiaTheme="majorEastAsia"/>
          <w:sz w:val="24"/>
          <w:szCs w:val="24"/>
          <w:lang w:val="en-US"/>
        </w:rPr>
        <w:t>‘</w:t>
      </w:r>
      <w:r w:rsidRPr="003810E8">
        <w:rPr>
          <w:rFonts w:eastAsiaTheme="majorEastAsia"/>
          <w:sz w:val="24"/>
          <w:szCs w:val="24"/>
          <w:lang w:val="en-US"/>
        </w:rPr>
        <w:t>section 5B(2) [of IRO] does not limit the payment of money or money’s worth for the benefit of the owner, but extends to payment to or to the order of the owner</w:t>
      </w:r>
      <w:r w:rsidR="00F73067">
        <w:rPr>
          <w:rFonts w:eastAsiaTheme="majorEastAsia"/>
          <w:sz w:val="24"/>
          <w:szCs w:val="24"/>
          <w:lang w:val="en-US"/>
        </w:rPr>
        <w:t>’</w:t>
      </w:r>
      <w:r w:rsidRPr="003810E8">
        <w:rPr>
          <w:rFonts w:eastAsiaTheme="majorEastAsia"/>
          <w:sz w:val="24"/>
          <w:szCs w:val="24"/>
          <w:lang w:val="en-US"/>
        </w:rPr>
        <w:t xml:space="preserve">. </w:t>
      </w:r>
    </w:p>
    <w:p w:rsidR="00DB76EB" w:rsidRPr="003810E8" w:rsidRDefault="00DB76EB" w:rsidP="00AC0034">
      <w:pPr>
        <w:snapToGrid w:val="0"/>
        <w:contextualSpacing/>
        <w:mirrorIndents/>
        <w:rPr>
          <w:rFonts w:eastAsiaTheme="majorEastAsia"/>
          <w:sz w:val="24"/>
          <w:szCs w:val="24"/>
          <w:lang w:val="en-US"/>
        </w:rPr>
      </w:pPr>
    </w:p>
    <w:p w:rsidR="00DB76EB" w:rsidRPr="003810E8" w:rsidRDefault="00DB76EB" w:rsidP="008B752A">
      <w:pPr>
        <w:pStyle w:val="ac"/>
        <w:ind w:leftChars="0" w:left="0"/>
        <w:jc w:val="both"/>
        <w:rPr>
          <w:rFonts w:eastAsiaTheme="majorEastAsia"/>
          <w:sz w:val="24"/>
          <w:szCs w:val="24"/>
          <w:lang w:val="en-US"/>
        </w:rPr>
      </w:pPr>
      <w:r w:rsidRPr="003810E8">
        <w:rPr>
          <w:rFonts w:eastAsiaTheme="majorEastAsia"/>
          <w:sz w:val="24"/>
          <w:szCs w:val="24"/>
          <w:lang w:val="en-US"/>
        </w:rPr>
        <w:t>20.</w:t>
      </w:r>
      <w:r w:rsidRPr="003810E8">
        <w:rPr>
          <w:rFonts w:eastAsiaTheme="majorEastAsia"/>
          <w:sz w:val="24"/>
          <w:szCs w:val="24"/>
          <w:lang w:val="en-US"/>
        </w:rPr>
        <w:tab/>
        <w:t xml:space="preserve">In </w:t>
      </w:r>
      <w:r w:rsidRPr="00720C40">
        <w:rPr>
          <w:rFonts w:eastAsiaTheme="majorEastAsia"/>
          <w:sz w:val="24"/>
          <w:szCs w:val="24"/>
          <w:u w:val="single"/>
          <w:lang w:val="en-US"/>
        </w:rPr>
        <w:t>D6/10</w:t>
      </w:r>
      <w:r w:rsidRPr="003810E8">
        <w:rPr>
          <w:rFonts w:eastAsiaTheme="majorEastAsia"/>
          <w:sz w:val="24"/>
          <w:szCs w:val="24"/>
          <w:lang w:val="en-US"/>
        </w:rPr>
        <w:t xml:space="preserve">, the taxpayer acquired a property from his parents, which was subject to an existing lease.  He objected to the property tax assessment relating to the rentals derived from such lease on the ground that such rentals were received by his mother.   The Board (chaired by Chow Wai Shun) noted (at </w:t>
      </w:r>
      <w:r w:rsidR="00417D3A">
        <w:rPr>
          <w:rFonts w:eastAsiaTheme="majorEastAsia"/>
          <w:sz w:val="24"/>
          <w:szCs w:val="24"/>
          <w:lang w:val="en-US"/>
        </w:rPr>
        <w:t xml:space="preserve">paragraph </w:t>
      </w:r>
      <w:r w:rsidRPr="003810E8">
        <w:rPr>
          <w:rFonts w:eastAsiaTheme="majorEastAsia"/>
          <w:sz w:val="24"/>
          <w:szCs w:val="24"/>
          <w:lang w:val="en-US"/>
        </w:rPr>
        <w:t xml:space="preserve">25) that it was the taxpayer’s case that it was an agreed term of the acquisition that the rentals were to be received by his mother and the taxpayer had no right to receive any rentals.  The Board, however, held (at </w:t>
      </w:r>
      <w:r w:rsidR="00417D3A">
        <w:rPr>
          <w:rFonts w:eastAsiaTheme="majorEastAsia"/>
          <w:sz w:val="24"/>
          <w:szCs w:val="24"/>
          <w:lang w:val="en-US"/>
        </w:rPr>
        <w:t xml:space="preserve">paragraph </w:t>
      </w:r>
      <w:r w:rsidRPr="003810E8">
        <w:rPr>
          <w:rFonts w:eastAsiaTheme="majorEastAsia"/>
          <w:sz w:val="24"/>
          <w:szCs w:val="24"/>
          <w:lang w:val="en-US"/>
        </w:rPr>
        <w:t>26) that even if this were the case, the taxpayer would be required to pay property tax by reason of IRO section 5B(2).</w:t>
      </w:r>
    </w:p>
    <w:p w:rsidR="00DB76EB" w:rsidRPr="003810E8" w:rsidRDefault="00DB76EB" w:rsidP="00AC0034">
      <w:pPr>
        <w:snapToGrid w:val="0"/>
        <w:contextualSpacing/>
        <w:mirrorIndents/>
        <w:rPr>
          <w:rFonts w:eastAsiaTheme="majorEastAsia"/>
          <w:sz w:val="24"/>
          <w:szCs w:val="24"/>
          <w:lang w:val="en-US"/>
        </w:rPr>
      </w:pPr>
    </w:p>
    <w:p w:rsidR="00DB76EB" w:rsidRPr="009778EF" w:rsidRDefault="00C70715" w:rsidP="00AC0034">
      <w:pPr>
        <w:snapToGrid w:val="0"/>
        <w:contextualSpacing/>
        <w:mirrorIndents/>
        <w:rPr>
          <w:rFonts w:eastAsiaTheme="majorEastAsia"/>
          <w:b/>
          <w:sz w:val="24"/>
          <w:szCs w:val="24"/>
          <w:lang w:val="en-US"/>
        </w:rPr>
      </w:pPr>
      <w:r w:rsidRPr="009778EF">
        <w:rPr>
          <w:rFonts w:eastAsiaTheme="majorEastAsia"/>
          <w:b/>
          <w:sz w:val="24"/>
          <w:szCs w:val="24"/>
          <w:lang w:val="en-US"/>
        </w:rPr>
        <w:t xml:space="preserve">E.  </w:t>
      </w:r>
      <w:r w:rsidR="00DB76EB" w:rsidRPr="009778EF">
        <w:rPr>
          <w:rFonts w:eastAsiaTheme="majorEastAsia"/>
          <w:b/>
          <w:sz w:val="24"/>
          <w:szCs w:val="24"/>
          <w:lang w:val="en-US"/>
        </w:rPr>
        <w:t xml:space="preserve">Analysis </w:t>
      </w:r>
    </w:p>
    <w:p w:rsidR="00DB76EB" w:rsidRPr="003810E8" w:rsidRDefault="00DB76EB" w:rsidP="00AC0034">
      <w:pPr>
        <w:snapToGrid w:val="0"/>
        <w:contextualSpacing/>
        <w:mirrorIndents/>
        <w:rPr>
          <w:rFonts w:eastAsiaTheme="majorEastAsia"/>
          <w:sz w:val="24"/>
          <w:szCs w:val="24"/>
          <w:lang w:val="en-US"/>
        </w:rPr>
      </w:pPr>
    </w:p>
    <w:p w:rsidR="00DB76EB" w:rsidRPr="003810E8" w:rsidRDefault="00DB76EB" w:rsidP="008B752A">
      <w:pPr>
        <w:pStyle w:val="ac"/>
        <w:ind w:leftChars="0" w:left="0"/>
        <w:jc w:val="both"/>
        <w:rPr>
          <w:rFonts w:eastAsiaTheme="majorEastAsia"/>
          <w:sz w:val="24"/>
          <w:szCs w:val="24"/>
          <w:lang w:val="en-US"/>
        </w:rPr>
      </w:pPr>
      <w:r w:rsidRPr="003810E8">
        <w:rPr>
          <w:rFonts w:eastAsiaTheme="majorEastAsia"/>
          <w:sz w:val="24"/>
          <w:szCs w:val="24"/>
          <w:lang w:val="en-US"/>
        </w:rPr>
        <w:t>21.</w:t>
      </w:r>
      <w:r w:rsidRPr="003810E8">
        <w:rPr>
          <w:rFonts w:eastAsiaTheme="majorEastAsia"/>
          <w:sz w:val="24"/>
          <w:szCs w:val="24"/>
          <w:lang w:val="en-US"/>
        </w:rPr>
        <w:tab/>
        <w:t xml:space="preserve">By virtue of IRO section 68(4), the onus of proving that the Assessment is excessive or incorrect is on </w:t>
      </w:r>
      <w:r w:rsidR="004B18C9">
        <w:rPr>
          <w:rFonts w:eastAsiaTheme="majorEastAsia"/>
          <w:sz w:val="24"/>
          <w:szCs w:val="24"/>
          <w:lang w:val="en-US"/>
        </w:rPr>
        <w:t>Mr A</w:t>
      </w:r>
      <w:r w:rsidRPr="003810E8">
        <w:rPr>
          <w:rFonts w:eastAsiaTheme="majorEastAsia"/>
          <w:sz w:val="24"/>
          <w:szCs w:val="24"/>
          <w:lang w:val="en-US"/>
        </w:rPr>
        <w:t>.</w:t>
      </w:r>
    </w:p>
    <w:p w:rsidR="00DB76EB" w:rsidRPr="003810E8" w:rsidRDefault="00DB76EB" w:rsidP="00AC0034">
      <w:pPr>
        <w:snapToGrid w:val="0"/>
        <w:contextualSpacing/>
        <w:mirrorIndents/>
        <w:rPr>
          <w:rFonts w:eastAsiaTheme="majorEastAsia"/>
          <w:sz w:val="24"/>
          <w:szCs w:val="24"/>
          <w:lang w:val="en-US"/>
        </w:rPr>
      </w:pPr>
    </w:p>
    <w:p w:rsidR="00DB76EB" w:rsidRPr="003810E8" w:rsidRDefault="00DB76EB" w:rsidP="008B752A">
      <w:pPr>
        <w:pStyle w:val="ac"/>
        <w:ind w:leftChars="0" w:left="0"/>
        <w:jc w:val="both"/>
        <w:rPr>
          <w:rFonts w:eastAsiaTheme="majorEastAsia"/>
          <w:sz w:val="24"/>
          <w:szCs w:val="24"/>
          <w:lang w:val="en-US"/>
        </w:rPr>
      </w:pPr>
      <w:r w:rsidRPr="003810E8">
        <w:rPr>
          <w:rFonts w:eastAsiaTheme="majorEastAsia"/>
          <w:sz w:val="24"/>
          <w:szCs w:val="24"/>
          <w:lang w:val="en-US"/>
        </w:rPr>
        <w:t>22.</w:t>
      </w:r>
      <w:r w:rsidRPr="003810E8">
        <w:rPr>
          <w:rFonts w:eastAsiaTheme="majorEastAsia"/>
          <w:sz w:val="24"/>
          <w:szCs w:val="24"/>
          <w:lang w:val="en-US"/>
        </w:rPr>
        <w:tab/>
        <w:t xml:space="preserve">At the hearing of this appeal, </w:t>
      </w:r>
      <w:r w:rsidR="004B18C9">
        <w:rPr>
          <w:rFonts w:eastAsiaTheme="majorEastAsia"/>
          <w:sz w:val="24"/>
          <w:szCs w:val="24"/>
          <w:lang w:val="en-US"/>
        </w:rPr>
        <w:t>Mr A</w:t>
      </w:r>
      <w:r w:rsidRPr="003810E8">
        <w:rPr>
          <w:rFonts w:eastAsiaTheme="majorEastAsia"/>
          <w:sz w:val="24"/>
          <w:szCs w:val="24"/>
          <w:lang w:val="en-US"/>
        </w:rPr>
        <w:t xml:space="preserve"> (who appeared together with his tax representative) confirmed that he does not dispute the legal principles referred to by the IRD in its written submissions.   </w:t>
      </w:r>
    </w:p>
    <w:p w:rsidR="00DB76EB" w:rsidRPr="003810E8" w:rsidRDefault="00DB76EB" w:rsidP="00AC0034">
      <w:pPr>
        <w:snapToGrid w:val="0"/>
        <w:contextualSpacing/>
        <w:mirrorIndents/>
        <w:rPr>
          <w:rFonts w:eastAsiaTheme="majorEastAsia"/>
          <w:sz w:val="24"/>
          <w:szCs w:val="24"/>
          <w:lang w:val="en-US"/>
        </w:rPr>
      </w:pPr>
    </w:p>
    <w:p w:rsidR="00DB76EB" w:rsidRPr="003810E8" w:rsidRDefault="00DB76EB" w:rsidP="008B752A">
      <w:pPr>
        <w:pStyle w:val="ac"/>
        <w:ind w:leftChars="0" w:left="0"/>
        <w:jc w:val="both"/>
        <w:rPr>
          <w:rFonts w:eastAsiaTheme="majorEastAsia"/>
          <w:sz w:val="24"/>
          <w:szCs w:val="24"/>
          <w:lang w:val="en-US"/>
        </w:rPr>
      </w:pPr>
      <w:r w:rsidRPr="003810E8">
        <w:rPr>
          <w:rFonts w:eastAsiaTheme="majorEastAsia"/>
          <w:sz w:val="24"/>
          <w:szCs w:val="24"/>
          <w:lang w:val="en-US"/>
        </w:rPr>
        <w:t>23.</w:t>
      </w:r>
      <w:r w:rsidRPr="003810E8">
        <w:rPr>
          <w:rFonts w:eastAsiaTheme="majorEastAsia"/>
          <w:sz w:val="24"/>
          <w:szCs w:val="24"/>
          <w:lang w:val="en-US"/>
        </w:rPr>
        <w:tab/>
        <w:t xml:space="preserve">In fact, </w:t>
      </w:r>
      <w:r w:rsidR="004B18C9">
        <w:rPr>
          <w:rFonts w:eastAsiaTheme="majorEastAsia"/>
          <w:sz w:val="24"/>
          <w:szCs w:val="24"/>
          <w:lang w:val="en-US"/>
        </w:rPr>
        <w:t>Mr A</w:t>
      </w:r>
      <w:r w:rsidRPr="003810E8">
        <w:rPr>
          <w:rFonts w:eastAsiaTheme="majorEastAsia"/>
          <w:sz w:val="24"/>
          <w:szCs w:val="24"/>
          <w:lang w:val="en-US"/>
        </w:rPr>
        <w:t xml:space="preserve"> went one step further to say that he does not dispute the Assessment.    The nub of </w:t>
      </w:r>
      <w:r w:rsidR="004B18C9">
        <w:rPr>
          <w:rFonts w:eastAsiaTheme="majorEastAsia"/>
          <w:sz w:val="24"/>
          <w:szCs w:val="24"/>
          <w:lang w:val="en-US"/>
        </w:rPr>
        <w:t>Mr A</w:t>
      </w:r>
      <w:r w:rsidRPr="003810E8">
        <w:rPr>
          <w:rFonts w:eastAsiaTheme="majorEastAsia"/>
          <w:sz w:val="24"/>
          <w:szCs w:val="24"/>
          <w:lang w:val="en-US"/>
        </w:rPr>
        <w:t xml:space="preserve">’s complaint is that the IRD has not acted fairly in that it had taken no action against </w:t>
      </w:r>
      <w:r w:rsidR="000F1CF0">
        <w:rPr>
          <w:rFonts w:eastAsiaTheme="majorEastAsia"/>
          <w:sz w:val="24"/>
          <w:szCs w:val="24"/>
          <w:lang w:val="en-US"/>
        </w:rPr>
        <w:t>Ms B</w:t>
      </w:r>
      <w:r w:rsidRPr="003810E8">
        <w:rPr>
          <w:rFonts w:eastAsiaTheme="majorEastAsia"/>
          <w:sz w:val="24"/>
          <w:szCs w:val="24"/>
          <w:lang w:val="en-US"/>
        </w:rPr>
        <w:t xml:space="preserve"> and had not sought payment of tax from </w:t>
      </w:r>
      <w:r w:rsidR="000F1CF0">
        <w:rPr>
          <w:rFonts w:eastAsiaTheme="majorEastAsia"/>
          <w:sz w:val="24"/>
          <w:szCs w:val="24"/>
          <w:lang w:val="en-US"/>
        </w:rPr>
        <w:t>Ms B</w:t>
      </w:r>
      <w:r w:rsidRPr="003810E8">
        <w:rPr>
          <w:rFonts w:eastAsiaTheme="majorEastAsia"/>
          <w:sz w:val="24"/>
          <w:szCs w:val="24"/>
          <w:lang w:val="en-US"/>
        </w:rPr>
        <w:t>’s Account.</w:t>
      </w:r>
    </w:p>
    <w:p w:rsidR="00DB76EB" w:rsidRPr="003810E8" w:rsidRDefault="00DB76EB" w:rsidP="00AC0034">
      <w:pPr>
        <w:snapToGrid w:val="0"/>
        <w:contextualSpacing/>
        <w:mirrorIndents/>
        <w:rPr>
          <w:rFonts w:eastAsiaTheme="majorEastAsia"/>
          <w:sz w:val="24"/>
          <w:szCs w:val="24"/>
          <w:lang w:val="en-US"/>
        </w:rPr>
      </w:pPr>
    </w:p>
    <w:p w:rsidR="00DB76EB" w:rsidRPr="003810E8" w:rsidRDefault="00DB76EB" w:rsidP="008B752A">
      <w:pPr>
        <w:pStyle w:val="ac"/>
        <w:ind w:leftChars="0" w:left="0"/>
        <w:jc w:val="both"/>
        <w:rPr>
          <w:rFonts w:eastAsiaTheme="majorEastAsia"/>
          <w:sz w:val="24"/>
          <w:szCs w:val="24"/>
          <w:lang w:val="en-US"/>
        </w:rPr>
      </w:pPr>
      <w:r w:rsidRPr="003810E8">
        <w:rPr>
          <w:rFonts w:eastAsiaTheme="majorEastAsia"/>
          <w:sz w:val="24"/>
          <w:szCs w:val="24"/>
          <w:lang w:val="en-US"/>
        </w:rPr>
        <w:t>24.</w:t>
      </w:r>
      <w:r w:rsidRPr="003810E8">
        <w:rPr>
          <w:rFonts w:eastAsiaTheme="majorEastAsia"/>
          <w:sz w:val="24"/>
          <w:szCs w:val="24"/>
          <w:lang w:val="en-US"/>
        </w:rPr>
        <w:tab/>
      </w:r>
      <w:r w:rsidR="004B18C9">
        <w:rPr>
          <w:rFonts w:eastAsiaTheme="majorEastAsia"/>
          <w:sz w:val="24"/>
          <w:szCs w:val="24"/>
          <w:lang w:val="en-US"/>
        </w:rPr>
        <w:t>Mr A</w:t>
      </w:r>
      <w:r w:rsidRPr="003810E8">
        <w:rPr>
          <w:rFonts w:eastAsiaTheme="majorEastAsia"/>
          <w:sz w:val="24"/>
          <w:szCs w:val="24"/>
          <w:lang w:val="en-US"/>
        </w:rPr>
        <w:t xml:space="preserve"> does not dispute that the IRD has the right to raise the Assessment against him</w:t>
      </w:r>
      <w:r w:rsidR="00242625" w:rsidRPr="00E673EC">
        <w:rPr>
          <w:rStyle w:val="aa"/>
        </w:rPr>
        <w:footnoteReference w:id="2"/>
      </w:r>
      <w:r w:rsidRPr="003810E8">
        <w:rPr>
          <w:rFonts w:eastAsiaTheme="majorEastAsia"/>
          <w:sz w:val="24"/>
          <w:szCs w:val="24"/>
          <w:lang w:val="en-US"/>
        </w:rPr>
        <w:t xml:space="preserve">.  On a proper analysis, his complaint at best is that the IRD had abused or wrongly exercised its powers in failing to act fairly as between </w:t>
      </w:r>
      <w:r w:rsidR="000F1CF0">
        <w:rPr>
          <w:rFonts w:eastAsiaTheme="majorEastAsia"/>
          <w:sz w:val="24"/>
          <w:szCs w:val="24"/>
          <w:lang w:val="en-US"/>
        </w:rPr>
        <w:t>Ms B</w:t>
      </w:r>
      <w:r w:rsidRPr="003810E8">
        <w:rPr>
          <w:rFonts w:eastAsiaTheme="majorEastAsia"/>
          <w:sz w:val="24"/>
          <w:szCs w:val="24"/>
          <w:lang w:val="en-US"/>
        </w:rPr>
        <w:t xml:space="preserve"> and </w:t>
      </w:r>
      <w:r w:rsidR="00AD42B1">
        <w:rPr>
          <w:rFonts w:eastAsiaTheme="majorEastAsia"/>
          <w:sz w:val="24"/>
          <w:szCs w:val="24"/>
          <w:lang w:val="en-US"/>
        </w:rPr>
        <w:t xml:space="preserve">he </w:t>
      </w:r>
      <w:r w:rsidRPr="003810E8">
        <w:rPr>
          <w:rFonts w:eastAsiaTheme="majorEastAsia"/>
          <w:sz w:val="24"/>
          <w:szCs w:val="24"/>
          <w:lang w:val="en-US"/>
        </w:rPr>
        <w:t>himself.  This complaint is a matter of administrative law, in respect of which this Board has no jurisdiction.</w:t>
      </w:r>
    </w:p>
    <w:p w:rsidR="00DB76EB" w:rsidRPr="003810E8" w:rsidRDefault="00DB76EB" w:rsidP="00AC0034">
      <w:pPr>
        <w:snapToGrid w:val="0"/>
        <w:contextualSpacing/>
        <w:mirrorIndents/>
        <w:rPr>
          <w:rFonts w:eastAsiaTheme="majorEastAsia"/>
          <w:sz w:val="24"/>
          <w:szCs w:val="24"/>
          <w:lang w:val="en-US"/>
        </w:rPr>
      </w:pPr>
    </w:p>
    <w:p w:rsidR="00DB76EB" w:rsidRPr="003810E8" w:rsidRDefault="00DB76EB" w:rsidP="008B752A">
      <w:pPr>
        <w:pStyle w:val="ac"/>
        <w:ind w:leftChars="0" w:left="0"/>
        <w:jc w:val="both"/>
        <w:rPr>
          <w:rFonts w:eastAsiaTheme="majorEastAsia"/>
          <w:sz w:val="24"/>
          <w:szCs w:val="24"/>
          <w:lang w:val="en-US"/>
        </w:rPr>
      </w:pPr>
      <w:r w:rsidRPr="003810E8">
        <w:rPr>
          <w:rFonts w:eastAsiaTheme="majorEastAsia"/>
          <w:sz w:val="24"/>
          <w:szCs w:val="24"/>
          <w:lang w:val="en-US"/>
        </w:rPr>
        <w:t>25.</w:t>
      </w:r>
      <w:r w:rsidRPr="003810E8">
        <w:rPr>
          <w:rFonts w:eastAsiaTheme="majorEastAsia"/>
          <w:sz w:val="24"/>
          <w:szCs w:val="24"/>
          <w:lang w:val="en-US"/>
        </w:rPr>
        <w:tab/>
        <w:t xml:space="preserve">In </w:t>
      </w:r>
      <w:r w:rsidRPr="000B0A67">
        <w:rPr>
          <w:rFonts w:eastAsiaTheme="majorEastAsia"/>
          <w:sz w:val="24"/>
          <w:szCs w:val="24"/>
          <w:u w:val="single"/>
          <w:lang w:val="en-US"/>
        </w:rPr>
        <w:t>D42/12</w:t>
      </w:r>
      <w:r w:rsidRPr="003810E8">
        <w:rPr>
          <w:rFonts w:eastAsiaTheme="majorEastAsia"/>
          <w:sz w:val="24"/>
          <w:szCs w:val="24"/>
          <w:lang w:val="en-US"/>
        </w:rPr>
        <w:t xml:space="preserve">, the taxpayer complained, </w:t>
      </w:r>
      <w:r w:rsidRPr="002264CE">
        <w:rPr>
          <w:rFonts w:eastAsiaTheme="majorEastAsia"/>
          <w:i/>
          <w:sz w:val="24"/>
          <w:szCs w:val="24"/>
          <w:lang w:val="en-US"/>
        </w:rPr>
        <w:t>inter alia</w:t>
      </w:r>
      <w:r w:rsidRPr="003810E8">
        <w:rPr>
          <w:rFonts w:eastAsiaTheme="majorEastAsia"/>
          <w:sz w:val="24"/>
          <w:szCs w:val="24"/>
          <w:lang w:val="en-US"/>
        </w:rPr>
        <w:t xml:space="preserve">, that he was not fairly treated by the IRD in comparison with his colleagues.  The Board held (at </w:t>
      </w:r>
      <w:r w:rsidR="00417D3A">
        <w:rPr>
          <w:rFonts w:eastAsiaTheme="majorEastAsia"/>
          <w:sz w:val="24"/>
          <w:szCs w:val="24"/>
          <w:lang w:val="en-US"/>
        </w:rPr>
        <w:t xml:space="preserve">paragraph </w:t>
      </w:r>
      <w:r w:rsidRPr="003810E8">
        <w:rPr>
          <w:rFonts w:eastAsiaTheme="majorEastAsia"/>
          <w:sz w:val="24"/>
          <w:szCs w:val="24"/>
          <w:lang w:val="en-US"/>
        </w:rPr>
        <w:t>19) that:-</w:t>
      </w:r>
    </w:p>
    <w:p w:rsidR="00DB76EB" w:rsidRPr="003810E8" w:rsidRDefault="00DB76EB" w:rsidP="00AC0034">
      <w:pPr>
        <w:snapToGrid w:val="0"/>
        <w:contextualSpacing/>
        <w:mirrorIndents/>
        <w:rPr>
          <w:rFonts w:eastAsiaTheme="majorEastAsia"/>
          <w:sz w:val="24"/>
          <w:szCs w:val="24"/>
          <w:lang w:val="en-US"/>
        </w:rPr>
      </w:pPr>
    </w:p>
    <w:p w:rsidR="00DB76EB" w:rsidRPr="005F2095" w:rsidRDefault="00F73067" w:rsidP="0093191B">
      <w:pPr>
        <w:pStyle w:val="ac"/>
        <w:ind w:leftChars="780" w:left="1560"/>
        <w:jc w:val="both"/>
        <w:rPr>
          <w:rFonts w:eastAsiaTheme="majorEastAsia"/>
          <w:i/>
          <w:sz w:val="24"/>
          <w:szCs w:val="24"/>
          <w:lang w:val="en-US"/>
        </w:rPr>
      </w:pPr>
      <w:r>
        <w:rPr>
          <w:rFonts w:eastAsiaTheme="majorEastAsia"/>
          <w:i/>
          <w:sz w:val="24"/>
          <w:szCs w:val="24"/>
          <w:lang w:val="en-US"/>
        </w:rPr>
        <w:t>‘</w:t>
      </w:r>
      <w:r w:rsidR="006C4490">
        <w:rPr>
          <w:rFonts w:eastAsiaTheme="majorEastAsia"/>
          <w:i/>
          <w:sz w:val="24"/>
          <w:szCs w:val="24"/>
          <w:lang w:val="en-US"/>
        </w:rPr>
        <w:t>[19</w:t>
      </w:r>
      <w:r w:rsidR="007B00E7">
        <w:rPr>
          <w:rFonts w:eastAsiaTheme="majorEastAsia"/>
          <w:i/>
          <w:sz w:val="24"/>
          <w:szCs w:val="24"/>
          <w:lang w:val="en-US"/>
        </w:rPr>
        <w:t>] Further</w:t>
      </w:r>
      <w:r w:rsidR="005F2095" w:rsidRPr="005F2095">
        <w:rPr>
          <w:rFonts w:eastAsiaTheme="majorEastAsia"/>
          <w:i/>
          <w:sz w:val="24"/>
          <w:szCs w:val="24"/>
          <w:lang w:val="en-US"/>
        </w:rPr>
        <w:t xml:space="preserve">, as mentioned in the case of D126/02, </w:t>
      </w:r>
      <w:r w:rsidR="005F2095" w:rsidRPr="00417D3A">
        <w:rPr>
          <w:rFonts w:eastAsiaTheme="majorEastAsia"/>
          <w:b/>
          <w:i/>
          <w:sz w:val="24"/>
          <w:szCs w:val="24"/>
          <w:lang w:val="en-US"/>
        </w:rPr>
        <w:t>the function of the Board</w:t>
      </w:r>
      <w:r w:rsidR="005F2095" w:rsidRPr="005F2095">
        <w:rPr>
          <w:rFonts w:eastAsiaTheme="majorEastAsia"/>
          <w:i/>
          <w:sz w:val="24"/>
          <w:szCs w:val="24"/>
          <w:lang w:val="en-US"/>
        </w:rPr>
        <w:t xml:space="preserve"> is to look at the facts of this Appeal and decide whether the Salaries Tax Assessment 2008/09 </w:t>
      </w:r>
      <w:r w:rsidR="005F2095" w:rsidRPr="00417D3A">
        <w:rPr>
          <w:rFonts w:eastAsiaTheme="majorEastAsia"/>
          <w:b/>
          <w:i/>
          <w:sz w:val="24"/>
          <w:szCs w:val="24"/>
          <w:lang w:val="en-US"/>
        </w:rPr>
        <w:t>was correctly made in accordance with the Ordinance.  The Board does not have the judicial review jurisdiction which is exclusively enjoyed by the High Court.</w:t>
      </w:r>
      <w:r w:rsidR="005F2095" w:rsidRPr="005F2095">
        <w:rPr>
          <w:rFonts w:eastAsiaTheme="majorEastAsia"/>
          <w:i/>
          <w:sz w:val="24"/>
          <w:szCs w:val="24"/>
          <w:lang w:val="en-US"/>
        </w:rPr>
        <w:t xml:space="preserve">  As such, whether the Appellant was unfairly treated compared with his colleagues is not a matter for the Board to investigate</w:t>
      </w:r>
      <w:r>
        <w:rPr>
          <w:rFonts w:eastAsiaTheme="majorEastAsia"/>
          <w:i/>
          <w:sz w:val="24"/>
          <w:szCs w:val="24"/>
          <w:lang w:val="en-US"/>
        </w:rPr>
        <w:t>’</w:t>
      </w:r>
      <w:r w:rsidR="005F2095" w:rsidRPr="005F2095">
        <w:rPr>
          <w:rFonts w:eastAsiaTheme="majorEastAsia"/>
          <w:i/>
          <w:sz w:val="24"/>
          <w:szCs w:val="24"/>
          <w:lang w:val="en-US"/>
        </w:rPr>
        <w:t xml:space="preserve"> (emphasis added)</w:t>
      </w:r>
    </w:p>
    <w:p w:rsidR="005F2095" w:rsidRPr="003810E8" w:rsidRDefault="005F2095" w:rsidP="00AC0034">
      <w:pPr>
        <w:snapToGrid w:val="0"/>
        <w:contextualSpacing/>
        <w:mirrorIndents/>
        <w:rPr>
          <w:rFonts w:eastAsiaTheme="majorEastAsia"/>
          <w:sz w:val="24"/>
          <w:szCs w:val="24"/>
          <w:lang w:val="en-US"/>
        </w:rPr>
      </w:pPr>
    </w:p>
    <w:p w:rsidR="00DB76EB" w:rsidRPr="003810E8" w:rsidRDefault="00DB76EB" w:rsidP="008B752A">
      <w:pPr>
        <w:pStyle w:val="ac"/>
        <w:ind w:leftChars="0" w:left="0"/>
        <w:jc w:val="both"/>
        <w:rPr>
          <w:rFonts w:eastAsiaTheme="majorEastAsia"/>
          <w:sz w:val="24"/>
          <w:szCs w:val="24"/>
          <w:lang w:val="en-US"/>
        </w:rPr>
      </w:pPr>
      <w:r w:rsidRPr="003810E8">
        <w:rPr>
          <w:rFonts w:eastAsiaTheme="majorEastAsia"/>
          <w:sz w:val="24"/>
          <w:szCs w:val="24"/>
          <w:lang w:val="en-US"/>
        </w:rPr>
        <w:lastRenderedPageBreak/>
        <w:t>26.</w:t>
      </w:r>
      <w:r w:rsidRPr="003810E8">
        <w:rPr>
          <w:rFonts w:eastAsiaTheme="majorEastAsia"/>
          <w:sz w:val="24"/>
          <w:szCs w:val="24"/>
          <w:lang w:val="en-US"/>
        </w:rPr>
        <w:tab/>
        <w:t xml:space="preserve">In </w:t>
      </w:r>
      <w:r w:rsidRPr="00D37DD0">
        <w:rPr>
          <w:rFonts w:eastAsiaTheme="majorEastAsia"/>
          <w:sz w:val="24"/>
          <w:szCs w:val="24"/>
          <w:u w:val="single"/>
          <w:lang w:val="en-US"/>
        </w:rPr>
        <w:t>Apsin v. Estill</w:t>
      </w:r>
      <w:r w:rsidRPr="003810E8">
        <w:rPr>
          <w:rFonts w:eastAsiaTheme="majorEastAsia"/>
          <w:sz w:val="24"/>
          <w:szCs w:val="24"/>
          <w:lang w:val="en-US"/>
        </w:rPr>
        <w:t xml:space="preserve"> [1987] STC 723, the taxpayer by way of an appeal (as opposed to a judicial review) argued that it was unfair and oppressive for the revenue to assess tax by reason that he had relied on the information</w:t>
      </w:r>
      <w:r w:rsidR="00000978">
        <w:rPr>
          <w:rFonts w:eastAsiaTheme="majorEastAsia"/>
          <w:sz w:val="24"/>
          <w:szCs w:val="24"/>
          <w:lang w:val="en-US"/>
        </w:rPr>
        <w:t xml:space="preserve"> given to him by the revenue.  </w:t>
      </w:r>
      <w:r w:rsidRPr="003810E8">
        <w:rPr>
          <w:rFonts w:eastAsiaTheme="majorEastAsia"/>
          <w:sz w:val="24"/>
          <w:szCs w:val="24"/>
          <w:lang w:val="en-US"/>
        </w:rPr>
        <w:t>Sir John Donaldson MR held (at 726) that:-</w:t>
      </w:r>
    </w:p>
    <w:p w:rsidR="00DB76EB" w:rsidRPr="003810E8" w:rsidRDefault="00DB76EB" w:rsidP="00AC0034">
      <w:pPr>
        <w:snapToGrid w:val="0"/>
        <w:contextualSpacing/>
        <w:mirrorIndents/>
        <w:rPr>
          <w:rFonts w:eastAsiaTheme="majorEastAsia"/>
          <w:sz w:val="24"/>
          <w:szCs w:val="24"/>
          <w:lang w:val="en-US"/>
        </w:rPr>
      </w:pPr>
    </w:p>
    <w:p w:rsidR="00DB76EB" w:rsidRPr="005F2095" w:rsidRDefault="00F73067" w:rsidP="0093191B">
      <w:pPr>
        <w:pStyle w:val="ac"/>
        <w:ind w:leftChars="780" w:left="1560"/>
        <w:jc w:val="both"/>
        <w:rPr>
          <w:rFonts w:eastAsiaTheme="majorEastAsia"/>
          <w:i/>
          <w:sz w:val="24"/>
          <w:szCs w:val="24"/>
          <w:lang w:val="en-US"/>
        </w:rPr>
      </w:pPr>
      <w:r>
        <w:rPr>
          <w:rFonts w:eastAsiaTheme="majorEastAsia"/>
          <w:i/>
          <w:sz w:val="24"/>
          <w:szCs w:val="24"/>
          <w:lang w:val="en-US"/>
        </w:rPr>
        <w:t>‘</w:t>
      </w:r>
      <w:r w:rsidR="00DB76EB" w:rsidRPr="005F2095">
        <w:rPr>
          <w:rFonts w:eastAsiaTheme="majorEastAsia"/>
          <w:i/>
          <w:sz w:val="24"/>
          <w:szCs w:val="24"/>
          <w:lang w:val="en-US"/>
        </w:rPr>
        <w:t xml:space="preserve">… the question of the lawfulness of the inspector making the assessment, whether in judicial review terms it was </w:t>
      </w:r>
      <w:r w:rsidR="00DB76EB" w:rsidRPr="00E51389">
        <w:rPr>
          <w:rFonts w:eastAsiaTheme="majorEastAsia"/>
          <w:b/>
          <w:i/>
          <w:sz w:val="24"/>
          <w:szCs w:val="24"/>
          <w:lang w:val="en-US"/>
        </w:rPr>
        <w:t>an abuse of power</w:t>
      </w:r>
      <w:r w:rsidR="00DB76EB" w:rsidRPr="005F2095">
        <w:rPr>
          <w:rFonts w:eastAsiaTheme="majorEastAsia"/>
          <w:i/>
          <w:sz w:val="24"/>
          <w:szCs w:val="24"/>
          <w:lang w:val="en-US"/>
        </w:rPr>
        <w:t xml:space="preserve"> was one thing, and a matter </w:t>
      </w:r>
      <w:r w:rsidR="00DB76EB" w:rsidRPr="00E51389">
        <w:rPr>
          <w:rFonts w:eastAsiaTheme="majorEastAsia"/>
          <w:b/>
          <w:i/>
          <w:sz w:val="24"/>
          <w:szCs w:val="24"/>
          <w:u w:val="single"/>
          <w:lang w:val="en-US"/>
        </w:rPr>
        <w:t>only</w:t>
      </w:r>
      <w:r w:rsidR="00DB76EB" w:rsidRPr="00E51389">
        <w:rPr>
          <w:rFonts w:eastAsiaTheme="majorEastAsia"/>
          <w:b/>
          <w:i/>
          <w:sz w:val="24"/>
          <w:szCs w:val="24"/>
          <w:lang w:val="en-US"/>
        </w:rPr>
        <w:t xml:space="preserve"> to be considered by the High Court</w:t>
      </w:r>
      <w:r w:rsidR="00DB76EB" w:rsidRPr="005F2095">
        <w:rPr>
          <w:rFonts w:eastAsiaTheme="majorEastAsia"/>
          <w:i/>
          <w:sz w:val="24"/>
          <w:szCs w:val="24"/>
          <w:lang w:val="en-US"/>
        </w:rPr>
        <w:t>.  Whether, if he was right to make such assessment, that was correct in terms of the statute was another and a matter for the Special Commissioners</w:t>
      </w:r>
      <w:r>
        <w:rPr>
          <w:rFonts w:eastAsiaTheme="majorEastAsia"/>
          <w:i/>
          <w:sz w:val="24"/>
          <w:szCs w:val="24"/>
          <w:lang w:val="en-US"/>
        </w:rPr>
        <w:t>’</w:t>
      </w:r>
      <w:r w:rsidR="00DB76EB" w:rsidRPr="005F2095">
        <w:rPr>
          <w:rFonts w:eastAsiaTheme="majorEastAsia"/>
          <w:i/>
          <w:sz w:val="24"/>
          <w:szCs w:val="24"/>
          <w:lang w:val="en-US"/>
        </w:rPr>
        <w:t xml:space="preserve"> (emphasis added)</w:t>
      </w:r>
    </w:p>
    <w:p w:rsidR="00DB76EB" w:rsidRPr="003810E8" w:rsidRDefault="00DB76EB" w:rsidP="00AC0034">
      <w:pPr>
        <w:snapToGrid w:val="0"/>
        <w:contextualSpacing/>
        <w:mirrorIndents/>
        <w:rPr>
          <w:rFonts w:eastAsiaTheme="majorEastAsia"/>
          <w:sz w:val="24"/>
          <w:szCs w:val="24"/>
          <w:lang w:val="en-US"/>
        </w:rPr>
      </w:pPr>
    </w:p>
    <w:p w:rsidR="00DB76EB" w:rsidRPr="003810E8" w:rsidRDefault="00DB76EB" w:rsidP="008B752A">
      <w:pPr>
        <w:pStyle w:val="ac"/>
        <w:ind w:leftChars="0" w:left="0"/>
        <w:jc w:val="both"/>
        <w:rPr>
          <w:rFonts w:eastAsiaTheme="majorEastAsia"/>
          <w:sz w:val="24"/>
          <w:szCs w:val="24"/>
          <w:lang w:val="en-US"/>
        </w:rPr>
      </w:pPr>
      <w:r w:rsidRPr="003810E8">
        <w:rPr>
          <w:rFonts w:eastAsiaTheme="majorEastAsia"/>
          <w:sz w:val="24"/>
          <w:szCs w:val="24"/>
          <w:lang w:val="en-US"/>
        </w:rPr>
        <w:t>27.</w:t>
      </w:r>
      <w:r w:rsidRPr="003810E8">
        <w:rPr>
          <w:rFonts w:eastAsiaTheme="majorEastAsia"/>
          <w:sz w:val="24"/>
          <w:szCs w:val="24"/>
          <w:lang w:val="en-US"/>
        </w:rPr>
        <w:tab/>
        <w:t xml:space="preserve">The decision of </w:t>
      </w:r>
      <w:r w:rsidRPr="00707E60">
        <w:rPr>
          <w:rFonts w:eastAsiaTheme="majorEastAsia"/>
          <w:sz w:val="24"/>
          <w:szCs w:val="24"/>
          <w:u w:val="single"/>
          <w:lang w:val="en-US"/>
        </w:rPr>
        <w:t>Apsin</w:t>
      </w:r>
      <w:r w:rsidRPr="003810E8">
        <w:rPr>
          <w:rFonts w:eastAsiaTheme="majorEastAsia"/>
          <w:sz w:val="24"/>
          <w:szCs w:val="24"/>
          <w:lang w:val="en-US"/>
        </w:rPr>
        <w:t xml:space="preserve"> has been consistently followed and applied by the Board in many decisions, which was summarised by the Board in </w:t>
      </w:r>
      <w:r w:rsidRPr="00794B50">
        <w:rPr>
          <w:rFonts w:eastAsiaTheme="majorEastAsia"/>
          <w:sz w:val="24"/>
          <w:szCs w:val="24"/>
          <w:u w:val="single"/>
          <w:lang w:val="en-US"/>
        </w:rPr>
        <w:t>D21/10</w:t>
      </w:r>
      <w:r w:rsidRPr="003810E8">
        <w:rPr>
          <w:rFonts w:eastAsiaTheme="majorEastAsia"/>
          <w:sz w:val="24"/>
          <w:szCs w:val="24"/>
          <w:lang w:val="en-US"/>
        </w:rPr>
        <w:t xml:space="preserve"> (at </w:t>
      </w:r>
      <w:r w:rsidR="00417D3A">
        <w:rPr>
          <w:rFonts w:eastAsiaTheme="majorEastAsia"/>
          <w:sz w:val="24"/>
          <w:szCs w:val="24"/>
          <w:lang w:val="en-US"/>
        </w:rPr>
        <w:t>paragraph</w:t>
      </w:r>
      <w:r w:rsidR="00476E5C">
        <w:rPr>
          <w:rFonts w:eastAsiaTheme="majorEastAsia"/>
          <w:sz w:val="24"/>
          <w:szCs w:val="24"/>
          <w:lang w:val="en-US"/>
        </w:rPr>
        <w:t>s</w:t>
      </w:r>
      <w:r w:rsidR="00417D3A">
        <w:rPr>
          <w:rFonts w:eastAsiaTheme="majorEastAsia"/>
          <w:sz w:val="24"/>
          <w:szCs w:val="24"/>
          <w:lang w:val="en-US"/>
        </w:rPr>
        <w:t xml:space="preserve"> </w:t>
      </w:r>
      <w:r w:rsidRPr="003810E8">
        <w:rPr>
          <w:rFonts w:eastAsiaTheme="majorEastAsia"/>
          <w:sz w:val="24"/>
          <w:szCs w:val="24"/>
          <w:lang w:val="en-US"/>
        </w:rPr>
        <w:t>96-109).</w:t>
      </w:r>
    </w:p>
    <w:p w:rsidR="00DB76EB" w:rsidRPr="003810E8" w:rsidRDefault="00DB76EB" w:rsidP="00AC0034">
      <w:pPr>
        <w:snapToGrid w:val="0"/>
        <w:contextualSpacing/>
        <w:mirrorIndents/>
        <w:rPr>
          <w:rFonts w:eastAsiaTheme="majorEastAsia"/>
          <w:sz w:val="24"/>
          <w:szCs w:val="24"/>
          <w:lang w:val="en-US"/>
        </w:rPr>
      </w:pPr>
    </w:p>
    <w:p w:rsidR="00DB76EB" w:rsidRPr="003810E8" w:rsidRDefault="00DB76EB" w:rsidP="008B752A">
      <w:pPr>
        <w:pStyle w:val="ac"/>
        <w:ind w:leftChars="0" w:left="0"/>
        <w:jc w:val="both"/>
        <w:rPr>
          <w:rFonts w:eastAsiaTheme="majorEastAsia"/>
          <w:sz w:val="24"/>
          <w:szCs w:val="24"/>
          <w:lang w:val="en-US"/>
        </w:rPr>
      </w:pPr>
      <w:r w:rsidRPr="003810E8">
        <w:rPr>
          <w:rFonts w:eastAsiaTheme="majorEastAsia"/>
          <w:sz w:val="24"/>
          <w:szCs w:val="24"/>
          <w:lang w:val="en-US"/>
        </w:rPr>
        <w:t>28.</w:t>
      </w:r>
      <w:r w:rsidRPr="003810E8">
        <w:rPr>
          <w:rFonts w:eastAsiaTheme="majorEastAsia"/>
          <w:sz w:val="24"/>
          <w:szCs w:val="24"/>
          <w:lang w:val="en-US"/>
        </w:rPr>
        <w:tab/>
        <w:t xml:space="preserve">Accordingly, this Board has no jurisdiction to hear and determine </w:t>
      </w:r>
      <w:r w:rsidR="004B18C9">
        <w:rPr>
          <w:rFonts w:eastAsiaTheme="majorEastAsia"/>
          <w:sz w:val="24"/>
          <w:szCs w:val="24"/>
          <w:lang w:val="en-US"/>
        </w:rPr>
        <w:t>Mr A</w:t>
      </w:r>
      <w:r w:rsidRPr="003810E8">
        <w:rPr>
          <w:rFonts w:eastAsiaTheme="majorEastAsia"/>
          <w:sz w:val="24"/>
          <w:szCs w:val="24"/>
          <w:lang w:val="en-US"/>
        </w:rPr>
        <w:t>’s complaint that the IRD has (allegedly) acted unfairly against him.</w:t>
      </w:r>
    </w:p>
    <w:p w:rsidR="00DB76EB" w:rsidRPr="003810E8" w:rsidRDefault="00DB76EB" w:rsidP="00AC0034">
      <w:pPr>
        <w:snapToGrid w:val="0"/>
        <w:contextualSpacing/>
        <w:mirrorIndents/>
        <w:rPr>
          <w:rFonts w:eastAsiaTheme="majorEastAsia"/>
          <w:sz w:val="24"/>
          <w:szCs w:val="24"/>
          <w:lang w:val="en-US"/>
        </w:rPr>
      </w:pPr>
    </w:p>
    <w:p w:rsidR="00DB76EB" w:rsidRPr="003810E8" w:rsidRDefault="00DB76EB" w:rsidP="008B752A">
      <w:pPr>
        <w:pStyle w:val="ac"/>
        <w:ind w:leftChars="0" w:left="0"/>
        <w:jc w:val="both"/>
        <w:rPr>
          <w:rFonts w:eastAsiaTheme="majorEastAsia"/>
          <w:sz w:val="24"/>
          <w:szCs w:val="24"/>
          <w:lang w:val="en-US"/>
        </w:rPr>
      </w:pPr>
      <w:r w:rsidRPr="003810E8">
        <w:rPr>
          <w:rFonts w:eastAsiaTheme="majorEastAsia"/>
          <w:sz w:val="24"/>
          <w:szCs w:val="24"/>
          <w:lang w:val="en-US"/>
        </w:rPr>
        <w:t>29.</w:t>
      </w:r>
      <w:r w:rsidRPr="003810E8">
        <w:rPr>
          <w:rFonts w:eastAsiaTheme="majorEastAsia"/>
          <w:sz w:val="24"/>
          <w:szCs w:val="24"/>
          <w:lang w:val="en-US"/>
        </w:rPr>
        <w:tab/>
        <w:t xml:space="preserve">As to the correctness of the Assessment, in view of the said position taken by </w:t>
      </w:r>
      <w:r w:rsidR="004B18C9">
        <w:rPr>
          <w:rFonts w:eastAsiaTheme="majorEastAsia"/>
          <w:sz w:val="24"/>
          <w:szCs w:val="24"/>
          <w:lang w:val="en-US"/>
        </w:rPr>
        <w:t>Mr A</w:t>
      </w:r>
      <w:r w:rsidRPr="003810E8">
        <w:rPr>
          <w:rFonts w:eastAsiaTheme="majorEastAsia"/>
          <w:sz w:val="24"/>
          <w:szCs w:val="24"/>
          <w:lang w:val="en-US"/>
        </w:rPr>
        <w:t xml:space="preserve"> at the hearing of this appeal, there is no basis to suggest that the Assessment is incorrect or otherwise excessive.   </w:t>
      </w:r>
    </w:p>
    <w:p w:rsidR="00DB76EB" w:rsidRPr="003810E8" w:rsidRDefault="00DB76EB" w:rsidP="00AC0034">
      <w:pPr>
        <w:snapToGrid w:val="0"/>
        <w:contextualSpacing/>
        <w:mirrorIndents/>
        <w:rPr>
          <w:rFonts w:eastAsiaTheme="majorEastAsia"/>
          <w:sz w:val="24"/>
          <w:szCs w:val="24"/>
          <w:lang w:val="en-US"/>
        </w:rPr>
      </w:pPr>
    </w:p>
    <w:p w:rsidR="00DB76EB" w:rsidRPr="003810E8" w:rsidRDefault="00DB76EB" w:rsidP="008B752A">
      <w:pPr>
        <w:pStyle w:val="ac"/>
        <w:ind w:leftChars="0" w:left="0"/>
        <w:jc w:val="both"/>
        <w:rPr>
          <w:rFonts w:eastAsiaTheme="majorEastAsia"/>
          <w:sz w:val="24"/>
          <w:szCs w:val="24"/>
          <w:lang w:val="en-US"/>
        </w:rPr>
      </w:pPr>
      <w:r w:rsidRPr="003810E8">
        <w:rPr>
          <w:rFonts w:eastAsiaTheme="majorEastAsia"/>
          <w:sz w:val="24"/>
          <w:szCs w:val="24"/>
          <w:lang w:val="en-US"/>
        </w:rPr>
        <w:t>30.</w:t>
      </w:r>
      <w:r w:rsidRPr="003810E8">
        <w:rPr>
          <w:rFonts w:eastAsiaTheme="majorEastAsia"/>
          <w:sz w:val="24"/>
          <w:szCs w:val="24"/>
          <w:lang w:val="en-US"/>
        </w:rPr>
        <w:tab/>
        <w:t>Further and in any event, this Board is satisfied that the Determination is a co</w:t>
      </w:r>
      <w:r w:rsidR="00000978">
        <w:rPr>
          <w:rFonts w:eastAsiaTheme="majorEastAsia"/>
          <w:sz w:val="24"/>
          <w:szCs w:val="24"/>
          <w:lang w:val="en-US"/>
        </w:rPr>
        <w:t xml:space="preserve">rrect one as a matter of law.  </w:t>
      </w:r>
      <w:r w:rsidRPr="003810E8">
        <w:rPr>
          <w:rFonts w:eastAsiaTheme="majorEastAsia"/>
          <w:sz w:val="24"/>
          <w:szCs w:val="24"/>
          <w:lang w:val="en-US"/>
        </w:rPr>
        <w:t xml:space="preserve">Pursuant to Clause 1 of the Tenancy Agreement, the Tenant was required to pay the rentals into </w:t>
      </w:r>
      <w:r w:rsidR="000F1CF0">
        <w:rPr>
          <w:rFonts w:eastAsiaTheme="majorEastAsia"/>
          <w:sz w:val="24"/>
          <w:szCs w:val="24"/>
          <w:lang w:val="en-US"/>
        </w:rPr>
        <w:t>Ms B</w:t>
      </w:r>
      <w:r w:rsidR="00000978">
        <w:rPr>
          <w:rFonts w:eastAsiaTheme="majorEastAsia"/>
          <w:sz w:val="24"/>
          <w:szCs w:val="24"/>
          <w:lang w:val="en-US"/>
        </w:rPr>
        <w:t xml:space="preserve">’s Account.  </w:t>
      </w:r>
      <w:r w:rsidRPr="003810E8">
        <w:rPr>
          <w:rFonts w:eastAsiaTheme="majorEastAsia"/>
          <w:sz w:val="24"/>
          <w:szCs w:val="24"/>
          <w:lang w:val="en-US"/>
        </w:rPr>
        <w:t xml:space="preserve">By signing on the Tenancy Agreement as one of the joint tenants of the Property, </w:t>
      </w:r>
      <w:r w:rsidR="004B18C9">
        <w:rPr>
          <w:rFonts w:eastAsiaTheme="majorEastAsia"/>
          <w:sz w:val="24"/>
          <w:szCs w:val="24"/>
          <w:lang w:val="en-US"/>
        </w:rPr>
        <w:t>Mr A</w:t>
      </w:r>
      <w:r w:rsidRPr="003810E8">
        <w:rPr>
          <w:rFonts w:eastAsiaTheme="majorEastAsia"/>
          <w:sz w:val="24"/>
          <w:szCs w:val="24"/>
          <w:lang w:val="en-US"/>
        </w:rPr>
        <w:t xml:space="preserve"> agree</w:t>
      </w:r>
      <w:r w:rsidR="008B20F3">
        <w:rPr>
          <w:rFonts w:eastAsiaTheme="majorEastAsia"/>
          <w:sz w:val="24"/>
          <w:szCs w:val="24"/>
          <w:lang w:val="en-US"/>
        </w:rPr>
        <w:t xml:space="preserve">d to the said payment method.  </w:t>
      </w:r>
      <w:r w:rsidRPr="003810E8">
        <w:rPr>
          <w:rFonts w:eastAsiaTheme="majorEastAsia"/>
          <w:sz w:val="24"/>
          <w:szCs w:val="24"/>
          <w:lang w:val="en-US"/>
        </w:rPr>
        <w:t xml:space="preserve">Accordingly, the rentals are clearly payments </w:t>
      </w:r>
      <w:r w:rsidR="00F73067">
        <w:rPr>
          <w:rFonts w:eastAsiaTheme="majorEastAsia"/>
          <w:sz w:val="24"/>
          <w:szCs w:val="24"/>
          <w:lang w:val="en-US"/>
        </w:rPr>
        <w:t>‘</w:t>
      </w:r>
      <w:r w:rsidRPr="003810E8">
        <w:rPr>
          <w:rFonts w:eastAsiaTheme="majorEastAsia"/>
          <w:sz w:val="24"/>
          <w:szCs w:val="24"/>
          <w:lang w:val="en-US"/>
        </w:rPr>
        <w:t>to the order of</w:t>
      </w:r>
      <w:r w:rsidR="00F73067">
        <w:rPr>
          <w:rFonts w:eastAsiaTheme="majorEastAsia"/>
          <w:sz w:val="24"/>
          <w:szCs w:val="24"/>
          <w:lang w:val="en-US"/>
        </w:rPr>
        <w:t>’</w:t>
      </w:r>
      <w:r w:rsidRPr="003810E8">
        <w:rPr>
          <w:rFonts w:eastAsiaTheme="majorEastAsia"/>
          <w:sz w:val="24"/>
          <w:szCs w:val="24"/>
          <w:lang w:val="en-US"/>
        </w:rPr>
        <w:t xml:space="preserve"> of </w:t>
      </w:r>
      <w:r w:rsidR="004B18C9">
        <w:rPr>
          <w:rFonts w:eastAsiaTheme="majorEastAsia"/>
          <w:sz w:val="24"/>
          <w:szCs w:val="24"/>
          <w:lang w:val="en-US"/>
        </w:rPr>
        <w:t>Mr A</w:t>
      </w:r>
      <w:r w:rsidRPr="003810E8">
        <w:rPr>
          <w:rFonts w:eastAsiaTheme="majorEastAsia"/>
          <w:sz w:val="24"/>
          <w:szCs w:val="24"/>
          <w:lang w:val="en-US"/>
        </w:rPr>
        <w:t xml:space="preserve"> within the meaning of IRO section 5B(2).</w:t>
      </w:r>
    </w:p>
    <w:p w:rsidR="00DB76EB" w:rsidRPr="003810E8" w:rsidRDefault="00DB76EB" w:rsidP="00AC0034">
      <w:pPr>
        <w:snapToGrid w:val="0"/>
        <w:contextualSpacing/>
        <w:mirrorIndents/>
        <w:rPr>
          <w:rFonts w:eastAsiaTheme="majorEastAsia"/>
          <w:sz w:val="24"/>
          <w:szCs w:val="24"/>
          <w:lang w:val="en-US"/>
        </w:rPr>
      </w:pPr>
      <w:r w:rsidRPr="003810E8">
        <w:rPr>
          <w:rFonts w:eastAsiaTheme="majorEastAsia"/>
          <w:sz w:val="24"/>
          <w:szCs w:val="24"/>
          <w:lang w:val="en-US"/>
        </w:rPr>
        <w:t> </w:t>
      </w:r>
    </w:p>
    <w:p w:rsidR="00DB76EB" w:rsidRPr="009778EF" w:rsidRDefault="00C70715" w:rsidP="00AC0034">
      <w:pPr>
        <w:snapToGrid w:val="0"/>
        <w:contextualSpacing/>
        <w:mirrorIndents/>
        <w:rPr>
          <w:rFonts w:eastAsiaTheme="majorEastAsia"/>
          <w:b/>
          <w:sz w:val="24"/>
          <w:szCs w:val="24"/>
          <w:lang w:val="en-US"/>
        </w:rPr>
      </w:pPr>
      <w:r w:rsidRPr="009778EF">
        <w:rPr>
          <w:rFonts w:eastAsiaTheme="majorEastAsia"/>
          <w:b/>
          <w:sz w:val="24"/>
          <w:szCs w:val="24"/>
          <w:lang w:val="en-US"/>
        </w:rPr>
        <w:t xml:space="preserve">F.  </w:t>
      </w:r>
      <w:r w:rsidR="00DB76EB" w:rsidRPr="009778EF">
        <w:rPr>
          <w:rFonts w:eastAsiaTheme="majorEastAsia"/>
          <w:b/>
          <w:sz w:val="24"/>
          <w:szCs w:val="24"/>
          <w:lang w:val="en-US"/>
        </w:rPr>
        <w:t>Conclusion</w:t>
      </w:r>
    </w:p>
    <w:p w:rsidR="00DB76EB" w:rsidRPr="003810E8" w:rsidRDefault="00DB76EB" w:rsidP="00AC0034">
      <w:pPr>
        <w:snapToGrid w:val="0"/>
        <w:contextualSpacing/>
        <w:mirrorIndents/>
        <w:rPr>
          <w:rFonts w:eastAsiaTheme="majorEastAsia"/>
          <w:sz w:val="24"/>
          <w:szCs w:val="24"/>
          <w:lang w:val="en-US"/>
        </w:rPr>
      </w:pPr>
    </w:p>
    <w:p w:rsidR="00DB76EB" w:rsidRPr="003810E8" w:rsidRDefault="00DB76EB" w:rsidP="008B752A">
      <w:pPr>
        <w:pStyle w:val="ac"/>
        <w:ind w:leftChars="0" w:left="0"/>
        <w:jc w:val="both"/>
        <w:rPr>
          <w:rFonts w:eastAsiaTheme="majorEastAsia"/>
          <w:sz w:val="24"/>
          <w:szCs w:val="24"/>
          <w:lang w:val="en-US"/>
        </w:rPr>
      </w:pPr>
      <w:r w:rsidRPr="003810E8">
        <w:rPr>
          <w:rFonts w:eastAsiaTheme="majorEastAsia"/>
          <w:sz w:val="24"/>
          <w:szCs w:val="24"/>
          <w:lang w:val="en-US"/>
        </w:rPr>
        <w:t>31.</w:t>
      </w:r>
      <w:r w:rsidRPr="003810E8">
        <w:rPr>
          <w:rFonts w:eastAsiaTheme="majorEastAsia"/>
          <w:sz w:val="24"/>
          <w:szCs w:val="24"/>
          <w:lang w:val="en-US"/>
        </w:rPr>
        <w:tab/>
        <w:t xml:space="preserve">For the above reasons, </w:t>
      </w:r>
      <w:r w:rsidR="004B18C9">
        <w:rPr>
          <w:rFonts w:eastAsiaTheme="majorEastAsia"/>
          <w:sz w:val="24"/>
          <w:szCs w:val="24"/>
          <w:lang w:val="en-US"/>
        </w:rPr>
        <w:t>Mr A</w:t>
      </w:r>
      <w:r w:rsidRPr="003810E8">
        <w:rPr>
          <w:rFonts w:eastAsiaTheme="majorEastAsia"/>
          <w:sz w:val="24"/>
          <w:szCs w:val="24"/>
          <w:lang w:val="en-US"/>
        </w:rPr>
        <w:t>’s appeal should be dismissed and the Assessment should be confirmed.</w:t>
      </w:r>
    </w:p>
    <w:sectPr w:rsidR="00DB76EB" w:rsidRPr="003810E8" w:rsidSect="00A74B10">
      <w:headerReference w:type="default" r:id="rId8"/>
      <w:footerReference w:type="default" r:id="rId9"/>
      <w:pgSz w:w="11906" w:h="16838" w:code="9"/>
      <w:pgMar w:top="1985" w:right="1588" w:bottom="1701" w:left="1588" w:header="1361" w:footer="94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049" w:rsidRDefault="00B51049" w:rsidP="00CA6261">
      <w:r>
        <w:separator/>
      </w:r>
    </w:p>
  </w:endnote>
  <w:endnote w:type="continuationSeparator" w:id="0">
    <w:p w:rsidR="00B51049" w:rsidRDefault="00B51049" w:rsidP="00CA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charset w:val="00"/>
    <w:family w:val="roman"/>
    <w:pitch w:val="variable"/>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華康楷書體W5">
    <w:altName w:val="華康細明體(P)"/>
    <w:charset w:val="88"/>
    <w:family w:val="script"/>
    <w:pitch w:val="fixed"/>
    <w:sig w:usb0="00000000" w:usb1="38CFFDFA" w:usb2="00000016" w:usb3="00000000" w:csb0="0016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61" w:rsidRPr="00CA6261" w:rsidRDefault="00CA6261" w:rsidP="00CA6261">
    <w:pPr>
      <w:pStyle w:val="a5"/>
      <w:jc w:val="center"/>
    </w:pPr>
    <w:r w:rsidRPr="00CA6261">
      <w:fldChar w:fldCharType="begin"/>
    </w:r>
    <w:r w:rsidRPr="00CA6261">
      <w:instrText>PAGE   \* MERGEFORMAT</w:instrText>
    </w:r>
    <w:r w:rsidRPr="00CA6261">
      <w:fldChar w:fldCharType="separate"/>
    </w:r>
    <w:r w:rsidR="005D2CB5" w:rsidRPr="005D2CB5">
      <w:rPr>
        <w:noProof/>
        <w:lang w:val="zh-TW"/>
      </w:rPr>
      <w:t>6</w:t>
    </w:r>
    <w:r w:rsidRPr="00CA6261">
      <w:fldChar w:fldCharType="end"/>
    </w:r>
  </w:p>
  <w:p w:rsidR="00CA6261" w:rsidRDefault="00CA6261" w:rsidP="00CA6261">
    <w:pPr>
      <w:pStyle w:val="a5"/>
      <w:tabs>
        <w:tab w:val="center" w:pos="4395"/>
        <w:tab w:val="right" w:pos="8647"/>
      </w:tabs>
      <w:rPr>
        <w:sz w:val="6"/>
        <w:szCs w:val="6"/>
      </w:rPr>
    </w:pPr>
  </w:p>
  <w:p w:rsidR="00CA6261" w:rsidRDefault="00CA6261" w:rsidP="00CA6261">
    <w:pPr>
      <w:pStyle w:val="a5"/>
      <w:tabs>
        <w:tab w:val="center" w:pos="4395"/>
        <w:tab w:val="right" w:pos="8647"/>
      </w:tabs>
      <w:rPr>
        <w:sz w:val="6"/>
        <w:szCs w:val="6"/>
      </w:rPr>
    </w:pPr>
  </w:p>
  <w:p w:rsidR="00CA6261" w:rsidRPr="00CA6261" w:rsidRDefault="00CA6261" w:rsidP="00CA6261">
    <w:pPr>
      <w:pStyle w:val="a5"/>
      <w:tabs>
        <w:tab w:val="center" w:pos="4395"/>
        <w:tab w:val="right" w:pos="8647"/>
      </w:tabs>
      <w:rPr>
        <w:sz w:val="6"/>
        <w:szCs w:val="6"/>
      </w:rPr>
    </w:pPr>
  </w:p>
  <w:p w:rsidR="00CA6261" w:rsidRPr="00CA6261" w:rsidRDefault="00CA6261" w:rsidP="00CA6261">
    <w:pPr>
      <w:pStyle w:val="a5"/>
      <w:tabs>
        <w:tab w:val="clear" w:pos="4153"/>
        <w:tab w:val="clear" w:pos="8306"/>
        <w:tab w:val="center" w:pos="4395"/>
        <w:tab w:val="right" w:pos="8647"/>
      </w:tabs>
    </w:pPr>
    <w:r w:rsidRPr="00CA6261">
      <w:rPr>
        <w:rFonts w:eastAsia="DengXian"/>
      </w:rPr>
      <w:tab/>
      <w:t>Verified Copy</w:t>
    </w:r>
    <w:r w:rsidRPr="00CA6261">
      <w:rPr>
        <w:rFonts w:eastAsia="DengXian"/>
      </w:rPr>
      <w:tab/>
      <w:t>Last reviewed d</w:t>
    </w:r>
    <w:r w:rsidRPr="002A6615">
      <w:rPr>
        <w:rFonts w:eastAsia="DengXian"/>
      </w:rPr>
      <w:t xml:space="preserve">ate: </w:t>
    </w:r>
    <w:r w:rsidR="00144E8A">
      <w:rPr>
        <w:rFonts w:eastAsia="DengXian"/>
      </w:rPr>
      <w:t>June</w:t>
    </w:r>
    <w:r w:rsidRPr="002A6615">
      <w:rPr>
        <w:rFonts w:eastAsia="DengXian"/>
      </w:rPr>
      <w:t xml:space="preserve"> 20</w:t>
    </w:r>
    <w:r w:rsidR="002A6615" w:rsidRPr="002A6615">
      <w:rPr>
        <w:rFonts w:eastAsia="DengXian"/>
      </w:rPr>
      <w:t>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049" w:rsidRDefault="00B51049" w:rsidP="00CA6261">
      <w:r>
        <w:separator/>
      </w:r>
    </w:p>
  </w:footnote>
  <w:footnote w:type="continuationSeparator" w:id="0">
    <w:p w:rsidR="00B51049" w:rsidRDefault="00B51049" w:rsidP="00CA6261">
      <w:r>
        <w:continuationSeparator/>
      </w:r>
    </w:p>
  </w:footnote>
  <w:footnote w:id="1">
    <w:p w:rsidR="002510FE" w:rsidRPr="002510FE" w:rsidRDefault="002510FE">
      <w:pPr>
        <w:pStyle w:val="a8"/>
        <w:rPr>
          <w:lang w:val="en-HK"/>
        </w:rPr>
      </w:pPr>
      <w:r>
        <w:rPr>
          <w:rStyle w:val="aa"/>
        </w:rPr>
        <w:footnoteRef/>
      </w:r>
      <w:r>
        <w:t xml:space="preserve"> </w:t>
      </w:r>
      <w:r w:rsidRPr="00E673EC">
        <w:rPr>
          <w:lang w:val="en-US"/>
        </w:rPr>
        <w:t xml:space="preserve">Monthly rental income $42,000 x 9 months and 13 days (from 1 April 2021 to </w:t>
      </w:r>
      <w:r>
        <w:rPr>
          <w:lang w:val="en-US"/>
        </w:rPr>
        <w:t>13</w:t>
      </w:r>
      <w:r w:rsidRPr="00E673EC">
        <w:rPr>
          <w:lang w:val="en-US"/>
        </w:rPr>
        <w:t xml:space="preserve"> January 2022)</w:t>
      </w:r>
    </w:p>
  </w:footnote>
  <w:footnote w:id="2">
    <w:p w:rsidR="00242625" w:rsidRPr="00E673EC" w:rsidRDefault="00242625" w:rsidP="00242625">
      <w:pPr>
        <w:pStyle w:val="a8"/>
        <w:rPr>
          <w:lang w:val="en-US"/>
        </w:rPr>
      </w:pPr>
      <w:r w:rsidRPr="00E673EC">
        <w:rPr>
          <w:rStyle w:val="aa"/>
        </w:rPr>
        <w:footnoteRef/>
      </w:r>
      <w:r w:rsidRPr="00E673EC">
        <w:t xml:space="preserve"> </w:t>
      </w:r>
      <w:r w:rsidRPr="00E673EC">
        <w:rPr>
          <w:lang w:val="en-US"/>
        </w:rPr>
        <w:t xml:space="preserve">The Assessment was issued against both Mr </w:t>
      </w:r>
      <w:r>
        <w:rPr>
          <w:lang w:val="en-US"/>
        </w:rPr>
        <w:t>A</w:t>
      </w:r>
      <w:r w:rsidRPr="00E673EC">
        <w:rPr>
          <w:lang w:val="en-US"/>
        </w:rPr>
        <w:t xml:space="preserve"> and Ms </w:t>
      </w:r>
      <w:r>
        <w:rPr>
          <w:lang w:val="en-US"/>
        </w:rPr>
        <w:t>B</w:t>
      </w:r>
      <w:r w:rsidRPr="00E673EC">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61" w:rsidRPr="003E77F3" w:rsidRDefault="00CA6261" w:rsidP="00CA6261">
    <w:pPr>
      <w:tabs>
        <w:tab w:val="center" w:pos="4153"/>
        <w:tab w:val="right" w:pos="8306"/>
      </w:tabs>
      <w:jc w:val="center"/>
      <w:rPr>
        <w:sz w:val="24"/>
      </w:rPr>
    </w:pPr>
    <w:r w:rsidRPr="003E77F3">
      <w:rPr>
        <w:sz w:val="24"/>
      </w:rPr>
      <w:t>(20</w:t>
    </w:r>
    <w:r w:rsidR="002A6615" w:rsidRPr="003E77F3">
      <w:rPr>
        <w:sz w:val="24"/>
      </w:rPr>
      <w:t>24-25</w:t>
    </w:r>
    <w:r w:rsidRPr="003E77F3">
      <w:rPr>
        <w:sz w:val="24"/>
      </w:rPr>
      <w:t xml:space="preserve">) VOLUME </w:t>
    </w:r>
    <w:r w:rsidR="002A6615" w:rsidRPr="003E77F3">
      <w:rPr>
        <w:sz w:val="24"/>
        <w:lang w:eastAsia="zh-HK"/>
      </w:rPr>
      <w:t>39</w:t>
    </w:r>
    <w:r w:rsidRPr="003E77F3">
      <w:rPr>
        <w:sz w:val="24"/>
      </w:rPr>
      <w:t xml:space="preserve"> INLAND REVENUE BOARD OF REVIEW DECISIONS</w:t>
    </w:r>
  </w:p>
  <w:p w:rsidR="00CA6261" w:rsidRPr="00A74B10" w:rsidRDefault="00CA6261">
    <w:pPr>
      <w:pStyle w:val="a3"/>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303C"/>
    <w:multiLevelType w:val="hybridMultilevel"/>
    <w:tmpl w:val="32B0DB48"/>
    <w:lvl w:ilvl="0" w:tplc="7D14DE98">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201015B"/>
    <w:multiLevelType w:val="hybridMultilevel"/>
    <w:tmpl w:val="738672D8"/>
    <w:lvl w:ilvl="0" w:tplc="C812E68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1618F0"/>
    <w:multiLevelType w:val="hybridMultilevel"/>
    <w:tmpl w:val="F9920EB4"/>
    <w:lvl w:ilvl="0" w:tplc="8862AB02">
      <w:start w:val="1"/>
      <w:numFmt w:val="upperLetter"/>
      <w:lvlText w:val="(%1)"/>
      <w:lvlJc w:val="left"/>
      <w:pPr>
        <w:ind w:left="1407" w:hanging="360"/>
      </w:pPr>
      <w:rPr>
        <w:rFonts w:hint="default"/>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3" w15:restartNumberingAfterBreak="0">
    <w:nsid w:val="046423C1"/>
    <w:multiLevelType w:val="hybridMultilevel"/>
    <w:tmpl w:val="9208C56A"/>
    <w:lvl w:ilvl="0" w:tplc="B9BAAEC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4E622BA"/>
    <w:multiLevelType w:val="hybridMultilevel"/>
    <w:tmpl w:val="A402520A"/>
    <w:lvl w:ilvl="0" w:tplc="888600C4">
      <w:start w:val="1"/>
      <w:numFmt w:val="lowerRoman"/>
      <w:lvlText w:val="(%1)"/>
      <w:lvlJc w:val="left"/>
      <w:pPr>
        <w:ind w:left="3696" w:hanging="720"/>
      </w:pPr>
      <w:rPr>
        <w:rFonts w:hint="default"/>
      </w:rPr>
    </w:lvl>
    <w:lvl w:ilvl="1" w:tplc="04090019" w:tentative="1">
      <w:start w:val="1"/>
      <w:numFmt w:val="ideographTraditional"/>
      <w:lvlText w:val="%2、"/>
      <w:lvlJc w:val="left"/>
      <w:pPr>
        <w:ind w:left="3936" w:hanging="480"/>
      </w:pPr>
    </w:lvl>
    <w:lvl w:ilvl="2" w:tplc="0409001B" w:tentative="1">
      <w:start w:val="1"/>
      <w:numFmt w:val="lowerRoman"/>
      <w:lvlText w:val="%3."/>
      <w:lvlJc w:val="right"/>
      <w:pPr>
        <w:ind w:left="4416" w:hanging="480"/>
      </w:pPr>
    </w:lvl>
    <w:lvl w:ilvl="3" w:tplc="0409000F" w:tentative="1">
      <w:start w:val="1"/>
      <w:numFmt w:val="decimal"/>
      <w:lvlText w:val="%4."/>
      <w:lvlJc w:val="left"/>
      <w:pPr>
        <w:ind w:left="4896" w:hanging="480"/>
      </w:pPr>
    </w:lvl>
    <w:lvl w:ilvl="4" w:tplc="04090019" w:tentative="1">
      <w:start w:val="1"/>
      <w:numFmt w:val="ideographTraditional"/>
      <w:lvlText w:val="%5、"/>
      <w:lvlJc w:val="left"/>
      <w:pPr>
        <w:ind w:left="5376" w:hanging="480"/>
      </w:pPr>
    </w:lvl>
    <w:lvl w:ilvl="5" w:tplc="0409001B" w:tentative="1">
      <w:start w:val="1"/>
      <w:numFmt w:val="lowerRoman"/>
      <w:lvlText w:val="%6."/>
      <w:lvlJc w:val="right"/>
      <w:pPr>
        <w:ind w:left="5856" w:hanging="480"/>
      </w:pPr>
    </w:lvl>
    <w:lvl w:ilvl="6" w:tplc="0409000F" w:tentative="1">
      <w:start w:val="1"/>
      <w:numFmt w:val="decimal"/>
      <w:lvlText w:val="%7."/>
      <w:lvlJc w:val="left"/>
      <w:pPr>
        <w:ind w:left="6336" w:hanging="480"/>
      </w:pPr>
    </w:lvl>
    <w:lvl w:ilvl="7" w:tplc="04090019" w:tentative="1">
      <w:start w:val="1"/>
      <w:numFmt w:val="ideographTraditional"/>
      <w:lvlText w:val="%8、"/>
      <w:lvlJc w:val="left"/>
      <w:pPr>
        <w:ind w:left="6816" w:hanging="480"/>
      </w:pPr>
    </w:lvl>
    <w:lvl w:ilvl="8" w:tplc="0409001B" w:tentative="1">
      <w:start w:val="1"/>
      <w:numFmt w:val="lowerRoman"/>
      <w:lvlText w:val="%9."/>
      <w:lvlJc w:val="right"/>
      <w:pPr>
        <w:ind w:left="7296" w:hanging="480"/>
      </w:pPr>
    </w:lvl>
  </w:abstractNum>
  <w:abstractNum w:abstractNumId="5" w15:restartNumberingAfterBreak="0">
    <w:nsid w:val="05A10FF3"/>
    <w:multiLevelType w:val="multilevel"/>
    <w:tmpl w:val="362CBE2A"/>
    <w:lvl w:ilvl="0">
      <w:start w:val="2"/>
      <w:numFmt w:val="decimal"/>
      <w:lvlText w:val="%1"/>
      <w:lvlJc w:val="left"/>
      <w:pPr>
        <w:ind w:left="660" w:hanging="660"/>
      </w:pPr>
      <w:rPr>
        <w:rFonts w:hint="default"/>
      </w:rPr>
    </w:lvl>
    <w:lvl w:ilvl="1">
      <w:start w:val="7"/>
      <w:numFmt w:val="decimal"/>
      <w:lvlText w:val="%1.%2"/>
      <w:lvlJc w:val="left"/>
      <w:pPr>
        <w:ind w:left="1013" w:hanging="660"/>
      </w:pPr>
      <w:rPr>
        <w:rFonts w:hint="default"/>
      </w:rPr>
    </w:lvl>
    <w:lvl w:ilvl="2">
      <w:start w:val="1"/>
      <w:numFmt w:val="decimal"/>
      <w:lvlText w:val="%1.%2.%3"/>
      <w:lvlJc w:val="left"/>
      <w:pPr>
        <w:ind w:left="1426" w:hanging="720"/>
      </w:pPr>
      <w:rPr>
        <w:rFonts w:hint="default"/>
      </w:rPr>
    </w:lvl>
    <w:lvl w:ilvl="3">
      <w:start w:val="2"/>
      <w:numFmt w:val="decimal"/>
      <w:lvlText w:val="%1.%2.%3.%4"/>
      <w:lvlJc w:val="left"/>
      <w:pPr>
        <w:ind w:left="1779" w:hanging="720"/>
      </w:pPr>
      <w:rPr>
        <w:rFonts w:hint="default"/>
      </w:rPr>
    </w:lvl>
    <w:lvl w:ilvl="4">
      <w:start w:val="1"/>
      <w:numFmt w:val="decimal"/>
      <w:lvlText w:val="%1.%2.%3.%4.%5"/>
      <w:lvlJc w:val="left"/>
      <w:pPr>
        <w:ind w:left="2492" w:hanging="1080"/>
      </w:pPr>
      <w:rPr>
        <w:rFonts w:hint="default"/>
      </w:rPr>
    </w:lvl>
    <w:lvl w:ilvl="5">
      <w:start w:val="1"/>
      <w:numFmt w:val="decimal"/>
      <w:lvlText w:val="%1.%2.%3.%4.%5.%6"/>
      <w:lvlJc w:val="left"/>
      <w:pPr>
        <w:ind w:left="2845" w:hanging="1080"/>
      </w:pPr>
      <w:rPr>
        <w:rFonts w:hint="default"/>
      </w:rPr>
    </w:lvl>
    <w:lvl w:ilvl="6">
      <w:start w:val="1"/>
      <w:numFmt w:val="decimal"/>
      <w:lvlText w:val="%1.%2.%3.%4.%5.%6.%7"/>
      <w:lvlJc w:val="left"/>
      <w:pPr>
        <w:ind w:left="3558" w:hanging="1440"/>
      </w:pPr>
      <w:rPr>
        <w:rFonts w:hint="default"/>
      </w:rPr>
    </w:lvl>
    <w:lvl w:ilvl="7">
      <w:start w:val="1"/>
      <w:numFmt w:val="decimal"/>
      <w:lvlText w:val="%1.%2.%3.%4.%5.%6.%7.%8"/>
      <w:lvlJc w:val="left"/>
      <w:pPr>
        <w:ind w:left="3911" w:hanging="1440"/>
      </w:pPr>
      <w:rPr>
        <w:rFonts w:hint="default"/>
      </w:rPr>
    </w:lvl>
    <w:lvl w:ilvl="8">
      <w:start w:val="1"/>
      <w:numFmt w:val="decimal"/>
      <w:lvlText w:val="%1.%2.%3.%4.%5.%6.%7.%8.%9"/>
      <w:lvlJc w:val="left"/>
      <w:pPr>
        <w:ind w:left="4624" w:hanging="1800"/>
      </w:pPr>
      <w:rPr>
        <w:rFonts w:hint="default"/>
      </w:rPr>
    </w:lvl>
  </w:abstractNum>
  <w:abstractNum w:abstractNumId="6" w15:restartNumberingAfterBreak="0">
    <w:nsid w:val="0A99405E"/>
    <w:multiLevelType w:val="hybridMultilevel"/>
    <w:tmpl w:val="4976B874"/>
    <w:lvl w:ilvl="0" w:tplc="E85A62A2">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0DD12DEA"/>
    <w:multiLevelType w:val="hybridMultilevel"/>
    <w:tmpl w:val="5C2C9134"/>
    <w:lvl w:ilvl="0" w:tplc="A81EF422">
      <w:start w:val="1"/>
      <w:numFmt w:val="lowerLetter"/>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0EC6634D"/>
    <w:multiLevelType w:val="hybridMultilevel"/>
    <w:tmpl w:val="2AEADA08"/>
    <w:lvl w:ilvl="0" w:tplc="E90286F0">
      <w:start w:val="1"/>
      <w:numFmt w:val="lowerLetter"/>
      <w:lvlText w:val="(%1)"/>
      <w:lvlJc w:val="left"/>
      <w:pPr>
        <w:ind w:left="2059" w:hanging="360"/>
      </w:pPr>
      <w:rPr>
        <w:rFonts w:hint="default"/>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9" w15:restartNumberingAfterBreak="0">
    <w:nsid w:val="0FAC6E32"/>
    <w:multiLevelType w:val="hybridMultilevel"/>
    <w:tmpl w:val="4344D23A"/>
    <w:lvl w:ilvl="0" w:tplc="9DF41F72">
      <w:start w:val="1"/>
      <w:numFmt w:val="decimal"/>
      <w:lvlText w:val="%1."/>
      <w:lvlJc w:val="left"/>
      <w:pPr>
        <w:ind w:left="360" w:hanging="360"/>
      </w:pPr>
      <w:rPr>
        <w:rFonts w:ascii="Times New Roman" w:hAnsi="Times New Roman" w:cs="Times New Roman" w:hint="default"/>
        <w:b w:val="0"/>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3B778D7"/>
    <w:multiLevelType w:val="hybridMultilevel"/>
    <w:tmpl w:val="2E48D1AA"/>
    <w:lvl w:ilvl="0" w:tplc="EE640F1C">
      <w:start w:val="1"/>
      <w:numFmt w:val="decimal"/>
      <w:pStyle w:val="T-Draft"/>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666FC"/>
    <w:multiLevelType w:val="multilevel"/>
    <w:tmpl w:val="341A4C92"/>
    <w:lvl w:ilvl="0">
      <w:start w:val="2"/>
      <w:numFmt w:val="decimal"/>
      <w:lvlText w:val="%1"/>
      <w:lvlJc w:val="left"/>
      <w:pPr>
        <w:ind w:left="660" w:hanging="660"/>
      </w:pPr>
      <w:rPr>
        <w:rFonts w:hint="default"/>
      </w:rPr>
    </w:lvl>
    <w:lvl w:ilvl="1">
      <w:start w:val="7"/>
      <w:numFmt w:val="decimal"/>
      <w:lvlText w:val="%1.%2"/>
      <w:lvlJc w:val="left"/>
      <w:pPr>
        <w:ind w:left="1013" w:hanging="660"/>
      </w:pPr>
      <w:rPr>
        <w:rFonts w:hint="default"/>
      </w:rPr>
    </w:lvl>
    <w:lvl w:ilvl="2">
      <w:start w:val="2"/>
      <w:numFmt w:val="decimal"/>
      <w:lvlText w:val="%1.%2.%3"/>
      <w:lvlJc w:val="left"/>
      <w:pPr>
        <w:ind w:left="1426" w:hanging="720"/>
      </w:pPr>
      <w:rPr>
        <w:rFonts w:hint="default"/>
      </w:rPr>
    </w:lvl>
    <w:lvl w:ilvl="3">
      <w:start w:val="2"/>
      <w:numFmt w:val="decimal"/>
      <w:lvlText w:val="%1.%2.%3.%4"/>
      <w:lvlJc w:val="left"/>
      <w:pPr>
        <w:ind w:left="1779" w:hanging="720"/>
      </w:pPr>
      <w:rPr>
        <w:rFonts w:hint="default"/>
      </w:rPr>
    </w:lvl>
    <w:lvl w:ilvl="4">
      <w:start w:val="1"/>
      <w:numFmt w:val="decimal"/>
      <w:lvlText w:val="%1.%2.%3.%4.%5"/>
      <w:lvlJc w:val="left"/>
      <w:pPr>
        <w:ind w:left="2492" w:hanging="1080"/>
      </w:pPr>
      <w:rPr>
        <w:rFonts w:hint="default"/>
      </w:rPr>
    </w:lvl>
    <w:lvl w:ilvl="5">
      <w:start w:val="1"/>
      <w:numFmt w:val="decimal"/>
      <w:lvlText w:val="%1.%2.%3.%4.%5.%6"/>
      <w:lvlJc w:val="left"/>
      <w:pPr>
        <w:ind w:left="2845" w:hanging="1080"/>
      </w:pPr>
      <w:rPr>
        <w:rFonts w:hint="default"/>
      </w:rPr>
    </w:lvl>
    <w:lvl w:ilvl="6">
      <w:start w:val="1"/>
      <w:numFmt w:val="decimal"/>
      <w:lvlText w:val="%1.%2.%3.%4.%5.%6.%7"/>
      <w:lvlJc w:val="left"/>
      <w:pPr>
        <w:ind w:left="3558" w:hanging="1440"/>
      </w:pPr>
      <w:rPr>
        <w:rFonts w:hint="default"/>
      </w:rPr>
    </w:lvl>
    <w:lvl w:ilvl="7">
      <w:start w:val="1"/>
      <w:numFmt w:val="decimal"/>
      <w:lvlText w:val="%1.%2.%3.%4.%5.%6.%7.%8"/>
      <w:lvlJc w:val="left"/>
      <w:pPr>
        <w:ind w:left="3911" w:hanging="1440"/>
      </w:pPr>
      <w:rPr>
        <w:rFonts w:hint="default"/>
      </w:rPr>
    </w:lvl>
    <w:lvl w:ilvl="8">
      <w:start w:val="1"/>
      <w:numFmt w:val="decimal"/>
      <w:lvlText w:val="%1.%2.%3.%4.%5.%6.%7.%8.%9"/>
      <w:lvlJc w:val="left"/>
      <w:pPr>
        <w:ind w:left="4624" w:hanging="1800"/>
      </w:pPr>
      <w:rPr>
        <w:rFonts w:hint="default"/>
      </w:rPr>
    </w:lvl>
  </w:abstractNum>
  <w:abstractNum w:abstractNumId="12" w15:restartNumberingAfterBreak="0">
    <w:nsid w:val="29BF3441"/>
    <w:multiLevelType w:val="hybridMultilevel"/>
    <w:tmpl w:val="3C8EA554"/>
    <w:lvl w:ilvl="0" w:tplc="4BA6708C">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2F5F7F74"/>
    <w:multiLevelType w:val="hybridMultilevel"/>
    <w:tmpl w:val="DA94ED84"/>
    <w:lvl w:ilvl="0" w:tplc="97A63FDA">
      <w:start w:val="1"/>
      <w:numFmt w:val="lowerLetter"/>
      <w:lvlText w:val="(%1)"/>
      <w:lvlJc w:val="left"/>
      <w:pPr>
        <w:ind w:left="2367" w:hanging="360"/>
      </w:pPr>
      <w:rPr>
        <w:rFonts w:hint="default"/>
      </w:rPr>
    </w:lvl>
    <w:lvl w:ilvl="1" w:tplc="04090019">
      <w:start w:val="1"/>
      <w:numFmt w:val="ideographTraditional"/>
      <w:lvlText w:val="%2、"/>
      <w:lvlJc w:val="left"/>
      <w:pPr>
        <w:ind w:left="2967" w:hanging="480"/>
      </w:pPr>
    </w:lvl>
    <w:lvl w:ilvl="2" w:tplc="0409001B">
      <w:start w:val="1"/>
      <w:numFmt w:val="lowerRoman"/>
      <w:lvlText w:val="%3."/>
      <w:lvlJc w:val="right"/>
      <w:pPr>
        <w:ind w:left="3447" w:hanging="480"/>
      </w:pPr>
    </w:lvl>
    <w:lvl w:ilvl="3" w:tplc="0409000F" w:tentative="1">
      <w:start w:val="1"/>
      <w:numFmt w:val="decimal"/>
      <w:lvlText w:val="%4."/>
      <w:lvlJc w:val="left"/>
      <w:pPr>
        <w:ind w:left="3927" w:hanging="480"/>
      </w:pPr>
    </w:lvl>
    <w:lvl w:ilvl="4" w:tplc="04090019" w:tentative="1">
      <w:start w:val="1"/>
      <w:numFmt w:val="ideographTraditional"/>
      <w:lvlText w:val="%5、"/>
      <w:lvlJc w:val="left"/>
      <w:pPr>
        <w:ind w:left="4407" w:hanging="480"/>
      </w:pPr>
    </w:lvl>
    <w:lvl w:ilvl="5" w:tplc="0409001B" w:tentative="1">
      <w:start w:val="1"/>
      <w:numFmt w:val="lowerRoman"/>
      <w:lvlText w:val="%6."/>
      <w:lvlJc w:val="right"/>
      <w:pPr>
        <w:ind w:left="4887" w:hanging="480"/>
      </w:pPr>
    </w:lvl>
    <w:lvl w:ilvl="6" w:tplc="0409000F" w:tentative="1">
      <w:start w:val="1"/>
      <w:numFmt w:val="decimal"/>
      <w:lvlText w:val="%7."/>
      <w:lvlJc w:val="left"/>
      <w:pPr>
        <w:ind w:left="5367" w:hanging="480"/>
      </w:pPr>
    </w:lvl>
    <w:lvl w:ilvl="7" w:tplc="04090019" w:tentative="1">
      <w:start w:val="1"/>
      <w:numFmt w:val="ideographTraditional"/>
      <w:lvlText w:val="%8、"/>
      <w:lvlJc w:val="left"/>
      <w:pPr>
        <w:ind w:left="5847" w:hanging="480"/>
      </w:pPr>
    </w:lvl>
    <w:lvl w:ilvl="8" w:tplc="0409001B" w:tentative="1">
      <w:start w:val="1"/>
      <w:numFmt w:val="lowerRoman"/>
      <w:lvlText w:val="%9."/>
      <w:lvlJc w:val="right"/>
      <w:pPr>
        <w:ind w:left="6327" w:hanging="480"/>
      </w:pPr>
    </w:lvl>
  </w:abstractNum>
  <w:abstractNum w:abstractNumId="14" w15:restartNumberingAfterBreak="0">
    <w:nsid w:val="318168E9"/>
    <w:multiLevelType w:val="hybridMultilevel"/>
    <w:tmpl w:val="4976B874"/>
    <w:lvl w:ilvl="0" w:tplc="E85A62A2">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33741E01"/>
    <w:multiLevelType w:val="hybridMultilevel"/>
    <w:tmpl w:val="0AC6CB40"/>
    <w:lvl w:ilvl="0" w:tplc="178234E2">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342C4016"/>
    <w:multiLevelType w:val="hybridMultilevel"/>
    <w:tmpl w:val="32B0DB48"/>
    <w:lvl w:ilvl="0" w:tplc="7D14DE98">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15:restartNumberingAfterBreak="0">
    <w:nsid w:val="35634D2B"/>
    <w:multiLevelType w:val="hybridMultilevel"/>
    <w:tmpl w:val="2ED0614E"/>
    <w:lvl w:ilvl="0" w:tplc="82BCFC98">
      <w:start w:val="1"/>
      <w:numFmt w:val="decimal"/>
      <w:lvlText w:val="(%1)"/>
      <w:lvlJc w:val="left"/>
      <w:pPr>
        <w:ind w:left="705" w:hanging="705"/>
      </w:pPr>
      <w:rPr>
        <w:rFonts w:hint="default"/>
      </w:rPr>
    </w:lvl>
    <w:lvl w:ilvl="1" w:tplc="04090019" w:tentative="1">
      <w:start w:val="1"/>
      <w:numFmt w:val="ideographTraditional"/>
      <w:lvlText w:val="%2、"/>
      <w:lvlJc w:val="left"/>
      <w:pPr>
        <w:ind w:left="960" w:hanging="480"/>
      </w:pPr>
    </w:lvl>
    <w:lvl w:ilvl="2" w:tplc="98022874">
      <w:start w:val="1"/>
      <w:numFmt w:val="lowerLetter"/>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BB6788"/>
    <w:multiLevelType w:val="multilevel"/>
    <w:tmpl w:val="7C64A4D4"/>
    <w:styleLink w:val="1a"/>
    <w:lvl w:ilvl="0">
      <w:start w:val="1"/>
      <w:numFmt w:val="decimal"/>
      <w:lvlText w:val="(%1)"/>
      <w:lvlJc w:val="right"/>
      <w:pPr>
        <w:tabs>
          <w:tab w:val="num" w:pos="1440"/>
        </w:tabs>
        <w:ind w:left="1440" w:hanging="432"/>
      </w:pPr>
      <w:rPr>
        <w:rFonts w:hint="eastAsia"/>
      </w:rPr>
    </w:lvl>
    <w:lvl w:ilvl="1">
      <w:start w:val="1"/>
      <w:numFmt w:val="lowerLetter"/>
      <w:lvlText w:val="(%2)"/>
      <w:lvlJc w:val="right"/>
      <w:pPr>
        <w:tabs>
          <w:tab w:val="num" w:pos="2160"/>
        </w:tabs>
        <w:ind w:left="2160" w:hanging="288"/>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9" w15:restartNumberingAfterBreak="0">
    <w:nsid w:val="38AA097B"/>
    <w:multiLevelType w:val="hybridMultilevel"/>
    <w:tmpl w:val="97064DEE"/>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0" w15:restartNumberingAfterBreak="0">
    <w:nsid w:val="38EE41AD"/>
    <w:multiLevelType w:val="hybridMultilevel"/>
    <w:tmpl w:val="8064E740"/>
    <w:lvl w:ilvl="0" w:tplc="CF66384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97C0467"/>
    <w:multiLevelType w:val="hybridMultilevel"/>
    <w:tmpl w:val="C31CBCE2"/>
    <w:lvl w:ilvl="0" w:tplc="BE4052E0">
      <w:start w:val="1"/>
      <w:numFmt w:val="decimal"/>
      <w:lvlText w:val="(%1)"/>
      <w:lvlJc w:val="left"/>
      <w:pPr>
        <w:ind w:left="2203" w:hanging="360"/>
      </w:pPr>
      <w:rPr>
        <w:rFonts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22" w15:restartNumberingAfterBreak="0">
    <w:nsid w:val="3ADE2705"/>
    <w:multiLevelType w:val="hybridMultilevel"/>
    <w:tmpl w:val="54440BB6"/>
    <w:lvl w:ilvl="0" w:tplc="8220A09E">
      <w:start w:val="3"/>
      <w:numFmt w:val="decimal"/>
      <w:lvlText w:val="(%1)"/>
      <w:lvlJc w:val="left"/>
      <w:pPr>
        <w:ind w:left="1287" w:hanging="360"/>
      </w:pPr>
      <w:rPr>
        <w:rFonts w:ascii="Times New Roman" w:hAnsi="Times New Roman" w:cs="Times New Roman" w:hint="default"/>
        <w:i w:val="0"/>
      </w:rPr>
    </w:lvl>
    <w:lvl w:ilvl="1" w:tplc="04090019" w:tentative="1">
      <w:start w:val="1"/>
      <w:numFmt w:val="ideographTraditional"/>
      <w:lvlText w:val="%2、"/>
      <w:lvlJc w:val="left"/>
      <w:pPr>
        <w:ind w:left="1887" w:hanging="480"/>
      </w:pPr>
    </w:lvl>
    <w:lvl w:ilvl="2" w:tplc="0409001B" w:tentative="1">
      <w:start w:val="1"/>
      <w:numFmt w:val="lowerRoman"/>
      <w:lvlText w:val="%3."/>
      <w:lvlJc w:val="right"/>
      <w:pPr>
        <w:ind w:left="2367" w:hanging="480"/>
      </w:pPr>
    </w:lvl>
    <w:lvl w:ilvl="3" w:tplc="0409000F" w:tentative="1">
      <w:start w:val="1"/>
      <w:numFmt w:val="decimal"/>
      <w:lvlText w:val="%4."/>
      <w:lvlJc w:val="left"/>
      <w:pPr>
        <w:ind w:left="2847" w:hanging="480"/>
      </w:pPr>
    </w:lvl>
    <w:lvl w:ilvl="4" w:tplc="04090019" w:tentative="1">
      <w:start w:val="1"/>
      <w:numFmt w:val="ideographTraditional"/>
      <w:lvlText w:val="%5、"/>
      <w:lvlJc w:val="left"/>
      <w:pPr>
        <w:ind w:left="3327" w:hanging="480"/>
      </w:pPr>
    </w:lvl>
    <w:lvl w:ilvl="5" w:tplc="0409001B" w:tentative="1">
      <w:start w:val="1"/>
      <w:numFmt w:val="lowerRoman"/>
      <w:lvlText w:val="%6."/>
      <w:lvlJc w:val="right"/>
      <w:pPr>
        <w:ind w:left="3807" w:hanging="480"/>
      </w:pPr>
    </w:lvl>
    <w:lvl w:ilvl="6" w:tplc="0409000F" w:tentative="1">
      <w:start w:val="1"/>
      <w:numFmt w:val="decimal"/>
      <w:lvlText w:val="%7."/>
      <w:lvlJc w:val="left"/>
      <w:pPr>
        <w:ind w:left="4287" w:hanging="480"/>
      </w:pPr>
    </w:lvl>
    <w:lvl w:ilvl="7" w:tplc="04090019" w:tentative="1">
      <w:start w:val="1"/>
      <w:numFmt w:val="ideographTraditional"/>
      <w:lvlText w:val="%8、"/>
      <w:lvlJc w:val="left"/>
      <w:pPr>
        <w:ind w:left="4767" w:hanging="480"/>
      </w:pPr>
    </w:lvl>
    <w:lvl w:ilvl="8" w:tplc="0409001B" w:tentative="1">
      <w:start w:val="1"/>
      <w:numFmt w:val="lowerRoman"/>
      <w:lvlText w:val="%9."/>
      <w:lvlJc w:val="right"/>
      <w:pPr>
        <w:ind w:left="5247" w:hanging="480"/>
      </w:pPr>
    </w:lvl>
  </w:abstractNum>
  <w:abstractNum w:abstractNumId="23" w15:restartNumberingAfterBreak="0">
    <w:nsid w:val="43B94A59"/>
    <w:multiLevelType w:val="hybridMultilevel"/>
    <w:tmpl w:val="D736CEAE"/>
    <w:lvl w:ilvl="0" w:tplc="B4DCCE60">
      <w:start w:val="1"/>
      <w:numFmt w:val="decimal"/>
      <w:lvlText w:val="(%1)"/>
      <w:lvlJc w:val="left"/>
      <w:pPr>
        <w:ind w:left="1320" w:hanging="360"/>
      </w:pPr>
      <w:rPr>
        <w:rFonts w:hint="default"/>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467B29CE"/>
    <w:multiLevelType w:val="hybridMultilevel"/>
    <w:tmpl w:val="89307546"/>
    <w:lvl w:ilvl="0" w:tplc="E8C21464">
      <w:start w:val="2"/>
      <w:numFmt w:val="decimal"/>
      <w:lvlText w:val="(%1)"/>
      <w:lvlJc w:val="left"/>
      <w:pPr>
        <w:ind w:left="2203" w:hanging="360"/>
      </w:pPr>
      <w:rPr>
        <w:rFonts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25" w15:restartNumberingAfterBreak="0">
    <w:nsid w:val="4B4D14E9"/>
    <w:multiLevelType w:val="multilevel"/>
    <w:tmpl w:val="73560382"/>
    <w:lvl w:ilvl="0">
      <w:start w:val="1"/>
      <w:numFmt w:val="decimal"/>
      <w:lvlText w:val="%1."/>
      <w:lvlJc w:val="left"/>
      <w:pPr>
        <w:ind w:left="705" w:hanging="705"/>
      </w:pPr>
      <w:rPr>
        <w:rFonts w:hint="default"/>
        <w:b/>
        <w:i w:val="0"/>
        <w:color w:val="auto"/>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val="0"/>
        <w:u w:val="none"/>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D323C79"/>
    <w:multiLevelType w:val="singleLevel"/>
    <w:tmpl w:val="B8D2C7CA"/>
    <w:lvl w:ilvl="0">
      <w:start w:val="1"/>
      <w:numFmt w:val="decimal"/>
      <w:lvlText w:val="(%1)"/>
      <w:lvlJc w:val="left"/>
      <w:pPr>
        <w:tabs>
          <w:tab w:val="num" w:pos="1440"/>
        </w:tabs>
        <w:ind w:left="1440" w:hanging="432"/>
      </w:pPr>
      <w:rPr>
        <w:rFonts w:hint="default"/>
      </w:rPr>
    </w:lvl>
  </w:abstractNum>
  <w:abstractNum w:abstractNumId="27" w15:restartNumberingAfterBreak="0">
    <w:nsid w:val="4D6E3FEE"/>
    <w:multiLevelType w:val="multilevel"/>
    <w:tmpl w:val="10A635A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5D362355"/>
    <w:multiLevelType w:val="hybridMultilevel"/>
    <w:tmpl w:val="9E860C1E"/>
    <w:lvl w:ilvl="0" w:tplc="87AEACDA">
      <w:start w:val="1"/>
      <w:numFmt w:val="lowerLetter"/>
      <w:lvlText w:val="(%1)"/>
      <w:lvlJc w:val="left"/>
      <w:pPr>
        <w:ind w:left="2057" w:hanging="360"/>
      </w:pPr>
      <w:rPr>
        <w:rFonts w:hint="default"/>
      </w:rPr>
    </w:lvl>
    <w:lvl w:ilvl="1" w:tplc="04090019" w:tentative="1">
      <w:start w:val="1"/>
      <w:numFmt w:val="ideographTraditional"/>
      <w:lvlText w:val="%2、"/>
      <w:lvlJc w:val="left"/>
      <w:pPr>
        <w:ind w:left="2657" w:hanging="480"/>
      </w:pPr>
    </w:lvl>
    <w:lvl w:ilvl="2" w:tplc="0409001B" w:tentative="1">
      <w:start w:val="1"/>
      <w:numFmt w:val="lowerRoman"/>
      <w:lvlText w:val="%3."/>
      <w:lvlJc w:val="right"/>
      <w:pPr>
        <w:ind w:left="3137" w:hanging="480"/>
      </w:pPr>
    </w:lvl>
    <w:lvl w:ilvl="3" w:tplc="0409000F" w:tentative="1">
      <w:start w:val="1"/>
      <w:numFmt w:val="decimal"/>
      <w:lvlText w:val="%4."/>
      <w:lvlJc w:val="left"/>
      <w:pPr>
        <w:ind w:left="3617" w:hanging="480"/>
      </w:pPr>
    </w:lvl>
    <w:lvl w:ilvl="4" w:tplc="04090019" w:tentative="1">
      <w:start w:val="1"/>
      <w:numFmt w:val="ideographTraditional"/>
      <w:lvlText w:val="%5、"/>
      <w:lvlJc w:val="left"/>
      <w:pPr>
        <w:ind w:left="4097" w:hanging="480"/>
      </w:pPr>
    </w:lvl>
    <w:lvl w:ilvl="5" w:tplc="0409001B" w:tentative="1">
      <w:start w:val="1"/>
      <w:numFmt w:val="lowerRoman"/>
      <w:lvlText w:val="%6."/>
      <w:lvlJc w:val="right"/>
      <w:pPr>
        <w:ind w:left="4577" w:hanging="480"/>
      </w:pPr>
    </w:lvl>
    <w:lvl w:ilvl="6" w:tplc="0409000F" w:tentative="1">
      <w:start w:val="1"/>
      <w:numFmt w:val="decimal"/>
      <w:lvlText w:val="%7."/>
      <w:lvlJc w:val="left"/>
      <w:pPr>
        <w:ind w:left="5057" w:hanging="480"/>
      </w:pPr>
    </w:lvl>
    <w:lvl w:ilvl="7" w:tplc="04090019" w:tentative="1">
      <w:start w:val="1"/>
      <w:numFmt w:val="ideographTraditional"/>
      <w:lvlText w:val="%8、"/>
      <w:lvlJc w:val="left"/>
      <w:pPr>
        <w:ind w:left="5537" w:hanging="480"/>
      </w:pPr>
    </w:lvl>
    <w:lvl w:ilvl="8" w:tplc="0409001B" w:tentative="1">
      <w:start w:val="1"/>
      <w:numFmt w:val="lowerRoman"/>
      <w:lvlText w:val="%9."/>
      <w:lvlJc w:val="right"/>
      <w:pPr>
        <w:ind w:left="6017" w:hanging="480"/>
      </w:pPr>
    </w:lvl>
  </w:abstractNum>
  <w:abstractNum w:abstractNumId="29" w15:restartNumberingAfterBreak="0">
    <w:nsid w:val="5D641005"/>
    <w:multiLevelType w:val="multilevel"/>
    <w:tmpl w:val="1E38B724"/>
    <w:lvl w:ilvl="0">
      <w:start w:val="1"/>
      <w:numFmt w:val="decimal"/>
      <w:lvlText w:val="(%1)"/>
      <w:lvlJc w:val="right"/>
      <w:pPr>
        <w:tabs>
          <w:tab w:val="num" w:pos="1440"/>
        </w:tabs>
        <w:ind w:left="1440" w:hanging="360"/>
      </w:pPr>
      <w:rPr>
        <w:rFonts w:hint="eastAsia"/>
      </w:rPr>
    </w:lvl>
    <w:lvl w:ilvl="1">
      <w:start w:val="1"/>
      <w:numFmt w:val="lowerLetter"/>
      <w:lvlText w:val="(%2)"/>
      <w:lvlJc w:val="right"/>
      <w:pPr>
        <w:tabs>
          <w:tab w:val="num" w:pos="2160"/>
        </w:tabs>
        <w:ind w:left="2160" w:hanging="144"/>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0" w15:restartNumberingAfterBreak="0">
    <w:nsid w:val="5E5120B8"/>
    <w:multiLevelType w:val="hybridMultilevel"/>
    <w:tmpl w:val="FC3890E8"/>
    <w:lvl w:ilvl="0" w:tplc="D47E63B2">
      <w:start w:val="1"/>
      <w:numFmt w:val="lowerLetter"/>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1" w15:restartNumberingAfterBreak="0">
    <w:nsid w:val="5F7311B4"/>
    <w:multiLevelType w:val="hybridMultilevel"/>
    <w:tmpl w:val="A2541DBA"/>
    <w:lvl w:ilvl="0" w:tplc="2E4ED6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F8D661B"/>
    <w:multiLevelType w:val="hybridMultilevel"/>
    <w:tmpl w:val="C3E6CF98"/>
    <w:lvl w:ilvl="0" w:tplc="7D20B576">
      <w:start w:val="1"/>
      <w:numFmt w:val="decimal"/>
      <w:lvlText w:val="(%1)"/>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7D20B576">
      <w:start w:val="1"/>
      <w:numFmt w:val="decimal"/>
      <w:lvlText w:val="(%4)"/>
      <w:lvlJc w:val="left"/>
      <w:pPr>
        <w:ind w:left="3600" w:hanging="360"/>
      </w:pPr>
      <w:rPr>
        <w:rFonts w:hint="eastAsia"/>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1042201"/>
    <w:multiLevelType w:val="hybridMultilevel"/>
    <w:tmpl w:val="C28885CC"/>
    <w:lvl w:ilvl="0" w:tplc="A8D8FDFE">
      <w:start w:val="1"/>
      <w:numFmt w:val="lowerLetter"/>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4" w15:restartNumberingAfterBreak="0">
    <w:nsid w:val="63F32775"/>
    <w:multiLevelType w:val="hybridMultilevel"/>
    <w:tmpl w:val="BC2EA000"/>
    <w:lvl w:ilvl="0" w:tplc="CB724CEE">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5" w15:restartNumberingAfterBreak="0">
    <w:nsid w:val="66E52CA0"/>
    <w:multiLevelType w:val="hybridMultilevel"/>
    <w:tmpl w:val="E6141FC0"/>
    <w:lvl w:ilvl="0" w:tplc="BFD61C60">
      <w:start w:val="1"/>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start w:val="1"/>
      <w:numFmt w:val="lowerRoman"/>
      <w:lvlText w:val="%3."/>
      <w:lvlJc w:val="right"/>
      <w:pPr>
        <w:ind w:left="2149" w:hanging="480"/>
      </w:pPr>
    </w:lvl>
    <w:lvl w:ilvl="3" w:tplc="0409000F">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6" w15:restartNumberingAfterBreak="0">
    <w:nsid w:val="672B22AC"/>
    <w:multiLevelType w:val="hybridMultilevel"/>
    <w:tmpl w:val="C82A8486"/>
    <w:lvl w:ilvl="0" w:tplc="5644FA02">
      <w:start w:val="1"/>
      <w:numFmt w:val="upperLetter"/>
      <w:lvlText w:val="(%1)"/>
      <w:lvlJc w:val="left"/>
      <w:pPr>
        <w:ind w:left="2058" w:hanging="360"/>
      </w:pPr>
      <w:rPr>
        <w:rFonts w:hint="default"/>
      </w:rPr>
    </w:lvl>
    <w:lvl w:ilvl="1" w:tplc="04090019" w:tentative="1">
      <w:start w:val="1"/>
      <w:numFmt w:val="ideographTraditional"/>
      <w:lvlText w:val="%2、"/>
      <w:lvlJc w:val="left"/>
      <w:pPr>
        <w:ind w:left="2658" w:hanging="480"/>
      </w:pPr>
    </w:lvl>
    <w:lvl w:ilvl="2" w:tplc="0409001B" w:tentative="1">
      <w:start w:val="1"/>
      <w:numFmt w:val="lowerRoman"/>
      <w:lvlText w:val="%3."/>
      <w:lvlJc w:val="right"/>
      <w:pPr>
        <w:ind w:left="3138" w:hanging="480"/>
      </w:pPr>
    </w:lvl>
    <w:lvl w:ilvl="3" w:tplc="0409000F" w:tentative="1">
      <w:start w:val="1"/>
      <w:numFmt w:val="decimal"/>
      <w:lvlText w:val="%4."/>
      <w:lvlJc w:val="left"/>
      <w:pPr>
        <w:ind w:left="3618" w:hanging="480"/>
      </w:pPr>
    </w:lvl>
    <w:lvl w:ilvl="4" w:tplc="04090019" w:tentative="1">
      <w:start w:val="1"/>
      <w:numFmt w:val="ideographTraditional"/>
      <w:lvlText w:val="%5、"/>
      <w:lvlJc w:val="left"/>
      <w:pPr>
        <w:ind w:left="4098" w:hanging="480"/>
      </w:pPr>
    </w:lvl>
    <w:lvl w:ilvl="5" w:tplc="0409001B" w:tentative="1">
      <w:start w:val="1"/>
      <w:numFmt w:val="lowerRoman"/>
      <w:lvlText w:val="%6."/>
      <w:lvlJc w:val="right"/>
      <w:pPr>
        <w:ind w:left="4578" w:hanging="480"/>
      </w:pPr>
    </w:lvl>
    <w:lvl w:ilvl="6" w:tplc="0409000F" w:tentative="1">
      <w:start w:val="1"/>
      <w:numFmt w:val="decimal"/>
      <w:lvlText w:val="%7."/>
      <w:lvlJc w:val="left"/>
      <w:pPr>
        <w:ind w:left="5058" w:hanging="480"/>
      </w:pPr>
    </w:lvl>
    <w:lvl w:ilvl="7" w:tplc="04090019" w:tentative="1">
      <w:start w:val="1"/>
      <w:numFmt w:val="ideographTraditional"/>
      <w:lvlText w:val="%8、"/>
      <w:lvlJc w:val="left"/>
      <w:pPr>
        <w:ind w:left="5538" w:hanging="480"/>
      </w:pPr>
    </w:lvl>
    <w:lvl w:ilvl="8" w:tplc="0409001B" w:tentative="1">
      <w:start w:val="1"/>
      <w:numFmt w:val="lowerRoman"/>
      <w:lvlText w:val="%9."/>
      <w:lvlJc w:val="right"/>
      <w:pPr>
        <w:ind w:left="6018" w:hanging="480"/>
      </w:pPr>
    </w:lvl>
  </w:abstractNum>
  <w:abstractNum w:abstractNumId="37" w15:restartNumberingAfterBreak="0">
    <w:nsid w:val="69135B8B"/>
    <w:multiLevelType w:val="hybridMultilevel"/>
    <w:tmpl w:val="791A7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107D32"/>
    <w:multiLevelType w:val="hybridMultilevel"/>
    <w:tmpl w:val="D83E4216"/>
    <w:lvl w:ilvl="0" w:tplc="47004A38">
      <w:start w:val="23"/>
      <w:numFmt w:val="decimal"/>
      <w:lvlText w:val="(%1)"/>
      <w:lvlJc w:val="left"/>
      <w:pPr>
        <w:ind w:left="2533" w:hanging="384"/>
      </w:pPr>
      <w:rPr>
        <w:rFonts w:hint="default"/>
      </w:rPr>
    </w:lvl>
    <w:lvl w:ilvl="1" w:tplc="04090019" w:tentative="1">
      <w:start w:val="1"/>
      <w:numFmt w:val="ideographTraditional"/>
      <w:lvlText w:val="%2、"/>
      <w:lvlJc w:val="left"/>
      <w:pPr>
        <w:ind w:left="3109" w:hanging="480"/>
      </w:pPr>
    </w:lvl>
    <w:lvl w:ilvl="2" w:tplc="0409001B">
      <w:start w:val="1"/>
      <w:numFmt w:val="lowerRoman"/>
      <w:lvlText w:val="%3."/>
      <w:lvlJc w:val="right"/>
      <w:pPr>
        <w:ind w:left="3589" w:hanging="480"/>
      </w:pPr>
    </w:lvl>
    <w:lvl w:ilvl="3" w:tplc="0409000F">
      <w:start w:val="1"/>
      <w:numFmt w:val="decimal"/>
      <w:lvlText w:val="%4."/>
      <w:lvlJc w:val="left"/>
      <w:pPr>
        <w:ind w:left="4069" w:hanging="480"/>
      </w:pPr>
    </w:lvl>
    <w:lvl w:ilvl="4" w:tplc="04090019" w:tentative="1">
      <w:start w:val="1"/>
      <w:numFmt w:val="ideographTraditional"/>
      <w:lvlText w:val="%5、"/>
      <w:lvlJc w:val="left"/>
      <w:pPr>
        <w:ind w:left="4549" w:hanging="480"/>
      </w:pPr>
    </w:lvl>
    <w:lvl w:ilvl="5" w:tplc="0409001B" w:tentative="1">
      <w:start w:val="1"/>
      <w:numFmt w:val="lowerRoman"/>
      <w:lvlText w:val="%6."/>
      <w:lvlJc w:val="right"/>
      <w:pPr>
        <w:ind w:left="5029" w:hanging="480"/>
      </w:pPr>
    </w:lvl>
    <w:lvl w:ilvl="6" w:tplc="0409000F" w:tentative="1">
      <w:start w:val="1"/>
      <w:numFmt w:val="decimal"/>
      <w:lvlText w:val="%7."/>
      <w:lvlJc w:val="left"/>
      <w:pPr>
        <w:ind w:left="5509" w:hanging="480"/>
      </w:pPr>
    </w:lvl>
    <w:lvl w:ilvl="7" w:tplc="04090019" w:tentative="1">
      <w:start w:val="1"/>
      <w:numFmt w:val="ideographTraditional"/>
      <w:lvlText w:val="%8、"/>
      <w:lvlJc w:val="left"/>
      <w:pPr>
        <w:ind w:left="5989" w:hanging="480"/>
      </w:pPr>
    </w:lvl>
    <w:lvl w:ilvl="8" w:tplc="0409001B" w:tentative="1">
      <w:start w:val="1"/>
      <w:numFmt w:val="lowerRoman"/>
      <w:lvlText w:val="%9."/>
      <w:lvlJc w:val="right"/>
      <w:pPr>
        <w:ind w:left="6469" w:hanging="480"/>
      </w:pPr>
    </w:lvl>
  </w:abstractNum>
  <w:abstractNum w:abstractNumId="39" w15:restartNumberingAfterBreak="0">
    <w:nsid w:val="742455F7"/>
    <w:multiLevelType w:val="hybridMultilevel"/>
    <w:tmpl w:val="974A8F72"/>
    <w:lvl w:ilvl="0" w:tplc="4998D582">
      <w:start w:val="1"/>
      <w:numFmt w:val="decimal"/>
      <w:lvlText w:val="(%1)"/>
      <w:lvlJc w:val="left"/>
      <w:pPr>
        <w:ind w:left="927" w:hanging="360"/>
      </w:pPr>
      <w:rPr>
        <w:rFonts w:ascii="Times New Roman" w:hAnsi="Times New Roman" w:cs="Times New Roman" w:hint="default"/>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0" w15:restartNumberingAfterBreak="0">
    <w:nsid w:val="74FD4D78"/>
    <w:multiLevelType w:val="hybridMultilevel"/>
    <w:tmpl w:val="1EE23234"/>
    <w:lvl w:ilvl="0" w:tplc="69A0A36E">
      <w:start w:val="1"/>
      <w:numFmt w:val="decimal"/>
      <w:lvlText w:val="(%1)"/>
      <w:lvlJc w:val="left"/>
      <w:pPr>
        <w:ind w:left="927" w:hanging="360"/>
      </w:pPr>
      <w:rPr>
        <w:rFonts w:ascii="Times New Roman" w:hAnsi="Times New Roman" w:cs="Times New Roman" w:hint="default"/>
        <w:sz w:val="28"/>
        <w:szCs w:val="28"/>
      </w:rPr>
    </w:lvl>
    <w:lvl w:ilvl="1" w:tplc="04090019" w:tentative="1">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1" w15:restartNumberingAfterBreak="0">
    <w:nsid w:val="76706571"/>
    <w:multiLevelType w:val="hybridMultilevel"/>
    <w:tmpl w:val="1EE23234"/>
    <w:lvl w:ilvl="0" w:tplc="69A0A36E">
      <w:start w:val="1"/>
      <w:numFmt w:val="decimal"/>
      <w:lvlText w:val="(%1)"/>
      <w:lvlJc w:val="left"/>
      <w:pPr>
        <w:ind w:left="927" w:hanging="360"/>
      </w:pPr>
      <w:rPr>
        <w:rFonts w:ascii="Times New Roman" w:hAnsi="Times New Roman" w:cs="Times New Roman" w:hint="default"/>
        <w:sz w:val="28"/>
        <w:szCs w:val="28"/>
      </w:rPr>
    </w:lvl>
    <w:lvl w:ilvl="1" w:tplc="04090019" w:tentative="1">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2" w15:restartNumberingAfterBreak="0">
    <w:nsid w:val="7D1B491A"/>
    <w:multiLevelType w:val="hybridMultilevel"/>
    <w:tmpl w:val="F23C852E"/>
    <w:lvl w:ilvl="0" w:tplc="693EFE72">
      <w:start w:val="1"/>
      <w:numFmt w:val="lowerLetter"/>
      <w:lvlText w:val="(%1)"/>
      <w:lvlJc w:val="left"/>
      <w:pPr>
        <w:ind w:left="3591" w:hanging="360"/>
      </w:pPr>
      <w:rPr>
        <w:rFonts w:hint="default"/>
      </w:rPr>
    </w:lvl>
    <w:lvl w:ilvl="1" w:tplc="04090019" w:tentative="1">
      <w:start w:val="1"/>
      <w:numFmt w:val="ideographTraditional"/>
      <w:lvlText w:val="%2、"/>
      <w:lvlJc w:val="left"/>
      <w:pPr>
        <w:ind w:left="4191" w:hanging="480"/>
      </w:pPr>
    </w:lvl>
    <w:lvl w:ilvl="2" w:tplc="0409001B">
      <w:start w:val="1"/>
      <w:numFmt w:val="lowerRoman"/>
      <w:lvlText w:val="%3."/>
      <w:lvlJc w:val="right"/>
      <w:pPr>
        <w:ind w:left="4671" w:hanging="480"/>
      </w:pPr>
    </w:lvl>
    <w:lvl w:ilvl="3" w:tplc="0409000F" w:tentative="1">
      <w:start w:val="1"/>
      <w:numFmt w:val="decimal"/>
      <w:lvlText w:val="%4."/>
      <w:lvlJc w:val="left"/>
      <w:pPr>
        <w:ind w:left="5151" w:hanging="480"/>
      </w:pPr>
    </w:lvl>
    <w:lvl w:ilvl="4" w:tplc="04090019" w:tentative="1">
      <w:start w:val="1"/>
      <w:numFmt w:val="ideographTraditional"/>
      <w:lvlText w:val="%5、"/>
      <w:lvlJc w:val="left"/>
      <w:pPr>
        <w:ind w:left="5631" w:hanging="480"/>
      </w:pPr>
    </w:lvl>
    <w:lvl w:ilvl="5" w:tplc="0409001B" w:tentative="1">
      <w:start w:val="1"/>
      <w:numFmt w:val="lowerRoman"/>
      <w:lvlText w:val="%6."/>
      <w:lvlJc w:val="right"/>
      <w:pPr>
        <w:ind w:left="6111" w:hanging="480"/>
      </w:pPr>
    </w:lvl>
    <w:lvl w:ilvl="6" w:tplc="0409000F" w:tentative="1">
      <w:start w:val="1"/>
      <w:numFmt w:val="decimal"/>
      <w:lvlText w:val="%7."/>
      <w:lvlJc w:val="left"/>
      <w:pPr>
        <w:ind w:left="6591" w:hanging="480"/>
      </w:pPr>
    </w:lvl>
    <w:lvl w:ilvl="7" w:tplc="04090019" w:tentative="1">
      <w:start w:val="1"/>
      <w:numFmt w:val="ideographTraditional"/>
      <w:lvlText w:val="%8、"/>
      <w:lvlJc w:val="left"/>
      <w:pPr>
        <w:ind w:left="7071" w:hanging="480"/>
      </w:pPr>
    </w:lvl>
    <w:lvl w:ilvl="8" w:tplc="0409001B" w:tentative="1">
      <w:start w:val="1"/>
      <w:numFmt w:val="lowerRoman"/>
      <w:lvlText w:val="%9."/>
      <w:lvlJc w:val="right"/>
      <w:pPr>
        <w:ind w:left="7551" w:hanging="480"/>
      </w:pPr>
    </w:lvl>
  </w:abstractNum>
  <w:abstractNum w:abstractNumId="43" w15:restartNumberingAfterBreak="0">
    <w:nsid w:val="7DE053EC"/>
    <w:multiLevelType w:val="hybridMultilevel"/>
    <w:tmpl w:val="5560BA78"/>
    <w:lvl w:ilvl="0" w:tplc="9DC2ABCC">
      <w:start w:val="1"/>
      <w:numFmt w:val="decimal"/>
      <w:lvlText w:val="(%1)"/>
      <w:lvlJc w:val="left"/>
      <w:pPr>
        <w:ind w:left="1068" w:hanging="360"/>
      </w:pPr>
      <w:rPr>
        <w:rFonts w:hint="default"/>
        <w:i w:val="0"/>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num w:numId="1">
    <w:abstractNumId w:val="10"/>
  </w:num>
  <w:num w:numId="2">
    <w:abstractNumId w:val="18"/>
  </w:num>
  <w:num w:numId="3">
    <w:abstractNumId w:val="26"/>
  </w:num>
  <w:num w:numId="4">
    <w:abstractNumId w:val="29"/>
  </w:num>
  <w:num w:numId="5">
    <w:abstractNumId w:val="32"/>
  </w:num>
  <w:num w:numId="6">
    <w:abstractNumId w:val="31"/>
  </w:num>
  <w:num w:numId="7">
    <w:abstractNumId w:val="9"/>
  </w:num>
  <w:num w:numId="8">
    <w:abstractNumId w:val="7"/>
  </w:num>
  <w:num w:numId="9">
    <w:abstractNumId w:val="30"/>
  </w:num>
  <w:num w:numId="10">
    <w:abstractNumId w:val="20"/>
  </w:num>
  <w:num w:numId="11">
    <w:abstractNumId w:val="0"/>
  </w:num>
  <w:num w:numId="12">
    <w:abstractNumId w:val="14"/>
  </w:num>
  <w:num w:numId="13">
    <w:abstractNumId w:val="6"/>
  </w:num>
  <w:num w:numId="14">
    <w:abstractNumId w:val="3"/>
  </w:num>
  <w:num w:numId="15">
    <w:abstractNumId w:val="16"/>
  </w:num>
  <w:num w:numId="16">
    <w:abstractNumId w:val="17"/>
  </w:num>
  <w:num w:numId="17">
    <w:abstractNumId w:val="40"/>
  </w:num>
  <w:num w:numId="18">
    <w:abstractNumId w:val="42"/>
  </w:num>
  <w:num w:numId="19">
    <w:abstractNumId w:val="13"/>
  </w:num>
  <w:num w:numId="20">
    <w:abstractNumId w:val="25"/>
  </w:num>
  <w:num w:numId="21">
    <w:abstractNumId w:val="4"/>
  </w:num>
  <w:num w:numId="22">
    <w:abstractNumId w:val="1"/>
  </w:num>
  <w:num w:numId="23">
    <w:abstractNumId w:val="12"/>
  </w:num>
  <w:num w:numId="24">
    <w:abstractNumId w:val="36"/>
  </w:num>
  <w:num w:numId="25">
    <w:abstractNumId w:val="2"/>
  </w:num>
  <w:num w:numId="26">
    <w:abstractNumId w:val="15"/>
  </w:num>
  <w:num w:numId="27">
    <w:abstractNumId w:val="28"/>
  </w:num>
  <w:num w:numId="28">
    <w:abstractNumId w:val="8"/>
  </w:num>
  <w:num w:numId="29">
    <w:abstractNumId w:val="23"/>
  </w:num>
  <w:num w:numId="30">
    <w:abstractNumId w:val="34"/>
  </w:num>
  <w:num w:numId="31">
    <w:abstractNumId w:val="43"/>
  </w:num>
  <w:num w:numId="32">
    <w:abstractNumId w:val="27"/>
  </w:num>
  <w:num w:numId="33">
    <w:abstractNumId w:val="11"/>
  </w:num>
  <w:num w:numId="34">
    <w:abstractNumId w:val="5"/>
  </w:num>
  <w:num w:numId="35">
    <w:abstractNumId w:val="24"/>
  </w:num>
  <w:num w:numId="36">
    <w:abstractNumId w:val="35"/>
  </w:num>
  <w:num w:numId="37">
    <w:abstractNumId w:val="38"/>
  </w:num>
  <w:num w:numId="38">
    <w:abstractNumId w:val="21"/>
  </w:num>
  <w:num w:numId="39">
    <w:abstractNumId w:val="41"/>
  </w:num>
  <w:num w:numId="40">
    <w:abstractNumId w:val="33"/>
  </w:num>
  <w:num w:numId="41">
    <w:abstractNumId w:val="39"/>
  </w:num>
  <w:num w:numId="42">
    <w:abstractNumId w:val="22"/>
  </w:num>
  <w:num w:numId="43">
    <w:abstractNumId w:val="37"/>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trackRevisions/>
  <w:documentProtection w:edit="readOnly" w:formatting="1" w:enforcement="1" w:cryptProviderType="rsaAES" w:cryptAlgorithmClass="hash" w:cryptAlgorithmType="typeAny" w:cryptAlgorithmSid="14" w:cryptSpinCount="100000" w:hash="+UyqdN/ufUHRqtL45I33JucFCsaZh730k+KIW+YTG+rJPSuHSIRRN9KeWFEhlSnnVNMLGxVVt4yBG1+XUWWZAg==" w:salt="I1Act11lJqHuVGBCUcQf7w=="/>
  <w:defaultTabStop w:val="1532"/>
  <w:displayHorizontalDrawingGridEvery w:val="0"/>
  <w:displayVerticalDrawingGridEvery w:val="2"/>
  <w:characterSpacingControl w:val="compressPunctuation"/>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049"/>
    <w:rsid w:val="00000978"/>
    <w:rsid w:val="00036E26"/>
    <w:rsid w:val="00040687"/>
    <w:rsid w:val="0005093F"/>
    <w:rsid w:val="000622CC"/>
    <w:rsid w:val="000A3857"/>
    <w:rsid w:val="000B0A67"/>
    <w:rsid w:val="000C035C"/>
    <w:rsid w:val="000D2E05"/>
    <w:rsid w:val="000E754D"/>
    <w:rsid w:val="000F1CF0"/>
    <w:rsid w:val="000F31A7"/>
    <w:rsid w:val="001228EB"/>
    <w:rsid w:val="00144E8A"/>
    <w:rsid w:val="00151D69"/>
    <w:rsid w:val="001569E4"/>
    <w:rsid w:val="00157C86"/>
    <w:rsid w:val="00165490"/>
    <w:rsid w:val="00165CD5"/>
    <w:rsid w:val="0016646F"/>
    <w:rsid w:val="001773D8"/>
    <w:rsid w:val="001E2590"/>
    <w:rsid w:val="00214FCF"/>
    <w:rsid w:val="00217624"/>
    <w:rsid w:val="002264CE"/>
    <w:rsid w:val="00242625"/>
    <w:rsid w:val="002510FE"/>
    <w:rsid w:val="0025195C"/>
    <w:rsid w:val="00254AB7"/>
    <w:rsid w:val="00282352"/>
    <w:rsid w:val="002A6615"/>
    <w:rsid w:val="002B79F8"/>
    <w:rsid w:val="002C457A"/>
    <w:rsid w:val="002F0CEC"/>
    <w:rsid w:val="002F22A5"/>
    <w:rsid w:val="00313D8C"/>
    <w:rsid w:val="00351908"/>
    <w:rsid w:val="00360095"/>
    <w:rsid w:val="00375D4A"/>
    <w:rsid w:val="003810E8"/>
    <w:rsid w:val="00395EBF"/>
    <w:rsid w:val="003A19FE"/>
    <w:rsid w:val="003A3FBA"/>
    <w:rsid w:val="003B2F11"/>
    <w:rsid w:val="003C623A"/>
    <w:rsid w:val="003E77F3"/>
    <w:rsid w:val="00405225"/>
    <w:rsid w:val="00417D3A"/>
    <w:rsid w:val="0042208E"/>
    <w:rsid w:val="004413BF"/>
    <w:rsid w:val="0046126E"/>
    <w:rsid w:val="00474300"/>
    <w:rsid w:val="00476E5C"/>
    <w:rsid w:val="004949F7"/>
    <w:rsid w:val="004B18C9"/>
    <w:rsid w:val="005331A1"/>
    <w:rsid w:val="00536932"/>
    <w:rsid w:val="00542957"/>
    <w:rsid w:val="005431B1"/>
    <w:rsid w:val="00570755"/>
    <w:rsid w:val="005A72E6"/>
    <w:rsid w:val="005C52DD"/>
    <w:rsid w:val="005D2CB5"/>
    <w:rsid w:val="005F2095"/>
    <w:rsid w:val="00604BF2"/>
    <w:rsid w:val="00626338"/>
    <w:rsid w:val="0063538C"/>
    <w:rsid w:val="00643B3C"/>
    <w:rsid w:val="006452BC"/>
    <w:rsid w:val="00652124"/>
    <w:rsid w:val="0066111F"/>
    <w:rsid w:val="006824B4"/>
    <w:rsid w:val="00695727"/>
    <w:rsid w:val="006A0A99"/>
    <w:rsid w:val="006A2FA9"/>
    <w:rsid w:val="006C095D"/>
    <w:rsid w:val="006C4490"/>
    <w:rsid w:val="006C6786"/>
    <w:rsid w:val="007025FC"/>
    <w:rsid w:val="00707E60"/>
    <w:rsid w:val="00713924"/>
    <w:rsid w:val="00720C40"/>
    <w:rsid w:val="00734E8B"/>
    <w:rsid w:val="00767756"/>
    <w:rsid w:val="00782D0E"/>
    <w:rsid w:val="007833CF"/>
    <w:rsid w:val="00783C93"/>
    <w:rsid w:val="00787799"/>
    <w:rsid w:val="00794B50"/>
    <w:rsid w:val="007A7018"/>
    <w:rsid w:val="007B00E7"/>
    <w:rsid w:val="007C360B"/>
    <w:rsid w:val="007D04FA"/>
    <w:rsid w:val="0083055E"/>
    <w:rsid w:val="008669F8"/>
    <w:rsid w:val="008749FF"/>
    <w:rsid w:val="008833AA"/>
    <w:rsid w:val="0089580F"/>
    <w:rsid w:val="008B20F3"/>
    <w:rsid w:val="008B6D5E"/>
    <w:rsid w:val="008B752A"/>
    <w:rsid w:val="008E34A3"/>
    <w:rsid w:val="008F620E"/>
    <w:rsid w:val="00923529"/>
    <w:rsid w:val="0093191B"/>
    <w:rsid w:val="00952241"/>
    <w:rsid w:val="00967A48"/>
    <w:rsid w:val="00971E49"/>
    <w:rsid w:val="00977262"/>
    <w:rsid w:val="009778EF"/>
    <w:rsid w:val="00986AE2"/>
    <w:rsid w:val="00990CC5"/>
    <w:rsid w:val="00993128"/>
    <w:rsid w:val="009A5D9B"/>
    <w:rsid w:val="009B1F50"/>
    <w:rsid w:val="009C17C3"/>
    <w:rsid w:val="00A21005"/>
    <w:rsid w:val="00A25D08"/>
    <w:rsid w:val="00A4686D"/>
    <w:rsid w:val="00A64722"/>
    <w:rsid w:val="00A678B5"/>
    <w:rsid w:val="00A74B10"/>
    <w:rsid w:val="00A934BB"/>
    <w:rsid w:val="00AB5BC4"/>
    <w:rsid w:val="00AC0034"/>
    <w:rsid w:val="00AD42B1"/>
    <w:rsid w:val="00AD7582"/>
    <w:rsid w:val="00AE0298"/>
    <w:rsid w:val="00B12D73"/>
    <w:rsid w:val="00B248CE"/>
    <w:rsid w:val="00B323A4"/>
    <w:rsid w:val="00B51049"/>
    <w:rsid w:val="00BC22AC"/>
    <w:rsid w:val="00BC3B2F"/>
    <w:rsid w:val="00BF35CA"/>
    <w:rsid w:val="00C17581"/>
    <w:rsid w:val="00C21618"/>
    <w:rsid w:val="00C613B6"/>
    <w:rsid w:val="00C70715"/>
    <w:rsid w:val="00C70DDC"/>
    <w:rsid w:val="00C71095"/>
    <w:rsid w:val="00C76027"/>
    <w:rsid w:val="00C85367"/>
    <w:rsid w:val="00C90264"/>
    <w:rsid w:val="00CA47BC"/>
    <w:rsid w:val="00CA6261"/>
    <w:rsid w:val="00CC3330"/>
    <w:rsid w:val="00CD4A7B"/>
    <w:rsid w:val="00D236D8"/>
    <w:rsid w:val="00D37DD0"/>
    <w:rsid w:val="00D41A6F"/>
    <w:rsid w:val="00D57ACF"/>
    <w:rsid w:val="00D95B53"/>
    <w:rsid w:val="00DA342D"/>
    <w:rsid w:val="00DB3DA0"/>
    <w:rsid w:val="00DB76EB"/>
    <w:rsid w:val="00DC16BC"/>
    <w:rsid w:val="00DC1A9C"/>
    <w:rsid w:val="00DC3AAE"/>
    <w:rsid w:val="00DE2500"/>
    <w:rsid w:val="00E112B1"/>
    <w:rsid w:val="00E1192D"/>
    <w:rsid w:val="00E1780D"/>
    <w:rsid w:val="00E34211"/>
    <w:rsid w:val="00E34E42"/>
    <w:rsid w:val="00E51389"/>
    <w:rsid w:val="00E829EF"/>
    <w:rsid w:val="00EB3216"/>
    <w:rsid w:val="00F00F0F"/>
    <w:rsid w:val="00F04D4E"/>
    <w:rsid w:val="00F25764"/>
    <w:rsid w:val="00F67780"/>
    <w:rsid w:val="00F73067"/>
    <w:rsid w:val="00FB3272"/>
    <w:rsid w:val="00FB656C"/>
    <w:rsid w:val="00FC11A2"/>
    <w:rsid w:val="00FD79B3"/>
    <w:rsid w:val="00FF6D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chartTrackingRefBased/>
  <w15:docId w15:val="{44C02085-C917-45C6-B2AE-9944CC8CC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6EB"/>
    <w:pPr>
      <w:overflowPunct w:val="0"/>
      <w:autoSpaceDE w:val="0"/>
      <w:autoSpaceDN w:val="0"/>
      <w:adjustRightInd w:val="0"/>
      <w:textAlignment w:val="baseline"/>
    </w:pPr>
    <w:rPr>
      <w:rFonts w:ascii="Times New Roman" w:eastAsia="細明體" w:hAnsi="Times New Roman" w:cs="Times New Roman"/>
      <w:kern w:val="0"/>
      <w:sz w:val="20"/>
      <w:szCs w:val="20"/>
      <w:lang w:val="en-GB"/>
    </w:rPr>
  </w:style>
  <w:style w:type="paragraph" w:styleId="4">
    <w:name w:val="heading 4"/>
    <w:basedOn w:val="a"/>
    <w:next w:val="a"/>
    <w:link w:val="40"/>
    <w:uiPriority w:val="9"/>
    <w:semiHidden/>
    <w:unhideWhenUsed/>
    <w:qFormat/>
    <w:rsid w:val="002F0CEC"/>
    <w:pPr>
      <w:keepNext/>
      <w:spacing w:line="720" w:lineRule="auto"/>
      <w:outlineLvl w:val="3"/>
    </w:pPr>
    <w:rPr>
      <w:rFonts w:asciiTheme="majorHAnsi" w:eastAsiaTheme="majorEastAsia" w:hAnsiTheme="majorHAnsi" w:cstheme="majorBidi"/>
      <w:sz w:val="36"/>
      <w:szCs w:val="36"/>
    </w:rPr>
  </w:style>
  <w:style w:type="paragraph" w:styleId="6">
    <w:name w:val="heading 6"/>
    <w:basedOn w:val="a"/>
    <w:next w:val="a"/>
    <w:link w:val="60"/>
    <w:qFormat/>
    <w:rsid w:val="002F0CEC"/>
    <w:pPr>
      <w:keepNext/>
      <w:kinsoku w:val="0"/>
      <w:snapToGrid w:val="0"/>
      <w:jc w:val="both"/>
      <w:outlineLvl w:val="5"/>
    </w:pPr>
    <w:rPr>
      <w:b/>
      <w:snapToGrid w:val="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6261"/>
    <w:pPr>
      <w:tabs>
        <w:tab w:val="center" w:pos="4153"/>
        <w:tab w:val="right" w:pos="8306"/>
      </w:tabs>
      <w:snapToGrid w:val="0"/>
    </w:pPr>
  </w:style>
  <w:style w:type="character" w:customStyle="1" w:styleId="a4">
    <w:name w:val="頁首 字元"/>
    <w:basedOn w:val="a0"/>
    <w:link w:val="a3"/>
    <w:uiPriority w:val="99"/>
    <w:rsid w:val="00CA6261"/>
    <w:rPr>
      <w:sz w:val="20"/>
      <w:szCs w:val="20"/>
    </w:rPr>
  </w:style>
  <w:style w:type="paragraph" w:styleId="a5">
    <w:name w:val="footer"/>
    <w:basedOn w:val="a"/>
    <w:link w:val="a6"/>
    <w:uiPriority w:val="99"/>
    <w:unhideWhenUsed/>
    <w:rsid w:val="00CA6261"/>
    <w:pPr>
      <w:tabs>
        <w:tab w:val="center" w:pos="4153"/>
        <w:tab w:val="right" w:pos="8306"/>
      </w:tabs>
      <w:snapToGrid w:val="0"/>
    </w:pPr>
  </w:style>
  <w:style w:type="character" w:customStyle="1" w:styleId="a6">
    <w:name w:val="頁尾 字元"/>
    <w:basedOn w:val="a0"/>
    <w:link w:val="a5"/>
    <w:uiPriority w:val="99"/>
    <w:rsid w:val="00CA6261"/>
    <w:rPr>
      <w:sz w:val="20"/>
      <w:szCs w:val="20"/>
    </w:rPr>
  </w:style>
  <w:style w:type="character" w:customStyle="1" w:styleId="60">
    <w:name w:val="標題 6 字元"/>
    <w:basedOn w:val="a0"/>
    <w:link w:val="6"/>
    <w:rsid w:val="002F0CEC"/>
    <w:rPr>
      <w:rFonts w:ascii="Times New Roman" w:eastAsia="細明體" w:hAnsi="Times New Roman" w:cs="Times New Roman"/>
      <w:b/>
      <w:snapToGrid w:val="0"/>
      <w:kern w:val="0"/>
      <w:sz w:val="20"/>
      <w:szCs w:val="20"/>
      <w:lang w:val="en-GB" w:eastAsia="zh-CN"/>
    </w:rPr>
  </w:style>
  <w:style w:type="paragraph" w:customStyle="1" w:styleId="normal1">
    <w:name w:val="normal1"/>
    <w:basedOn w:val="a"/>
    <w:rsid w:val="002F0CEC"/>
    <w:pPr>
      <w:tabs>
        <w:tab w:val="left" w:pos="1411"/>
      </w:tabs>
      <w:kinsoku w:val="0"/>
      <w:snapToGrid w:val="0"/>
      <w:jc w:val="center"/>
    </w:pPr>
    <w:rPr>
      <w:snapToGrid w:val="0"/>
      <w:sz w:val="28"/>
      <w:lang w:eastAsia="zh-CN"/>
    </w:rPr>
  </w:style>
  <w:style w:type="paragraph" w:customStyle="1" w:styleId="normal2">
    <w:name w:val="normal2"/>
    <w:rsid w:val="002F0CEC"/>
    <w:pPr>
      <w:kinsoku w:val="0"/>
      <w:overflowPunct w:val="0"/>
      <w:autoSpaceDE w:val="0"/>
      <w:autoSpaceDN w:val="0"/>
      <w:adjustRightInd w:val="0"/>
      <w:snapToGrid w:val="0"/>
      <w:jc w:val="center"/>
    </w:pPr>
    <w:rPr>
      <w:rFonts w:ascii="Times New Roman" w:eastAsia="SimSun" w:hAnsi="Times New Roman" w:cs="Times New Roman"/>
      <w:caps/>
      <w:kern w:val="28"/>
      <w:sz w:val="28"/>
      <w:szCs w:val="28"/>
      <w:lang w:val="en-GB" w:eastAsia="en-US"/>
    </w:rPr>
  </w:style>
  <w:style w:type="paragraph" w:customStyle="1" w:styleId="normal3">
    <w:name w:val="normal3"/>
    <w:rsid w:val="002F0CEC"/>
    <w:pPr>
      <w:tabs>
        <w:tab w:val="center" w:pos="4500"/>
        <w:tab w:val="right" w:pos="9000"/>
      </w:tabs>
      <w:kinsoku w:val="0"/>
      <w:overflowPunct w:val="0"/>
      <w:autoSpaceDE w:val="0"/>
      <w:autoSpaceDN w:val="0"/>
      <w:adjustRightInd w:val="0"/>
      <w:spacing w:after="60"/>
      <w:jc w:val="center"/>
    </w:pPr>
    <w:rPr>
      <w:rFonts w:ascii="Times New Roman" w:eastAsia="細明體" w:hAnsi="Times New Roman" w:cs="Times New Roman"/>
      <w:b/>
      <w:caps/>
      <w:kern w:val="0"/>
      <w:sz w:val="28"/>
      <w:szCs w:val="20"/>
      <w:lang w:val="en-GB" w:eastAsia="en-US"/>
    </w:rPr>
  </w:style>
  <w:style w:type="paragraph" w:customStyle="1" w:styleId="j-heading">
    <w:name w:val="j-heading"/>
    <w:basedOn w:val="4"/>
    <w:next w:val="a"/>
    <w:rsid w:val="002F0CEC"/>
    <w:pPr>
      <w:kinsoku w:val="0"/>
      <w:snapToGrid w:val="0"/>
      <w:spacing w:before="360" w:line="360" w:lineRule="auto"/>
    </w:pPr>
    <w:rPr>
      <w:rFonts w:ascii="Times New Roman" w:eastAsia="SimSun" w:hAnsi="Times New Roman" w:cs="Times New Roman"/>
      <w:i/>
      <w:snapToGrid w:val="0"/>
      <w:sz w:val="28"/>
      <w:szCs w:val="20"/>
      <w:lang w:eastAsia="zh-CN"/>
    </w:rPr>
  </w:style>
  <w:style w:type="paragraph" w:customStyle="1" w:styleId="j-quotation">
    <w:name w:val="j-quotation"/>
    <w:next w:val="a7"/>
    <w:rsid w:val="002F0CEC"/>
    <w:pPr>
      <w:tabs>
        <w:tab w:val="left" w:pos="1418"/>
      </w:tabs>
      <w:kinsoku w:val="0"/>
      <w:overflowPunct w:val="0"/>
      <w:autoSpaceDE w:val="0"/>
      <w:autoSpaceDN w:val="0"/>
      <w:adjustRightInd w:val="0"/>
      <w:snapToGrid w:val="0"/>
      <w:spacing w:before="180" w:after="60"/>
      <w:ind w:left="1418" w:right="737"/>
      <w:jc w:val="both"/>
    </w:pPr>
    <w:rPr>
      <w:rFonts w:ascii="Times New Roman" w:eastAsia="SimSun" w:hAnsi="Times New Roman" w:cs="Times New Roman"/>
      <w:kern w:val="0"/>
      <w:szCs w:val="20"/>
      <w:lang w:val="en-GB" w:eastAsia="en-US"/>
    </w:rPr>
  </w:style>
  <w:style w:type="paragraph" w:styleId="a8">
    <w:name w:val="footnote text"/>
    <w:basedOn w:val="a"/>
    <w:link w:val="a9"/>
    <w:uiPriority w:val="99"/>
    <w:unhideWhenUsed/>
    <w:rsid w:val="002F0CEC"/>
    <w:pPr>
      <w:tabs>
        <w:tab w:val="left" w:pos="274"/>
      </w:tabs>
    </w:pPr>
    <w:rPr>
      <w:rFonts w:eastAsia="SimSun"/>
      <w:lang w:eastAsia="zh-CN"/>
    </w:rPr>
  </w:style>
  <w:style w:type="character" w:customStyle="1" w:styleId="a9">
    <w:name w:val="註腳文字 字元"/>
    <w:basedOn w:val="a0"/>
    <w:link w:val="a8"/>
    <w:uiPriority w:val="99"/>
    <w:rsid w:val="002F0CEC"/>
    <w:rPr>
      <w:rFonts w:ascii="Times New Roman" w:eastAsia="SimSun" w:hAnsi="Times New Roman" w:cs="Times New Roman"/>
      <w:kern w:val="0"/>
      <w:sz w:val="20"/>
      <w:szCs w:val="20"/>
      <w:lang w:val="en-GB" w:eastAsia="zh-CN"/>
    </w:rPr>
  </w:style>
  <w:style w:type="character" w:styleId="aa">
    <w:name w:val="footnote reference"/>
    <w:uiPriority w:val="99"/>
    <w:unhideWhenUsed/>
    <w:rsid w:val="002F0CEC"/>
    <w:rPr>
      <w:vertAlign w:val="superscript"/>
    </w:rPr>
  </w:style>
  <w:style w:type="paragraph" w:customStyle="1" w:styleId="sh">
    <w:name w:val="sh"/>
    <w:basedOn w:val="a"/>
    <w:rsid w:val="002F0CEC"/>
    <w:pPr>
      <w:tabs>
        <w:tab w:val="left" w:pos="720"/>
        <w:tab w:val="left" w:pos="1440"/>
        <w:tab w:val="center" w:pos="4320"/>
        <w:tab w:val="right" w:pos="9072"/>
      </w:tabs>
    </w:pPr>
    <w:rPr>
      <w:rFonts w:eastAsia="SimSun"/>
      <w:sz w:val="28"/>
      <w:lang w:eastAsia="zh-CN"/>
    </w:rPr>
  </w:style>
  <w:style w:type="paragraph" w:customStyle="1" w:styleId="T-Draft">
    <w:name w:val="T-Draft"/>
    <w:basedOn w:val="a"/>
    <w:rsid w:val="002F0CEC"/>
    <w:pPr>
      <w:numPr>
        <w:numId w:val="1"/>
      </w:numPr>
      <w:tabs>
        <w:tab w:val="left" w:pos="1440"/>
      </w:tabs>
      <w:snapToGrid w:val="0"/>
      <w:spacing w:before="360" w:line="360" w:lineRule="auto"/>
      <w:ind w:left="0" w:firstLine="0"/>
      <w:jc w:val="both"/>
    </w:pPr>
    <w:rPr>
      <w:rFonts w:eastAsia="SimSun"/>
      <w:sz w:val="28"/>
      <w:lang w:eastAsia="zh-CN"/>
    </w:rPr>
  </w:style>
  <w:style w:type="numbering" w:customStyle="1" w:styleId="1a">
    <w:name w:val="(1)(a)"/>
    <w:uiPriority w:val="99"/>
    <w:rsid w:val="002F0CEC"/>
    <w:pPr>
      <w:numPr>
        <w:numId w:val="2"/>
      </w:numPr>
    </w:pPr>
  </w:style>
  <w:style w:type="character" w:customStyle="1" w:styleId="40">
    <w:name w:val="標題 4 字元"/>
    <w:basedOn w:val="a0"/>
    <w:link w:val="4"/>
    <w:uiPriority w:val="9"/>
    <w:semiHidden/>
    <w:rsid w:val="002F0CEC"/>
    <w:rPr>
      <w:rFonts w:asciiTheme="majorHAnsi" w:eastAsiaTheme="majorEastAsia" w:hAnsiTheme="majorHAnsi" w:cstheme="majorBidi"/>
      <w:sz w:val="36"/>
      <w:szCs w:val="36"/>
    </w:rPr>
  </w:style>
  <w:style w:type="paragraph" w:styleId="a7">
    <w:name w:val="Body Text"/>
    <w:basedOn w:val="a"/>
    <w:link w:val="ab"/>
    <w:uiPriority w:val="99"/>
    <w:semiHidden/>
    <w:unhideWhenUsed/>
    <w:rsid w:val="002F0CEC"/>
    <w:pPr>
      <w:spacing w:after="120"/>
    </w:pPr>
  </w:style>
  <w:style w:type="character" w:customStyle="1" w:styleId="ab">
    <w:name w:val="本文 字元"/>
    <w:basedOn w:val="a0"/>
    <w:link w:val="a7"/>
    <w:uiPriority w:val="99"/>
    <w:semiHidden/>
    <w:rsid w:val="002F0CEC"/>
  </w:style>
  <w:style w:type="paragraph" w:styleId="ac">
    <w:name w:val="List Paragraph"/>
    <w:basedOn w:val="a"/>
    <w:uiPriority w:val="34"/>
    <w:qFormat/>
    <w:rsid w:val="002F0CEC"/>
    <w:pPr>
      <w:ind w:leftChars="200" w:left="480"/>
    </w:pPr>
  </w:style>
  <w:style w:type="table" w:styleId="ad">
    <w:name w:val="Table Grid"/>
    <w:basedOn w:val="a1"/>
    <w:uiPriority w:val="59"/>
    <w:rsid w:val="00695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95727"/>
    <w:rPr>
      <w:sz w:val="18"/>
      <w:szCs w:val="18"/>
    </w:rPr>
  </w:style>
  <w:style w:type="paragraph" w:styleId="af">
    <w:name w:val="annotation text"/>
    <w:basedOn w:val="a"/>
    <w:link w:val="af0"/>
    <w:uiPriority w:val="99"/>
    <w:semiHidden/>
    <w:unhideWhenUsed/>
    <w:rsid w:val="00695727"/>
  </w:style>
  <w:style w:type="character" w:customStyle="1" w:styleId="af0">
    <w:name w:val="註解文字 字元"/>
    <w:basedOn w:val="a0"/>
    <w:link w:val="af"/>
    <w:uiPriority w:val="99"/>
    <w:semiHidden/>
    <w:rsid w:val="00695727"/>
    <w:rPr>
      <w:lang w:val="en-GB"/>
    </w:rPr>
  </w:style>
  <w:style w:type="paragraph" w:styleId="af1">
    <w:name w:val="annotation subject"/>
    <w:basedOn w:val="af"/>
    <w:next w:val="af"/>
    <w:link w:val="af2"/>
    <w:uiPriority w:val="99"/>
    <w:semiHidden/>
    <w:unhideWhenUsed/>
    <w:rsid w:val="00695727"/>
    <w:rPr>
      <w:b/>
      <w:bCs/>
    </w:rPr>
  </w:style>
  <w:style w:type="character" w:customStyle="1" w:styleId="af2">
    <w:name w:val="註解主旨 字元"/>
    <w:basedOn w:val="af0"/>
    <w:link w:val="af1"/>
    <w:uiPriority w:val="99"/>
    <w:semiHidden/>
    <w:rsid w:val="00695727"/>
    <w:rPr>
      <w:b/>
      <w:bCs/>
      <w:lang w:val="en-GB"/>
    </w:rPr>
  </w:style>
  <w:style w:type="paragraph" w:styleId="af3">
    <w:name w:val="Revision"/>
    <w:hidden/>
    <w:uiPriority w:val="99"/>
    <w:semiHidden/>
    <w:rsid w:val="00695727"/>
    <w:rPr>
      <w:lang w:val="en-GB"/>
    </w:rPr>
  </w:style>
  <w:style w:type="paragraph" w:styleId="af4">
    <w:name w:val="Balloon Text"/>
    <w:basedOn w:val="a"/>
    <w:link w:val="af5"/>
    <w:uiPriority w:val="99"/>
    <w:semiHidden/>
    <w:unhideWhenUsed/>
    <w:rsid w:val="00695727"/>
    <w:rPr>
      <w:rFonts w:asciiTheme="majorHAnsi" w:eastAsiaTheme="majorEastAsia" w:hAnsiTheme="majorHAnsi" w:cstheme="majorBidi"/>
      <w:sz w:val="18"/>
      <w:szCs w:val="18"/>
    </w:rPr>
  </w:style>
  <w:style w:type="character" w:customStyle="1" w:styleId="af5">
    <w:name w:val="註解方塊文字 字元"/>
    <w:basedOn w:val="a0"/>
    <w:link w:val="af4"/>
    <w:uiPriority w:val="99"/>
    <w:semiHidden/>
    <w:rsid w:val="00695727"/>
    <w:rPr>
      <w:rFonts w:asciiTheme="majorHAnsi" w:eastAsiaTheme="majorEastAsia" w:hAnsiTheme="majorHAnsi" w:cstheme="majorBidi"/>
      <w:sz w:val="18"/>
      <w:szCs w:val="18"/>
      <w:lang w:val="en-GB"/>
    </w:rPr>
  </w:style>
  <w:style w:type="paragraph" w:styleId="af6">
    <w:name w:val="Body Text Indent"/>
    <w:basedOn w:val="a"/>
    <w:link w:val="af7"/>
    <w:semiHidden/>
    <w:rsid w:val="00695727"/>
    <w:pPr>
      <w:ind w:left="720" w:hangingChars="300" w:hanging="720"/>
      <w:jc w:val="both"/>
    </w:pPr>
    <w:rPr>
      <w:rFonts w:ascii="CG Times" w:eastAsia="新細明體" w:hAnsi="CG Times"/>
    </w:rPr>
  </w:style>
  <w:style w:type="character" w:customStyle="1" w:styleId="af7">
    <w:name w:val="本文縮排 字元"/>
    <w:basedOn w:val="a0"/>
    <w:link w:val="af6"/>
    <w:semiHidden/>
    <w:rsid w:val="00695727"/>
    <w:rPr>
      <w:rFonts w:ascii="CG Times" w:eastAsia="新細明體" w:hAnsi="CG Times" w:cs="Times New Roman"/>
      <w:kern w:val="0"/>
      <w:szCs w:val="20"/>
      <w:lang w:val="en-GB"/>
    </w:rPr>
  </w:style>
  <w:style w:type="character" w:customStyle="1" w:styleId="nowrap">
    <w:name w:val="nowrap"/>
    <w:basedOn w:val="a0"/>
    <w:rsid w:val="00695727"/>
  </w:style>
  <w:style w:type="paragraph" w:styleId="af8">
    <w:name w:val="Title"/>
    <w:basedOn w:val="a"/>
    <w:link w:val="af9"/>
    <w:qFormat/>
    <w:rsid w:val="00DB76EB"/>
    <w:pPr>
      <w:jc w:val="center"/>
    </w:pPr>
    <w:rPr>
      <w:rFonts w:ascii="CG Times (W1)" w:hAnsi="CG Times (W1)"/>
      <w:b/>
      <w:sz w:val="24"/>
    </w:rPr>
  </w:style>
  <w:style w:type="character" w:customStyle="1" w:styleId="af9">
    <w:name w:val="標題 字元"/>
    <w:basedOn w:val="a0"/>
    <w:link w:val="af8"/>
    <w:rsid w:val="00DB76EB"/>
    <w:rPr>
      <w:rFonts w:ascii="CG Times (W1)" w:eastAsia="細明體" w:hAnsi="CG Times (W1)" w:cs="Times New Roman"/>
      <w:b/>
      <w:kern w:val="0"/>
      <w:szCs w:val="20"/>
      <w:lang w:val="en-GB"/>
    </w:rPr>
  </w:style>
  <w:style w:type="paragraph" w:styleId="Web">
    <w:name w:val="Normal (Web)"/>
    <w:basedOn w:val="a"/>
    <w:uiPriority w:val="99"/>
    <w:unhideWhenUsed/>
    <w:rsid w:val="009B1F50"/>
    <w:pPr>
      <w:overflowPunct/>
      <w:autoSpaceDE/>
      <w:autoSpaceDN/>
      <w:adjustRightInd/>
      <w:spacing w:before="100" w:beforeAutospacing="1" w:after="100" w:afterAutospacing="1"/>
      <w:textAlignment w:val="auto"/>
    </w:pPr>
    <w:rPr>
      <w:rFonts w:eastAsia="Times New Roman"/>
      <w:sz w:val="24"/>
      <w:szCs w:val="24"/>
      <w:lang w:val="en-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IRBRD\&#31684;&#26412;.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F90B1-A42D-43D7-ABC9-DB11B503B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範本</Template>
  <TotalTime>86</TotalTime>
  <Pages>6</Pages>
  <Words>1835</Words>
  <Characters>10466</Characters>
  <Application>Microsoft Office Word</Application>
  <DocSecurity>8</DocSecurity>
  <Lines>87</Lines>
  <Paragraphs>24</Paragraphs>
  <ScaleCrop>false</ScaleCrop>
  <Company>HKSARG</Company>
  <LinksUpToDate>false</LinksUpToDate>
  <CharactersWithSpaces>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HS CHAN [CA[G]2_BOR]</dc:creator>
  <cp:keywords/>
  <dc:description/>
  <cp:lastModifiedBy>Monique HS CHAN [CA[G]2_BOR]</cp:lastModifiedBy>
  <cp:revision>128</cp:revision>
  <cp:lastPrinted>2025-05-02T07:55:00Z</cp:lastPrinted>
  <dcterms:created xsi:type="dcterms:W3CDTF">2025-04-30T02:53:00Z</dcterms:created>
  <dcterms:modified xsi:type="dcterms:W3CDTF">2025-07-02T05:56:00Z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