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3172" w14:textId="77777777" w:rsidR="00DE5108" w:rsidRPr="005F377B" w:rsidRDefault="00DE5108" w:rsidP="00884EE1">
      <w:pPr>
        <w:widowControl/>
        <w:overflowPunct w:val="0"/>
        <w:autoSpaceDE w:val="0"/>
        <w:autoSpaceDN w:val="0"/>
        <w:adjustRightInd w:val="0"/>
        <w:ind w:rightChars="-29" w:right="-70"/>
        <w:jc w:val="center"/>
        <w:textAlignment w:val="baseline"/>
        <w:rPr>
          <w:rFonts w:ascii="Times New Roman" w:eastAsia="標楷體" w:hAnsi="Times New Roman" w:cs="Times New Roman"/>
          <w:b/>
          <w:kern w:val="0"/>
          <w:szCs w:val="24"/>
          <w:lang w:val="en-GB"/>
        </w:rPr>
      </w:pPr>
      <w:bookmarkStart w:id="0" w:name="_GoBack"/>
      <w:bookmarkEnd w:id="0"/>
      <w:r w:rsidRPr="005F377B">
        <w:rPr>
          <w:rFonts w:ascii="Times New Roman" w:eastAsia="標楷體" w:hAnsi="Times New Roman" w:cs="Times New Roman"/>
          <w:b/>
          <w:kern w:val="0"/>
          <w:szCs w:val="24"/>
          <w:lang w:val="en-GB"/>
        </w:rPr>
        <w:t>Case No. D2</w:t>
      </w:r>
      <w:r w:rsidRPr="005F377B">
        <w:rPr>
          <w:rFonts w:ascii="Times New Roman" w:eastAsia="標楷體" w:hAnsi="Times New Roman" w:cs="Times New Roman"/>
          <w:b/>
          <w:kern w:val="0"/>
          <w:szCs w:val="24"/>
          <w:lang w:val="en-GB" w:eastAsia="zh-HK"/>
        </w:rPr>
        <w:t>/2</w:t>
      </w:r>
      <w:r w:rsidRPr="005F377B">
        <w:rPr>
          <w:rFonts w:ascii="Times New Roman" w:eastAsia="標楷體" w:hAnsi="Times New Roman" w:cs="Times New Roman"/>
          <w:b/>
          <w:kern w:val="0"/>
          <w:szCs w:val="24"/>
          <w:lang w:val="en-GB"/>
        </w:rPr>
        <w:t>3</w:t>
      </w:r>
    </w:p>
    <w:p w14:paraId="5D78985C" w14:textId="1A999D86" w:rsidR="00DE5108" w:rsidRDefault="00DE5108"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p>
    <w:p w14:paraId="123CCFBC" w14:textId="71F3CBA9" w:rsidR="005F5EB2" w:rsidRDefault="005F5EB2"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p>
    <w:p w14:paraId="30D91239" w14:textId="06906838" w:rsidR="005F5EB2" w:rsidRDefault="005F5EB2"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p>
    <w:p w14:paraId="6CFAF1A6" w14:textId="77777777" w:rsidR="005F5EB2" w:rsidRPr="005F377B" w:rsidRDefault="005F5EB2"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p>
    <w:p w14:paraId="7679F93B" w14:textId="1C9F697C" w:rsidR="00DE5108" w:rsidRPr="00B51103" w:rsidRDefault="00195F16"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rPr>
      </w:pPr>
      <w:r w:rsidRPr="00B51103">
        <w:rPr>
          <w:rFonts w:ascii="Times New Roman" w:hAnsi="Times New Roman" w:cs="Times New Roman"/>
          <w:b/>
          <w:szCs w:val="24"/>
        </w:rPr>
        <w:t>Salaries tax</w:t>
      </w:r>
      <w:r w:rsidRPr="00B51103">
        <w:rPr>
          <w:rFonts w:ascii="Times New Roman" w:hAnsi="Times New Roman" w:cs="Times New Roman"/>
          <w:szCs w:val="24"/>
        </w:rPr>
        <w:t xml:space="preserve"> –</w:t>
      </w:r>
      <w:r w:rsidR="00113531" w:rsidRPr="00B51103">
        <w:rPr>
          <w:rFonts w:ascii="Times New Roman" w:hAnsi="Times New Roman" w:cs="Times New Roman" w:hint="eastAsia"/>
          <w:szCs w:val="24"/>
        </w:rPr>
        <w:t xml:space="preserve"> </w:t>
      </w:r>
      <w:r w:rsidR="00113531" w:rsidRPr="00B51103">
        <w:rPr>
          <w:rFonts w:ascii="Times New Roman" w:hAnsi="Times New Roman" w:cs="Times New Roman"/>
          <w:szCs w:val="24"/>
        </w:rPr>
        <w:t xml:space="preserve">whether there was basis for re-opening the assessment of </w:t>
      </w:r>
      <w:r w:rsidR="00113531" w:rsidRPr="00B51103">
        <w:rPr>
          <w:rFonts w:ascii="Times New Roman" w:hAnsi="Times New Roman" w:cs="Times New Roman" w:hint="eastAsia"/>
          <w:szCs w:val="24"/>
        </w:rPr>
        <w:t>salarie</w:t>
      </w:r>
      <w:r w:rsidR="00113531" w:rsidRPr="00B51103">
        <w:rPr>
          <w:rFonts w:ascii="Times New Roman" w:hAnsi="Times New Roman" w:cs="Times New Roman"/>
          <w:szCs w:val="24"/>
        </w:rPr>
        <w:t>s tax</w:t>
      </w:r>
      <w:r w:rsidRPr="00B51103">
        <w:rPr>
          <w:rFonts w:ascii="Times New Roman" w:hAnsi="Times New Roman" w:cs="Times New Roman" w:hint="eastAsia"/>
          <w:szCs w:val="24"/>
        </w:rPr>
        <w:t xml:space="preserve"> </w:t>
      </w:r>
      <w:r w:rsidRPr="00B51103">
        <w:rPr>
          <w:rFonts w:ascii="Times New Roman" w:hAnsi="Times New Roman" w:cs="Times New Roman"/>
          <w:szCs w:val="24"/>
        </w:rPr>
        <w:t xml:space="preserve">– </w:t>
      </w:r>
      <w:r w:rsidR="00113531" w:rsidRPr="00B51103">
        <w:rPr>
          <w:rFonts w:ascii="Times New Roman" w:hAnsi="Times New Roman" w:cs="Times New Roman"/>
          <w:szCs w:val="24"/>
        </w:rPr>
        <w:t>meaning of ‘error and omission’</w:t>
      </w:r>
      <w:r w:rsidRPr="00B51103">
        <w:rPr>
          <w:rFonts w:ascii="Times New Roman" w:hAnsi="Times New Roman" w:cs="Times New Roman" w:hint="eastAsia"/>
          <w:szCs w:val="24"/>
        </w:rPr>
        <w:t xml:space="preserve"> </w:t>
      </w:r>
      <w:r w:rsidR="00113531" w:rsidRPr="00B51103">
        <w:rPr>
          <w:rFonts w:ascii="Times New Roman" w:hAnsi="Times New Roman" w:cs="Times New Roman"/>
          <w:szCs w:val="24"/>
        </w:rPr>
        <w:t xml:space="preserve">– </w:t>
      </w:r>
      <w:r w:rsidR="00113531" w:rsidRPr="00B51103">
        <w:rPr>
          <w:rFonts w:ascii="Times New Roman" w:hAnsi="Times New Roman" w:cs="Times New Roman" w:hint="eastAsia"/>
          <w:szCs w:val="24"/>
        </w:rPr>
        <w:t xml:space="preserve">costs ordered for appeal without merit </w:t>
      </w:r>
      <w:r w:rsidRPr="00B51103">
        <w:rPr>
          <w:rFonts w:ascii="Times New Roman" w:hAnsi="Times New Roman" w:cs="Times New Roman"/>
          <w:szCs w:val="24"/>
        </w:rPr>
        <w:t>–</w:t>
      </w:r>
      <w:r w:rsidRPr="00B51103">
        <w:rPr>
          <w:rFonts w:ascii="Times New Roman" w:hAnsi="Times New Roman" w:cs="Times New Roman" w:hint="eastAsia"/>
          <w:szCs w:val="24"/>
        </w:rPr>
        <w:t xml:space="preserve"> </w:t>
      </w:r>
      <w:r w:rsidRPr="00B51103">
        <w:rPr>
          <w:rFonts w:ascii="Times New Roman" w:hAnsi="Times New Roman" w:cs="Times New Roman"/>
          <w:szCs w:val="24"/>
        </w:rPr>
        <w:t>sections 8</w:t>
      </w:r>
      <w:r w:rsidR="00B953A3" w:rsidRPr="00B51103">
        <w:rPr>
          <w:rFonts w:ascii="Times New Roman" w:hAnsi="Times New Roman" w:cs="Times New Roman" w:hint="eastAsia"/>
          <w:szCs w:val="24"/>
        </w:rPr>
        <w:t>(1)(a)</w:t>
      </w:r>
      <w:r w:rsidRPr="00B51103">
        <w:rPr>
          <w:rFonts w:ascii="Times New Roman" w:hAnsi="Times New Roman" w:cs="Times New Roman"/>
          <w:szCs w:val="24"/>
        </w:rPr>
        <w:t xml:space="preserve">, </w:t>
      </w:r>
      <w:r w:rsidRPr="00B51103">
        <w:rPr>
          <w:rFonts w:ascii="Times New Roman" w:hAnsi="Times New Roman" w:cs="Times New Roman" w:hint="eastAsia"/>
          <w:szCs w:val="24"/>
        </w:rPr>
        <w:t xml:space="preserve">9(1), </w:t>
      </w:r>
      <w:r w:rsidRPr="00B51103">
        <w:rPr>
          <w:rFonts w:ascii="Times New Roman" w:hAnsi="Times New Roman" w:cs="Times New Roman"/>
          <w:szCs w:val="24"/>
        </w:rPr>
        <w:t>9(1)(a)</w:t>
      </w:r>
      <w:r w:rsidRPr="00B51103">
        <w:rPr>
          <w:rFonts w:ascii="Times New Roman" w:hAnsi="Times New Roman" w:cs="Times New Roman" w:hint="eastAsia"/>
          <w:szCs w:val="24"/>
        </w:rPr>
        <w:t xml:space="preserve">, </w:t>
      </w:r>
      <w:r w:rsidR="00B953A3" w:rsidRPr="00B51103">
        <w:rPr>
          <w:rFonts w:ascii="Times New Roman" w:hAnsi="Times New Roman" w:cs="Times New Roman" w:hint="eastAsia"/>
          <w:szCs w:val="24"/>
        </w:rPr>
        <w:t>11B</w:t>
      </w:r>
      <w:r w:rsidRPr="00B51103">
        <w:rPr>
          <w:rFonts w:ascii="Times New Roman" w:hAnsi="Times New Roman" w:cs="Times New Roman"/>
          <w:szCs w:val="24"/>
        </w:rPr>
        <w:t xml:space="preserve">, </w:t>
      </w:r>
      <w:r w:rsidR="00B953A3" w:rsidRPr="00B51103">
        <w:rPr>
          <w:rFonts w:ascii="Times New Roman" w:hAnsi="Times New Roman" w:cs="Times New Roman" w:hint="eastAsia"/>
          <w:szCs w:val="24"/>
        </w:rPr>
        <w:t>11D</w:t>
      </w:r>
      <w:r w:rsidRPr="00B51103">
        <w:rPr>
          <w:rFonts w:ascii="Times New Roman" w:hAnsi="Times New Roman" w:cs="Times New Roman"/>
          <w:szCs w:val="24"/>
        </w:rPr>
        <w:t>,</w:t>
      </w:r>
      <w:r w:rsidRPr="00B51103">
        <w:rPr>
          <w:rFonts w:ascii="Times New Roman" w:hAnsi="Times New Roman" w:cs="Times New Roman" w:hint="eastAsia"/>
          <w:szCs w:val="24"/>
        </w:rPr>
        <w:t xml:space="preserve"> </w:t>
      </w:r>
      <w:r w:rsidR="00B953A3" w:rsidRPr="00B51103">
        <w:rPr>
          <w:rFonts w:ascii="Times New Roman" w:hAnsi="Times New Roman" w:cs="Times New Roman" w:hint="eastAsia"/>
          <w:szCs w:val="24"/>
        </w:rPr>
        <w:t>11D(a), 51</w:t>
      </w:r>
      <w:r w:rsidRPr="00B51103">
        <w:rPr>
          <w:rFonts w:ascii="Times New Roman" w:hAnsi="Times New Roman" w:cs="Times New Roman" w:hint="eastAsia"/>
          <w:szCs w:val="24"/>
        </w:rPr>
        <w:t>(</w:t>
      </w:r>
      <w:r w:rsidR="00B953A3" w:rsidRPr="00B51103">
        <w:rPr>
          <w:rFonts w:ascii="Times New Roman" w:hAnsi="Times New Roman" w:cs="Times New Roman" w:hint="eastAsia"/>
          <w:szCs w:val="24"/>
        </w:rPr>
        <w:t>5</w:t>
      </w:r>
      <w:r w:rsidRPr="00B51103">
        <w:rPr>
          <w:rFonts w:ascii="Times New Roman" w:hAnsi="Times New Roman" w:cs="Times New Roman" w:hint="eastAsia"/>
          <w:szCs w:val="24"/>
        </w:rPr>
        <w:t xml:space="preserve">), </w:t>
      </w:r>
      <w:r w:rsidR="00B953A3" w:rsidRPr="00B51103">
        <w:rPr>
          <w:rFonts w:ascii="Times New Roman" w:hAnsi="Times New Roman" w:cs="Times New Roman" w:hint="eastAsia"/>
          <w:szCs w:val="24"/>
        </w:rPr>
        <w:t>64, 64</w:t>
      </w:r>
      <w:r w:rsidRPr="00B51103">
        <w:rPr>
          <w:rFonts w:ascii="Times New Roman" w:hAnsi="Times New Roman" w:cs="Times New Roman" w:hint="eastAsia"/>
          <w:szCs w:val="24"/>
        </w:rPr>
        <w:t>(</w:t>
      </w:r>
      <w:r w:rsidR="00B953A3" w:rsidRPr="00B51103">
        <w:rPr>
          <w:rFonts w:ascii="Times New Roman" w:hAnsi="Times New Roman" w:cs="Times New Roman" w:hint="eastAsia"/>
          <w:szCs w:val="24"/>
        </w:rPr>
        <w:t>1</w:t>
      </w:r>
      <w:r w:rsidRPr="00B51103">
        <w:rPr>
          <w:rFonts w:ascii="Times New Roman" w:hAnsi="Times New Roman" w:cs="Times New Roman" w:hint="eastAsia"/>
          <w:szCs w:val="24"/>
        </w:rPr>
        <w:t>)</w:t>
      </w:r>
      <w:r w:rsidRPr="00B51103">
        <w:rPr>
          <w:rFonts w:ascii="Times New Roman" w:hAnsi="Times New Roman" w:cs="Times New Roman"/>
          <w:szCs w:val="24"/>
        </w:rPr>
        <w:t xml:space="preserve">, </w:t>
      </w:r>
      <w:r w:rsidR="00AC3FB9" w:rsidRPr="00B51103">
        <w:rPr>
          <w:rFonts w:ascii="Times New Roman" w:hAnsi="Times New Roman" w:cs="Times New Roman" w:hint="eastAsia"/>
          <w:szCs w:val="24"/>
        </w:rPr>
        <w:t xml:space="preserve">66, </w:t>
      </w:r>
      <w:r w:rsidR="00B953A3" w:rsidRPr="00B51103">
        <w:rPr>
          <w:rFonts w:ascii="Times New Roman" w:hAnsi="Times New Roman" w:cs="Times New Roman" w:hint="eastAsia"/>
          <w:szCs w:val="24"/>
        </w:rPr>
        <w:t xml:space="preserve">68, 68(4), </w:t>
      </w:r>
      <w:r w:rsidRPr="00B51103">
        <w:rPr>
          <w:rFonts w:ascii="Times New Roman" w:hAnsi="Times New Roman" w:cs="Times New Roman"/>
          <w:szCs w:val="24"/>
        </w:rPr>
        <w:t>68(</w:t>
      </w:r>
      <w:r w:rsidRPr="00B51103">
        <w:rPr>
          <w:rFonts w:ascii="Times New Roman" w:hAnsi="Times New Roman" w:cs="Times New Roman" w:hint="eastAsia"/>
          <w:szCs w:val="24"/>
        </w:rPr>
        <w:t>9</w:t>
      </w:r>
      <w:r w:rsidRPr="00B51103">
        <w:rPr>
          <w:rFonts w:ascii="Times New Roman" w:hAnsi="Times New Roman" w:cs="Times New Roman"/>
          <w:szCs w:val="24"/>
        </w:rPr>
        <w:t>)</w:t>
      </w:r>
      <w:r w:rsidR="00AC3FB9" w:rsidRPr="00B51103">
        <w:rPr>
          <w:rFonts w:ascii="Times New Roman" w:hAnsi="Times New Roman" w:cs="Times New Roman" w:hint="eastAsia"/>
          <w:szCs w:val="24"/>
        </w:rPr>
        <w:t>,</w:t>
      </w:r>
      <w:r w:rsidRPr="00B51103">
        <w:rPr>
          <w:rFonts w:ascii="Times New Roman" w:hAnsi="Times New Roman" w:cs="Times New Roman"/>
          <w:szCs w:val="24"/>
        </w:rPr>
        <w:t xml:space="preserve"> </w:t>
      </w:r>
      <w:r w:rsidR="00AC3FB9" w:rsidRPr="00B51103">
        <w:rPr>
          <w:rFonts w:ascii="Times New Roman" w:hAnsi="Times New Roman" w:cs="Times New Roman" w:hint="eastAsia"/>
          <w:szCs w:val="24"/>
        </w:rPr>
        <w:t>70A</w:t>
      </w:r>
      <w:r w:rsidR="00B953A3" w:rsidRPr="00B51103">
        <w:rPr>
          <w:rFonts w:ascii="Times New Roman" w:hAnsi="Times New Roman" w:cs="Times New Roman" w:hint="eastAsia"/>
          <w:szCs w:val="24"/>
        </w:rPr>
        <w:t>, 70A(1)</w:t>
      </w:r>
      <w:r w:rsidR="00AC3FB9" w:rsidRPr="00B51103">
        <w:rPr>
          <w:rFonts w:ascii="Times New Roman" w:hAnsi="Times New Roman" w:cs="Times New Roman" w:hint="eastAsia"/>
          <w:szCs w:val="24"/>
        </w:rPr>
        <w:t xml:space="preserve"> </w:t>
      </w:r>
      <w:r w:rsidRPr="00B51103">
        <w:rPr>
          <w:rFonts w:ascii="Times New Roman" w:hAnsi="Times New Roman" w:cs="Times New Roman"/>
          <w:szCs w:val="24"/>
        </w:rPr>
        <w:t>of the Inland Revenue Ordinance (the ‘IRO’)</w:t>
      </w:r>
    </w:p>
    <w:p w14:paraId="06649FE6" w14:textId="0F4738AF" w:rsidR="00DE5108" w:rsidRPr="005F377B" w:rsidRDefault="00DE5108"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p>
    <w:p w14:paraId="5D56ECC1" w14:textId="77777777" w:rsidR="00DE5108" w:rsidRPr="005F377B" w:rsidRDefault="00DE5108" w:rsidP="005F377B">
      <w:pPr>
        <w:widowControl/>
        <w:tabs>
          <w:tab w:val="left" w:pos="0"/>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r w:rsidRPr="005F377B">
        <w:rPr>
          <w:rFonts w:ascii="Times New Roman" w:eastAsia="標楷體" w:hAnsi="Times New Roman" w:cs="Times New Roman"/>
          <w:kern w:val="0"/>
          <w:szCs w:val="24"/>
          <w:lang w:val="en-GB"/>
        </w:rPr>
        <w:t xml:space="preserve">Panel: </w:t>
      </w:r>
      <w:r w:rsidRPr="005F377B">
        <w:rPr>
          <w:rFonts w:ascii="Times New Roman" w:eastAsia="標楷體" w:hAnsi="Times New Roman" w:cs="Times New Roman"/>
          <w:kern w:val="0"/>
          <w:szCs w:val="24"/>
          <w:lang w:val="en-GB" w:eastAsia="zh-HK"/>
        </w:rPr>
        <w:t>Chui Pak Ming Norman (</w:t>
      </w:r>
      <w:r w:rsidRPr="005F377B">
        <w:rPr>
          <w:rFonts w:ascii="Times New Roman" w:eastAsia="標楷體" w:hAnsi="Times New Roman" w:cs="Times New Roman"/>
          <w:kern w:val="0"/>
          <w:szCs w:val="24"/>
          <w:lang w:val="en-GB"/>
        </w:rPr>
        <w:t>chair</w:t>
      </w:r>
      <w:r w:rsidRPr="005F377B">
        <w:rPr>
          <w:rFonts w:ascii="Times New Roman" w:eastAsia="標楷體" w:hAnsi="Times New Roman" w:cs="Times New Roman"/>
          <w:kern w:val="0"/>
          <w:szCs w:val="24"/>
          <w:lang w:val="en-GB" w:eastAsia="zh-HK"/>
        </w:rPr>
        <w:t>man), Hui Lap Tak and Seto Sing Tak.</w:t>
      </w:r>
    </w:p>
    <w:p w14:paraId="6AC59CC6" w14:textId="77777777" w:rsidR="00DE5108" w:rsidRPr="005F377B" w:rsidRDefault="00DE5108" w:rsidP="005F377B">
      <w:pPr>
        <w:widowControl/>
        <w:tabs>
          <w:tab w:val="left" w:pos="840"/>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p>
    <w:p w14:paraId="3A1C5104" w14:textId="77777777" w:rsidR="00DE5108" w:rsidRPr="005F377B" w:rsidRDefault="00DE5108" w:rsidP="005F377B">
      <w:pPr>
        <w:widowControl/>
        <w:tabs>
          <w:tab w:val="left" w:pos="840"/>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r w:rsidRPr="005F377B">
        <w:rPr>
          <w:rFonts w:ascii="Times New Roman" w:eastAsia="標楷體" w:hAnsi="Times New Roman" w:cs="Times New Roman"/>
          <w:kern w:val="0"/>
          <w:szCs w:val="24"/>
          <w:lang w:val="en-GB"/>
        </w:rPr>
        <w:t>Date of hearing: 5 October 2022.</w:t>
      </w:r>
    </w:p>
    <w:p w14:paraId="6B5CCE4F" w14:textId="77777777" w:rsidR="00DE5108" w:rsidRPr="005F377B" w:rsidRDefault="00DE5108" w:rsidP="005F377B">
      <w:pPr>
        <w:widowControl/>
        <w:tabs>
          <w:tab w:val="left" w:pos="840"/>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r w:rsidRPr="005F377B">
        <w:rPr>
          <w:rFonts w:ascii="Times New Roman" w:eastAsia="標楷體" w:hAnsi="Times New Roman" w:cs="Times New Roman"/>
          <w:kern w:val="0"/>
          <w:szCs w:val="24"/>
          <w:lang w:val="en-GB"/>
        </w:rPr>
        <w:t>Date of decision: 24 April 2023.</w:t>
      </w:r>
    </w:p>
    <w:p w14:paraId="62638DF4" w14:textId="3B946117" w:rsidR="00DE5108" w:rsidRDefault="00DE5108" w:rsidP="005F377B">
      <w:pPr>
        <w:widowControl/>
        <w:tabs>
          <w:tab w:val="left" w:pos="840"/>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eastAsia="zh-HK"/>
        </w:rPr>
      </w:pPr>
    </w:p>
    <w:p w14:paraId="465D8752" w14:textId="77777777" w:rsidR="005F5EB2" w:rsidRPr="005F377B" w:rsidRDefault="005F5EB2" w:rsidP="005F377B">
      <w:pPr>
        <w:widowControl/>
        <w:tabs>
          <w:tab w:val="left" w:pos="840"/>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eastAsia="zh-HK"/>
        </w:rPr>
      </w:pPr>
    </w:p>
    <w:p w14:paraId="1C522A13" w14:textId="7FCC7EF1" w:rsidR="004C195E" w:rsidRPr="005301E4" w:rsidRDefault="004C195E" w:rsidP="00654AE1">
      <w:pPr>
        <w:ind w:firstLineChars="472" w:firstLine="1133"/>
        <w:jc w:val="both"/>
        <w:rPr>
          <w:rFonts w:ascii="Times New Roman" w:hAnsi="Times New Roman"/>
          <w:szCs w:val="24"/>
        </w:rPr>
      </w:pPr>
      <w:r w:rsidRPr="005301E4">
        <w:rPr>
          <w:rFonts w:ascii="Times New Roman" w:hAnsi="Times New Roman"/>
          <w:szCs w:val="24"/>
        </w:rPr>
        <w:t>Company A (‘the Company’)</w:t>
      </w:r>
      <w:r w:rsidRPr="005301E4">
        <w:rPr>
          <w:rFonts w:ascii="Times New Roman" w:hAnsi="Times New Roman" w:hint="eastAsia"/>
          <w:szCs w:val="24"/>
        </w:rPr>
        <w:t xml:space="preserve"> filed </w:t>
      </w:r>
      <w:r w:rsidR="00F34CD9" w:rsidRPr="005301E4">
        <w:rPr>
          <w:rFonts w:ascii="Times New Roman" w:hAnsi="Times New Roman"/>
          <w:szCs w:val="24"/>
        </w:rPr>
        <w:t xml:space="preserve">employer’s </w:t>
      </w:r>
      <w:r w:rsidRPr="005301E4">
        <w:rPr>
          <w:rFonts w:ascii="Times New Roman" w:hAnsi="Times New Roman"/>
          <w:szCs w:val="24"/>
        </w:rPr>
        <w:t>returns of remuneration and pensions</w:t>
      </w:r>
      <w:r w:rsidRPr="005301E4">
        <w:rPr>
          <w:rFonts w:ascii="Times New Roman" w:hAnsi="Times New Roman" w:hint="eastAsia"/>
          <w:szCs w:val="24"/>
        </w:rPr>
        <w:t xml:space="preserve"> </w:t>
      </w:r>
      <w:r w:rsidRPr="005301E4">
        <w:rPr>
          <w:rFonts w:ascii="Times New Roman" w:hAnsi="Times New Roman"/>
          <w:szCs w:val="24"/>
        </w:rPr>
        <w:t>of Mr B (‘the Appellant’), the Company’s director, for the years of assessment 2007/08 to 2011/12</w:t>
      </w:r>
      <w:r w:rsidRPr="005301E4">
        <w:rPr>
          <w:rFonts w:ascii="Times New Roman" w:hAnsi="Times New Roman" w:hint="eastAsia"/>
          <w:szCs w:val="24"/>
        </w:rPr>
        <w:t>.</w:t>
      </w:r>
      <w:r w:rsidR="002D476C" w:rsidRPr="005301E4">
        <w:rPr>
          <w:rFonts w:ascii="Times New Roman" w:hAnsi="Times New Roman" w:hint="eastAsia"/>
          <w:szCs w:val="24"/>
        </w:rPr>
        <w:t xml:space="preserve"> </w:t>
      </w:r>
      <w:r w:rsidR="002D476C" w:rsidRPr="005301E4">
        <w:rPr>
          <w:rFonts w:ascii="Times New Roman" w:hAnsi="Times New Roman"/>
          <w:szCs w:val="24"/>
        </w:rPr>
        <w:t>The employer’s returns were signed by the Appellant in the capacity of the Company’s director.</w:t>
      </w:r>
    </w:p>
    <w:p w14:paraId="632ED810" w14:textId="77777777" w:rsidR="00654AE1" w:rsidRPr="005301E4" w:rsidRDefault="00654AE1" w:rsidP="00654AE1">
      <w:pPr>
        <w:ind w:firstLineChars="472" w:firstLine="1133"/>
        <w:jc w:val="both"/>
        <w:rPr>
          <w:rFonts w:ascii="Times New Roman" w:hAnsi="Times New Roman"/>
          <w:szCs w:val="24"/>
        </w:rPr>
      </w:pPr>
    </w:p>
    <w:p w14:paraId="3EE3A9D4" w14:textId="21E3DB7E" w:rsidR="002028D2" w:rsidRPr="005301E4" w:rsidRDefault="002028D2" w:rsidP="00F006C5">
      <w:pPr>
        <w:overflowPunct w:val="0"/>
        <w:autoSpaceDE w:val="0"/>
        <w:autoSpaceDN w:val="0"/>
        <w:ind w:firstLineChars="472" w:firstLine="1133"/>
        <w:jc w:val="both"/>
        <w:rPr>
          <w:rFonts w:ascii="Times New Roman" w:hAnsi="Times New Roman"/>
          <w:szCs w:val="24"/>
        </w:rPr>
      </w:pPr>
      <w:r w:rsidRPr="005301E4">
        <w:rPr>
          <w:rFonts w:ascii="Times New Roman" w:hAnsi="Times New Roman"/>
          <w:szCs w:val="24"/>
        </w:rPr>
        <w:t>The Assessor raised on the Appellant Salaries Tax Assessments for the years of assessment 2007/08 and 2009/10 to 2011/12 and the Revised Salaries Tax Assessment for the year of assessment 2008/09 (collectively ‘the Subject Assessments’)</w:t>
      </w:r>
      <w:r w:rsidR="000E3887" w:rsidRPr="005301E4">
        <w:rPr>
          <w:rFonts w:ascii="Times New Roman" w:hAnsi="Times New Roman" w:hint="eastAsia"/>
          <w:szCs w:val="24"/>
        </w:rPr>
        <w:t>.</w:t>
      </w:r>
      <w:r w:rsidR="004F5303" w:rsidRPr="005301E4">
        <w:rPr>
          <w:rFonts w:ascii="Times New Roman" w:hAnsi="Times New Roman" w:hint="eastAsia"/>
          <w:szCs w:val="24"/>
        </w:rPr>
        <w:t xml:space="preserve"> </w:t>
      </w:r>
      <w:r w:rsidR="004F5303" w:rsidRPr="005301E4">
        <w:rPr>
          <w:rFonts w:ascii="Times New Roman" w:hAnsi="Times New Roman"/>
          <w:szCs w:val="24"/>
        </w:rPr>
        <w:t>None of the Subject Assessments were objected to by the Appellant either by himself or his tax representative within 30 days from their respective dates of issuance.</w:t>
      </w:r>
      <w:r w:rsidR="00E85BB5" w:rsidRPr="005301E4">
        <w:rPr>
          <w:rFonts w:ascii="Times New Roman" w:hAnsi="Times New Roman" w:hint="eastAsia"/>
          <w:szCs w:val="24"/>
        </w:rPr>
        <w:t xml:space="preserve"> </w:t>
      </w:r>
    </w:p>
    <w:p w14:paraId="3D6831F6" w14:textId="77777777" w:rsidR="00654AE1" w:rsidRPr="005301E4" w:rsidRDefault="00654AE1" w:rsidP="00F006C5">
      <w:pPr>
        <w:overflowPunct w:val="0"/>
        <w:autoSpaceDE w:val="0"/>
        <w:autoSpaceDN w:val="0"/>
        <w:ind w:firstLineChars="200" w:firstLine="480"/>
        <w:jc w:val="both"/>
        <w:rPr>
          <w:rFonts w:ascii="Times New Roman" w:hAnsi="Times New Roman"/>
          <w:szCs w:val="24"/>
        </w:rPr>
      </w:pPr>
    </w:p>
    <w:p w14:paraId="180DA946" w14:textId="5B87286A" w:rsidR="00AE3178" w:rsidRPr="005301E4" w:rsidRDefault="0098199E" w:rsidP="00F006C5">
      <w:pPr>
        <w:overflowPunct w:val="0"/>
        <w:autoSpaceDE w:val="0"/>
        <w:autoSpaceDN w:val="0"/>
        <w:ind w:firstLineChars="472" w:firstLine="1133"/>
        <w:jc w:val="both"/>
        <w:rPr>
          <w:rFonts w:ascii="Times New Roman" w:hAnsi="Times New Roman"/>
          <w:szCs w:val="24"/>
        </w:rPr>
      </w:pPr>
      <w:r w:rsidRPr="005301E4">
        <w:rPr>
          <w:rFonts w:ascii="Times New Roman" w:hAnsi="Times New Roman"/>
          <w:szCs w:val="24"/>
        </w:rPr>
        <w:t>By a letter dated 28 January 2013, the Company stated, among others, that it used to pay commission to the director at year end based on the annual performance.</w:t>
      </w:r>
      <w:r w:rsidRPr="005301E4">
        <w:rPr>
          <w:rFonts w:ascii="Times New Roman" w:hAnsi="Times New Roman" w:hint="eastAsia"/>
          <w:szCs w:val="24"/>
        </w:rPr>
        <w:t xml:space="preserve"> </w:t>
      </w:r>
      <w:r w:rsidR="00DF0D3D" w:rsidRPr="005301E4">
        <w:rPr>
          <w:rFonts w:ascii="Times New Roman" w:hAnsi="Times New Roman"/>
          <w:szCs w:val="24"/>
        </w:rPr>
        <w:t>On 18 September 2013, the Appellant, through A Golden Champion CPA Limited (‘the Former Representative’), made an application to correct the Subject Assessments under section 70A of</w:t>
      </w:r>
      <w:r w:rsidR="00201CD0" w:rsidRPr="005301E4">
        <w:rPr>
          <w:rFonts w:ascii="Times New Roman" w:hAnsi="Times New Roman" w:hint="eastAsia"/>
          <w:szCs w:val="24"/>
        </w:rPr>
        <w:t xml:space="preserve"> the</w:t>
      </w:r>
      <w:r w:rsidR="00DF0D3D" w:rsidRPr="005301E4">
        <w:rPr>
          <w:rFonts w:ascii="Times New Roman" w:hAnsi="Times New Roman"/>
          <w:szCs w:val="24"/>
        </w:rPr>
        <w:t xml:space="preserve"> IRO</w:t>
      </w:r>
      <w:r w:rsidR="00DF0D3D" w:rsidRPr="005301E4">
        <w:rPr>
          <w:rFonts w:ascii="Times New Roman" w:hAnsi="Times New Roman" w:hint="eastAsia"/>
          <w:szCs w:val="24"/>
        </w:rPr>
        <w:t>.</w:t>
      </w:r>
      <w:r w:rsidR="00B65B9E" w:rsidRPr="005301E4">
        <w:rPr>
          <w:rFonts w:ascii="Times New Roman" w:hAnsi="Times New Roman" w:hint="eastAsia"/>
          <w:szCs w:val="24"/>
        </w:rPr>
        <w:t xml:space="preserve"> </w:t>
      </w:r>
      <w:r w:rsidR="00B65B9E" w:rsidRPr="005301E4">
        <w:rPr>
          <w:rFonts w:ascii="Times New Roman" w:hAnsi="Times New Roman"/>
          <w:szCs w:val="24"/>
        </w:rPr>
        <w:t>The Assessor conducted a tax audit on the tax affairs of the Appellant. On 6 February 2015 and pending the outcome of the tax audit, she raised on the Appellant additional salaries tax assessment for the year of assessment 2008/09 (‘Additional Salaries Tax Assessment for 2008/09’)</w:t>
      </w:r>
      <w:r w:rsidR="00345B6A" w:rsidRPr="005301E4">
        <w:rPr>
          <w:rFonts w:ascii="Times New Roman" w:hAnsi="Times New Roman" w:hint="eastAsia"/>
          <w:szCs w:val="24"/>
        </w:rPr>
        <w:t>.</w:t>
      </w:r>
      <w:r w:rsidR="00C02C47" w:rsidRPr="005301E4">
        <w:rPr>
          <w:rFonts w:ascii="Times New Roman" w:hAnsi="Times New Roman" w:hint="eastAsia"/>
          <w:szCs w:val="24"/>
        </w:rPr>
        <w:t xml:space="preserve"> </w:t>
      </w:r>
      <w:r w:rsidR="00C02C47" w:rsidRPr="005301E4">
        <w:rPr>
          <w:rFonts w:ascii="Times New Roman" w:hAnsi="Times New Roman"/>
          <w:szCs w:val="24"/>
        </w:rPr>
        <w:t xml:space="preserve">From the Company’s books and records, the Assessor ascertained </w:t>
      </w:r>
      <w:r w:rsidR="00C02C47" w:rsidRPr="005301E4">
        <w:rPr>
          <w:rFonts w:ascii="Times New Roman" w:hAnsi="Times New Roman" w:hint="eastAsia"/>
          <w:szCs w:val="24"/>
        </w:rPr>
        <w:t xml:space="preserve">a </w:t>
      </w:r>
      <w:r w:rsidR="00C02C47" w:rsidRPr="005301E4">
        <w:rPr>
          <w:rFonts w:ascii="Times New Roman" w:hAnsi="Times New Roman"/>
          <w:szCs w:val="24"/>
        </w:rPr>
        <w:t>number</w:t>
      </w:r>
      <w:r w:rsidR="00C02C47" w:rsidRPr="005301E4">
        <w:rPr>
          <w:rFonts w:ascii="Times New Roman" w:hAnsi="Times New Roman" w:hint="eastAsia"/>
          <w:szCs w:val="24"/>
        </w:rPr>
        <w:t xml:space="preserve"> of things, including </w:t>
      </w:r>
      <w:r w:rsidR="001E5FA9" w:rsidRPr="005301E4">
        <w:rPr>
          <w:rFonts w:ascii="Times New Roman" w:hAnsi="Times New Roman"/>
          <w:szCs w:val="24"/>
        </w:rPr>
        <w:t>an item described as ‘staff quarters’ of $941,832.60 (‘the Sum’)</w:t>
      </w:r>
      <w:r w:rsidR="001E5FA9" w:rsidRPr="005301E4">
        <w:rPr>
          <w:rFonts w:ascii="Times New Roman" w:hAnsi="Times New Roman" w:hint="eastAsia"/>
          <w:szCs w:val="24"/>
        </w:rPr>
        <w:t xml:space="preserve"> in t</w:t>
      </w:r>
      <w:r w:rsidR="00C02C47" w:rsidRPr="005301E4">
        <w:rPr>
          <w:rFonts w:ascii="Times New Roman" w:hAnsi="Times New Roman"/>
          <w:szCs w:val="24"/>
        </w:rPr>
        <w:t>he Company’s entertainment and marketing expenses charged for the year ended 31 December 2008</w:t>
      </w:r>
      <w:r w:rsidR="001E5FA9" w:rsidRPr="005301E4">
        <w:rPr>
          <w:rFonts w:ascii="Times New Roman" w:hAnsi="Times New Roman" w:hint="eastAsia"/>
          <w:szCs w:val="24"/>
        </w:rPr>
        <w:t>.</w:t>
      </w:r>
    </w:p>
    <w:p w14:paraId="6B265CFF" w14:textId="77777777" w:rsidR="00654AE1" w:rsidRPr="005301E4" w:rsidRDefault="00654AE1" w:rsidP="00F006C5">
      <w:pPr>
        <w:overflowPunct w:val="0"/>
        <w:autoSpaceDE w:val="0"/>
        <w:autoSpaceDN w:val="0"/>
        <w:ind w:firstLineChars="200" w:firstLine="480"/>
        <w:jc w:val="both"/>
        <w:rPr>
          <w:rFonts w:ascii="Times New Roman" w:hAnsi="Times New Roman"/>
          <w:szCs w:val="24"/>
        </w:rPr>
      </w:pPr>
    </w:p>
    <w:p w14:paraId="069D4829" w14:textId="7D2D748E" w:rsidR="001F70FB" w:rsidRPr="005301E4" w:rsidRDefault="001F70FB" w:rsidP="00F006C5">
      <w:pPr>
        <w:overflowPunct w:val="0"/>
        <w:autoSpaceDE w:val="0"/>
        <w:autoSpaceDN w:val="0"/>
        <w:ind w:firstLineChars="472" w:firstLine="1133"/>
        <w:jc w:val="both"/>
        <w:rPr>
          <w:rFonts w:ascii="Times New Roman" w:hAnsi="Times New Roman"/>
          <w:szCs w:val="24"/>
        </w:rPr>
      </w:pPr>
      <w:r w:rsidRPr="005301E4">
        <w:rPr>
          <w:rFonts w:ascii="Times New Roman" w:hAnsi="Times New Roman"/>
          <w:szCs w:val="24"/>
        </w:rPr>
        <w:t xml:space="preserve">In response to the Assessor’s enquiries, the Company, either by itself or through the Former Representative, </w:t>
      </w:r>
      <w:r w:rsidRPr="005301E4">
        <w:rPr>
          <w:rFonts w:ascii="Times New Roman" w:hAnsi="Times New Roman" w:hint="eastAsia"/>
          <w:szCs w:val="24"/>
        </w:rPr>
        <w:t>furnished further</w:t>
      </w:r>
      <w:r w:rsidRPr="005301E4">
        <w:rPr>
          <w:rFonts w:ascii="Times New Roman" w:hAnsi="Times New Roman"/>
          <w:szCs w:val="24"/>
        </w:rPr>
        <w:t xml:space="preserve"> information</w:t>
      </w:r>
      <w:r w:rsidRPr="005301E4">
        <w:rPr>
          <w:rFonts w:ascii="Times New Roman" w:hAnsi="Times New Roman" w:hint="eastAsia"/>
          <w:szCs w:val="24"/>
        </w:rPr>
        <w:t xml:space="preserve">. </w:t>
      </w:r>
      <w:r w:rsidR="009B068A" w:rsidRPr="005301E4">
        <w:rPr>
          <w:rFonts w:ascii="Times New Roman" w:hAnsi="Times New Roman"/>
          <w:szCs w:val="24"/>
        </w:rPr>
        <w:t>The Assessor was not satisfied that the tax charged on the Appellant under the Subject Assessments were excessive by reason of an error or omission, as prescribed by section 70A of the IRO. By a letter dated 27 June 2019, the Assessor refused the Appellant’s application for correction of the Subject Assessments.</w:t>
      </w:r>
    </w:p>
    <w:p w14:paraId="53DD596E" w14:textId="77777777" w:rsidR="00654AE1" w:rsidRPr="005301E4" w:rsidRDefault="00654AE1" w:rsidP="00195F16">
      <w:pPr>
        <w:ind w:firstLineChars="200" w:firstLine="480"/>
        <w:jc w:val="both"/>
        <w:rPr>
          <w:rFonts w:ascii="Times New Roman" w:hAnsi="Times New Roman"/>
          <w:szCs w:val="24"/>
        </w:rPr>
      </w:pPr>
    </w:p>
    <w:p w14:paraId="15EF7BE6" w14:textId="39101DDB" w:rsidR="00DE7469" w:rsidRPr="005301E4" w:rsidRDefault="00AE347F" w:rsidP="00F006C5">
      <w:pPr>
        <w:overflowPunct w:val="0"/>
        <w:autoSpaceDE w:val="0"/>
        <w:autoSpaceDN w:val="0"/>
        <w:ind w:firstLineChars="472" w:firstLine="1133"/>
        <w:jc w:val="both"/>
        <w:rPr>
          <w:rFonts w:ascii="Times New Roman" w:hAnsi="Times New Roman"/>
          <w:szCs w:val="24"/>
        </w:rPr>
      </w:pPr>
      <w:r w:rsidRPr="005301E4">
        <w:rPr>
          <w:rFonts w:ascii="Times New Roman" w:hAnsi="Times New Roman"/>
          <w:szCs w:val="24"/>
        </w:rPr>
        <w:t xml:space="preserve">The Appellant, through Asia Fortune Consultants Limited (‘the </w:t>
      </w:r>
      <w:r w:rsidRPr="005301E4">
        <w:rPr>
          <w:rFonts w:ascii="Times New Roman" w:hAnsi="Times New Roman"/>
          <w:szCs w:val="24"/>
        </w:rPr>
        <w:lastRenderedPageBreak/>
        <w:t>Representative’), on 25 July 2019 objected to the Assessor’s refusal</w:t>
      </w:r>
      <w:r w:rsidRPr="005301E4">
        <w:rPr>
          <w:rFonts w:ascii="Times New Roman" w:hAnsi="Times New Roman" w:hint="eastAsia"/>
          <w:szCs w:val="24"/>
        </w:rPr>
        <w:t>.</w:t>
      </w:r>
      <w:r w:rsidR="00777F1E" w:rsidRPr="005301E4">
        <w:rPr>
          <w:rFonts w:ascii="Times New Roman" w:hAnsi="Times New Roman" w:hint="eastAsia"/>
          <w:szCs w:val="24"/>
        </w:rPr>
        <w:t xml:space="preserve"> </w:t>
      </w:r>
      <w:r w:rsidR="00777F1E" w:rsidRPr="005301E4">
        <w:rPr>
          <w:rFonts w:ascii="Times New Roman" w:hAnsi="Times New Roman"/>
          <w:szCs w:val="24"/>
        </w:rPr>
        <w:t xml:space="preserve">The Assessor maintained the view that the Subject Assessments should not be revised pursuant to section 70A of the IRO. However, she </w:t>
      </w:r>
      <w:r w:rsidR="00777F1E" w:rsidRPr="005301E4">
        <w:rPr>
          <w:rFonts w:ascii="Times New Roman" w:hAnsi="Times New Roman" w:hint="eastAsia"/>
          <w:szCs w:val="24"/>
        </w:rPr>
        <w:t>wa</w:t>
      </w:r>
      <w:r w:rsidR="00777F1E" w:rsidRPr="005301E4">
        <w:rPr>
          <w:rFonts w:ascii="Times New Roman" w:hAnsi="Times New Roman"/>
          <w:szCs w:val="24"/>
        </w:rPr>
        <w:t>s of the view that the Sum was a staff benefit provided by the Company and should be chargeable to Salaries Tax. She consider</w:t>
      </w:r>
      <w:r w:rsidR="00777F1E" w:rsidRPr="005301E4">
        <w:rPr>
          <w:rFonts w:ascii="Times New Roman" w:hAnsi="Times New Roman" w:hint="eastAsia"/>
          <w:szCs w:val="24"/>
        </w:rPr>
        <w:t>ed</w:t>
      </w:r>
      <w:r w:rsidR="00777F1E" w:rsidRPr="005301E4">
        <w:rPr>
          <w:rFonts w:ascii="Times New Roman" w:hAnsi="Times New Roman"/>
          <w:szCs w:val="24"/>
        </w:rPr>
        <w:t xml:space="preserve"> that the Additional Salaries Tax Assessment for the year of assessment 2008/09 should be revised</w:t>
      </w:r>
      <w:r w:rsidR="00777F1E" w:rsidRPr="005301E4">
        <w:rPr>
          <w:rFonts w:ascii="Times New Roman" w:hAnsi="Times New Roman" w:hint="eastAsia"/>
          <w:szCs w:val="24"/>
        </w:rPr>
        <w:t>.</w:t>
      </w:r>
    </w:p>
    <w:p w14:paraId="3A5634EC" w14:textId="77777777" w:rsidR="00654AE1" w:rsidRPr="005301E4" w:rsidRDefault="00654AE1" w:rsidP="00195F16">
      <w:pPr>
        <w:ind w:firstLineChars="200" w:firstLine="480"/>
        <w:jc w:val="both"/>
        <w:rPr>
          <w:rFonts w:ascii="Times New Roman" w:hAnsi="Times New Roman"/>
          <w:szCs w:val="24"/>
        </w:rPr>
      </w:pPr>
    </w:p>
    <w:p w14:paraId="5188DF44" w14:textId="1BF91EBD" w:rsidR="00777F1E" w:rsidRPr="005301E4" w:rsidRDefault="00083C41" w:rsidP="00F006C5">
      <w:pPr>
        <w:overflowPunct w:val="0"/>
        <w:autoSpaceDE w:val="0"/>
        <w:autoSpaceDN w:val="0"/>
        <w:ind w:firstLineChars="472" w:firstLine="1133"/>
        <w:jc w:val="both"/>
        <w:rPr>
          <w:rFonts w:ascii="Times New Roman" w:hAnsi="Times New Roman"/>
          <w:szCs w:val="24"/>
        </w:rPr>
      </w:pPr>
      <w:r w:rsidRPr="005301E4">
        <w:rPr>
          <w:rFonts w:ascii="Times New Roman" w:hAnsi="Times New Roman"/>
          <w:szCs w:val="24"/>
        </w:rPr>
        <w:t xml:space="preserve">The </w:t>
      </w:r>
      <w:r w:rsidR="006D1CD3" w:rsidRPr="005301E4">
        <w:rPr>
          <w:rFonts w:ascii="Times New Roman" w:hAnsi="Times New Roman" w:hint="eastAsia"/>
          <w:szCs w:val="24"/>
        </w:rPr>
        <w:t>Appellant</w:t>
      </w:r>
      <w:r w:rsidR="006D1CD3" w:rsidRPr="005301E4">
        <w:rPr>
          <w:rFonts w:ascii="Times New Roman" w:hAnsi="Times New Roman"/>
          <w:szCs w:val="24"/>
        </w:rPr>
        <w:t>’</w:t>
      </w:r>
      <w:r w:rsidR="006D1CD3" w:rsidRPr="005301E4">
        <w:rPr>
          <w:rFonts w:ascii="Times New Roman" w:hAnsi="Times New Roman" w:hint="eastAsia"/>
          <w:szCs w:val="24"/>
        </w:rPr>
        <w:t xml:space="preserve">s </w:t>
      </w:r>
      <w:r w:rsidRPr="005301E4">
        <w:rPr>
          <w:rFonts w:ascii="Times New Roman" w:hAnsi="Times New Roman"/>
          <w:szCs w:val="24"/>
        </w:rPr>
        <w:t xml:space="preserve">objections were considered by the Respondent. </w:t>
      </w:r>
      <w:r w:rsidR="006E09A5" w:rsidRPr="005301E4">
        <w:rPr>
          <w:rFonts w:ascii="Times New Roman" w:hAnsi="Times New Roman" w:hint="eastAsia"/>
          <w:szCs w:val="24"/>
        </w:rPr>
        <w:t>O</w:t>
      </w:r>
      <w:r w:rsidRPr="005301E4">
        <w:rPr>
          <w:rFonts w:ascii="Times New Roman" w:hAnsi="Times New Roman"/>
          <w:szCs w:val="24"/>
        </w:rPr>
        <w:t>n 4 January 2022, the Acting Deputy Commissioner of Inland Revenue made determinations on the Appellant’s objections</w:t>
      </w:r>
      <w:r w:rsidR="006E09A5" w:rsidRPr="005301E4">
        <w:rPr>
          <w:rFonts w:ascii="Times New Roman" w:hAnsi="Times New Roman" w:hint="eastAsia"/>
          <w:szCs w:val="24"/>
        </w:rPr>
        <w:t xml:space="preserve"> </w:t>
      </w:r>
      <w:r w:rsidR="006E09A5" w:rsidRPr="005301E4">
        <w:rPr>
          <w:rFonts w:ascii="Times New Roman" w:hAnsi="Times New Roman"/>
          <w:szCs w:val="24"/>
        </w:rPr>
        <w:t>(‘the Determination’)</w:t>
      </w:r>
      <w:r w:rsidRPr="005301E4">
        <w:rPr>
          <w:rFonts w:ascii="Times New Roman" w:hAnsi="Times New Roman" w:hint="eastAsia"/>
          <w:szCs w:val="24"/>
        </w:rPr>
        <w:t>.</w:t>
      </w:r>
      <w:r w:rsidR="00634A2E" w:rsidRPr="005301E4">
        <w:rPr>
          <w:rFonts w:ascii="Times New Roman" w:hAnsi="Times New Roman" w:hint="eastAsia"/>
          <w:szCs w:val="24"/>
        </w:rPr>
        <w:t xml:space="preserve"> </w:t>
      </w:r>
      <w:r w:rsidR="00634A2E" w:rsidRPr="005301E4">
        <w:rPr>
          <w:rFonts w:ascii="Times New Roman" w:hAnsi="Times New Roman"/>
          <w:szCs w:val="24"/>
        </w:rPr>
        <w:t>The Appellant was not satisfied with the Determination. By his letter of 4 February 2022, the Appellant filed a Notice of Appeal together with the requisite documents with the Board of Review (‘Board’) under section 66 of the IRO appealing against the Determination.</w:t>
      </w:r>
    </w:p>
    <w:p w14:paraId="3F1CE8D7" w14:textId="77777777" w:rsidR="00654AE1" w:rsidRPr="005301E4" w:rsidRDefault="00654AE1" w:rsidP="00F006C5">
      <w:pPr>
        <w:overflowPunct w:val="0"/>
        <w:autoSpaceDE w:val="0"/>
        <w:autoSpaceDN w:val="0"/>
        <w:ind w:firstLineChars="200" w:firstLine="480"/>
        <w:jc w:val="both"/>
        <w:rPr>
          <w:rFonts w:ascii="Times New Roman" w:hAnsi="Times New Roman"/>
          <w:szCs w:val="24"/>
        </w:rPr>
      </w:pPr>
    </w:p>
    <w:p w14:paraId="5017824D" w14:textId="2F8C0DDF" w:rsidR="00777F1E" w:rsidRPr="005301E4" w:rsidRDefault="00FD66C1" w:rsidP="00F006C5">
      <w:pPr>
        <w:overflowPunct w:val="0"/>
        <w:autoSpaceDE w:val="0"/>
        <w:autoSpaceDN w:val="0"/>
        <w:ind w:firstLineChars="472" w:firstLine="1133"/>
        <w:jc w:val="both"/>
        <w:rPr>
          <w:rFonts w:ascii="Times New Roman" w:hAnsi="Times New Roman"/>
          <w:szCs w:val="24"/>
        </w:rPr>
      </w:pPr>
      <w:r w:rsidRPr="005301E4">
        <w:rPr>
          <w:rFonts w:ascii="Times New Roman" w:hAnsi="Times New Roman"/>
          <w:szCs w:val="24"/>
        </w:rPr>
        <w:t>Having considered the background of the case and the grounds of appeal relied on by the Appellant, the Board fe</w:t>
      </w:r>
      <w:r w:rsidRPr="005301E4">
        <w:rPr>
          <w:rFonts w:ascii="Times New Roman" w:hAnsi="Times New Roman" w:hint="eastAsia"/>
          <w:szCs w:val="24"/>
        </w:rPr>
        <w:t>lt</w:t>
      </w:r>
      <w:r w:rsidRPr="005301E4">
        <w:rPr>
          <w:rFonts w:ascii="Times New Roman" w:hAnsi="Times New Roman"/>
          <w:szCs w:val="24"/>
        </w:rPr>
        <w:t xml:space="preserve"> that the issues for the Board to determine </w:t>
      </w:r>
      <w:r w:rsidRPr="005301E4">
        <w:rPr>
          <w:rFonts w:ascii="Times New Roman" w:hAnsi="Times New Roman" w:hint="eastAsia"/>
          <w:szCs w:val="24"/>
        </w:rPr>
        <w:t>were</w:t>
      </w:r>
      <w:r w:rsidRPr="005301E4">
        <w:rPr>
          <w:rFonts w:ascii="Times New Roman" w:hAnsi="Times New Roman"/>
          <w:szCs w:val="24"/>
        </w:rPr>
        <w:t>:</w:t>
      </w:r>
      <w:r w:rsidRPr="005301E4">
        <w:rPr>
          <w:rFonts w:ascii="Times New Roman" w:hAnsi="Times New Roman" w:hint="eastAsia"/>
          <w:szCs w:val="24"/>
        </w:rPr>
        <w:t xml:space="preserve"> </w:t>
      </w:r>
      <w:r w:rsidR="004A1108" w:rsidRPr="005301E4">
        <w:rPr>
          <w:rFonts w:ascii="Times New Roman" w:hAnsi="Times New Roman"/>
          <w:szCs w:val="24"/>
        </w:rPr>
        <w:t>(a)</w:t>
      </w:r>
      <w:r w:rsidR="001F4484" w:rsidRPr="005301E4">
        <w:rPr>
          <w:rFonts w:ascii="Times New Roman" w:hAnsi="Times New Roman" w:hint="eastAsia"/>
          <w:szCs w:val="24"/>
        </w:rPr>
        <w:t xml:space="preserve"> </w:t>
      </w:r>
      <w:r w:rsidR="004A1108" w:rsidRPr="005301E4">
        <w:rPr>
          <w:rFonts w:ascii="Times New Roman" w:hAnsi="Times New Roman"/>
          <w:szCs w:val="24"/>
        </w:rPr>
        <w:t>whether the Subject Assessments bec</w:t>
      </w:r>
      <w:r w:rsidR="00151443" w:rsidRPr="005301E4">
        <w:rPr>
          <w:rFonts w:ascii="Times New Roman" w:hAnsi="Times New Roman" w:hint="eastAsia"/>
          <w:szCs w:val="24"/>
        </w:rPr>
        <w:t>a</w:t>
      </w:r>
      <w:r w:rsidR="004A1108" w:rsidRPr="005301E4">
        <w:rPr>
          <w:rFonts w:ascii="Times New Roman" w:hAnsi="Times New Roman"/>
          <w:szCs w:val="24"/>
        </w:rPr>
        <w:t>me final and conclusive;</w:t>
      </w:r>
      <w:r w:rsidR="001F4484" w:rsidRPr="005301E4">
        <w:rPr>
          <w:rFonts w:ascii="Times New Roman" w:hAnsi="Times New Roman" w:hint="eastAsia"/>
          <w:szCs w:val="24"/>
        </w:rPr>
        <w:t xml:space="preserve"> (b) </w:t>
      </w:r>
      <w:r w:rsidR="001F4484" w:rsidRPr="005301E4">
        <w:rPr>
          <w:rFonts w:ascii="Times New Roman" w:hAnsi="Times New Roman"/>
          <w:szCs w:val="24"/>
        </w:rPr>
        <w:t>if so, whether they c</w:t>
      </w:r>
      <w:r w:rsidR="00151443" w:rsidRPr="005301E4">
        <w:rPr>
          <w:rFonts w:ascii="Times New Roman" w:hAnsi="Times New Roman" w:hint="eastAsia"/>
          <w:szCs w:val="24"/>
        </w:rPr>
        <w:t>ould</w:t>
      </w:r>
      <w:r w:rsidR="001F4484" w:rsidRPr="005301E4">
        <w:rPr>
          <w:rFonts w:ascii="Times New Roman" w:hAnsi="Times New Roman"/>
          <w:szCs w:val="24"/>
        </w:rPr>
        <w:t xml:space="preserve"> be re-opened by virtue of section 70A of the IRO; and</w:t>
      </w:r>
      <w:r w:rsidR="001F4484" w:rsidRPr="005301E4">
        <w:rPr>
          <w:rFonts w:ascii="Times New Roman" w:hAnsi="Times New Roman" w:hint="eastAsia"/>
          <w:szCs w:val="24"/>
        </w:rPr>
        <w:t xml:space="preserve"> (c)</w:t>
      </w:r>
      <w:r w:rsidR="00C02C47" w:rsidRPr="005301E4">
        <w:rPr>
          <w:rFonts w:ascii="Times New Roman" w:hAnsi="Times New Roman" w:hint="eastAsia"/>
          <w:szCs w:val="24"/>
        </w:rPr>
        <w:t xml:space="preserve"> </w:t>
      </w:r>
      <w:r w:rsidR="00151443" w:rsidRPr="005301E4">
        <w:rPr>
          <w:rFonts w:ascii="Times New Roman" w:hAnsi="Times New Roman"/>
          <w:szCs w:val="24"/>
        </w:rPr>
        <w:t xml:space="preserve">whether the Additional Salaries Tax Assessment for 2008/09 </w:t>
      </w:r>
      <w:r w:rsidR="00151443" w:rsidRPr="005301E4">
        <w:rPr>
          <w:rFonts w:ascii="Times New Roman" w:hAnsi="Times New Roman" w:hint="eastAsia"/>
          <w:szCs w:val="24"/>
        </w:rPr>
        <w:t>wa</w:t>
      </w:r>
      <w:r w:rsidR="00151443" w:rsidRPr="005301E4">
        <w:rPr>
          <w:rFonts w:ascii="Times New Roman" w:hAnsi="Times New Roman"/>
          <w:szCs w:val="24"/>
        </w:rPr>
        <w:t>s excessive.</w:t>
      </w:r>
    </w:p>
    <w:p w14:paraId="2057951A" w14:textId="7B223766" w:rsidR="00195F16" w:rsidRDefault="00195F16" w:rsidP="00195F16">
      <w:pPr>
        <w:rPr>
          <w:rFonts w:ascii="Times New Roman" w:hAnsi="Times New Roman"/>
          <w:szCs w:val="24"/>
        </w:rPr>
      </w:pPr>
    </w:p>
    <w:p w14:paraId="6AB43040" w14:textId="77777777" w:rsidR="00042AD4" w:rsidRPr="005301E4" w:rsidRDefault="00042AD4" w:rsidP="00195F16">
      <w:pPr>
        <w:rPr>
          <w:rFonts w:ascii="Times New Roman" w:hAnsi="Times New Roman"/>
          <w:szCs w:val="24"/>
        </w:rPr>
      </w:pPr>
    </w:p>
    <w:p w14:paraId="5AFFB978" w14:textId="16014E11" w:rsidR="00195F16" w:rsidRPr="00B856A4" w:rsidRDefault="00195F16" w:rsidP="008D4D86">
      <w:pPr>
        <w:ind w:leftChars="450" w:left="1080"/>
        <w:rPr>
          <w:rFonts w:ascii="Times New Roman" w:hAnsi="Times New Roman"/>
          <w:b/>
          <w:szCs w:val="24"/>
        </w:rPr>
      </w:pPr>
      <w:r w:rsidRPr="00B856A4">
        <w:rPr>
          <w:rFonts w:ascii="Times New Roman" w:hAnsi="Times New Roman"/>
          <w:b/>
          <w:szCs w:val="24"/>
        </w:rPr>
        <w:t>Held:</w:t>
      </w:r>
    </w:p>
    <w:p w14:paraId="4B1C9C2C" w14:textId="77777777" w:rsidR="00B856A4" w:rsidRPr="00B856A4" w:rsidRDefault="00B856A4" w:rsidP="008D4D86">
      <w:pPr>
        <w:ind w:leftChars="450" w:left="1080"/>
        <w:rPr>
          <w:rFonts w:ascii="Times New Roman" w:eastAsia="DengXian" w:hAnsi="Times New Roman"/>
          <w:b/>
          <w:szCs w:val="24"/>
        </w:rPr>
      </w:pPr>
    </w:p>
    <w:p w14:paraId="1F7B252F" w14:textId="29A98DB7" w:rsidR="00195F16" w:rsidRPr="00B856A4" w:rsidRDefault="009D4159" w:rsidP="00E32B54">
      <w:pPr>
        <w:pStyle w:val="ac"/>
        <w:numPr>
          <w:ilvl w:val="0"/>
          <w:numId w:val="46"/>
        </w:numPr>
        <w:overflowPunct w:val="0"/>
        <w:autoSpaceDE w:val="0"/>
        <w:autoSpaceDN w:val="0"/>
        <w:ind w:leftChars="0" w:left="1418"/>
        <w:contextualSpacing/>
        <w:jc w:val="both"/>
        <w:rPr>
          <w:rFonts w:ascii="Times New Roman" w:eastAsia="標楷體" w:hAnsi="Times New Roman"/>
          <w:szCs w:val="24"/>
          <w:lang w:eastAsia="zh-HK"/>
        </w:rPr>
      </w:pPr>
      <w:r w:rsidRPr="00B856A4">
        <w:rPr>
          <w:rFonts w:ascii="Times New Roman" w:eastAsia="標楷體" w:hAnsi="Times New Roman"/>
          <w:szCs w:val="24"/>
        </w:rPr>
        <w:t>The scope of section 70A is restricted and it has been intended to have a narrow coverage. The scope is restricted by the need for an error in a return or an accompanying statement</w:t>
      </w:r>
      <w:r w:rsidR="00195F16" w:rsidRPr="00B856A4">
        <w:rPr>
          <w:rFonts w:ascii="Times New Roman" w:eastAsia="標楷體" w:hAnsi="Times New Roman"/>
          <w:szCs w:val="24"/>
        </w:rPr>
        <w:t xml:space="preserve"> </w:t>
      </w:r>
      <w:r w:rsidR="00195F16" w:rsidRPr="00B856A4">
        <w:rPr>
          <w:rFonts w:ascii="Times New Roman" w:hAnsi="Times New Roman"/>
          <w:szCs w:val="24"/>
        </w:rPr>
        <w:t>(</w:t>
      </w:r>
      <w:r w:rsidR="00B20274" w:rsidRPr="004632EA">
        <w:rPr>
          <w:rFonts w:ascii="Times New Roman" w:eastAsia="標楷體" w:hAnsi="Times New Roman"/>
          <w:szCs w:val="24"/>
          <w:u w:val="single"/>
          <w:lang w:eastAsia="zh-HK"/>
        </w:rPr>
        <w:t>Moulin Global Eyecare Trading Ltd v Commissioner of Inland Revenue</w:t>
      </w:r>
      <w:r w:rsidR="00B20274" w:rsidRPr="00B856A4">
        <w:rPr>
          <w:rFonts w:ascii="Times New Roman" w:eastAsia="標楷體" w:hAnsi="Times New Roman"/>
          <w:szCs w:val="24"/>
          <w:lang w:eastAsia="zh-HK"/>
        </w:rPr>
        <w:t xml:space="preserve"> (2014) 17</w:t>
      </w:r>
      <w:r w:rsidR="00B20274" w:rsidRPr="00B856A4">
        <w:rPr>
          <w:rFonts w:ascii="Times New Roman" w:eastAsia="標楷體" w:hAnsi="Times New Roman" w:hint="eastAsia"/>
          <w:szCs w:val="24"/>
        </w:rPr>
        <w:t xml:space="preserve"> </w:t>
      </w:r>
      <w:r w:rsidR="00B20274" w:rsidRPr="00B856A4">
        <w:rPr>
          <w:rFonts w:ascii="Times New Roman" w:eastAsia="標楷體" w:hAnsi="Times New Roman"/>
          <w:szCs w:val="24"/>
          <w:lang w:eastAsia="zh-HK"/>
        </w:rPr>
        <w:t>HKCFAR 218</w:t>
      </w:r>
      <w:r w:rsidR="0060610B" w:rsidRPr="00B856A4">
        <w:rPr>
          <w:rFonts w:ascii="Times New Roman" w:eastAsia="標楷體" w:hAnsi="Times New Roman" w:hint="eastAsia"/>
          <w:szCs w:val="24"/>
        </w:rPr>
        <w:t>;</w:t>
      </w:r>
      <w:r w:rsidR="00195F16" w:rsidRPr="00B856A4">
        <w:rPr>
          <w:rFonts w:ascii="Times New Roman" w:eastAsia="標楷體" w:hAnsi="Times New Roman"/>
          <w:szCs w:val="24"/>
          <w:lang w:eastAsia="zh-HK"/>
        </w:rPr>
        <w:t xml:space="preserve"> and </w:t>
      </w:r>
      <w:r w:rsidR="00B20274" w:rsidRPr="004632EA">
        <w:rPr>
          <w:rFonts w:ascii="Times New Roman" w:eastAsia="標楷體" w:hAnsi="Times New Roman"/>
          <w:szCs w:val="24"/>
          <w:u w:val="single"/>
          <w:lang w:eastAsia="zh-HK"/>
        </w:rPr>
        <w:t>Good Mark Industrial Ltd v Commissioner of Inland Revenue</w:t>
      </w:r>
      <w:r w:rsidR="00B20274" w:rsidRPr="00B856A4">
        <w:rPr>
          <w:rFonts w:ascii="Times New Roman" w:eastAsia="標楷體" w:hAnsi="Times New Roman"/>
          <w:szCs w:val="24"/>
          <w:lang w:eastAsia="zh-HK"/>
        </w:rPr>
        <w:t xml:space="preserve"> [2014] 2 HKLRD</w:t>
      </w:r>
      <w:r w:rsidR="00984DB5" w:rsidRPr="00B856A4">
        <w:rPr>
          <w:rFonts w:ascii="Times New Roman" w:eastAsia="標楷體" w:hAnsi="Times New Roman" w:hint="eastAsia"/>
          <w:szCs w:val="24"/>
        </w:rPr>
        <w:t xml:space="preserve"> 981</w:t>
      </w:r>
      <w:r w:rsidR="00195F16" w:rsidRPr="00B856A4">
        <w:rPr>
          <w:rFonts w:ascii="Times New Roman" w:eastAsia="標楷體" w:hAnsi="Times New Roman"/>
          <w:szCs w:val="24"/>
        </w:rPr>
        <w:t xml:space="preserve"> </w:t>
      </w:r>
      <w:r w:rsidR="00195F16" w:rsidRPr="00B856A4">
        <w:rPr>
          <w:rFonts w:ascii="Times New Roman" w:hAnsi="Times New Roman"/>
          <w:szCs w:val="24"/>
        </w:rPr>
        <w:t>followed).</w:t>
      </w:r>
    </w:p>
    <w:p w14:paraId="524E47D3" w14:textId="77777777" w:rsidR="00195F16" w:rsidRPr="00B856A4" w:rsidRDefault="00195F16" w:rsidP="00E32B54">
      <w:pPr>
        <w:pStyle w:val="ac"/>
        <w:overflowPunct w:val="0"/>
        <w:autoSpaceDE w:val="0"/>
        <w:autoSpaceDN w:val="0"/>
        <w:jc w:val="both"/>
        <w:rPr>
          <w:rFonts w:ascii="Times New Roman" w:hAnsi="Times New Roman"/>
          <w:szCs w:val="24"/>
        </w:rPr>
      </w:pPr>
    </w:p>
    <w:p w14:paraId="20265BFF" w14:textId="29665845" w:rsidR="00195F16" w:rsidRPr="00B856A4" w:rsidRDefault="000E15C3" w:rsidP="00E32B54">
      <w:pPr>
        <w:pStyle w:val="ac"/>
        <w:numPr>
          <w:ilvl w:val="0"/>
          <w:numId w:val="46"/>
        </w:numPr>
        <w:overflowPunct w:val="0"/>
        <w:autoSpaceDE w:val="0"/>
        <w:autoSpaceDN w:val="0"/>
        <w:ind w:leftChars="0" w:left="1418"/>
        <w:contextualSpacing/>
        <w:jc w:val="both"/>
        <w:rPr>
          <w:rFonts w:ascii="Times New Roman" w:hAnsi="Times New Roman"/>
          <w:szCs w:val="24"/>
        </w:rPr>
      </w:pPr>
      <w:r w:rsidRPr="00B856A4">
        <w:rPr>
          <w:rFonts w:ascii="Times New Roman" w:hAnsi="Times New Roman"/>
          <w:szCs w:val="24"/>
        </w:rPr>
        <w:t xml:space="preserve">A change of mind by a taxpayer in connection with how any part of the accounts should be made up </w:t>
      </w:r>
      <w:r w:rsidR="001B3F7F" w:rsidRPr="00B856A4">
        <w:rPr>
          <w:rFonts w:ascii="Times New Roman" w:hAnsi="Times New Roman" w:hint="eastAsia"/>
          <w:szCs w:val="24"/>
        </w:rPr>
        <w:t xml:space="preserve">could </w:t>
      </w:r>
      <w:r w:rsidRPr="00B856A4">
        <w:rPr>
          <w:rFonts w:ascii="Times New Roman" w:hAnsi="Times New Roman"/>
          <w:szCs w:val="24"/>
        </w:rPr>
        <w:t>not be regarded as an error or omission in relation to the accounts previously</w:t>
      </w:r>
      <w:r w:rsidR="00C02C47" w:rsidRPr="00B856A4">
        <w:rPr>
          <w:rFonts w:ascii="Times New Roman" w:hAnsi="Times New Roman" w:hint="eastAsia"/>
          <w:szCs w:val="24"/>
        </w:rPr>
        <w:t xml:space="preserve"> </w:t>
      </w:r>
      <w:r w:rsidRPr="00B856A4">
        <w:rPr>
          <w:rFonts w:ascii="Times New Roman" w:hAnsi="Times New Roman"/>
          <w:szCs w:val="24"/>
        </w:rPr>
        <w:t>submitted with the Inland Revenue Department</w:t>
      </w:r>
      <w:r w:rsidR="0060610B" w:rsidRPr="00B856A4">
        <w:rPr>
          <w:rFonts w:ascii="Times New Roman" w:hAnsi="Times New Roman" w:hint="eastAsia"/>
          <w:szCs w:val="24"/>
        </w:rPr>
        <w:t xml:space="preserve">. </w:t>
      </w:r>
      <w:r w:rsidR="0060610B" w:rsidRPr="00B856A4">
        <w:rPr>
          <w:rFonts w:ascii="Times New Roman" w:hAnsi="Times New Roman"/>
          <w:szCs w:val="24"/>
        </w:rPr>
        <w:t xml:space="preserve">The trust on others who made an alleged erroneous return on behalf of the taxpayer </w:t>
      </w:r>
      <w:r w:rsidR="001B3F7F" w:rsidRPr="00B856A4">
        <w:rPr>
          <w:rFonts w:ascii="Times New Roman" w:hAnsi="Times New Roman" w:hint="eastAsia"/>
          <w:szCs w:val="24"/>
        </w:rPr>
        <w:t>wa</w:t>
      </w:r>
      <w:r w:rsidR="0060610B" w:rsidRPr="00B856A4">
        <w:rPr>
          <w:rFonts w:ascii="Times New Roman" w:hAnsi="Times New Roman"/>
          <w:szCs w:val="24"/>
        </w:rPr>
        <w:t>s not an error within the meaning of Section 70A of the IRO</w:t>
      </w:r>
      <w:r w:rsidRPr="00B856A4">
        <w:rPr>
          <w:rFonts w:ascii="Times New Roman" w:hAnsi="Times New Roman" w:hint="eastAsia"/>
          <w:szCs w:val="24"/>
        </w:rPr>
        <w:t xml:space="preserve"> (</w:t>
      </w:r>
      <w:r w:rsidR="00B524F5" w:rsidRPr="00DB2D76">
        <w:rPr>
          <w:rFonts w:ascii="Times New Roman" w:hAnsi="Times New Roman"/>
          <w:szCs w:val="24"/>
          <w:u w:val="single"/>
        </w:rPr>
        <w:t>D142/01</w:t>
      </w:r>
      <w:r w:rsidR="00B524F5" w:rsidRPr="00B856A4">
        <w:rPr>
          <w:rFonts w:ascii="Times New Roman" w:hAnsi="Times New Roman"/>
          <w:szCs w:val="24"/>
        </w:rPr>
        <w:t>, IRBRD, vol. 17, 46</w:t>
      </w:r>
      <w:r w:rsidR="0060610B" w:rsidRPr="00B856A4">
        <w:rPr>
          <w:rFonts w:ascii="Times New Roman" w:hAnsi="Times New Roman" w:hint="eastAsia"/>
          <w:szCs w:val="24"/>
        </w:rPr>
        <w:t xml:space="preserve">; </w:t>
      </w:r>
      <w:r w:rsidR="003269B2" w:rsidRPr="00B856A4">
        <w:rPr>
          <w:rFonts w:ascii="Times New Roman" w:hAnsi="Times New Roman" w:hint="eastAsia"/>
          <w:szCs w:val="24"/>
        </w:rPr>
        <w:t>and</w:t>
      </w:r>
      <w:r w:rsidR="001B3F7F" w:rsidRPr="00B856A4">
        <w:rPr>
          <w:rFonts w:ascii="Times New Roman" w:hAnsi="Times New Roman" w:hint="eastAsia"/>
          <w:szCs w:val="24"/>
        </w:rPr>
        <w:t xml:space="preserve"> </w:t>
      </w:r>
      <w:r w:rsidR="003269B2" w:rsidRPr="00DB2D76">
        <w:rPr>
          <w:rFonts w:ascii="Times New Roman" w:hAnsi="Times New Roman"/>
          <w:szCs w:val="24"/>
          <w:u w:val="single"/>
        </w:rPr>
        <w:t>D46/00</w:t>
      </w:r>
      <w:r w:rsidR="003269B2" w:rsidRPr="00B856A4">
        <w:rPr>
          <w:rFonts w:ascii="Times New Roman" w:hAnsi="Times New Roman"/>
          <w:szCs w:val="24"/>
        </w:rPr>
        <w:t>, IRBRD, vol.15, 504</w:t>
      </w:r>
      <w:r w:rsidR="001B3F7F" w:rsidRPr="00B856A4">
        <w:rPr>
          <w:rFonts w:ascii="Times New Roman" w:hAnsi="Times New Roman" w:hint="eastAsia"/>
          <w:szCs w:val="24"/>
        </w:rPr>
        <w:t xml:space="preserve"> </w:t>
      </w:r>
      <w:r w:rsidRPr="00B856A4">
        <w:rPr>
          <w:rFonts w:ascii="Times New Roman" w:hAnsi="Times New Roman" w:hint="eastAsia"/>
          <w:szCs w:val="24"/>
        </w:rPr>
        <w:t>followed)</w:t>
      </w:r>
      <w:r w:rsidR="00C02C47" w:rsidRPr="00B856A4">
        <w:rPr>
          <w:rFonts w:ascii="Times New Roman" w:hAnsi="Times New Roman" w:hint="eastAsia"/>
          <w:szCs w:val="24"/>
        </w:rPr>
        <w:t>.</w:t>
      </w:r>
    </w:p>
    <w:p w14:paraId="7AA40027" w14:textId="77777777" w:rsidR="00195F16" w:rsidRPr="00B856A4" w:rsidRDefault="00195F16" w:rsidP="00E32B54">
      <w:pPr>
        <w:pStyle w:val="ac"/>
        <w:overflowPunct w:val="0"/>
        <w:autoSpaceDE w:val="0"/>
        <w:autoSpaceDN w:val="0"/>
        <w:ind w:leftChars="0" w:left="1320"/>
        <w:jc w:val="both"/>
        <w:rPr>
          <w:rFonts w:ascii="Times New Roman" w:hAnsi="Times New Roman"/>
          <w:szCs w:val="24"/>
        </w:rPr>
      </w:pPr>
    </w:p>
    <w:p w14:paraId="00A6D30E" w14:textId="76C24462" w:rsidR="00195F16" w:rsidRPr="00B856A4" w:rsidRDefault="00E7625C" w:rsidP="00E32B54">
      <w:pPr>
        <w:pStyle w:val="ac"/>
        <w:numPr>
          <w:ilvl w:val="0"/>
          <w:numId w:val="46"/>
        </w:numPr>
        <w:overflowPunct w:val="0"/>
        <w:autoSpaceDE w:val="0"/>
        <w:autoSpaceDN w:val="0"/>
        <w:ind w:leftChars="0" w:left="1418"/>
        <w:contextualSpacing/>
        <w:jc w:val="both"/>
        <w:rPr>
          <w:rFonts w:ascii="Times New Roman" w:hAnsi="Times New Roman"/>
          <w:szCs w:val="24"/>
        </w:rPr>
      </w:pPr>
      <w:r w:rsidRPr="00B856A4">
        <w:rPr>
          <w:rFonts w:ascii="Times New Roman" w:hAnsi="Times New Roman"/>
          <w:szCs w:val="24"/>
        </w:rPr>
        <w:t>Section</w:t>
      </w:r>
      <w:r w:rsidRPr="00B856A4">
        <w:rPr>
          <w:rFonts w:ascii="Times New Roman" w:hAnsi="Times New Roman" w:hint="eastAsia"/>
          <w:szCs w:val="24"/>
        </w:rPr>
        <w:t>s</w:t>
      </w:r>
      <w:r w:rsidRPr="00B856A4">
        <w:rPr>
          <w:rFonts w:ascii="Times New Roman" w:hAnsi="Times New Roman"/>
          <w:szCs w:val="24"/>
        </w:rPr>
        <w:t xml:space="preserve"> 64, 70 and 70A belong to Part 11 of the IRO. It follow</w:t>
      </w:r>
      <w:r w:rsidRPr="00B856A4">
        <w:rPr>
          <w:rFonts w:ascii="Times New Roman" w:hAnsi="Times New Roman" w:hint="eastAsia"/>
          <w:szCs w:val="24"/>
        </w:rPr>
        <w:t>ed</w:t>
      </w:r>
      <w:r w:rsidRPr="00B856A4">
        <w:rPr>
          <w:rFonts w:ascii="Times New Roman" w:hAnsi="Times New Roman"/>
          <w:szCs w:val="24"/>
        </w:rPr>
        <w:t xml:space="preserve"> that if the Appellant objected to the Subject Assessments, he had to do so within 1 month (as stipulated by section 64) after the respective dates of the notices of the Subject Assessments. The Salary Tax Assessment for year 2011/12 was issued to the Appellant by the Respondent on 3 October 2012 while the Subject Assessments (other than the Salary Tax Assessment for year 2011/12) were issued earlier. The earliest response or objection to the Subject Assessments was made by the Appellant to the Respondent on 28 January 2013. Apparently, the objection was done after the time limited by section 64 of the IRO. The Appellant made no allegation that he was prevented from </w:t>
      </w:r>
      <w:r w:rsidRPr="00B856A4">
        <w:rPr>
          <w:rFonts w:ascii="Times New Roman" w:hAnsi="Times New Roman"/>
          <w:szCs w:val="24"/>
        </w:rPr>
        <w:lastRenderedPageBreak/>
        <w:t>giving notice of objection within the time limit because of his absence from Hong Kong, sickness or other reasonable cause. It followed that the Subject Assessments should become final and conclusive pursuant to section 70 of the IRO because the objection was lodged outside the 1-month period as stipulated by section 64 of the IRO.</w:t>
      </w:r>
    </w:p>
    <w:p w14:paraId="1AFB6F5E" w14:textId="77777777" w:rsidR="00195F16" w:rsidRPr="00B856A4" w:rsidRDefault="00195F16" w:rsidP="00E32B54">
      <w:pPr>
        <w:pStyle w:val="ac"/>
        <w:overflowPunct w:val="0"/>
        <w:autoSpaceDE w:val="0"/>
        <w:autoSpaceDN w:val="0"/>
        <w:ind w:leftChars="0" w:left="1320"/>
        <w:jc w:val="both"/>
        <w:rPr>
          <w:rFonts w:ascii="Times New Roman" w:hAnsi="Times New Roman"/>
          <w:szCs w:val="24"/>
        </w:rPr>
      </w:pPr>
    </w:p>
    <w:p w14:paraId="3AEC343A" w14:textId="625A08CB" w:rsidR="00195F16" w:rsidRPr="00B856A4" w:rsidRDefault="00E31AE5" w:rsidP="00E32B54">
      <w:pPr>
        <w:pStyle w:val="ac"/>
        <w:numPr>
          <w:ilvl w:val="0"/>
          <w:numId w:val="46"/>
        </w:numPr>
        <w:overflowPunct w:val="0"/>
        <w:autoSpaceDE w:val="0"/>
        <w:autoSpaceDN w:val="0"/>
        <w:ind w:leftChars="0" w:left="1418"/>
        <w:contextualSpacing/>
        <w:jc w:val="both"/>
        <w:rPr>
          <w:rFonts w:ascii="Times New Roman" w:hAnsi="Times New Roman"/>
          <w:szCs w:val="24"/>
        </w:rPr>
      </w:pPr>
      <w:r w:rsidRPr="00B856A4">
        <w:rPr>
          <w:rFonts w:ascii="Times New Roman" w:hAnsi="Times New Roman" w:hint="eastAsia"/>
          <w:szCs w:val="24"/>
        </w:rPr>
        <w:t>T</w:t>
      </w:r>
      <w:r w:rsidRPr="00B856A4">
        <w:rPr>
          <w:rFonts w:ascii="Times New Roman" w:hAnsi="Times New Roman"/>
          <w:szCs w:val="24"/>
          <w:lang w:eastAsia="zh-HK"/>
        </w:rPr>
        <w:t xml:space="preserve">o </w:t>
      </w:r>
      <w:r w:rsidRPr="00B856A4">
        <w:rPr>
          <w:rFonts w:ascii="Times New Roman" w:hAnsi="Times New Roman" w:hint="eastAsia"/>
          <w:szCs w:val="24"/>
        </w:rPr>
        <w:t>the Board</w:t>
      </w:r>
      <w:r w:rsidRPr="00B856A4">
        <w:rPr>
          <w:rFonts w:ascii="Times New Roman" w:hAnsi="Times New Roman"/>
          <w:szCs w:val="24"/>
          <w:lang w:eastAsia="zh-HK"/>
        </w:rPr>
        <w:t xml:space="preserve">, the facts </w:t>
      </w:r>
      <w:r w:rsidRPr="00B856A4">
        <w:rPr>
          <w:rFonts w:ascii="Times New Roman" w:hAnsi="Times New Roman" w:hint="eastAsia"/>
          <w:szCs w:val="24"/>
        </w:rPr>
        <w:t>of the current case</w:t>
      </w:r>
      <w:r w:rsidRPr="00B856A4">
        <w:rPr>
          <w:rFonts w:ascii="Times New Roman" w:hAnsi="Times New Roman"/>
          <w:szCs w:val="24"/>
          <w:lang w:eastAsia="zh-HK"/>
        </w:rPr>
        <w:t xml:space="preserve"> demonstrate</w:t>
      </w:r>
      <w:r w:rsidRPr="00B856A4">
        <w:rPr>
          <w:rFonts w:ascii="Times New Roman" w:hAnsi="Times New Roman" w:hint="eastAsia"/>
          <w:szCs w:val="24"/>
        </w:rPr>
        <w:t>d</w:t>
      </w:r>
      <w:r w:rsidRPr="00B856A4">
        <w:rPr>
          <w:rFonts w:ascii="Times New Roman" w:hAnsi="Times New Roman"/>
          <w:szCs w:val="24"/>
          <w:lang w:eastAsia="zh-HK"/>
        </w:rPr>
        <w:t xml:space="preserve"> that both the Company and the Appellant purposely and intentionally had the employer and employee relationship for the relevant financial years for the purpose of obtaining tax benefit.</w:t>
      </w:r>
      <w:r w:rsidRPr="00B856A4">
        <w:rPr>
          <w:rFonts w:ascii="Times New Roman" w:hAnsi="Times New Roman" w:hint="eastAsia"/>
          <w:szCs w:val="24"/>
        </w:rPr>
        <w:t xml:space="preserve"> </w:t>
      </w:r>
      <w:r w:rsidR="00367CB2" w:rsidRPr="00B856A4">
        <w:rPr>
          <w:rFonts w:ascii="Times New Roman" w:hAnsi="Times New Roman" w:hint="eastAsia"/>
          <w:szCs w:val="24"/>
        </w:rPr>
        <w:t>T</w:t>
      </w:r>
      <w:r w:rsidR="00367CB2" w:rsidRPr="00B856A4">
        <w:rPr>
          <w:rFonts w:ascii="Times New Roman" w:hAnsi="Times New Roman"/>
          <w:szCs w:val="24"/>
        </w:rPr>
        <w:t>he payments made by the Company to the Appellant in each of the relevant financial years were by way of salary or income instead of ‘drawings’ as alleged. The Appellant derived or obtained income or salary from the Company in the capacity of being its director.</w:t>
      </w:r>
    </w:p>
    <w:p w14:paraId="6B14BEEE" w14:textId="77777777" w:rsidR="00855F43" w:rsidRPr="00B856A4" w:rsidRDefault="00855F43" w:rsidP="00E32B54">
      <w:pPr>
        <w:pStyle w:val="ac"/>
        <w:overflowPunct w:val="0"/>
        <w:autoSpaceDE w:val="0"/>
        <w:autoSpaceDN w:val="0"/>
        <w:ind w:leftChars="0" w:left="1320"/>
        <w:jc w:val="both"/>
        <w:rPr>
          <w:rFonts w:ascii="Times New Roman" w:hAnsi="Times New Roman"/>
          <w:szCs w:val="24"/>
        </w:rPr>
      </w:pPr>
    </w:p>
    <w:p w14:paraId="61AB2BF0" w14:textId="253CD650" w:rsidR="00855F43" w:rsidRPr="00B856A4" w:rsidRDefault="004E6585" w:rsidP="00E32B54">
      <w:pPr>
        <w:pStyle w:val="ac"/>
        <w:numPr>
          <w:ilvl w:val="0"/>
          <w:numId w:val="46"/>
        </w:numPr>
        <w:overflowPunct w:val="0"/>
        <w:autoSpaceDE w:val="0"/>
        <w:autoSpaceDN w:val="0"/>
        <w:ind w:leftChars="0" w:left="1418"/>
        <w:contextualSpacing/>
        <w:jc w:val="both"/>
        <w:rPr>
          <w:rFonts w:ascii="Times New Roman" w:hAnsi="Times New Roman"/>
          <w:szCs w:val="24"/>
        </w:rPr>
      </w:pPr>
      <w:r w:rsidRPr="00B856A4">
        <w:rPr>
          <w:rFonts w:ascii="Times New Roman" w:hAnsi="Times New Roman" w:hint="eastAsia"/>
          <w:szCs w:val="24"/>
        </w:rPr>
        <w:t xml:space="preserve">The Board </w:t>
      </w:r>
      <w:r w:rsidR="00855F43" w:rsidRPr="00B856A4">
        <w:rPr>
          <w:rFonts w:ascii="Times New Roman" w:hAnsi="Times New Roman"/>
          <w:szCs w:val="24"/>
        </w:rPr>
        <w:t>agree</w:t>
      </w:r>
      <w:r w:rsidRPr="00B856A4">
        <w:rPr>
          <w:rFonts w:ascii="Times New Roman" w:hAnsi="Times New Roman" w:hint="eastAsia"/>
          <w:szCs w:val="24"/>
        </w:rPr>
        <w:t>d</w:t>
      </w:r>
      <w:r w:rsidR="00855F43" w:rsidRPr="00B856A4">
        <w:rPr>
          <w:rFonts w:ascii="Times New Roman" w:hAnsi="Times New Roman"/>
          <w:szCs w:val="24"/>
        </w:rPr>
        <w:t xml:space="preserve"> that the alleged ‘error’, if any, was no more than a subsequent change of opinion. The change of opinion could not be regarded as an error within the meaning of section 70A </w:t>
      </w:r>
      <w:r w:rsidRPr="00B856A4">
        <w:rPr>
          <w:rFonts w:ascii="Times New Roman" w:hAnsi="Times New Roman" w:hint="eastAsia"/>
          <w:szCs w:val="24"/>
        </w:rPr>
        <w:t>(</w:t>
      </w:r>
      <w:r w:rsidRPr="00946523">
        <w:rPr>
          <w:rFonts w:ascii="Times New Roman" w:hAnsi="Times New Roman"/>
          <w:szCs w:val="24"/>
          <w:u w:val="single"/>
        </w:rPr>
        <w:t>Extramoney Limited v Commissioner of Inland Revenue</w:t>
      </w:r>
      <w:r w:rsidRPr="00B856A4">
        <w:rPr>
          <w:rFonts w:ascii="Times New Roman" w:hAnsi="Times New Roman"/>
          <w:szCs w:val="24"/>
        </w:rPr>
        <w:t xml:space="preserve"> [1997] HKLRD 387</w:t>
      </w:r>
      <w:r w:rsidRPr="00B856A4">
        <w:rPr>
          <w:rFonts w:ascii="Times New Roman" w:hAnsi="Times New Roman" w:hint="eastAsia"/>
          <w:szCs w:val="24"/>
        </w:rPr>
        <w:t>;</w:t>
      </w:r>
      <w:r w:rsidR="00855F43" w:rsidRPr="00B856A4">
        <w:rPr>
          <w:rFonts w:ascii="Times New Roman" w:hAnsi="Times New Roman"/>
          <w:szCs w:val="24"/>
        </w:rPr>
        <w:t xml:space="preserve"> and </w:t>
      </w:r>
      <w:r w:rsidRPr="00946523">
        <w:rPr>
          <w:rFonts w:ascii="Times New Roman" w:hAnsi="Times New Roman"/>
          <w:szCs w:val="24"/>
          <w:u w:val="single"/>
        </w:rPr>
        <w:t>D124/02</w:t>
      </w:r>
      <w:r w:rsidRPr="00B856A4">
        <w:rPr>
          <w:rFonts w:ascii="Times New Roman" w:hAnsi="Times New Roman"/>
          <w:szCs w:val="24"/>
        </w:rPr>
        <w:t>, IRBRD, vol 18, 175</w:t>
      </w:r>
      <w:r w:rsidRPr="00B856A4">
        <w:rPr>
          <w:rFonts w:ascii="Times New Roman" w:hAnsi="Times New Roman" w:hint="eastAsia"/>
          <w:szCs w:val="24"/>
        </w:rPr>
        <w:t xml:space="preserve"> followed)</w:t>
      </w:r>
      <w:r w:rsidR="00855F43" w:rsidRPr="00B856A4">
        <w:rPr>
          <w:rFonts w:ascii="Times New Roman" w:hAnsi="Times New Roman"/>
          <w:szCs w:val="24"/>
        </w:rPr>
        <w:t>.</w:t>
      </w:r>
    </w:p>
    <w:p w14:paraId="129C7A90" w14:textId="77777777" w:rsidR="00195F16" w:rsidRPr="00B856A4" w:rsidRDefault="00195F16" w:rsidP="00E32B54">
      <w:pPr>
        <w:pStyle w:val="ac"/>
        <w:overflowPunct w:val="0"/>
        <w:autoSpaceDE w:val="0"/>
        <w:autoSpaceDN w:val="0"/>
        <w:ind w:leftChars="0" w:left="1320"/>
        <w:jc w:val="both"/>
        <w:rPr>
          <w:rFonts w:ascii="Times New Roman" w:hAnsi="Times New Roman"/>
          <w:szCs w:val="24"/>
        </w:rPr>
      </w:pPr>
    </w:p>
    <w:p w14:paraId="251A0B87" w14:textId="20035E49" w:rsidR="007D5A08" w:rsidRPr="00B856A4" w:rsidRDefault="007D5A08" w:rsidP="00E32B54">
      <w:pPr>
        <w:pStyle w:val="ac"/>
        <w:numPr>
          <w:ilvl w:val="0"/>
          <w:numId w:val="46"/>
        </w:numPr>
        <w:overflowPunct w:val="0"/>
        <w:autoSpaceDE w:val="0"/>
        <w:autoSpaceDN w:val="0"/>
        <w:ind w:leftChars="0" w:left="1418"/>
        <w:contextualSpacing/>
        <w:jc w:val="both"/>
        <w:rPr>
          <w:rFonts w:ascii="Times New Roman" w:hAnsi="Times New Roman"/>
          <w:szCs w:val="24"/>
        </w:rPr>
      </w:pPr>
      <w:r w:rsidRPr="00B856A4">
        <w:rPr>
          <w:rFonts w:ascii="Times New Roman" w:hAnsi="Times New Roman"/>
          <w:szCs w:val="24"/>
          <w:lang w:eastAsia="zh-HK"/>
        </w:rPr>
        <w:t>There was no specific ground on the Appellant’s appeal against the Additional Salaries Tax Assessment stated in his Statement of Grounds of Appeal. For the purpose of discussion, the Board treated it that the Appellant relied on the general ground that the income referred to should be his drawings from the Company, to which the Board had already rejected. The Former Representative in response to the Respondent’s enquiry did mention that the Sum was related to renovation and soft furnishing of the director’s quarters, which was a staff benefit. Since it was the Appellant’s stance that the Sum represented the staff benefit to the Appellant, the Sum, being a perquisite, should be included as part of the Appellant’s income chargeable to Salaries Tax under section 9(1)(a) of the IRO.</w:t>
      </w:r>
    </w:p>
    <w:p w14:paraId="6AF12DFE" w14:textId="77777777" w:rsidR="007D5A08" w:rsidRPr="00B856A4" w:rsidRDefault="007D5A08" w:rsidP="00E32B54">
      <w:pPr>
        <w:pStyle w:val="ac"/>
        <w:overflowPunct w:val="0"/>
        <w:autoSpaceDE w:val="0"/>
        <w:autoSpaceDN w:val="0"/>
        <w:ind w:leftChars="0" w:left="1320"/>
        <w:jc w:val="both"/>
        <w:rPr>
          <w:rFonts w:ascii="Times New Roman" w:hAnsi="Times New Roman"/>
          <w:szCs w:val="24"/>
        </w:rPr>
      </w:pPr>
    </w:p>
    <w:p w14:paraId="3F5DDBC3" w14:textId="6FCFEEA3" w:rsidR="006D08A5" w:rsidRPr="00B856A4" w:rsidRDefault="00975EE1" w:rsidP="00E32B54">
      <w:pPr>
        <w:pStyle w:val="ac"/>
        <w:numPr>
          <w:ilvl w:val="0"/>
          <w:numId w:val="46"/>
        </w:numPr>
        <w:overflowPunct w:val="0"/>
        <w:autoSpaceDE w:val="0"/>
        <w:autoSpaceDN w:val="0"/>
        <w:ind w:leftChars="0" w:left="1418"/>
        <w:contextualSpacing/>
        <w:jc w:val="both"/>
        <w:rPr>
          <w:rFonts w:ascii="Times New Roman" w:hAnsi="Times New Roman"/>
          <w:szCs w:val="24"/>
        </w:rPr>
      </w:pPr>
      <w:r w:rsidRPr="00B856A4">
        <w:rPr>
          <w:rFonts w:ascii="Times New Roman" w:hAnsi="Times New Roman" w:hint="eastAsia"/>
          <w:szCs w:val="24"/>
          <w:lang w:eastAsia="zh-HK"/>
        </w:rPr>
        <w:t>T</w:t>
      </w:r>
      <w:r w:rsidR="006D08A5" w:rsidRPr="00B856A4">
        <w:rPr>
          <w:rFonts w:ascii="Times New Roman" w:hAnsi="Times New Roman"/>
          <w:szCs w:val="24"/>
          <w:lang w:eastAsia="zh-HK"/>
        </w:rPr>
        <w:t xml:space="preserve">he Appellant failed to discharge the burden of proof that (a) the Subject Assessments could be re-opened pursuant to section 70A of the IRO; and (b) the Subject Assessments and the Additional Salaries Tax Assessment were excessive. Given our finding, the Subject Assessments and Assessor’s refusal to correct the Subject Assessments under section 70A of the IRO </w:t>
      </w:r>
      <w:r w:rsidR="006D08A5" w:rsidRPr="00B856A4">
        <w:rPr>
          <w:rFonts w:ascii="Times New Roman" w:hAnsi="Times New Roman" w:hint="eastAsia"/>
          <w:szCs w:val="24"/>
        </w:rPr>
        <w:t>we</w:t>
      </w:r>
      <w:r w:rsidR="006D08A5" w:rsidRPr="00B856A4">
        <w:rPr>
          <w:rFonts w:ascii="Times New Roman" w:hAnsi="Times New Roman"/>
          <w:szCs w:val="24"/>
          <w:lang w:eastAsia="zh-HK"/>
        </w:rPr>
        <w:t xml:space="preserve">re confirmed. The Additional Salaries Tax Assessment as revised in Fact (15) of the Determination </w:t>
      </w:r>
      <w:r w:rsidR="006D08A5" w:rsidRPr="00B856A4">
        <w:rPr>
          <w:rFonts w:ascii="Times New Roman" w:hAnsi="Times New Roman" w:hint="eastAsia"/>
          <w:szCs w:val="24"/>
        </w:rPr>
        <w:t>wa</w:t>
      </w:r>
      <w:r w:rsidR="006D08A5" w:rsidRPr="00B856A4">
        <w:rPr>
          <w:rFonts w:ascii="Times New Roman" w:hAnsi="Times New Roman"/>
          <w:szCs w:val="24"/>
          <w:lang w:eastAsia="zh-HK"/>
        </w:rPr>
        <w:t>s hereby confirmed.</w:t>
      </w:r>
    </w:p>
    <w:p w14:paraId="284BC60D" w14:textId="77777777" w:rsidR="006D08A5" w:rsidRPr="00B856A4" w:rsidRDefault="006D08A5" w:rsidP="00E32B54">
      <w:pPr>
        <w:pStyle w:val="ac"/>
        <w:overflowPunct w:val="0"/>
        <w:autoSpaceDE w:val="0"/>
        <w:autoSpaceDN w:val="0"/>
        <w:ind w:leftChars="0" w:left="1320"/>
        <w:jc w:val="both"/>
        <w:rPr>
          <w:rFonts w:ascii="Times New Roman" w:hAnsi="Times New Roman"/>
          <w:szCs w:val="24"/>
        </w:rPr>
      </w:pPr>
    </w:p>
    <w:p w14:paraId="1816AE3F" w14:textId="1E51D786" w:rsidR="00195F16" w:rsidRPr="00B856A4" w:rsidRDefault="00195F16" w:rsidP="00E32B54">
      <w:pPr>
        <w:pStyle w:val="ac"/>
        <w:numPr>
          <w:ilvl w:val="0"/>
          <w:numId w:val="46"/>
        </w:numPr>
        <w:overflowPunct w:val="0"/>
        <w:autoSpaceDE w:val="0"/>
        <w:autoSpaceDN w:val="0"/>
        <w:ind w:leftChars="0" w:left="1418"/>
        <w:contextualSpacing/>
        <w:jc w:val="both"/>
        <w:rPr>
          <w:rFonts w:ascii="Times New Roman" w:hAnsi="Times New Roman"/>
          <w:szCs w:val="24"/>
        </w:rPr>
      </w:pPr>
      <w:r w:rsidRPr="00B856A4">
        <w:rPr>
          <w:rFonts w:ascii="Times New Roman" w:hAnsi="Times New Roman"/>
          <w:szCs w:val="24"/>
          <w:lang w:eastAsia="zh-HK"/>
        </w:rPr>
        <w:t xml:space="preserve">The Board </w:t>
      </w:r>
      <w:r w:rsidR="002759B9" w:rsidRPr="00B856A4">
        <w:rPr>
          <w:rFonts w:ascii="Times New Roman" w:hAnsi="Times New Roman" w:hint="eastAsia"/>
          <w:szCs w:val="24"/>
        </w:rPr>
        <w:t>took the</w:t>
      </w:r>
      <w:r w:rsidR="009B33CF" w:rsidRPr="00B856A4">
        <w:rPr>
          <w:rFonts w:ascii="Times New Roman" w:hAnsi="Times New Roman"/>
          <w:szCs w:val="24"/>
          <w:lang w:eastAsia="zh-HK"/>
        </w:rPr>
        <w:t xml:space="preserve"> view</w:t>
      </w:r>
      <w:r w:rsidR="002759B9" w:rsidRPr="00B856A4">
        <w:rPr>
          <w:rFonts w:ascii="Times New Roman" w:hAnsi="Times New Roman" w:hint="eastAsia"/>
          <w:szCs w:val="24"/>
        </w:rPr>
        <w:t xml:space="preserve"> that </w:t>
      </w:r>
      <w:r w:rsidR="009B33CF" w:rsidRPr="00B856A4">
        <w:rPr>
          <w:rFonts w:ascii="Times New Roman" w:hAnsi="Times New Roman"/>
          <w:szCs w:val="24"/>
          <w:lang w:eastAsia="zh-HK"/>
        </w:rPr>
        <w:t xml:space="preserve">there </w:t>
      </w:r>
      <w:r w:rsidR="002759B9" w:rsidRPr="00B856A4">
        <w:rPr>
          <w:rFonts w:ascii="Times New Roman" w:hAnsi="Times New Roman" w:hint="eastAsia"/>
          <w:szCs w:val="24"/>
        </w:rPr>
        <w:t>wa</w:t>
      </w:r>
      <w:r w:rsidR="00113531" w:rsidRPr="00B856A4">
        <w:rPr>
          <w:rFonts w:ascii="Times New Roman" w:hAnsi="Times New Roman" w:hint="eastAsia"/>
          <w:szCs w:val="24"/>
        </w:rPr>
        <w:t>s</w:t>
      </w:r>
      <w:r w:rsidR="009B33CF" w:rsidRPr="00B856A4">
        <w:rPr>
          <w:rFonts w:ascii="Times New Roman" w:hAnsi="Times New Roman"/>
          <w:szCs w:val="24"/>
          <w:lang w:eastAsia="zh-HK"/>
        </w:rPr>
        <w:t xml:space="preserve"> no reasonable prospect of success in the appeal which should have been known to the Appellant.</w:t>
      </w:r>
      <w:r w:rsidRPr="00B856A4">
        <w:rPr>
          <w:rFonts w:ascii="Times New Roman" w:hAnsi="Times New Roman"/>
          <w:szCs w:val="24"/>
          <w:lang w:eastAsia="zh-HK"/>
        </w:rPr>
        <w:t xml:space="preserve"> </w:t>
      </w:r>
      <w:r w:rsidR="002759B9" w:rsidRPr="00B856A4">
        <w:rPr>
          <w:rFonts w:ascii="Times New Roman" w:hAnsi="Times New Roman" w:hint="eastAsia"/>
          <w:szCs w:val="24"/>
        </w:rPr>
        <w:t>P</w:t>
      </w:r>
      <w:r w:rsidRPr="00B856A4">
        <w:rPr>
          <w:rFonts w:ascii="Times New Roman" w:hAnsi="Times New Roman"/>
          <w:szCs w:val="24"/>
          <w:lang w:eastAsia="zh-HK"/>
        </w:rPr>
        <w:t>ursuant to Section 68(9) of the IRO, the Board ordered</w:t>
      </w:r>
      <w:r w:rsidRPr="00B856A4">
        <w:rPr>
          <w:rFonts w:ascii="Times New Roman" w:hAnsi="Times New Roman" w:hint="eastAsia"/>
          <w:szCs w:val="24"/>
          <w:lang w:eastAsia="zh-HK"/>
        </w:rPr>
        <w:t xml:space="preserve"> the T</w:t>
      </w:r>
      <w:r w:rsidRPr="00B856A4">
        <w:rPr>
          <w:rFonts w:ascii="Times New Roman" w:hAnsi="Times New Roman"/>
          <w:szCs w:val="24"/>
          <w:lang w:eastAsia="zh-HK"/>
        </w:rPr>
        <w:t>a</w:t>
      </w:r>
      <w:r w:rsidRPr="00B856A4">
        <w:rPr>
          <w:rFonts w:ascii="Times New Roman" w:hAnsi="Times New Roman" w:hint="eastAsia"/>
          <w:szCs w:val="24"/>
          <w:lang w:eastAsia="zh-HK"/>
        </w:rPr>
        <w:t>xpayer</w:t>
      </w:r>
      <w:r w:rsidRPr="00B856A4">
        <w:rPr>
          <w:rFonts w:ascii="Times New Roman" w:hAnsi="Times New Roman"/>
          <w:szCs w:val="24"/>
          <w:lang w:eastAsia="zh-HK"/>
        </w:rPr>
        <w:t xml:space="preserve"> to pay as costs of the Board in the sum of $</w:t>
      </w:r>
      <w:r w:rsidR="00467FF2" w:rsidRPr="00B856A4">
        <w:rPr>
          <w:rFonts w:ascii="Times New Roman" w:hAnsi="Times New Roman" w:hint="eastAsia"/>
          <w:szCs w:val="24"/>
        </w:rPr>
        <w:t>10</w:t>
      </w:r>
      <w:r w:rsidRPr="00B856A4">
        <w:rPr>
          <w:rFonts w:ascii="Times New Roman" w:hAnsi="Times New Roman"/>
          <w:szCs w:val="24"/>
          <w:lang w:eastAsia="zh-HK"/>
        </w:rPr>
        <w:t>,000, which shall be added to the tax charged and recovered therewith.</w:t>
      </w:r>
    </w:p>
    <w:p w14:paraId="5D159B4B" w14:textId="77777777" w:rsidR="00195F16" w:rsidRPr="005F377B" w:rsidRDefault="00195F16" w:rsidP="005F377B">
      <w:pPr>
        <w:widowControl/>
        <w:tabs>
          <w:tab w:val="left" w:pos="840"/>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rPr>
      </w:pPr>
    </w:p>
    <w:p w14:paraId="71649FFD" w14:textId="0CA99A6C" w:rsidR="002900E6" w:rsidRPr="005F377B" w:rsidRDefault="002900E6" w:rsidP="005F377B">
      <w:pPr>
        <w:widowControl/>
        <w:tabs>
          <w:tab w:val="left" w:pos="840"/>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GB" w:eastAsia="zh-HK"/>
        </w:rPr>
      </w:pPr>
    </w:p>
    <w:p w14:paraId="02088428" w14:textId="77777777" w:rsidR="00DE5108" w:rsidRPr="005F377B" w:rsidRDefault="00DE5108"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b/>
          <w:kern w:val="0"/>
          <w:szCs w:val="24"/>
          <w:lang w:eastAsia="zh-HK"/>
        </w:rPr>
      </w:pPr>
      <w:r w:rsidRPr="005F377B">
        <w:rPr>
          <w:rFonts w:ascii="Times New Roman" w:eastAsia="標楷體" w:hAnsi="Times New Roman" w:cs="Times New Roman"/>
          <w:b/>
          <w:kern w:val="0"/>
          <w:szCs w:val="24"/>
          <w:lang w:eastAsia="zh-HK"/>
        </w:rPr>
        <w:t>Appeal dismissed and costs order in the amount of $10,000 imposed.</w:t>
      </w:r>
    </w:p>
    <w:p w14:paraId="0C085A59" w14:textId="0B5CB2CA" w:rsidR="009B77CE" w:rsidRPr="005F377B" w:rsidRDefault="009B77CE"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eastAsia="zh-HK"/>
        </w:rPr>
      </w:pPr>
    </w:p>
    <w:p w14:paraId="12E6693E" w14:textId="77777777" w:rsidR="00DE5108" w:rsidRPr="005F377B" w:rsidRDefault="00DE5108" w:rsidP="005F377B">
      <w:pPr>
        <w:widowControl/>
        <w:tabs>
          <w:tab w:val="left" w:pos="1276"/>
        </w:tabs>
        <w:overflowPunct w:val="0"/>
        <w:autoSpaceDE w:val="0"/>
        <w:autoSpaceDN w:val="0"/>
        <w:adjustRightInd w:val="0"/>
        <w:ind w:left="1620" w:rightChars="-29" w:right="-70" w:hanging="1620"/>
        <w:jc w:val="both"/>
        <w:textAlignment w:val="baseline"/>
        <w:rPr>
          <w:rFonts w:ascii="Times New Roman" w:eastAsia="標楷體" w:hAnsi="Times New Roman" w:cs="Times New Roman"/>
          <w:color w:val="000000"/>
          <w:kern w:val="0"/>
          <w:szCs w:val="24"/>
        </w:rPr>
      </w:pPr>
      <w:r w:rsidRPr="005F377B">
        <w:rPr>
          <w:rFonts w:ascii="Times New Roman" w:eastAsia="標楷體" w:hAnsi="Times New Roman" w:cs="Times New Roman"/>
          <w:color w:val="000000"/>
          <w:kern w:val="0"/>
          <w:szCs w:val="24"/>
        </w:rPr>
        <w:t>Cases referred to:</w:t>
      </w:r>
    </w:p>
    <w:p w14:paraId="2C6037D5" w14:textId="77777777" w:rsidR="00DE5108" w:rsidRPr="005F377B" w:rsidRDefault="00DE5108"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val="en" w:eastAsia="zh-HK"/>
        </w:rPr>
      </w:pPr>
    </w:p>
    <w:p w14:paraId="024AA4B9" w14:textId="77777777" w:rsidR="00DE5108" w:rsidRPr="005F377B" w:rsidRDefault="00DE5108" w:rsidP="00575319">
      <w:pPr>
        <w:widowControl/>
        <w:tabs>
          <w:tab w:val="left" w:pos="1276"/>
        </w:tabs>
        <w:overflowPunct w:val="0"/>
        <w:autoSpaceDE w:val="0"/>
        <w:autoSpaceDN w:val="0"/>
        <w:adjustRightInd w:val="0"/>
        <w:ind w:left="851" w:rightChars="-29" w:right="-70" w:hanging="1620"/>
        <w:jc w:val="both"/>
        <w:textAlignment w:val="baseline"/>
        <w:rPr>
          <w:rFonts w:ascii="Times New Roman" w:eastAsia="標楷體" w:hAnsi="Times New Roman" w:cs="Times New Roman"/>
          <w:kern w:val="0"/>
          <w:szCs w:val="24"/>
          <w:lang w:eastAsia="zh-HK"/>
        </w:rPr>
      </w:pPr>
      <w:r w:rsidRPr="005F377B">
        <w:rPr>
          <w:rFonts w:ascii="Times New Roman" w:eastAsia="標楷體" w:hAnsi="Times New Roman" w:cs="Times New Roman"/>
          <w:kern w:val="0"/>
          <w:szCs w:val="24"/>
          <w:lang w:eastAsia="zh-HK"/>
        </w:rPr>
        <w:tab/>
        <w:t>Extramoney Limited v Commissioner of Inland Revenue [1997] HKLRD 387</w:t>
      </w:r>
    </w:p>
    <w:p w14:paraId="049E057B" w14:textId="77777777" w:rsidR="00722568" w:rsidRDefault="00DE5108" w:rsidP="005A71A8">
      <w:pPr>
        <w:widowControl/>
        <w:overflowPunct w:val="0"/>
        <w:autoSpaceDE w:val="0"/>
        <w:autoSpaceDN w:val="0"/>
        <w:ind w:leftChars="12" w:left="850" w:hangingChars="342" w:hanging="821"/>
        <w:jc w:val="both"/>
        <w:textAlignment w:val="baseline"/>
        <w:rPr>
          <w:rFonts w:ascii="Times New Roman" w:eastAsia="標楷體" w:hAnsi="Times New Roman" w:cs="Times New Roman"/>
          <w:kern w:val="0"/>
          <w:szCs w:val="24"/>
          <w:lang w:eastAsia="zh-HK"/>
        </w:rPr>
      </w:pPr>
      <w:r w:rsidRPr="005F377B">
        <w:rPr>
          <w:rFonts w:ascii="Times New Roman" w:eastAsia="標楷體" w:hAnsi="Times New Roman" w:cs="Times New Roman"/>
          <w:kern w:val="0"/>
          <w:szCs w:val="24"/>
          <w:lang w:eastAsia="zh-HK"/>
        </w:rPr>
        <w:tab/>
        <w:t xml:space="preserve">Moulin Global Eyecare Trading Ltd v Commissioner of Inland Revenue (2014) 17 </w:t>
      </w:r>
    </w:p>
    <w:p w14:paraId="3D4502F9" w14:textId="77777777" w:rsidR="00DE5108" w:rsidRPr="005F377B" w:rsidRDefault="00DE5108" w:rsidP="005A71A8">
      <w:pPr>
        <w:widowControl/>
        <w:overflowPunct w:val="0"/>
        <w:autoSpaceDE w:val="0"/>
        <w:autoSpaceDN w:val="0"/>
        <w:ind w:leftChars="312" w:left="749" w:firstLineChars="200" w:firstLine="480"/>
        <w:jc w:val="both"/>
        <w:textAlignment w:val="baseline"/>
        <w:rPr>
          <w:rFonts w:ascii="Times New Roman" w:eastAsia="標楷體" w:hAnsi="Times New Roman" w:cs="Times New Roman"/>
          <w:kern w:val="0"/>
          <w:szCs w:val="24"/>
          <w:lang w:eastAsia="zh-HK"/>
        </w:rPr>
      </w:pPr>
      <w:r w:rsidRPr="005F377B">
        <w:rPr>
          <w:rFonts w:ascii="Times New Roman" w:eastAsia="標楷體" w:hAnsi="Times New Roman" w:cs="Times New Roman"/>
          <w:kern w:val="0"/>
          <w:szCs w:val="24"/>
          <w:lang w:eastAsia="zh-HK"/>
        </w:rPr>
        <w:t>HKCFAR 218</w:t>
      </w:r>
    </w:p>
    <w:p w14:paraId="1B8FD946" w14:textId="77777777" w:rsidR="00722568" w:rsidRPr="002E6DCF" w:rsidRDefault="00DE5108" w:rsidP="005A71A8">
      <w:pPr>
        <w:widowControl/>
        <w:overflowPunct w:val="0"/>
        <w:autoSpaceDE w:val="0"/>
        <w:autoSpaceDN w:val="0"/>
        <w:ind w:leftChars="12" w:left="850" w:hangingChars="342" w:hanging="821"/>
        <w:jc w:val="both"/>
        <w:textAlignment w:val="baseline"/>
        <w:rPr>
          <w:rFonts w:ascii="Times New Roman" w:eastAsia="標楷體" w:hAnsi="Times New Roman" w:cs="Times New Roman"/>
          <w:kern w:val="0"/>
          <w:szCs w:val="24"/>
          <w:lang w:eastAsia="zh-HK"/>
        </w:rPr>
      </w:pPr>
      <w:r w:rsidRPr="005F377B">
        <w:rPr>
          <w:rFonts w:ascii="Times New Roman" w:eastAsia="標楷體" w:hAnsi="Times New Roman" w:cs="Times New Roman"/>
          <w:kern w:val="0"/>
          <w:szCs w:val="24"/>
          <w:lang w:eastAsia="zh-HK"/>
        </w:rPr>
        <w:tab/>
        <w:t>Good Mark Industrial Ltd v Commissioner o</w:t>
      </w:r>
      <w:r w:rsidR="006D4C22">
        <w:rPr>
          <w:rFonts w:ascii="Times New Roman" w:eastAsia="標楷體" w:hAnsi="Times New Roman" w:cs="Times New Roman"/>
          <w:kern w:val="0"/>
          <w:szCs w:val="24"/>
          <w:lang w:eastAsia="zh-HK"/>
        </w:rPr>
        <w:t xml:space="preserve">f Inland Revenue [2014] 2 HKLRD </w:t>
      </w:r>
    </w:p>
    <w:p w14:paraId="788F2047" w14:textId="77777777" w:rsidR="00DE5108" w:rsidRPr="005F377B" w:rsidRDefault="00DE5108" w:rsidP="005A71A8">
      <w:pPr>
        <w:widowControl/>
        <w:overflowPunct w:val="0"/>
        <w:autoSpaceDE w:val="0"/>
        <w:autoSpaceDN w:val="0"/>
        <w:ind w:firstLineChars="500" w:firstLine="1200"/>
        <w:jc w:val="both"/>
        <w:textAlignment w:val="baseline"/>
        <w:rPr>
          <w:rFonts w:ascii="Times New Roman" w:eastAsia="標楷體" w:hAnsi="Times New Roman" w:cs="Times New Roman"/>
          <w:kern w:val="0"/>
          <w:szCs w:val="24"/>
          <w:lang w:eastAsia="zh-HK"/>
        </w:rPr>
      </w:pPr>
      <w:r w:rsidRPr="005F377B">
        <w:rPr>
          <w:rFonts w:ascii="Times New Roman" w:eastAsia="標楷體" w:hAnsi="Times New Roman" w:cs="Times New Roman"/>
          <w:kern w:val="0"/>
          <w:szCs w:val="24"/>
          <w:lang w:eastAsia="zh-HK"/>
        </w:rPr>
        <w:t>981</w:t>
      </w:r>
    </w:p>
    <w:p w14:paraId="25D6396F" w14:textId="77777777" w:rsidR="00DE5108" w:rsidRPr="00575319" w:rsidRDefault="00DE5108" w:rsidP="00575319">
      <w:pPr>
        <w:widowControl/>
        <w:overflowPunct w:val="0"/>
        <w:autoSpaceDE w:val="0"/>
        <w:autoSpaceDN w:val="0"/>
        <w:adjustRightInd w:val="0"/>
        <w:ind w:left="851" w:rightChars="-29" w:right="-70" w:hanging="1620"/>
        <w:jc w:val="both"/>
        <w:textAlignment w:val="baseline"/>
        <w:rPr>
          <w:rFonts w:ascii="Times New Roman" w:eastAsia="標楷體" w:hAnsi="Times New Roman" w:cs="Times New Roman"/>
          <w:kern w:val="0"/>
          <w:szCs w:val="24"/>
          <w:lang w:eastAsia="zh-HK"/>
        </w:rPr>
      </w:pPr>
      <w:r w:rsidRPr="005F377B">
        <w:rPr>
          <w:rFonts w:ascii="Times New Roman" w:eastAsia="標楷體" w:hAnsi="Times New Roman" w:cs="Times New Roman"/>
          <w:kern w:val="0"/>
          <w:szCs w:val="24"/>
          <w:lang w:eastAsia="zh-HK"/>
        </w:rPr>
        <w:tab/>
      </w:r>
      <w:r w:rsidRPr="00575319">
        <w:rPr>
          <w:rFonts w:ascii="Times New Roman" w:eastAsia="標楷體" w:hAnsi="Times New Roman" w:cs="Times New Roman"/>
          <w:kern w:val="0"/>
          <w:szCs w:val="24"/>
          <w:lang w:eastAsia="zh-HK"/>
        </w:rPr>
        <w:t>D46/00, IRBRD, vol 15, 504</w:t>
      </w:r>
    </w:p>
    <w:p w14:paraId="266611B2" w14:textId="77777777" w:rsidR="00DE5108" w:rsidRPr="00575319" w:rsidRDefault="00DE5108" w:rsidP="00575319">
      <w:pPr>
        <w:widowControl/>
        <w:overflowPunct w:val="0"/>
        <w:autoSpaceDE w:val="0"/>
        <w:autoSpaceDN w:val="0"/>
        <w:adjustRightInd w:val="0"/>
        <w:ind w:left="851" w:rightChars="-29" w:right="-70" w:hanging="1620"/>
        <w:jc w:val="both"/>
        <w:textAlignment w:val="baseline"/>
        <w:rPr>
          <w:rFonts w:ascii="Times New Roman" w:eastAsia="標楷體" w:hAnsi="Times New Roman" w:cs="Times New Roman"/>
          <w:kern w:val="0"/>
          <w:szCs w:val="24"/>
          <w:lang w:eastAsia="zh-HK"/>
        </w:rPr>
      </w:pPr>
      <w:r w:rsidRPr="00575319">
        <w:rPr>
          <w:rFonts w:ascii="Times New Roman" w:eastAsia="標楷體" w:hAnsi="Times New Roman" w:cs="Times New Roman"/>
          <w:kern w:val="0"/>
          <w:szCs w:val="24"/>
          <w:lang w:eastAsia="zh-HK"/>
        </w:rPr>
        <w:tab/>
        <w:t>D142/01, IRBRD, vol 17, 46</w:t>
      </w:r>
    </w:p>
    <w:p w14:paraId="34C1A03F" w14:textId="77777777" w:rsidR="00DE5108" w:rsidRPr="00575319" w:rsidRDefault="00DE5108" w:rsidP="00575319">
      <w:pPr>
        <w:widowControl/>
        <w:overflowPunct w:val="0"/>
        <w:autoSpaceDE w:val="0"/>
        <w:autoSpaceDN w:val="0"/>
        <w:adjustRightInd w:val="0"/>
        <w:ind w:left="851" w:rightChars="-29" w:right="-70" w:hanging="1620"/>
        <w:jc w:val="both"/>
        <w:textAlignment w:val="baseline"/>
        <w:rPr>
          <w:rFonts w:ascii="Times New Roman" w:eastAsia="標楷體" w:hAnsi="Times New Roman" w:cs="Times New Roman"/>
          <w:kern w:val="0"/>
          <w:szCs w:val="24"/>
          <w:lang w:eastAsia="zh-HK"/>
        </w:rPr>
      </w:pPr>
      <w:r w:rsidRPr="00575319">
        <w:rPr>
          <w:rFonts w:ascii="Times New Roman" w:eastAsia="標楷體" w:hAnsi="Times New Roman" w:cs="Times New Roman"/>
          <w:kern w:val="0"/>
          <w:szCs w:val="24"/>
          <w:lang w:eastAsia="zh-HK"/>
        </w:rPr>
        <w:tab/>
        <w:t>D124/02, IRBRD, vol 18, 175</w:t>
      </w:r>
    </w:p>
    <w:p w14:paraId="00FF6C43" w14:textId="2A489026" w:rsidR="00DE5108" w:rsidRPr="005F377B" w:rsidRDefault="00DE5108" w:rsidP="005F377B">
      <w:pPr>
        <w:widowControl/>
        <w:tabs>
          <w:tab w:val="left" w:pos="630"/>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eastAsia="zh-HK"/>
        </w:rPr>
      </w:pPr>
    </w:p>
    <w:p w14:paraId="61E90102" w14:textId="77777777" w:rsidR="00DE5108" w:rsidRPr="005F377B" w:rsidRDefault="00DE5108" w:rsidP="005F377B">
      <w:pPr>
        <w:widowControl/>
        <w:tabs>
          <w:tab w:val="left" w:pos="1276"/>
        </w:tabs>
        <w:overflowPunct w:val="0"/>
        <w:autoSpaceDE w:val="0"/>
        <w:autoSpaceDN w:val="0"/>
        <w:adjustRightInd w:val="0"/>
        <w:ind w:rightChars="-29" w:right="-70"/>
        <w:jc w:val="both"/>
        <w:textAlignment w:val="baseline"/>
        <w:rPr>
          <w:rFonts w:ascii="Times New Roman" w:eastAsia="標楷體" w:hAnsi="Times New Roman" w:cs="Times New Roman"/>
          <w:kern w:val="0"/>
          <w:szCs w:val="24"/>
          <w:lang w:eastAsia="zh-HK"/>
        </w:rPr>
      </w:pPr>
      <w:r w:rsidRPr="005F377B">
        <w:rPr>
          <w:rFonts w:ascii="Times New Roman" w:eastAsia="標楷體" w:hAnsi="Times New Roman" w:cs="Times New Roman"/>
          <w:kern w:val="0"/>
          <w:szCs w:val="24"/>
          <w:lang w:eastAsia="zh-HK"/>
        </w:rPr>
        <w:t>Appellant’s Director appeared for the Appellant.</w:t>
      </w:r>
    </w:p>
    <w:p w14:paraId="42D8A32E" w14:textId="77777777" w:rsidR="004C195E" w:rsidRPr="005F377B" w:rsidRDefault="00DE5108" w:rsidP="002E6DCF">
      <w:pPr>
        <w:ind w:left="480" w:hangingChars="200" w:hanging="480"/>
        <w:rPr>
          <w:rFonts w:ascii="Times New Roman" w:eastAsia="標楷體" w:hAnsi="Times New Roman" w:cs="Times New Roman"/>
          <w:kern w:val="0"/>
          <w:szCs w:val="24"/>
          <w:lang w:eastAsia="zh-HK"/>
        </w:rPr>
      </w:pPr>
      <w:r w:rsidRPr="005F377B">
        <w:rPr>
          <w:rFonts w:ascii="Times New Roman" w:eastAsia="標楷體" w:hAnsi="Times New Roman" w:cs="Times New Roman"/>
          <w:kern w:val="0"/>
          <w:szCs w:val="24"/>
          <w:lang w:eastAsia="zh-HK"/>
        </w:rPr>
        <w:t>Wong Hoi Ling, Cheng Po Fung and Cheng Nga Man, for the Commissioner of Inland Revenue.</w:t>
      </w:r>
    </w:p>
    <w:p w14:paraId="0BF8F34E" w14:textId="77777777" w:rsidR="00DE5108" w:rsidRPr="005F377B" w:rsidRDefault="00DE5108" w:rsidP="005F377B">
      <w:pPr>
        <w:rPr>
          <w:rFonts w:ascii="Times New Roman" w:eastAsia="標楷體" w:hAnsi="Times New Roman" w:cs="Times New Roman"/>
          <w:kern w:val="0"/>
          <w:szCs w:val="24"/>
          <w:lang w:eastAsia="zh-HK"/>
        </w:rPr>
      </w:pPr>
    </w:p>
    <w:p w14:paraId="689AB7C6" w14:textId="77777777" w:rsidR="00A448CA" w:rsidRDefault="00A448CA" w:rsidP="005F377B">
      <w:pPr>
        <w:rPr>
          <w:rFonts w:ascii="Times New Roman" w:eastAsia="標楷體" w:hAnsi="Times New Roman" w:cs="Times New Roman"/>
          <w:kern w:val="0"/>
          <w:szCs w:val="24"/>
          <w:lang w:eastAsia="zh-HK"/>
        </w:rPr>
      </w:pPr>
    </w:p>
    <w:p w14:paraId="2E25C946" w14:textId="52840F80" w:rsidR="00A448CA" w:rsidRPr="00A448CA" w:rsidRDefault="00A448CA" w:rsidP="00817B01">
      <w:pPr>
        <w:widowControl/>
        <w:rPr>
          <w:rFonts w:ascii="Times New Roman" w:eastAsia="標楷體" w:hAnsi="Times New Roman" w:cs="Times New Roman"/>
          <w:b/>
          <w:kern w:val="0"/>
          <w:szCs w:val="24"/>
          <w:lang w:eastAsia="zh-HK"/>
        </w:rPr>
      </w:pPr>
      <w:r w:rsidRPr="00A448CA">
        <w:rPr>
          <w:rFonts w:ascii="Times New Roman" w:eastAsia="標楷體" w:hAnsi="Times New Roman" w:cs="Times New Roman" w:hint="eastAsia"/>
          <w:b/>
          <w:kern w:val="0"/>
          <w:szCs w:val="24"/>
          <w:lang w:eastAsia="zh-HK"/>
        </w:rPr>
        <w:t>Decision:</w:t>
      </w:r>
    </w:p>
    <w:p w14:paraId="7AA744BD" w14:textId="77777777" w:rsidR="00575319" w:rsidRPr="00A448CA" w:rsidRDefault="00575319" w:rsidP="005F377B">
      <w:pPr>
        <w:rPr>
          <w:rFonts w:ascii="Times New Roman" w:eastAsia="標楷體" w:hAnsi="Times New Roman" w:cs="Times New Roman"/>
          <w:b/>
          <w:kern w:val="0"/>
          <w:szCs w:val="24"/>
          <w:lang w:eastAsia="zh-HK"/>
        </w:rPr>
      </w:pPr>
    </w:p>
    <w:p w14:paraId="7E04FD58" w14:textId="77777777" w:rsidR="00DE5108" w:rsidRDefault="00DE5108" w:rsidP="005F377B">
      <w:pPr>
        <w:widowControl/>
        <w:rPr>
          <w:rFonts w:ascii="Times New Roman" w:eastAsia="標楷體" w:hAnsi="Times New Roman" w:cs="Times New Roman"/>
          <w:b/>
          <w:kern w:val="0"/>
          <w:szCs w:val="24"/>
          <w:lang w:eastAsia="zh-HK"/>
        </w:rPr>
      </w:pPr>
      <w:r w:rsidRPr="00DE5108">
        <w:rPr>
          <w:rFonts w:ascii="Times New Roman" w:eastAsia="標楷體" w:hAnsi="Times New Roman" w:cs="Times New Roman"/>
          <w:b/>
          <w:kern w:val="0"/>
          <w:szCs w:val="24"/>
          <w:lang w:eastAsia="zh-HK"/>
        </w:rPr>
        <w:t>Introduction</w:t>
      </w:r>
    </w:p>
    <w:p w14:paraId="20780E62" w14:textId="77777777" w:rsidR="0061655B" w:rsidRPr="00DE5108" w:rsidRDefault="0061655B" w:rsidP="005F377B">
      <w:pPr>
        <w:widowControl/>
        <w:rPr>
          <w:rFonts w:ascii="Times New Roman" w:eastAsia="標楷體" w:hAnsi="Times New Roman" w:cs="Times New Roman"/>
          <w:b/>
          <w:kern w:val="0"/>
          <w:szCs w:val="24"/>
          <w:u w:val="single"/>
          <w:lang w:eastAsia="zh-HK"/>
        </w:rPr>
      </w:pPr>
    </w:p>
    <w:p w14:paraId="38CC915B" w14:textId="77777777" w:rsidR="00DE5108" w:rsidRP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the employer’s returns of remuneration and pensions filed by </w:t>
      </w:r>
      <w:r w:rsidR="00100857">
        <w:rPr>
          <w:rFonts w:ascii="Times New Roman" w:eastAsia="標楷體" w:hAnsi="Times New Roman" w:cs="Times New Roman"/>
          <w:snapToGrid w:val="0"/>
          <w:kern w:val="0"/>
          <w:szCs w:val="24"/>
          <w:lang w:eastAsia="zh-HK"/>
        </w:rPr>
        <w:t>Company A</w:t>
      </w:r>
      <w:r w:rsidRPr="00DE5108">
        <w:rPr>
          <w:rFonts w:ascii="Times New Roman" w:eastAsia="標楷體" w:hAnsi="Times New Roman" w:cs="Times New Roman"/>
          <w:snapToGrid w:val="0"/>
          <w:kern w:val="0"/>
          <w:szCs w:val="24"/>
          <w:lang w:eastAsia="zh-HK"/>
        </w:rPr>
        <w:t xml:space="preserve"> (</w:t>
      </w:r>
      <w:r w:rsidR="00D264CC" w:rsidRPr="00100857">
        <w:rPr>
          <w:rFonts w:ascii="Times New Roman" w:eastAsia="標楷體" w:hAnsi="Times New Roman" w:cs="Times New Roman"/>
          <w:snapToGrid w:val="0"/>
          <w:kern w:val="0"/>
          <w:szCs w:val="24"/>
          <w:lang w:eastAsia="zh-HK"/>
        </w:rPr>
        <w:t>‘</w:t>
      </w:r>
      <w:r w:rsidRPr="00DE5108">
        <w:rPr>
          <w:rFonts w:ascii="Times New Roman" w:eastAsia="標楷體" w:hAnsi="Times New Roman" w:cs="Times New Roman"/>
          <w:snapToGrid w:val="0"/>
          <w:kern w:val="0"/>
          <w:szCs w:val="24"/>
          <w:lang w:eastAsia="zh-HK"/>
        </w:rPr>
        <w:t>the Company</w:t>
      </w:r>
      <w:r w:rsidR="00D264CC" w:rsidRPr="00100857">
        <w:rPr>
          <w:rFonts w:ascii="Times New Roman" w:eastAsia="標楷體" w:hAnsi="Times New Roman" w:cs="Times New Roman"/>
          <w:snapToGrid w:val="0"/>
          <w:kern w:val="0"/>
          <w:szCs w:val="24"/>
          <w:lang w:eastAsia="zh-HK"/>
        </w:rPr>
        <w:t>’</w:t>
      </w:r>
      <w:r w:rsidRPr="00DE5108">
        <w:rPr>
          <w:rFonts w:ascii="Times New Roman" w:eastAsia="標楷體" w:hAnsi="Times New Roman" w:cs="Times New Roman"/>
          <w:snapToGrid w:val="0"/>
          <w:kern w:val="0"/>
          <w:szCs w:val="24"/>
          <w:lang w:eastAsia="zh-HK"/>
        </w:rPr>
        <w:t>),</w:t>
      </w:r>
      <w:r w:rsidRPr="00DE5108">
        <w:rPr>
          <w:rFonts w:ascii="Times New Roman" w:eastAsia="標楷體" w:hAnsi="Times New Roman" w:cs="Times New Roman"/>
          <w:kern w:val="0"/>
          <w:szCs w:val="24"/>
          <w:lang w:eastAsia="zh-HK"/>
        </w:rPr>
        <w:t xml:space="preserve"> in respect of </w:t>
      </w:r>
      <w:r w:rsidR="006F47FA">
        <w:rPr>
          <w:rFonts w:ascii="Times New Roman" w:eastAsia="標楷體" w:hAnsi="Times New Roman" w:cs="Times New Roman"/>
          <w:kern w:val="0"/>
          <w:szCs w:val="24"/>
          <w:lang w:eastAsia="zh-HK"/>
        </w:rPr>
        <w:t>Mr B</w:t>
      </w:r>
      <w:r w:rsidRPr="00DE5108">
        <w:rPr>
          <w:rFonts w:ascii="Times New Roman" w:eastAsia="標楷體" w:hAnsi="Times New Roman" w:cs="Times New Roman"/>
          <w:kern w:val="0"/>
          <w:szCs w:val="24"/>
          <w:lang w:eastAsia="zh-HK"/>
        </w:rPr>
        <w:t xml:space="preserve"> (</w:t>
      </w:r>
      <w:r w:rsidR="00D264CC" w:rsidRPr="00440E35">
        <w:rPr>
          <w:rFonts w:ascii="Times New Roman" w:eastAsia="標楷體" w:hAnsi="Times New Roman" w:cs="Times New Roman"/>
          <w:kern w:val="0"/>
          <w:szCs w:val="24"/>
          <w:lang w:eastAsia="zh-HK"/>
        </w:rPr>
        <w:t>‘</w:t>
      </w:r>
      <w:r w:rsidRPr="00DE5108">
        <w:rPr>
          <w:rFonts w:ascii="Times New Roman" w:eastAsia="標楷體" w:hAnsi="Times New Roman" w:cs="Times New Roman"/>
          <w:bCs/>
          <w:kern w:val="0"/>
          <w:szCs w:val="24"/>
          <w:lang w:eastAsia="zh-HK"/>
        </w:rPr>
        <w:t>the Appellant</w:t>
      </w:r>
      <w:r w:rsidR="00D264CC" w:rsidRPr="00440E35">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the Company’s director, the following particulars were reported for the years of assessment 2007/08 to 2011/12:</w:t>
      </w:r>
    </w:p>
    <w:p w14:paraId="1AF11C0A" w14:textId="77777777" w:rsidR="00DE5108" w:rsidRPr="00DE5108" w:rsidRDefault="00DE5108" w:rsidP="005F377B">
      <w:pPr>
        <w:widowControl/>
        <w:adjustRightInd w:val="0"/>
        <w:snapToGrid w:val="0"/>
        <w:ind w:left="360"/>
        <w:jc w:val="both"/>
        <w:rPr>
          <w:rFonts w:ascii="Times New Roman" w:eastAsia="標楷體" w:hAnsi="Times New Roman" w:cs="Times New Roman"/>
          <w:kern w:val="0"/>
          <w:szCs w:val="24"/>
          <w:lang w:eastAsia="zh-HK"/>
        </w:rPr>
      </w:pPr>
    </w:p>
    <w:tbl>
      <w:tblPr>
        <w:tblW w:w="9356" w:type="dxa"/>
        <w:tblInd w:w="-284" w:type="dxa"/>
        <w:tblLayout w:type="fixed"/>
        <w:tblLook w:val="04A0" w:firstRow="1" w:lastRow="0" w:firstColumn="1" w:lastColumn="0" w:noHBand="0" w:noVBand="1"/>
      </w:tblPr>
      <w:tblGrid>
        <w:gridCol w:w="2694"/>
        <w:gridCol w:w="1276"/>
        <w:gridCol w:w="1417"/>
        <w:gridCol w:w="1276"/>
        <w:gridCol w:w="1290"/>
        <w:gridCol w:w="1403"/>
      </w:tblGrid>
      <w:tr w:rsidR="00EA5933" w:rsidRPr="00DE5108" w14:paraId="0652A081" w14:textId="77777777" w:rsidTr="00AF051A">
        <w:trPr>
          <w:tblHeader/>
        </w:trPr>
        <w:tc>
          <w:tcPr>
            <w:tcW w:w="2694" w:type="dxa"/>
            <w:shd w:val="clear" w:color="auto" w:fill="auto"/>
          </w:tcPr>
          <w:p w14:paraId="2ECD6627" w14:textId="77777777" w:rsidR="00EA5933" w:rsidRPr="00DE5108" w:rsidRDefault="00EA5933" w:rsidP="00AF051A">
            <w:pPr>
              <w:widowControl/>
              <w:tabs>
                <w:tab w:val="left" w:pos="1246"/>
              </w:tabs>
              <w:adjustRightInd w:val="0"/>
              <w:snapToGrid w:val="0"/>
              <w:ind w:leftChars="68" w:left="173" w:hangingChars="4" w:hanging="10"/>
              <w:jc w:val="both"/>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Year of assessment</w:t>
            </w:r>
          </w:p>
        </w:tc>
        <w:tc>
          <w:tcPr>
            <w:tcW w:w="1276" w:type="dxa"/>
            <w:shd w:val="clear" w:color="auto" w:fill="auto"/>
          </w:tcPr>
          <w:p w14:paraId="18D4BAB1"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2007/08</w:t>
            </w:r>
          </w:p>
        </w:tc>
        <w:tc>
          <w:tcPr>
            <w:tcW w:w="1417" w:type="dxa"/>
            <w:shd w:val="clear" w:color="auto" w:fill="auto"/>
          </w:tcPr>
          <w:p w14:paraId="340AC795"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2008/09</w:t>
            </w:r>
          </w:p>
        </w:tc>
        <w:tc>
          <w:tcPr>
            <w:tcW w:w="1276" w:type="dxa"/>
          </w:tcPr>
          <w:p w14:paraId="1C976A36"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2009/10</w:t>
            </w:r>
          </w:p>
        </w:tc>
        <w:tc>
          <w:tcPr>
            <w:tcW w:w="1290" w:type="dxa"/>
          </w:tcPr>
          <w:p w14:paraId="77D24D3D"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2010/11</w:t>
            </w:r>
          </w:p>
        </w:tc>
        <w:tc>
          <w:tcPr>
            <w:tcW w:w="1403" w:type="dxa"/>
          </w:tcPr>
          <w:p w14:paraId="59EA2321"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2011/12</w:t>
            </w:r>
          </w:p>
        </w:tc>
      </w:tr>
      <w:tr w:rsidR="00EA5933" w:rsidRPr="00DE5108" w14:paraId="4F53D258" w14:textId="77777777" w:rsidTr="00AF051A">
        <w:tc>
          <w:tcPr>
            <w:tcW w:w="2694" w:type="dxa"/>
            <w:shd w:val="clear" w:color="auto" w:fill="auto"/>
          </w:tcPr>
          <w:p w14:paraId="2AE41D7A" w14:textId="77777777" w:rsidR="00EA5933" w:rsidRPr="00DE5108" w:rsidRDefault="00EA5933" w:rsidP="005F377B">
            <w:pPr>
              <w:widowControl/>
              <w:tabs>
                <w:tab w:val="left" w:pos="1246"/>
              </w:tabs>
              <w:adjustRightInd w:val="0"/>
              <w:snapToGrid w:val="0"/>
              <w:jc w:val="both"/>
              <w:textAlignment w:val="bottom"/>
              <w:rPr>
                <w:rFonts w:ascii="Times New Roman" w:eastAsia="標楷體" w:hAnsi="Times New Roman" w:cs="Times New Roman"/>
                <w:kern w:val="0"/>
                <w:szCs w:val="24"/>
                <w:lang w:eastAsia="zh-HK"/>
              </w:rPr>
            </w:pPr>
          </w:p>
        </w:tc>
        <w:tc>
          <w:tcPr>
            <w:tcW w:w="1276" w:type="dxa"/>
            <w:shd w:val="clear" w:color="auto" w:fill="auto"/>
          </w:tcPr>
          <w:p w14:paraId="0C4B9608"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17" w:type="dxa"/>
            <w:shd w:val="clear" w:color="auto" w:fill="auto"/>
          </w:tcPr>
          <w:p w14:paraId="4AC77A09"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76" w:type="dxa"/>
          </w:tcPr>
          <w:p w14:paraId="61A18FE6"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90" w:type="dxa"/>
          </w:tcPr>
          <w:p w14:paraId="0E1A4239"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03" w:type="dxa"/>
          </w:tcPr>
          <w:p w14:paraId="206B4C1E"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r>
      <w:tr w:rsidR="00EA5933" w:rsidRPr="00DE5108" w14:paraId="52C16826" w14:textId="77777777" w:rsidTr="00AF051A">
        <w:tc>
          <w:tcPr>
            <w:tcW w:w="2694" w:type="dxa"/>
            <w:shd w:val="clear" w:color="auto" w:fill="auto"/>
          </w:tcPr>
          <w:p w14:paraId="5DB963B1" w14:textId="77777777" w:rsidR="00EA5933" w:rsidRPr="00DE5108" w:rsidRDefault="00EA5933" w:rsidP="00AF051A">
            <w:pPr>
              <w:widowControl/>
              <w:tabs>
                <w:tab w:val="left" w:pos="1246"/>
              </w:tabs>
              <w:adjustRightInd w:val="0"/>
              <w:snapToGrid w:val="0"/>
              <w:ind w:leftChars="68" w:left="173" w:rightChars="-43" w:right="-103" w:hangingChars="4" w:hanging="10"/>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Capacity in which employed</w:t>
            </w:r>
          </w:p>
        </w:tc>
        <w:tc>
          <w:tcPr>
            <w:tcW w:w="1276" w:type="dxa"/>
            <w:shd w:val="clear" w:color="auto" w:fill="auto"/>
          </w:tcPr>
          <w:p w14:paraId="2C326275"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Director</w:t>
            </w:r>
          </w:p>
        </w:tc>
        <w:tc>
          <w:tcPr>
            <w:tcW w:w="1417" w:type="dxa"/>
            <w:shd w:val="clear" w:color="auto" w:fill="auto"/>
          </w:tcPr>
          <w:p w14:paraId="23F7DE39"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Director</w:t>
            </w:r>
          </w:p>
        </w:tc>
        <w:tc>
          <w:tcPr>
            <w:tcW w:w="1276" w:type="dxa"/>
          </w:tcPr>
          <w:p w14:paraId="771501A0"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Director</w:t>
            </w:r>
          </w:p>
        </w:tc>
        <w:tc>
          <w:tcPr>
            <w:tcW w:w="1290" w:type="dxa"/>
          </w:tcPr>
          <w:p w14:paraId="7BEC5DEB"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Director</w:t>
            </w:r>
          </w:p>
        </w:tc>
        <w:tc>
          <w:tcPr>
            <w:tcW w:w="1403" w:type="dxa"/>
          </w:tcPr>
          <w:p w14:paraId="35DBF7E2"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Director</w:t>
            </w:r>
          </w:p>
        </w:tc>
      </w:tr>
      <w:tr w:rsidR="00EA5933" w:rsidRPr="00DE5108" w14:paraId="2EF5B540" w14:textId="77777777" w:rsidTr="00AF051A">
        <w:tc>
          <w:tcPr>
            <w:tcW w:w="2694" w:type="dxa"/>
            <w:shd w:val="clear" w:color="auto" w:fill="auto"/>
          </w:tcPr>
          <w:p w14:paraId="60C56BD8" w14:textId="77777777" w:rsidR="00EA5933" w:rsidRPr="00DE5108" w:rsidRDefault="00EA5933" w:rsidP="005F377B">
            <w:pPr>
              <w:widowControl/>
              <w:tabs>
                <w:tab w:val="left" w:pos="1246"/>
              </w:tabs>
              <w:adjustRightInd w:val="0"/>
              <w:snapToGrid w:val="0"/>
              <w:textAlignment w:val="bottom"/>
              <w:rPr>
                <w:rFonts w:ascii="Times New Roman" w:eastAsia="標楷體" w:hAnsi="Times New Roman" w:cs="Times New Roman"/>
                <w:kern w:val="0"/>
                <w:szCs w:val="24"/>
                <w:lang w:eastAsia="zh-HK"/>
              </w:rPr>
            </w:pPr>
          </w:p>
        </w:tc>
        <w:tc>
          <w:tcPr>
            <w:tcW w:w="1276" w:type="dxa"/>
            <w:shd w:val="clear" w:color="auto" w:fill="auto"/>
          </w:tcPr>
          <w:p w14:paraId="10C728D8"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17" w:type="dxa"/>
            <w:shd w:val="clear" w:color="auto" w:fill="auto"/>
          </w:tcPr>
          <w:p w14:paraId="4376A51C"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76" w:type="dxa"/>
          </w:tcPr>
          <w:p w14:paraId="39A8F751"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90" w:type="dxa"/>
          </w:tcPr>
          <w:p w14:paraId="2224B798"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03" w:type="dxa"/>
          </w:tcPr>
          <w:p w14:paraId="75A3FB89"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r>
      <w:tr w:rsidR="00EA5933" w:rsidRPr="00DE5108" w14:paraId="4A73B390" w14:textId="77777777" w:rsidTr="00AF051A">
        <w:tc>
          <w:tcPr>
            <w:tcW w:w="2694" w:type="dxa"/>
            <w:shd w:val="clear" w:color="auto" w:fill="auto"/>
          </w:tcPr>
          <w:p w14:paraId="2337231B" w14:textId="77777777" w:rsidR="00EA5933" w:rsidRPr="00DE5108" w:rsidRDefault="00EA5933" w:rsidP="00AF051A">
            <w:pPr>
              <w:widowControl/>
              <w:tabs>
                <w:tab w:val="left" w:pos="1246"/>
              </w:tabs>
              <w:adjustRightInd w:val="0"/>
              <w:snapToGrid w:val="0"/>
              <w:ind w:leftChars="68" w:left="173" w:hangingChars="4" w:hanging="10"/>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Period of employment</w:t>
            </w:r>
          </w:p>
        </w:tc>
        <w:tc>
          <w:tcPr>
            <w:tcW w:w="1276" w:type="dxa"/>
            <w:shd w:val="clear" w:color="auto" w:fill="auto"/>
          </w:tcPr>
          <w:p w14:paraId="154A87E5" w14:textId="77777777" w:rsidR="003D1ACC"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4</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2007 – </w:t>
            </w:r>
          </w:p>
          <w:p w14:paraId="674C21CC"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31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3</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1417" w:type="dxa"/>
            <w:shd w:val="clear" w:color="auto" w:fill="auto"/>
          </w:tcPr>
          <w:p w14:paraId="6EB9857E"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4</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 – 31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3</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2009</w:t>
            </w:r>
          </w:p>
        </w:tc>
        <w:tc>
          <w:tcPr>
            <w:tcW w:w="1276" w:type="dxa"/>
          </w:tcPr>
          <w:p w14:paraId="5E4332AD"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4</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2009 – 31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3</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2010</w:t>
            </w:r>
          </w:p>
        </w:tc>
        <w:tc>
          <w:tcPr>
            <w:tcW w:w="1290" w:type="dxa"/>
          </w:tcPr>
          <w:p w14:paraId="52FBF315"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4</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2010 – 31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3</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2011</w:t>
            </w:r>
          </w:p>
        </w:tc>
        <w:tc>
          <w:tcPr>
            <w:tcW w:w="1403" w:type="dxa"/>
          </w:tcPr>
          <w:p w14:paraId="26A95D79"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4</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2011 – 31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3</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2012</w:t>
            </w:r>
          </w:p>
        </w:tc>
      </w:tr>
      <w:tr w:rsidR="00EA5933" w:rsidRPr="00DE5108" w14:paraId="57AD8A3B" w14:textId="77777777" w:rsidTr="00AF051A">
        <w:tc>
          <w:tcPr>
            <w:tcW w:w="2694" w:type="dxa"/>
            <w:shd w:val="clear" w:color="auto" w:fill="auto"/>
          </w:tcPr>
          <w:p w14:paraId="53BC7586" w14:textId="77777777" w:rsidR="00EA5933" w:rsidRPr="00DE5108" w:rsidRDefault="00EA5933" w:rsidP="005F377B">
            <w:pPr>
              <w:widowControl/>
              <w:tabs>
                <w:tab w:val="left" w:pos="1246"/>
              </w:tabs>
              <w:adjustRightInd w:val="0"/>
              <w:snapToGrid w:val="0"/>
              <w:textAlignment w:val="bottom"/>
              <w:rPr>
                <w:rFonts w:ascii="Times New Roman" w:eastAsia="標楷體" w:hAnsi="Times New Roman" w:cs="Times New Roman"/>
                <w:kern w:val="0"/>
                <w:szCs w:val="24"/>
                <w:lang w:eastAsia="zh-HK"/>
              </w:rPr>
            </w:pPr>
          </w:p>
        </w:tc>
        <w:tc>
          <w:tcPr>
            <w:tcW w:w="1276" w:type="dxa"/>
            <w:shd w:val="clear" w:color="auto" w:fill="auto"/>
          </w:tcPr>
          <w:p w14:paraId="7FF58A31"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17" w:type="dxa"/>
            <w:shd w:val="clear" w:color="auto" w:fill="auto"/>
          </w:tcPr>
          <w:p w14:paraId="09C364F4"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76" w:type="dxa"/>
          </w:tcPr>
          <w:p w14:paraId="28048E87"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90" w:type="dxa"/>
          </w:tcPr>
          <w:p w14:paraId="51DC9920"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03" w:type="dxa"/>
          </w:tcPr>
          <w:p w14:paraId="16EB306D"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r>
      <w:tr w:rsidR="00EA5933" w:rsidRPr="00DE5108" w14:paraId="4D0DA85B" w14:textId="77777777" w:rsidTr="00AF051A">
        <w:tc>
          <w:tcPr>
            <w:tcW w:w="2694" w:type="dxa"/>
            <w:shd w:val="clear" w:color="auto" w:fill="auto"/>
          </w:tcPr>
          <w:p w14:paraId="379CE1F6" w14:textId="77777777" w:rsidR="00EA5933" w:rsidRPr="00DE5108" w:rsidRDefault="00EA5933" w:rsidP="00AF051A">
            <w:pPr>
              <w:widowControl/>
              <w:tabs>
                <w:tab w:val="left" w:pos="1246"/>
              </w:tabs>
              <w:adjustRightInd w:val="0"/>
              <w:snapToGrid w:val="0"/>
              <w:ind w:leftChars="68" w:left="173" w:hangingChars="4" w:hanging="10"/>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Particulars of income – </w:t>
            </w:r>
          </w:p>
        </w:tc>
        <w:tc>
          <w:tcPr>
            <w:tcW w:w="1276" w:type="dxa"/>
            <w:shd w:val="clear" w:color="auto" w:fill="auto"/>
          </w:tcPr>
          <w:p w14:paraId="18955CC2"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17" w:type="dxa"/>
            <w:shd w:val="clear" w:color="auto" w:fill="auto"/>
          </w:tcPr>
          <w:p w14:paraId="35142F68"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76" w:type="dxa"/>
          </w:tcPr>
          <w:p w14:paraId="626B73B5"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90" w:type="dxa"/>
          </w:tcPr>
          <w:p w14:paraId="4F42D92B"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03" w:type="dxa"/>
          </w:tcPr>
          <w:p w14:paraId="52922E79"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r>
      <w:tr w:rsidR="00EA5933" w:rsidRPr="00DE5108" w14:paraId="06369AD5" w14:textId="77777777" w:rsidTr="00AF051A">
        <w:tc>
          <w:tcPr>
            <w:tcW w:w="2694" w:type="dxa"/>
            <w:shd w:val="clear" w:color="auto" w:fill="auto"/>
          </w:tcPr>
          <w:p w14:paraId="20008114" w14:textId="77777777" w:rsidR="00EA5933" w:rsidRPr="00DE5108" w:rsidRDefault="00EA5933" w:rsidP="005F377B">
            <w:pPr>
              <w:widowControl/>
              <w:tabs>
                <w:tab w:val="left" w:pos="1246"/>
              </w:tabs>
              <w:adjustRightInd w:val="0"/>
              <w:snapToGrid w:val="0"/>
              <w:textAlignment w:val="bottom"/>
              <w:rPr>
                <w:rFonts w:ascii="Times New Roman" w:eastAsia="標楷體" w:hAnsi="Times New Roman" w:cs="Times New Roman"/>
                <w:kern w:val="0"/>
                <w:szCs w:val="24"/>
                <w:lang w:eastAsia="zh-HK"/>
              </w:rPr>
            </w:pPr>
          </w:p>
        </w:tc>
        <w:tc>
          <w:tcPr>
            <w:tcW w:w="1276" w:type="dxa"/>
            <w:shd w:val="clear" w:color="auto" w:fill="auto"/>
          </w:tcPr>
          <w:p w14:paraId="4E64A3D2"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c>
          <w:tcPr>
            <w:tcW w:w="1417" w:type="dxa"/>
            <w:shd w:val="clear" w:color="auto" w:fill="auto"/>
          </w:tcPr>
          <w:p w14:paraId="05ED9B0A"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 $</w:t>
            </w:r>
          </w:p>
        </w:tc>
        <w:tc>
          <w:tcPr>
            <w:tcW w:w="1276" w:type="dxa"/>
          </w:tcPr>
          <w:p w14:paraId="076189C1"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c>
          <w:tcPr>
            <w:tcW w:w="1290" w:type="dxa"/>
          </w:tcPr>
          <w:p w14:paraId="43EE70A7"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c>
          <w:tcPr>
            <w:tcW w:w="1403" w:type="dxa"/>
          </w:tcPr>
          <w:p w14:paraId="2D6491B5"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r>
      <w:tr w:rsidR="00EA5933" w:rsidRPr="00DE5108" w14:paraId="553A92D1" w14:textId="77777777" w:rsidTr="00AF051A">
        <w:tc>
          <w:tcPr>
            <w:tcW w:w="2694" w:type="dxa"/>
            <w:shd w:val="clear" w:color="auto" w:fill="auto"/>
          </w:tcPr>
          <w:p w14:paraId="77DE9B31" w14:textId="77777777" w:rsidR="00EA5933" w:rsidRPr="00DE5108" w:rsidRDefault="00EA5933" w:rsidP="00F07174">
            <w:pPr>
              <w:widowControl/>
              <w:tabs>
                <w:tab w:val="left" w:pos="1246"/>
              </w:tabs>
              <w:adjustRightInd w:val="0"/>
              <w:snapToGrid w:val="0"/>
              <w:ind w:leftChars="72" w:left="173"/>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Salary / wages</w:t>
            </w:r>
          </w:p>
        </w:tc>
        <w:tc>
          <w:tcPr>
            <w:tcW w:w="1276" w:type="dxa"/>
            <w:shd w:val="clear" w:color="auto" w:fill="auto"/>
          </w:tcPr>
          <w:p w14:paraId="31F4A162" w14:textId="77777777" w:rsidR="00EA5933" w:rsidRPr="00DE5108" w:rsidRDefault="00EA5933" w:rsidP="005F377B">
            <w:pPr>
              <w:widowControl/>
              <w:tabs>
                <w:tab w:val="left" w:pos="815"/>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580,000</w:t>
            </w:r>
          </w:p>
        </w:tc>
        <w:tc>
          <w:tcPr>
            <w:tcW w:w="1417" w:type="dxa"/>
            <w:shd w:val="clear" w:color="auto" w:fill="auto"/>
          </w:tcPr>
          <w:p w14:paraId="10E00CBD"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 600,000</w:t>
            </w:r>
          </w:p>
        </w:tc>
        <w:tc>
          <w:tcPr>
            <w:tcW w:w="1276" w:type="dxa"/>
          </w:tcPr>
          <w:p w14:paraId="7E5563DB"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1,200,000</w:t>
            </w:r>
          </w:p>
        </w:tc>
        <w:tc>
          <w:tcPr>
            <w:tcW w:w="1290" w:type="dxa"/>
          </w:tcPr>
          <w:p w14:paraId="2CE4C76A"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1,200,000</w:t>
            </w:r>
          </w:p>
        </w:tc>
        <w:tc>
          <w:tcPr>
            <w:tcW w:w="1403" w:type="dxa"/>
          </w:tcPr>
          <w:p w14:paraId="5FC2F4EA"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1,200,000</w:t>
            </w:r>
          </w:p>
        </w:tc>
      </w:tr>
      <w:tr w:rsidR="00EA5933" w:rsidRPr="00DE5108" w14:paraId="2191A948" w14:textId="77777777" w:rsidTr="00AF051A">
        <w:tc>
          <w:tcPr>
            <w:tcW w:w="2694" w:type="dxa"/>
            <w:shd w:val="clear" w:color="auto" w:fill="auto"/>
          </w:tcPr>
          <w:p w14:paraId="431F45A6" w14:textId="77777777" w:rsidR="00EA5933" w:rsidRPr="00DE5108" w:rsidRDefault="00EA5933" w:rsidP="00F07174">
            <w:pPr>
              <w:widowControl/>
              <w:tabs>
                <w:tab w:val="left" w:pos="1246"/>
              </w:tabs>
              <w:adjustRightInd w:val="0"/>
              <w:snapToGrid w:val="0"/>
              <w:ind w:leftChars="72" w:left="173" w:rightChars="-44" w:right="-106"/>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Commission / Fees / Bonus</w:t>
            </w:r>
          </w:p>
        </w:tc>
        <w:tc>
          <w:tcPr>
            <w:tcW w:w="1276" w:type="dxa"/>
            <w:shd w:val="clear" w:color="auto" w:fill="auto"/>
          </w:tcPr>
          <w:p w14:paraId="21BFD676"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 xml:space="preserve">   -      </w:t>
            </w:r>
          </w:p>
        </w:tc>
        <w:tc>
          <w:tcPr>
            <w:tcW w:w="1417" w:type="dxa"/>
            <w:shd w:val="clear" w:color="auto" w:fill="auto"/>
          </w:tcPr>
          <w:p w14:paraId="57932895" w14:textId="77777777" w:rsidR="00EA5933" w:rsidRPr="00DE5108" w:rsidRDefault="00EA5933" w:rsidP="005F377B">
            <w:pPr>
              <w:widowControl/>
              <w:tabs>
                <w:tab w:val="left" w:pos="1246"/>
              </w:tabs>
              <w:adjustRightInd w:val="0"/>
              <w:snapToGrid w:val="0"/>
              <w:ind w:rightChars="16" w:right="38"/>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7,247,500</w:t>
            </w:r>
          </w:p>
        </w:tc>
        <w:tc>
          <w:tcPr>
            <w:tcW w:w="1276" w:type="dxa"/>
          </w:tcPr>
          <w:p w14:paraId="4388D36A"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 xml:space="preserve">    -       </w:t>
            </w:r>
          </w:p>
        </w:tc>
        <w:tc>
          <w:tcPr>
            <w:tcW w:w="1290" w:type="dxa"/>
          </w:tcPr>
          <w:p w14:paraId="732369F0"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2,000,000</w:t>
            </w:r>
          </w:p>
        </w:tc>
        <w:tc>
          <w:tcPr>
            <w:tcW w:w="1403" w:type="dxa"/>
          </w:tcPr>
          <w:p w14:paraId="30A413A0"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u w:val="single"/>
                <w:lang w:eastAsia="zh-HK"/>
              </w:rPr>
              <w:t xml:space="preserve">    -       </w:t>
            </w:r>
          </w:p>
        </w:tc>
      </w:tr>
      <w:tr w:rsidR="00EA5933" w:rsidRPr="00DE5108" w14:paraId="63D6E447" w14:textId="77777777" w:rsidTr="00AF051A">
        <w:tc>
          <w:tcPr>
            <w:tcW w:w="2694" w:type="dxa"/>
            <w:shd w:val="clear" w:color="auto" w:fill="auto"/>
          </w:tcPr>
          <w:p w14:paraId="6C1805EC" w14:textId="77777777" w:rsidR="00EA5933" w:rsidRPr="00DE5108" w:rsidRDefault="00EA5933" w:rsidP="005A7A7D">
            <w:pPr>
              <w:widowControl/>
              <w:tabs>
                <w:tab w:val="left" w:pos="1246"/>
              </w:tabs>
              <w:adjustRightInd w:val="0"/>
              <w:snapToGrid w:val="0"/>
              <w:ind w:leftChars="13" w:left="32" w:hanging="1"/>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 Total</w:t>
            </w:r>
          </w:p>
        </w:tc>
        <w:tc>
          <w:tcPr>
            <w:tcW w:w="1276" w:type="dxa"/>
            <w:shd w:val="clear" w:color="auto" w:fill="auto"/>
          </w:tcPr>
          <w:p w14:paraId="70A8159C"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580,000</w:t>
            </w:r>
          </w:p>
        </w:tc>
        <w:tc>
          <w:tcPr>
            <w:tcW w:w="1417" w:type="dxa"/>
            <w:shd w:val="clear" w:color="auto" w:fill="auto"/>
          </w:tcPr>
          <w:p w14:paraId="7B51EAA5"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7,847,500</w:t>
            </w:r>
          </w:p>
        </w:tc>
        <w:tc>
          <w:tcPr>
            <w:tcW w:w="1276" w:type="dxa"/>
          </w:tcPr>
          <w:p w14:paraId="10A3A837"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1,200,000</w:t>
            </w:r>
          </w:p>
        </w:tc>
        <w:tc>
          <w:tcPr>
            <w:tcW w:w="1290" w:type="dxa"/>
          </w:tcPr>
          <w:p w14:paraId="71790B96"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3,200,000</w:t>
            </w:r>
          </w:p>
        </w:tc>
        <w:tc>
          <w:tcPr>
            <w:tcW w:w="1403" w:type="dxa"/>
          </w:tcPr>
          <w:p w14:paraId="4BBE6FE1"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1,200,000</w:t>
            </w:r>
          </w:p>
        </w:tc>
      </w:tr>
      <w:tr w:rsidR="00EA5933" w:rsidRPr="00DE5108" w14:paraId="1B224FBF" w14:textId="77777777" w:rsidTr="00AF051A">
        <w:tc>
          <w:tcPr>
            <w:tcW w:w="2694" w:type="dxa"/>
            <w:shd w:val="clear" w:color="auto" w:fill="auto"/>
          </w:tcPr>
          <w:p w14:paraId="460053F4" w14:textId="77777777" w:rsidR="00EA5933" w:rsidRPr="00DE5108" w:rsidRDefault="00EA5933" w:rsidP="005F377B">
            <w:pPr>
              <w:widowControl/>
              <w:tabs>
                <w:tab w:val="left" w:pos="1246"/>
              </w:tabs>
              <w:adjustRightInd w:val="0"/>
              <w:snapToGrid w:val="0"/>
              <w:textAlignment w:val="bottom"/>
              <w:rPr>
                <w:rFonts w:ascii="Times New Roman" w:eastAsia="標楷體" w:hAnsi="Times New Roman" w:cs="Times New Roman"/>
                <w:kern w:val="0"/>
                <w:szCs w:val="24"/>
                <w:lang w:eastAsia="zh-HK"/>
              </w:rPr>
            </w:pPr>
          </w:p>
        </w:tc>
        <w:tc>
          <w:tcPr>
            <w:tcW w:w="1276" w:type="dxa"/>
            <w:shd w:val="clear" w:color="auto" w:fill="auto"/>
          </w:tcPr>
          <w:p w14:paraId="15A1A184"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17" w:type="dxa"/>
            <w:shd w:val="clear" w:color="auto" w:fill="auto"/>
          </w:tcPr>
          <w:p w14:paraId="74BE11AD"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76" w:type="dxa"/>
          </w:tcPr>
          <w:p w14:paraId="3AB91A0D"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90" w:type="dxa"/>
          </w:tcPr>
          <w:p w14:paraId="6A293678"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03" w:type="dxa"/>
          </w:tcPr>
          <w:p w14:paraId="4A1B79F4"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r>
      <w:tr w:rsidR="00EA5933" w:rsidRPr="00DE5108" w14:paraId="7B238788" w14:textId="77777777" w:rsidTr="00AF051A">
        <w:tc>
          <w:tcPr>
            <w:tcW w:w="2694" w:type="dxa"/>
            <w:shd w:val="clear" w:color="auto" w:fill="auto"/>
          </w:tcPr>
          <w:p w14:paraId="0E5A1E84" w14:textId="77777777" w:rsidR="00EA5933" w:rsidRPr="00DE5108" w:rsidRDefault="00EA5933" w:rsidP="00E8724B">
            <w:pPr>
              <w:widowControl/>
              <w:tabs>
                <w:tab w:val="left" w:pos="1246"/>
              </w:tabs>
              <w:adjustRightInd w:val="0"/>
              <w:snapToGrid w:val="0"/>
              <w:ind w:leftChars="68" w:left="173" w:hangingChars="4" w:hanging="10"/>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Place of residence provided</w:t>
            </w:r>
          </w:p>
        </w:tc>
        <w:tc>
          <w:tcPr>
            <w:tcW w:w="1276" w:type="dxa"/>
            <w:shd w:val="clear" w:color="auto" w:fill="auto"/>
          </w:tcPr>
          <w:p w14:paraId="32517669"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Yes</w:t>
            </w:r>
          </w:p>
        </w:tc>
        <w:tc>
          <w:tcPr>
            <w:tcW w:w="1417" w:type="dxa"/>
            <w:shd w:val="clear" w:color="auto" w:fill="auto"/>
          </w:tcPr>
          <w:p w14:paraId="7A38666B"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Yes</w:t>
            </w:r>
          </w:p>
        </w:tc>
        <w:tc>
          <w:tcPr>
            <w:tcW w:w="1276" w:type="dxa"/>
          </w:tcPr>
          <w:p w14:paraId="60BE13A0"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No</w:t>
            </w:r>
          </w:p>
        </w:tc>
        <w:tc>
          <w:tcPr>
            <w:tcW w:w="1290" w:type="dxa"/>
          </w:tcPr>
          <w:p w14:paraId="7703CB98"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No</w:t>
            </w:r>
          </w:p>
        </w:tc>
        <w:tc>
          <w:tcPr>
            <w:tcW w:w="1403" w:type="dxa"/>
          </w:tcPr>
          <w:p w14:paraId="67A68AB1"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No</w:t>
            </w:r>
          </w:p>
        </w:tc>
      </w:tr>
      <w:tr w:rsidR="00EA5933" w:rsidRPr="00DE5108" w14:paraId="6C381EB5" w14:textId="77777777" w:rsidTr="00AF051A">
        <w:tc>
          <w:tcPr>
            <w:tcW w:w="2694" w:type="dxa"/>
            <w:shd w:val="clear" w:color="auto" w:fill="auto"/>
          </w:tcPr>
          <w:p w14:paraId="1D136771" w14:textId="77777777" w:rsidR="00EA5933" w:rsidRPr="00DE5108" w:rsidRDefault="00EA5933" w:rsidP="00E8724B">
            <w:pPr>
              <w:widowControl/>
              <w:tabs>
                <w:tab w:val="left" w:pos="1246"/>
              </w:tabs>
              <w:adjustRightInd w:val="0"/>
              <w:snapToGrid w:val="0"/>
              <w:ind w:leftChars="13" w:left="32" w:hanging="1"/>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 Period</w:t>
            </w:r>
          </w:p>
        </w:tc>
        <w:tc>
          <w:tcPr>
            <w:tcW w:w="1276" w:type="dxa"/>
            <w:shd w:val="clear" w:color="auto" w:fill="auto"/>
          </w:tcPr>
          <w:p w14:paraId="0C74176C"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4</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2007 – 31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3</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1417" w:type="dxa"/>
            <w:shd w:val="clear" w:color="auto" w:fill="auto"/>
          </w:tcPr>
          <w:p w14:paraId="5CB334A4"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4</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 – 15</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12</w:t>
            </w:r>
            <w:r w:rsidR="003D1A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1276" w:type="dxa"/>
          </w:tcPr>
          <w:p w14:paraId="61F77070"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90" w:type="dxa"/>
          </w:tcPr>
          <w:p w14:paraId="6CA15200"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03" w:type="dxa"/>
          </w:tcPr>
          <w:p w14:paraId="03D3B7A0"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r>
      <w:tr w:rsidR="00EA5933" w:rsidRPr="00DE5108" w14:paraId="62CA6400" w14:textId="77777777" w:rsidTr="00AF051A">
        <w:tc>
          <w:tcPr>
            <w:tcW w:w="2694" w:type="dxa"/>
            <w:shd w:val="clear" w:color="auto" w:fill="auto"/>
          </w:tcPr>
          <w:p w14:paraId="3FFEFEB0" w14:textId="77777777" w:rsidR="00EA5933" w:rsidRPr="00DE5108" w:rsidRDefault="00EA5933" w:rsidP="00E8724B">
            <w:pPr>
              <w:widowControl/>
              <w:tabs>
                <w:tab w:val="left" w:pos="1246"/>
              </w:tabs>
              <w:adjustRightInd w:val="0"/>
              <w:snapToGrid w:val="0"/>
              <w:ind w:leftChars="13" w:left="32" w:hanging="1"/>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 Nature</w:t>
            </w:r>
          </w:p>
        </w:tc>
        <w:tc>
          <w:tcPr>
            <w:tcW w:w="1276" w:type="dxa"/>
            <w:shd w:val="clear" w:color="auto" w:fill="auto"/>
          </w:tcPr>
          <w:p w14:paraId="347D865F"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Flat</w:t>
            </w:r>
          </w:p>
        </w:tc>
        <w:tc>
          <w:tcPr>
            <w:tcW w:w="1417" w:type="dxa"/>
            <w:shd w:val="clear" w:color="auto" w:fill="auto"/>
          </w:tcPr>
          <w:p w14:paraId="4E98BB95"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Flat</w:t>
            </w:r>
          </w:p>
        </w:tc>
        <w:tc>
          <w:tcPr>
            <w:tcW w:w="1276" w:type="dxa"/>
          </w:tcPr>
          <w:p w14:paraId="5461317F"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90" w:type="dxa"/>
          </w:tcPr>
          <w:p w14:paraId="2FB4C455"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03" w:type="dxa"/>
          </w:tcPr>
          <w:p w14:paraId="44DCB9A2"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r>
      <w:tr w:rsidR="00EA5933" w:rsidRPr="00DE5108" w14:paraId="1A792872" w14:textId="77777777" w:rsidTr="00AF051A">
        <w:tc>
          <w:tcPr>
            <w:tcW w:w="2694" w:type="dxa"/>
            <w:shd w:val="clear" w:color="auto" w:fill="auto"/>
          </w:tcPr>
          <w:p w14:paraId="096B4046" w14:textId="77777777" w:rsidR="00EA5933" w:rsidRPr="00DE5108" w:rsidRDefault="00EA5933" w:rsidP="004A756B">
            <w:pPr>
              <w:widowControl/>
              <w:tabs>
                <w:tab w:val="left" w:pos="1246"/>
              </w:tabs>
              <w:adjustRightInd w:val="0"/>
              <w:snapToGrid w:val="0"/>
              <w:ind w:hanging="1"/>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 Rent paid by employer</w:t>
            </w:r>
          </w:p>
        </w:tc>
        <w:tc>
          <w:tcPr>
            <w:tcW w:w="1276" w:type="dxa"/>
            <w:shd w:val="clear" w:color="auto" w:fill="auto"/>
          </w:tcPr>
          <w:p w14:paraId="728D82F6" w14:textId="77777777" w:rsidR="00EA5933" w:rsidRPr="00DE5108" w:rsidRDefault="00EA5933" w:rsidP="005F377B">
            <w:pPr>
              <w:widowControl/>
              <w:tabs>
                <w:tab w:val="left" w:pos="1246"/>
              </w:tabs>
              <w:adjustRightInd w:val="0"/>
              <w:snapToGrid w:val="0"/>
              <w:ind w:rightChars="15" w:right="36"/>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$237,750</w:t>
            </w:r>
          </w:p>
        </w:tc>
        <w:tc>
          <w:tcPr>
            <w:tcW w:w="1417" w:type="dxa"/>
            <w:shd w:val="clear" w:color="auto" w:fill="auto"/>
          </w:tcPr>
          <w:p w14:paraId="39E606C9"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$199,750</w:t>
            </w:r>
          </w:p>
        </w:tc>
        <w:tc>
          <w:tcPr>
            <w:tcW w:w="1276" w:type="dxa"/>
          </w:tcPr>
          <w:p w14:paraId="489F2AC1"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290" w:type="dxa"/>
          </w:tcPr>
          <w:p w14:paraId="1D3810DF"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c>
          <w:tcPr>
            <w:tcW w:w="1403" w:type="dxa"/>
          </w:tcPr>
          <w:p w14:paraId="0AEBFDED" w14:textId="77777777" w:rsidR="00EA5933" w:rsidRPr="00DE5108" w:rsidRDefault="00EA5933" w:rsidP="005F377B">
            <w:pPr>
              <w:widowControl/>
              <w:tabs>
                <w:tab w:val="left" w:pos="1246"/>
              </w:tabs>
              <w:adjustRightInd w:val="0"/>
              <w:snapToGrid w:val="0"/>
              <w:jc w:val="center"/>
              <w:textAlignment w:val="bottom"/>
              <w:rPr>
                <w:rFonts w:ascii="Times New Roman" w:eastAsia="標楷體" w:hAnsi="Times New Roman" w:cs="Times New Roman"/>
                <w:kern w:val="0"/>
                <w:szCs w:val="24"/>
                <w:lang w:eastAsia="zh-HK"/>
              </w:rPr>
            </w:pPr>
          </w:p>
        </w:tc>
      </w:tr>
    </w:tbl>
    <w:p w14:paraId="35114B7F" w14:textId="77777777" w:rsidR="00DE5108" w:rsidRPr="00DE5108" w:rsidRDefault="00DE5108" w:rsidP="005F377B">
      <w:pPr>
        <w:widowControl/>
        <w:tabs>
          <w:tab w:val="left" w:pos="709"/>
        </w:tabs>
        <w:adjustRightInd w:val="0"/>
        <w:snapToGrid w:val="0"/>
        <w:ind w:left="360"/>
        <w:jc w:val="both"/>
        <w:rPr>
          <w:rFonts w:ascii="Times New Roman" w:eastAsia="標楷體" w:hAnsi="Times New Roman" w:cs="Times New Roman"/>
          <w:kern w:val="0"/>
          <w:szCs w:val="24"/>
          <w:lang w:eastAsia="zh-HK"/>
        </w:rPr>
      </w:pPr>
    </w:p>
    <w:p w14:paraId="738A15CF" w14:textId="77777777" w:rsidR="00DE5108" w:rsidRDefault="00DE5108" w:rsidP="00730030">
      <w:pPr>
        <w:widowControl/>
        <w:tabs>
          <w:tab w:val="left" w:pos="709"/>
        </w:tabs>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employer’s returns were signed by the Appellant in the capacity of the Company’s director.</w:t>
      </w:r>
    </w:p>
    <w:p w14:paraId="13739BC4" w14:textId="77777777" w:rsidR="003D750F" w:rsidRPr="00DE5108" w:rsidRDefault="003D750F" w:rsidP="003D750F">
      <w:pPr>
        <w:widowControl/>
        <w:tabs>
          <w:tab w:val="left" w:pos="709"/>
        </w:tabs>
        <w:adjustRightInd w:val="0"/>
        <w:snapToGrid w:val="0"/>
        <w:jc w:val="both"/>
        <w:rPr>
          <w:rFonts w:ascii="Times New Roman" w:eastAsia="標楷體" w:hAnsi="Times New Roman" w:cs="Times New Roman"/>
          <w:kern w:val="0"/>
          <w:szCs w:val="24"/>
          <w:lang w:eastAsia="zh-HK"/>
        </w:rPr>
      </w:pPr>
    </w:p>
    <w:p w14:paraId="552B6187"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In his Tax Return – Individuals for the years of assessment 2007/08 to 2011/12, the Appellant reported the same total income as that stated in paragraph 1 hereof having been derived from the Company.</w:t>
      </w:r>
    </w:p>
    <w:p w14:paraId="7C496223" w14:textId="77777777" w:rsidR="003D750F" w:rsidRPr="00DE5108" w:rsidRDefault="003D750F" w:rsidP="003D750F">
      <w:pPr>
        <w:widowControl/>
        <w:ind w:left="360"/>
        <w:jc w:val="both"/>
        <w:rPr>
          <w:rFonts w:ascii="Times New Roman" w:eastAsia="標楷體" w:hAnsi="Times New Roman" w:cs="Times New Roman"/>
          <w:kern w:val="0"/>
          <w:szCs w:val="24"/>
          <w:lang w:eastAsia="zh-HK"/>
        </w:rPr>
      </w:pPr>
    </w:p>
    <w:p w14:paraId="2646E0B6" w14:textId="77777777" w:rsidR="00DE5108" w:rsidRP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Assessor raised on the Appellant the following Salaries Tax Assessments for the years of assessment 2007/08 and 2009/10 to 2011/12 and the Revised Salaries Tax Assessment for the year of assessment 2008/09 (collectively </w:t>
      </w:r>
      <w:r w:rsidR="00D264CC" w:rsidRPr="00B0710D">
        <w:rPr>
          <w:rFonts w:ascii="Times New Roman" w:eastAsia="標楷體" w:hAnsi="Times New Roman" w:cs="Times New Roman"/>
          <w:kern w:val="0"/>
          <w:szCs w:val="24"/>
          <w:lang w:eastAsia="zh-HK"/>
        </w:rPr>
        <w:t>‘</w:t>
      </w:r>
      <w:r w:rsidRPr="00B0710D">
        <w:rPr>
          <w:rFonts w:ascii="Times New Roman" w:eastAsia="標楷體" w:hAnsi="Times New Roman" w:cs="Times New Roman"/>
          <w:bCs/>
          <w:kern w:val="0"/>
          <w:szCs w:val="24"/>
          <w:lang w:eastAsia="zh-HK"/>
        </w:rPr>
        <w:t>the Subject Assessments</w:t>
      </w:r>
      <w:r w:rsidR="00D264CC" w:rsidRPr="00B0710D">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w:t>
      </w:r>
    </w:p>
    <w:p w14:paraId="082773AC" w14:textId="77777777" w:rsidR="00DE5108" w:rsidRPr="00DE5108" w:rsidRDefault="00DE5108" w:rsidP="003D750F">
      <w:pPr>
        <w:widowControl/>
        <w:tabs>
          <w:tab w:val="left" w:pos="709"/>
        </w:tabs>
        <w:jc w:val="both"/>
        <w:rPr>
          <w:rFonts w:ascii="Times New Roman" w:eastAsia="標楷體" w:hAnsi="Times New Roman" w:cs="Times New Roman"/>
          <w:kern w:val="0"/>
          <w:szCs w:val="24"/>
          <w:lang w:eastAsia="zh-HK"/>
        </w:rPr>
      </w:pPr>
    </w:p>
    <w:tbl>
      <w:tblPr>
        <w:tblW w:w="9214" w:type="dxa"/>
        <w:tblInd w:w="-142" w:type="dxa"/>
        <w:tblLayout w:type="fixed"/>
        <w:tblLook w:val="04A0" w:firstRow="1" w:lastRow="0" w:firstColumn="1" w:lastColumn="0" w:noHBand="0" w:noVBand="1"/>
      </w:tblPr>
      <w:tblGrid>
        <w:gridCol w:w="2694"/>
        <w:gridCol w:w="1276"/>
        <w:gridCol w:w="1246"/>
        <w:gridCol w:w="1447"/>
        <w:gridCol w:w="1218"/>
        <w:gridCol w:w="1333"/>
      </w:tblGrid>
      <w:tr w:rsidR="00DE5108" w:rsidRPr="00DE5108" w14:paraId="1C3153EB" w14:textId="77777777" w:rsidTr="00AF5A57">
        <w:tc>
          <w:tcPr>
            <w:tcW w:w="2694" w:type="dxa"/>
            <w:shd w:val="clear" w:color="auto" w:fill="auto"/>
          </w:tcPr>
          <w:p w14:paraId="6C8D40E2" w14:textId="77777777" w:rsidR="00DE5108" w:rsidRPr="00DE5108" w:rsidRDefault="00DE5108" w:rsidP="005F377B">
            <w:pPr>
              <w:widowControl/>
              <w:tabs>
                <w:tab w:val="left" w:pos="1246"/>
              </w:tabs>
              <w:jc w:val="both"/>
              <w:textAlignment w:val="bottom"/>
              <w:rPr>
                <w:rFonts w:ascii="Times New Roman" w:eastAsia="標楷體" w:hAnsi="Times New Roman" w:cs="Times New Roman"/>
                <w:kern w:val="0"/>
                <w:szCs w:val="24"/>
                <w:lang w:eastAsia="zh-HK"/>
              </w:rPr>
            </w:pPr>
          </w:p>
        </w:tc>
        <w:tc>
          <w:tcPr>
            <w:tcW w:w="1276" w:type="dxa"/>
            <w:shd w:val="clear" w:color="auto" w:fill="auto"/>
          </w:tcPr>
          <w:p w14:paraId="01FF0F2C" w14:textId="77777777" w:rsidR="00DE5108" w:rsidRPr="00DE5108" w:rsidRDefault="00DE5108" w:rsidP="005F377B">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2007/08</w:t>
            </w:r>
          </w:p>
        </w:tc>
        <w:tc>
          <w:tcPr>
            <w:tcW w:w="1246" w:type="dxa"/>
            <w:shd w:val="clear" w:color="auto" w:fill="auto"/>
          </w:tcPr>
          <w:p w14:paraId="30F5C235" w14:textId="77777777" w:rsidR="00DE5108" w:rsidRPr="00DE5108" w:rsidRDefault="00DE5108" w:rsidP="005F377B">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2008/09</w:t>
            </w:r>
          </w:p>
        </w:tc>
        <w:tc>
          <w:tcPr>
            <w:tcW w:w="1447" w:type="dxa"/>
          </w:tcPr>
          <w:p w14:paraId="5F284013" w14:textId="77777777" w:rsidR="00DE5108" w:rsidRPr="00DE5108" w:rsidRDefault="00DE5108" w:rsidP="005F377B">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2009/10</w:t>
            </w:r>
          </w:p>
        </w:tc>
        <w:tc>
          <w:tcPr>
            <w:tcW w:w="1218" w:type="dxa"/>
          </w:tcPr>
          <w:p w14:paraId="262EFB0F" w14:textId="77777777" w:rsidR="00DE5108" w:rsidRPr="00DE5108" w:rsidRDefault="00DE5108" w:rsidP="005F377B">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2010/11</w:t>
            </w:r>
          </w:p>
        </w:tc>
        <w:tc>
          <w:tcPr>
            <w:tcW w:w="1333" w:type="dxa"/>
          </w:tcPr>
          <w:p w14:paraId="73624656" w14:textId="77777777" w:rsidR="00DE5108" w:rsidRPr="00DE5108" w:rsidRDefault="00DE5108" w:rsidP="005F377B">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2011/12</w:t>
            </w:r>
          </w:p>
        </w:tc>
      </w:tr>
      <w:tr w:rsidR="00DE5108" w:rsidRPr="00DE5108" w14:paraId="0A263418" w14:textId="77777777" w:rsidTr="00AF5A57">
        <w:tc>
          <w:tcPr>
            <w:tcW w:w="2694" w:type="dxa"/>
            <w:shd w:val="clear" w:color="auto" w:fill="auto"/>
          </w:tcPr>
          <w:p w14:paraId="2B6D2FD2" w14:textId="77777777" w:rsidR="00DE5108" w:rsidRPr="00DE5108" w:rsidRDefault="00DE5108" w:rsidP="00F36C4F">
            <w:pPr>
              <w:widowControl/>
              <w:tabs>
                <w:tab w:val="left" w:pos="1246"/>
              </w:tabs>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Date of issue</w:t>
            </w:r>
          </w:p>
        </w:tc>
        <w:tc>
          <w:tcPr>
            <w:tcW w:w="1276" w:type="dxa"/>
            <w:shd w:val="clear" w:color="auto" w:fill="auto"/>
          </w:tcPr>
          <w:p w14:paraId="16D04FC7"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22</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8</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1246" w:type="dxa"/>
            <w:shd w:val="clear" w:color="auto" w:fill="auto"/>
          </w:tcPr>
          <w:p w14:paraId="50913984"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26</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2010</w:t>
            </w:r>
          </w:p>
        </w:tc>
        <w:tc>
          <w:tcPr>
            <w:tcW w:w="1447" w:type="dxa"/>
          </w:tcPr>
          <w:p w14:paraId="6E586DF1"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27</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10</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2010</w:t>
            </w:r>
          </w:p>
        </w:tc>
        <w:tc>
          <w:tcPr>
            <w:tcW w:w="1218" w:type="dxa"/>
          </w:tcPr>
          <w:p w14:paraId="517EB375"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11</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8</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2011</w:t>
            </w:r>
          </w:p>
        </w:tc>
        <w:tc>
          <w:tcPr>
            <w:tcW w:w="1333" w:type="dxa"/>
          </w:tcPr>
          <w:p w14:paraId="04B7618E"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3</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10</w:t>
            </w:r>
            <w:r w:rsidR="00A85568">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2012</w:t>
            </w:r>
          </w:p>
        </w:tc>
      </w:tr>
      <w:tr w:rsidR="00DE5108" w:rsidRPr="00DE5108" w14:paraId="0823C9AB" w14:textId="77777777" w:rsidTr="00AF5A57">
        <w:tc>
          <w:tcPr>
            <w:tcW w:w="2694" w:type="dxa"/>
            <w:shd w:val="clear" w:color="auto" w:fill="auto"/>
          </w:tcPr>
          <w:p w14:paraId="76A93656" w14:textId="77777777" w:rsidR="00DE5108" w:rsidRPr="00DE5108" w:rsidRDefault="00DE5108" w:rsidP="00F36C4F">
            <w:pPr>
              <w:widowControl/>
              <w:tabs>
                <w:tab w:val="left" w:pos="1246"/>
              </w:tabs>
              <w:textAlignment w:val="bottom"/>
              <w:rPr>
                <w:rFonts w:ascii="Times New Roman" w:eastAsia="標楷體" w:hAnsi="Times New Roman" w:cs="Times New Roman"/>
                <w:kern w:val="0"/>
                <w:szCs w:val="24"/>
                <w:lang w:eastAsia="zh-HK"/>
              </w:rPr>
            </w:pPr>
          </w:p>
        </w:tc>
        <w:tc>
          <w:tcPr>
            <w:tcW w:w="1276" w:type="dxa"/>
            <w:shd w:val="clear" w:color="auto" w:fill="auto"/>
          </w:tcPr>
          <w:p w14:paraId="5496753B"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c>
          <w:tcPr>
            <w:tcW w:w="1246" w:type="dxa"/>
            <w:shd w:val="clear" w:color="auto" w:fill="auto"/>
          </w:tcPr>
          <w:p w14:paraId="2B1C392B"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c>
          <w:tcPr>
            <w:tcW w:w="1447" w:type="dxa"/>
          </w:tcPr>
          <w:p w14:paraId="74C9ED33"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c>
          <w:tcPr>
            <w:tcW w:w="1218" w:type="dxa"/>
          </w:tcPr>
          <w:p w14:paraId="019DC1C8"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c>
          <w:tcPr>
            <w:tcW w:w="1333" w:type="dxa"/>
          </w:tcPr>
          <w:p w14:paraId="1C1FB9B3"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r>
      <w:tr w:rsidR="00DE5108" w:rsidRPr="00DE5108" w14:paraId="300774E3" w14:textId="77777777" w:rsidTr="00AF5A57">
        <w:tc>
          <w:tcPr>
            <w:tcW w:w="2694" w:type="dxa"/>
            <w:shd w:val="clear" w:color="auto" w:fill="auto"/>
          </w:tcPr>
          <w:p w14:paraId="5FFC6898" w14:textId="77777777" w:rsidR="00DE5108" w:rsidRPr="00DE5108" w:rsidRDefault="00DE5108" w:rsidP="00F36C4F">
            <w:pPr>
              <w:widowControl/>
              <w:tabs>
                <w:tab w:val="left" w:pos="1246"/>
              </w:tabs>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CN"/>
              </w:rPr>
              <w:t>I</w:t>
            </w:r>
            <w:r w:rsidRPr="00DE5108">
              <w:rPr>
                <w:rFonts w:ascii="Times New Roman" w:eastAsia="標楷體" w:hAnsi="Times New Roman" w:cs="Times New Roman"/>
                <w:kern w:val="0"/>
                <w:szCs w:val="24"/>
                <w:lang w:eastAsia="zh-HK"/>
              </w:rPr>
              <w:t>ncome</w:t>
            </w:r>
          </w:p>
        </w:tc>
        <w:tc>
          <w:tcPr>
            <w:tcW w:w="1276" w:type="dxa"/>
            <w:shd w:val="clear" w:color="auto" w:fill="auto"/>
            <w:vAlign w:val="bottom"/>
          </w:tcPr>
          <w:p w14:paraId="71456BA4"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580,000</w:t>
            </w:r>
          </w:p>
        </w:tc>
        <w:tc>
          <w:tcPr>
            <w:tcW w:w="1246" w:type="dxa"/>
            <w:shd w:val="clear" w:color="auto" w:fill="auto"/>
            <w:vAlign w:val="bottom"/>
          </w:tcPr>
          <w:p w14:paraId="0F3F61A0" w14:textId="77777777" w:rsidR="00DE5108" w:rsidRPr="00DE5108" w:rsidRDefault="00DE5108" w:rsidP="00F36C4F">
            <w:pPr>
              <w:widowControl/>
              <w:tabs>
                <w:tab w:val="left" w:pos="885"/>
              </w:tabs>
              <w:ind w:rightChars="18" w:right="43"/>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7,847,500</w:t>
            </w:r>
          </w:p>
        </w:tc>
        <w:tc>
          <w:tcPr>
            <w:tcW w:w="1447" w:type="dxa"/>
            <w:vAlign w:val="bottom"/>
          </w:tcPr>
          <w:p w14:paraId="0D90F219"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1,200,000</w:t>
            </w:r>
          </w:p>
        </w:tc>
        <w:tc>
          <w:tcPr>
            <w:tcW w:w="1218" w:type="dxa"/>
            <w:vAlign w:val="bottom"/>
          </w:tcPr>
          <w:p w14:paraId="0CA45AB0"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3,200,000</w:t>
            </w:r>
          </w:p>
        </w:tc>
        <w:tc>
          <w:tcPr>
            <w:tcW w:w="1333" w:type="dxa"/>
            <w:vAlign w:val="bottom"/>
          </w:tcPr>
          <w:p w14:paraId="1837CEDB"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1,200,000</w:t>
            </w:r>
          </w:p>
        </w:tc>
      </w:tr>
      <w:tr w:rsidR="00DE5108" w:rsidRPr="00DE5108" w14:paraId="2D455690" w14:textId="77777777" w:rsidTr="00AF5A57">
        <w:tc>
          <w:tcPr>
            <w:tcW w:w="2694" w:type="dxa"/>
            <w:shd w:val="clear" w:color="auto" w:fill="auto"/>
          </w:tcPr>
          <w:p w14:paraId="291BED53" w14:textId="77777777" w:rsidR="00DE5108" w:rsidRPr="00DE5108" w:rsidRDefault="00DE5108" w:rsidP="00291858">
            <w:pPr>
              <w:widowControl/>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u w:val="single"/>
                <w:lang w:eastAsia="zh-HK"/>
              </w:rPr>
              <w:t>Add</w:t>
            </w:r>
            <w:r w:rsidRPr="00DE5108">
              <w:rPr>
                <w:rFonts w:ascii="Times New Roman" w:eastAsia="標楷體" w:hAnsi="Times New Roman" w:cs="Times New Roman"/>
                <w:kern w:val="0"/>
                <w:szCs w:val="24"/>
                <w:lang w:eastAsia="zh-HK"/>
              </w:rPr>
              <w:t>: Value of residence provided</w:t>
            </w:r>
          </w:p>
        </w:tc>
        <w:tc>
          <w:tcPr>
            <w:tcW w:w="1276" w:type="dxa"/>
            <w:shd w:val="clear" w:color="auto" w:fill="auto"/>
            <w:vAlign w:val="bottom"/>
          </w:tcPr>
          <w:p w14:paraId="2F6C6038"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58,000</w:t>
            </w:r>
          </w:p>
        </w:tc>
        <w:tc>
          <w:tcPr>
            <w:tcW w:w="1246" w:type="dxa"/>
            <w:shd w:val="clear" w:color="auto" w:fill="auto"/>
            <w:vAlign w:val="bottom"/>
          </w:tcPr>
          <w:p w14:paraId="6BB420BA" w14:textId="77777777" w:rsidR="00DE5108" w:rsidRPr="00DE5108" w:rsidRDefault="00DE5108" w:rsidP="00F36C4F">
            <w:pPr>
              <w:widowControl/>
              <w:tabs>
                <w:tab w:val="left" w:pos="885"/>
              </w:tabs>
              <w:ind w:rightChars="18" w:right="43"/>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175,737</w:t>
            </w:r>
          </w:p>
        </w:tc>
        <w:tc>
          <w:tcPr>
            <w:tcW w:w="1447" w:type="dxa"/>
            <w:vAlign w:val="bottom"/>
          </w:tcPr>
          <w:p w14:paraId="78587E59" w14:textId="77777777" w:rsidR="00DE5108" w:rsidRPr="00DE5108" w:rsidRDefault="00F57EA4" w:rsidP="00F57EA4">
            <w:pPr>
              <w:widowControl/>
              <w:ind w:leftChars="-162" w:left="-389"/>
              <w:jc w:val="center"/>
              <w:textAlignment w:val="bottom"/>
              <w:rPr>
                <w:rFonts w:ascii="Times New Roman" w:eastAsia="標楷體" w:hAnsi="Times New Roman" w:cs="Times New Roman"/>
                <w:kern w:val="0"/>
                <w:szCs w:val="24"/>
                <w:u w:val="single"/>
                <w:lang w:eastAsia="zh-HK"/>
              </w:rPr>
            </w:pPr>
            <w:r>
              <w:rPr>
                <w:rFonts w:ascii="Times New Roman" w:eastAsia="標楷體" w:hAnsi="Times New Roman" w:cs="Times New Roman"/>
                <w:kern w:val="0"/>
                <w:szCs w:val="24"/>
                <w:u w:val="single"/>
                <w:lang w:eastAsia="zh-HK"/>
              </w:rPr>
              <w:t xml:space="preserve">   </w:t>
            </w:r>
            <w:r w:rsidR="00DE5108" w:rsidRPr="00DE5108">
              <w:rPr>
                <w:rFonts w:ascii="Times New Roman" w:eastAsia="標楷體" w:hAnsi="Times New Roman" w:cs="Times New Roman"/>
                <w:kern w:val="0"/>
                <w:szCs w:val="24"/>
                <w:u w:val="single"/>
                <w:lang w:eastAsia="zh-HK"/>
              </w:rPr>
              <w:t>-</w:t>
            </w:r>
            <w:r>
              <w:rPr>
                <w:rFonts w:ascii="Times New Roman" w:eastAsia="標楷體" w:hAnsi="Times New Roman" w:cs="Times New Roman"/>
                <w:kern w:val="0"/>
                <w:szCs w:val="24"/>
                <w:u w:val="single"/>
                <w:lang w:eastAsia="zh-HK"/>
              </w:rPr>
              <w:t xml:space="preserve">   </w:t>
            </w:r>
          </w:p>
        </w:tc>
        <w:tc>
          <w:tcPr>
            <w:tcW w:w="1218" w:type="dxa"/>
            <w:vAlign w:val="bottom"/>
          </w:tcPr>
          <w:p w14:paraId="75F4030E" w14:textId="77777777" w:rsidR="00DE5108" w:rsidRPr="00DE5108" w:rsidRDefault="00F57EA4" w:rsidP="00F57EA4">
            <w:pPr>
              <w:widowControl/>
              <w:tabs>
                <w:tab w:val="left" w:pos="1246"/>
              </w:tabs>
              <w:ind w:leftChars="-162" w:left="-389"/>
              <w:jc w:val="center"/>
              <w:textAlignment w:val="bottom"/>
              <w:rPr>
                <w:rFonts w:ascii="Times New Roman" w:eastAsia="標楷體" w:hAnsi="Times New Roman" w:cs="Times New Roman"/>
                <w:kern w:val="0"/>
                <w:szCs w:val="24"/>
                <w:u w:val="single"/>
                <w:lang w:eastAsia="zh-HK"/>
              </w:rPr>
            </w:pPr>
            <w:r>
              <w:rPr>
                <w:rFonts w:ascii="Times New Roman" w:eastAsia="標楷體" w:hAnsi="Times New Roman" w:cs="Times New Roman"/>
                <w:kern w:val="0"/>
                <w:szCs w:val="24"/>
                <w:u w:val="single"/>
                <w:lang w:eastAsia="zh-HK"/>
              </w:rPr>
              <w:t xml:space="preserve">   </w:t>
            </w:r>
            <w:r w:rsidRPr="00DE5108">
              <w:rPr>
                <w:rFonts w:ascii="Times New Roman" w:eastAsia="標楷體" w:hAnsi="Times New Roman" w:cs="Times New Roman"/>
                <w:kern w:val="0"/>
                <w:szCs w:val="24"/>
                <w:u w:val="single"/>
                <w:lang w:eastAsia="zh-HK"/>
              </w:rPr>
              <w:t>-</w:t>
            </w:r>
            <w:r>
              <w:rPr>
                <w:rFonts w:ascii="Times New Roman" w:eastAsia="標楷體" w:hAnsi="Times New Roman" w:cs="Times New Roman"/>
                <w:kern w:val="0"/>
                <w:szCs w:val="24"/>
                <w:u w:val="single"/>
                <w:lang w:eastAsia="zh-HK"/>
              </w:rPr>
              <w:t xml:space="preserve">   </w:t>
            </w:r>
          </w:p>
        </w:tc>
        <w:tc>
          <w:tcPr>
            <w:tcW w:w="1333" w:type="dxa"/>
            <w:vAlign w:val="bottom"/>
          </w:tcPr>
          <w:p w14:paraId="2D26317D" w14:textId="77777777" w:rsidR="00DE5108" w:rsidRPr="00DE5108" w:rsidRDefault="00F57EA4" w:rsidP="00F57EA4">
            <w:pPr>
              <w:widowControl/>
              <w:tabs>
                <w:tab w:val="left" w:pos="1246"/>
              </w:tabs>
              <w:ind w:leftChars="-103" w:left="-247"/>
              <w:jc w:val="center"/>
              <w:textAlignment w:val="bottom"/>
              <w:rPr>
                <w:rFonts w:ascii="Times New Roman" w:eastAsia="標楷體" w:hAnsi="Times New Roman" w:cs="Times New Roman"/>
                <w:kern w:val="0"/>
                <w:szCs w:val="24"/>
                <w:u w:val="single"/>
                <w:lang w:eastAsia="zh-HK"/>
              </w:rPr>
            </w:pPr>
            <w:r>
              <w:rPr>
                <w:rFonts w:ascii="Times New Roman" w:eastAsia="標楷體" w:hAnsi="Times New Roman" w:cs="Times New Roman"/>
                <w:kern w:val="0"/>
                <w:szCs w:val="24"/>
                <w:u w:val="single"/>
                <w:lang w:eastAsia="zh-HK"/>
              </w:rPr>
              <w:t xml:space="preserve">   </w:t>
            </w:r>
            <w:r w:rsidRPr="00DE5108">
              <w:rPr>
                <w:rFonts w:ascii="Times New Roman" w:eastAsia="標楷體" w:hAnsi="Times New Roman" w:cs="Times New Roman"/>
                <w:kern w:val="0"/>
                <w:szCs w:val="24"/>
                <w:u w:val="single"/>
                <w:lang w:eastAsia="zh-HK"/>
              </w:rPr>
              <w:t>-</w:t>
            </w:r>
            <w:r>
              <w:rPr>
                <w:rFonts w:ascii="Times New Roman" w:eastAsia="標楷體" w:hAnsi="Times New Roman" w:cs="Times New Roman"/>
                <w:kern w:val="0"/>
                <w:szCs w:val="24"/>
                <w:u w:val="single"/>
                <w:lang w:eastAsia="zh-HK"/>
              </w:rPr>
              <w:t xml:space="preserve">   </w:t>
            </w:r>
          </w:p>
        </w:tc>
      </w:tr>
      <w:tr w:rsidR="00DE5108" w:rsidRPr="00DE5108" w14:paraId="1C659CA7" w14:textId="77777777" w:rsidTr="00AF5A57">
        <w:tc>
          <w:tcPr>
            <w:tcW w:w="2694" w:type="dxa"/>
            <w:shd w:val="clear" w:color="auto" w:fill="auto"/>
          </w:tcPr>
          <w:p w14:paraId="58169718" w14:textId="77777777" w:rsidR="00DE5108" w:rsidRPr="00DE5108" w:rsidRDefault="00DE5108" w:rsidP="00F36C4F">
            <w:pPr>
              <w:widowControl/>
              <w:tabs>
                <w:tab w:val="left" w:pos="1246"/>
              </w:tabs>
              <w:textAlignment w:val="bottom"/>
              <w:rPr>
                <w:rFonts w:ascii="Times New Roman" w:eastAsia="標楷體" w:hAnsi="Times New Roman" w:cs="Times New Roman"/>
                <w:kern w:val="0"/>
                <w:szCs w:val="24"/>
                <w:lang w:eastAsia="zh-HK"/>
              </w:rPr>
            </w:pPr>
          </w:p>
        </w:tc>
        <w:tc>
          <w:tcPr>
            <w:tcW w:w="1276" w:type="dxa"/>
            <w:shd w:val="clear" w:color="auto" w:fill="auto"/>
            <w:vAlign w:val="bottom"/>
          </w:tcPr>
          <w:p w14:paraId="75AF6A2D"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638,000</w:t>
            </w:r>
          </w:p>
        </w:tc>
        <w:tc>
          <w:tcPr>
            <w:tcW w:w="1246" w:type="dxa"/>
            <w:shd w:val="clear" w:color="auto" w:fill="auto"/>
            <w:vAlign w:val="bottom"/>
          </w:tcPr>
          <w:p w14:paraId="65894737" w14:textId="77777777" w:rsidR="00DE5108" w:rsidRPr="00DE5108" w:rsidRDefault="00DE5108" w:rsidP="00F36C4F">
            <w:pPr>
              <w:widowControl/>
              <w:tabs>
                <w:tab w:val="left" w:pos="885"/>
              </w:tabs>
              <w:ind w:rightChars="18" w:right="43"/>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8,023,237</w:t>
            </w:r>
          </w:p>
        </w:tc>
        <w:tc>
          <w:tcPr>
            <w:tcW w:w="1447" w:type="dxa"/>
            <w:vAlign w:val="bottom"/>
          </w:tcPr>
          <w:p w14:paraId="5E7E0762"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1,200,000</w:t>
            </w:r>
          </w:p>
        </w:tc>
        <w:tc>
          <w:tcPr>
            <w:tcW w:w="1218" w:type="dxa"/>
            <w:vAlign w:val="bottom"/>
          </w:tcPr>
          <w:p w14:paraId="23EE24DA"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3,200,000</w:t>
            </w:r>
          </w:p>
        </w:tc>
        <w:tc>
          <w:tcPr>
            <w:tcW w:w="1333" w:type="dxa"/>
            <w:vAlign w:val="bottom"/>
          </w:tcPr>
          <w:p w14:paraId="02088868" w14:textId="77777777" w:rsidR="00DE5108" w:rsidRPr="00DE5108" w:rsidRDefault="00DE5108" w:rsidP="00F36C4F">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1,200,000</w:t>
            </w:r>
          </w:p>
        </w:tc>
      </w:tr>
      <w:tr w:rsidR="00DE5108" w:rsidRPr="00DE5108" w14:paraId="01CE84AE" w14:textId="77777777" w:rsidTr="00AF5A57">
        <w:tc>
          <w:tcPr>
            <w:tcW w:w="2694" w:type="dxa"/>
            <w:shd w:val="clear" w:color="auto" w:fill="auto"/>
            <w:vAlign w:val="bottom"/>
          </w:tcPr>
          <w:p w14:paraId="01378638" w14:textId="77777777" w:rsidR="00AA2B04" w:rsidRDefault="00AA2B04" w:rsidP="00AA2B04">
            <w:pPr>
              <w:widowControl/>
              <w:ind w:rightChars="250" w:right="600"/>
              <w:jc w:val="both"/>
              <w:textAlignment w:val="bottom"/>
              <w:rPr>
                <w:rFonts w:ascii="Times New Roman" w:eastAsia="標楷體" w:hAnsi="Times New Roman" w:cs="Times New Roman"/>
                <w:kern w:val="0"/>
                <w:szCs w:val="24"/>
                <w:u w:val="single"/>
                <w:lang w:eastAsia="zh-HK"/>
              </w:rPr>
            </w:pPr>
          </w:p>
          <w:p w14:paraId="4A24CAC4" w14:textId="77777777" w:rsidR="00BA42B1" w:rsidRPr="00DE5108" w:rsidRDefault="00DE5108" w:rsidP="003B6A24">
            <w:pPr>
              <w:widowControl/>
              <w:ind w:rightChars="306" w:right="734"/>
              <w:jc w:val="both"/>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u w:val="single"/>
                <w:lang w:eastAsia="zh-HK"/>
              </w:rPr>
              <w:t>Less</w:t>
            </w:r>
            <w:r w:rsidR="00BA42B1">
              <w:rPr>
                <w:rFonts w:ascii="Times New Roman" w:eastAsia="標楷體" w:hAnsi="Times New Roman" w:cs="Times New Roman"/>
                <w:kern w:val="0"/>
                <w:szCs w:val="24"/>
                <w:lang w:eastAsia="zh-HK"/>
              </w:rPr>
              <w:t>:</w:t>
            </w:r>
            <w:r w:rsidR="004C08FD">
              <w:rPr>
                <w:rFonts w:ascii="Times New Roman" w:eastAsia="標楷體" w:hAnsi="Times New Roman" w:cs="Times New Roman"/>
                <w:kern w:val="0"/>
                <w:szCs w:val="24"/>
                <w:lang w:eastAsia="zh-HK"/>
              </w:rPr>
              <w:t xml:space="preserve"> </w:t>
            </w:r>
            <w:r w:rsidR="00EA5933">
              <w:rPr>
                <w:rFonts w:ascii="Times New Roman" w:eastAsia="標楷體" w:hAnsi="Times New Roman" w:cs="Times New Roman"/>
                <w:kern w:val="0"/>
                <w:szCs w:val="24"/>
                <w:lang w:eastAsia="zh-HK"/>
              </w:rPr>
              <w:t xml:space="preserve">Retirement </w:t>
            </w:r>
            <w:r w:rsidRPr="00DE5108">
              <w:rPr>
                <w:rFonts w:ascii="Times New Roman" w:eastAsia="標楷體" w:hAnsi="Times New Roman" w:cs="Times New Roman"/>
                <w:kern w:val="0"/>
                <w:szCs w:val="24"/>
                <w:lang w:eastAsia="zh-HK"/>
              </w:rPr>
              <w:t>scheme contributions</w:t>
            </w:r>
          </w:p>
        </w:tc>
        <w:tc>
          <w:tcPr>
            <w:tcW w:w="1276" w:type="dxa"/>
            <w:shd w:val="clear" w:color="auto" w:fill="auto"/>
            <w:vAlign w:val="center"/>
          </w:tcPr>
          <w:p w14:paraId="0083926E" w14:textId="77777777" w:rsidR="00DE5108" w:rsidRPr="00DE5108" w:rsidRDefault="00DE5108" w:rsidP="00BA42B1">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w:t>
            </w:r>
          </w:p>
        </w:tc>
        <w:tc>
          <w:tcPr>
            <w:tcW w:w="1246" w:type="dxa"/>
            <w:shd w:val="clear" w:color="auto" w:fill="auto"/>
            <w:vAlign w:val="center"/>
          </w:tcPr>
          <w:p w14:paraId="52954101" w14:textId="77777777" w:rsidR="00DE5108" w:rsidRPr="00DE5108" w:rsidRDefault="00DE5108" w:rsidP="00BA42B1">
            <w:pPr>
              <w:widowControl/>
              <w:tabs>
                <w:tab w:val="left" w:pos="885"/>
              </w:tabs>
              <w:ind w:rightChars="18" w:right="43"/>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w:t>
            </w:r>
          </w:p>
        </w:tc>
        <w:tc>
          <w:tcPr>
            <w:tcW w:w="1447" w:type="dxa"/>
            <w:vAlign w:val="center"/>
          </w:tcPr>
          <w:p w14:paraId="42EBA24C" w14:textId="77777777" w:rsidR="00DE5108" w:rsidRPr="00DE5108" w:rsidRDefault="00DE5108" w:rsidP="00BA42B1">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w:t>
            </w:r>
          </w:p>
        </w:tc>
        <w:tc>
          <w:tcPr>
            <w:tcW w:w="1218" w:type="dxa"/>
            <w:vAlign w:val="center"/>
          </w:tcPr>
          <w:p w14:paraId="64BE283B" w14:textId="77777777" w:rsidR="00DE5108" w:rsidRPr="00DE5108" w:rsidRDefault="00DE5108" w:rsidP="00BA42B1">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w:t>
            </w:r>
          </w:p>
        </w:tc>
        <w:tc>
          <w:tcPr>
            <w:tcW w:w="1333" w:type="dxa"/>
            <w:vAlign w:val="center"/>
          </w:tcPr>
          <w:p w14:paraId="6E1A4B7A" w14:textId="77777777" w:rsidR="00DE5108" w:rsidRPr="00DE5108" w:rsidRDefault="00DE5108" w:rsidP="00BA42B1">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w:t>
            </w:r>
          </w:p>
        </w:tc>
      </w:tr>
      <w:tr w:rsidR="00DE5108" w:rsidRPr="00DE5108" w14:paraId="74E2EBB3" w14:textId="77777777" w:rsidTr="00AF5A57">
        <w:tc>
          <w:tcPr>
            <w:tcW w:w="2694" w:type="dxa"/>
            <w:shd w:val="clear" w:color="auto" w:fill="auto"/>
            <w:vAlign w:val="bottom"/>
          </w:tcPr>
          <w:p w14:paraId="6AC4B657" w14:textId="77777777" w:rsidR="00AA2B04" w:rsidRDefault="00AA2B04" w:rsidP="00AA2B04">
            <w:pPr>
              <w:widowControl/>
              <w:jc w:val="both"/>
              <w:textAlignment w:val="bottom"/>
              <w:rPr>
                <w:rFonts w:ascii="Times New Roman" w:eastAsia="標楷體" w:hAnsi="Times New Roman" w:cs="Times New Roman"/>
                <w:kern w:val="0"/>
                <w:szCs w:val="24"/>
                <w:lang w:eastAsia="zh-HK"/>
              </w:rPr>
            </w:pPr>
          </w:p>
          <w:p w14:paraId="17940B1E" w14:textId="77777777" w:rsidR="00BA42B1" w:rsidRPr="00DE5108" w:rsidRDefault="00DE5108" w:rsidP="00AA2B04">
            <w:pPr>
              <w:widowControl/>
              <w:jc w:val="both"/>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Other deductions</w:t>
            </w:r>
          </w:p>
        </w:tc>
        <w:tc>
          <w:tcPr>
            <w:tcW w:w="1276" w:type="dxa"/>
            <w:shd w:val="clear" w:color="auto" w:fill="auto"/>
            <w:vAlign w:val="bottom"/>
          </w:tcPr>
          <w:p w14:paraId="257B2A7C"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80,000</w:t>
            </w:r>
          </w:p>
        </w:tc>
        <w:tc>
          <w:tcPr>
            <w:tcW w:w="1246" w:type="dxa"/>
            <w:shd w:val="clear" w:color="auto" w:fill="auto"/>
            <w:vAlign w:val="bottom"/>
          </w:tcPr>
          <w:p w14:paraId="01198D73" w14:textId="77777777" w:rsidR="00DE5108" w:rsidRPr="00DE5108" w:rsidRDefault="00DE5108" w:rsidP="00543C66">
            <w:pPr>
              <w:widowControl/>
              <w:tabs>
                <w:tab w:val="left" w:pos="885"/>
              </w:tabs>
              <w:ind w:rightChars="18" w:right="43"/>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1,337,355</w:t>
            </w:r>
          </w:p>
        </w:tc>
        <w:tc>
          <w:tcPr>
            <w:tcW w:w="1447" w:type="dxa"/>
            <w:vAlign w:val="bottom"/>
          </w:tcPr>
          <w:p w14:paraId="4C54234F"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180,000</w:t>
            </w:r>
          </w:p>
        </w:tc>
        <w:tc>
          <w:tcPr>
            <w:tcW w:w="1218" w:type="dxa"/>
            <w:vAlign w:val="bottom"/>
          </w:tcPr>
          <w:p w14:paraId="52DB5FD2"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257,355</w:t>
            </w:r>
          </w:p>
        </w:tc>
        <w:tc>
          <w:tcPr>
            <w:tcW w:w="1333" w:type="dxa"/>
            <w:vAlign w:val="bottom"/>
          </w:tcPr>
          <w:p w14:paraId="44F7E397"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457,218</w:t>
            </w:r>
          </w:p>
        </w:tc>
      </w:tr>
      <w:tr w:rsidR="00DE5108" w:rsidRPr="00DE5108" w14:paraId="573F1D0F" w14:textId="77777777" w:rsidTr="00AF5A57">
        <w:tc>
          <w:tcPr>
            <w:tcW w:w="2694" w:type="dxa"/>
            <w:shd w:val="clear" w:color="auto" w:fill="auto"/>
            <w:vAlign w:val="bottom"/>
          </w:tcPr>
          <w:p w14:paraId="407915AF" w14:textId="77777777" w:rsidR="00AA2B04" w:rsidRDefault="00AA2B04" w:rsidP="00AA2B04">
            <w:pPr>
              <w:widowControl/>
              <w:tabs>
                <w:tab w:val="left" w:pos="1246"/>
              </w:tabs>
              <w:jc w:val="both"/>
              <w:textAlignment w:val="bottom"/>
              <w:rPr>
                <w:rFonts w:ascii="Times New Roman" w:eastAsia="標楷體" w:hAnsi="Times New Roman" w:cs="Times New Roman"/>
                <w:kern w:val="0"/>
                <w:szCs w:val="24"/>
                <w:lang w:eastAsia="zh-HK"/>
              </w:rPr>
            </w:pPr>
          </w:p>
          <w:p w14:paraId="0041A488" w14:textId="77777777" w:rsidR="00BA42B1" w:rsidRPr="00DE5108" w:rsidRDefault="00DE5108" w:rsidP="00AA2B04">
            <w:pPr>
              <w:widowControl/>
              <w:tabs>
                <w:tab w:val="left" w:pos="1246"/>
              </w:tabs>
              <w:jc w:val="both"/>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Net income</w:t>
            </w:r>
          </w:p>
        </w:tc>
        <w:tc>
          <w:tcPr>
            <w:tcW w:w="1276" w:type="dxa"/>
            <w:shd w:val="clear" w:color="auto" w:fill="auto"/>
            <w:vAlign w:val="bottom"/>
          </w:tcPr>
          <w:p w14:paraId="7151B398"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546,000</w:t>
            </w:r>
          </w:p>
        </w:tc>
        <w:tc>
          <w:tcPr>
            <w:tcW w:w="1246" w:type="dxa"/>
            <w:shd w:val="clear" w:color="auto" w:fill="auto"/>
            <w:vAlign w:val="bottom"/>
          </w:tcPr>
          <w:p w14:paraId="6663C547" w14:textId="77777777" w:rsidR="00DE5108" w:rsidRPr="00DE5108" w:rsidRDefault="00DE5108" w:rsidP="00543C66">
            <w:pPr>
              <w:widowControl/>
              <w:tabs>
                <w:tab w:val="left" w:pos="885"/>
              </w:tabs>
              <w:ind w:rightChars="18" w:right="43"/>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6,673,882</w:t>
            </w:r>
          </w:p>
        </w:tc>
        <w:tc>
          <w:tcPr>
            <w:tcW w:w="1447" w:type="dxa"/>
            <w:vAlign w:val="bottom"/>
          </w:tcPr>
          <w:p w14:paraId="1C943526"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1,008,000</w:t>
            </w:r>
          </w:p>
        </w:tc>
        <w:tc>
          <w:tcPr>
            <w:tcW w:w="1218" w:type="dxa"/>
            <w:vAlign w:val="bottom"/>
          </w:tcPr>
          <w:p w14:paraId="7CC7AC0C"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2,930,645</w:t>
            </w:r>
          </w:p>
        </w:tc>
        <w:tc>
          <w:tcPr>
            <w:tcW w:w="1333" w:type="dxa"/>
            <w:vAlign w:val="bottom"/>
          </w:tcPr>
          <w:p w14:paraId="13203FE0"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730,782</w:t>
            </w:r>
          </w:p>
        </w:tc>
      </w:tr>
      <w:tr w:rsidR="00DE5108" w:rsidRPr="00DE5108" w14:paraId="22EB81A4" w14:textId="77777777" w:rsidTr="00AF5A57">
        <w:tc>
          <w:tcPr>
            <w:tcW w:w="2694" w:type="dxa"/>
            <w:shd w:val="clear" w:color="auto" w:fill="auto"/>
            <w:vAlign w:val="center"/>
          </w:tcPr>
          <w:p w14:paraId="2B4ABA7E" w14:textId="77777777" w:rsidR="00AA2B04" w:rsidRDefault="00AA2B04" w:rsidP="00BA42B1">
            <w:pPr>
              <w:widowControl/>
              <w:tabs>
                <w:tab w:val="left" w:pos="1246"/>
              </w:tabs>
              <w:jc w:val="center"/>
              <w:textAlignment w:val="bottom"/>
              <w:rPr>
                <w:rFonts w:ascii="Times New Roman" w:eastAsia="標楷體" w:hAnsi="Times New Roman" w:cs="Times New Roman"/>
                <w:kern w:val="0"/>
                <w:szCs w:val="24"/>
                <w:u w:val="single"/>
                <w:lang w:eastAsia="zh-HK"/>
              </w:rPr>
            </w:pPr>
          </w:p>
          <w:p w14:paraId="6CE138C8" w14:textId="77777777" w:rsidR="00DE5108" w:rsidRPr="00DE5108" w:rsidRDefault="00DE5108" w:rsidP="00DF261C">
            <w:pPr>
              <w:widowControl/>
              <w:tabs>
                <w:tab w:val="left" w:pos="1246"/>
              </w:tabs>
              <w:ind w:leftChars="-45" w:left="-108" w:rightChars="70" w:right="168"/>
              <w:jc w:val="center"/>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u w:val="single"/>
                <w:lang w:eastAsia="zh-HK"/>
              </w:rPr>
              <w:t>Less</w:t>
            </w:r>
            <w:r w:rsidRPr="00DE5108">
              <w:rPr>
                <w:rFonts w:ascii="Times New Roman" w:eastAsia="標楷體" w:hAnsi="Times New Roman" w:cs="Times New Roman"/>
                <w:kern w:val="0"/>
                <w:szCs w:val="24"/>
                <w:lang w:eastAsia="zh-HK"/>
              </w:rPr>
              <w:t>: Total allowances</w:t>
            </w:r>
          </w:p>
        </w:tc>
        <w:tc>
          <w:tcPr>
            <w:tcW w:w="1276" w:type="dxa"/>
            <w:shd w:val="clear" w:color="auto" w:fill="auto"/>
            <w:vAlign w:val="bottom"/>
          </w:tcPr>
          <w:p w14:paraId="174C35AA"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350,000</w:t>
            </w:r>
          </w:p>
        </w:tc>
        <w:tc>
          <w:tcPr>
            <w:tcW w:w="1246" w:type="dxa"/>
            <w:shd w:val="clear" w:color="auto" w:fill="auto"/>
            <w:vAlign w:val="bottom"/>
          </w:tcPr>
          <w:p w14:paraId="61B3688A" w14:textId="77777777" w:rsidR="00DE5108" w:rsidRPr="00DE5108" w:rsidRDefault="00DE5108" w:rsidP="00543C66">
            <w:pPr>
              <w:widowControl/>
              <w:tabs>
                <w:tab w:val="left" w:pos="885"/>
              </w:tabs>
              <w:ind w:rightChars="18" w:right="43"/>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366,000</w:t>
            </w:r>
          </w:p>
        </w:tc>
        <w:tc>
          <w:tcPr>
            <w:tcW w:w="1447" w:type="dxa"/>
            <w:vAlign w:val="bottom"/>
          </w:tcPr>
          <w:p w14:paraId="3ABE4F4C"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366,000</w:t>
            </w:r>
          </w:p>
        </w:tc>
        <w:tc>
          <w:tcPr>
            <w:tcW w:w="1218" w:type="dxa"/>
            <w:vAlign w:val="bottom"/>
          </w:tcPr>
          <w:p w14:paraId="31F4F64B"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366,000</w:t>
            </w:r>
          </w:p>
        </w:tc>
        <w:tc>
          <w:tcPr>
            <w:tcW w:w="1333" w:type="dxa"/>
            <w:vAlign w:val="bottom"/>
          </w:tcPr>
          <w:p w14:paraId="1D99735D" w14:textId="77777777" w:rsidR="00DE5108" w:rsidRPr="00DE5108" w:rsidRDefault="00DE5108" w:rsidP="00543C66">
            <w:pPr>
              <w:widowControl/>
              <w:tabs>
                <w:tab w:val="left" w:pos="1246"/>
              </w:tabs>
              <w:jc w:val="center"/>
              <w:textAlignment w:val="bottom"/>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396,000</w:t>
            </w:r>
          </w:p>
        </w:tc>
      </w:tr>
      <w:tr w:rsidR="00DE5108" w:rsidRPr="00DE5108" w14:paraId="34A551E9" w14:textId="77777777" w:rsidTr="00AF5A57">
        <w:tc>
          <w:tcPr>
            <w:tcW w:w="2694" w:type="dxa"/>
            <w:shd w:val="clear" w:color="auto" w:fill="auto"/>
            <w:vAlign w:val="center"/>
          </w:tcPr>
          <w:p w14:paraId="3FD935AA" w14:textId="77777777" w:rsidR="00DE5108" w:rsidRPr="00DE5108" w:rsidRDefault="00DE5108" w:rsidP="00DF261C">
            <w:pPr>
              <w:widowControl/>
              <w:tabs>
                <w:tab w:val="left" w:pos="1246"/>
              </w:tabs>
              <w:ind w:rightChars="70" w:right="168"/>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Net Chargeable Income</w:t>
            </w:r>
          </w:p>
        </w:tc>
        <w:tc>
          <w:tcPr>
            <w:tcW w:w="1276" w:type="dxa"/>
            <w:shd w:val="clear" w:color="auto" w:fill="auto"/>
            <w:vAlign w:val="center"/>
          </w:tcPr>
          <w:p w14:paraId="0AEC805F" w14:textId="77777777" w:rsidR="00DE5108" w:rsidRPr="00DE5108" w:rsidRDefault="00DE5108" w:rsidP="00BA42B1">
            <w:pPr>
              <w:widowControl/>
              <w:tabs>
                <w:tab w:val="left" w:pos="1246"/>
              </w:tabs>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196,000</w:t>
            </w:r>
          </w:p>
        </w:tc>
        <w:tc>
          <w:tcPr>
            <w:tcW w:w="1246" w:type="dxa"/>
            <w:shd w:val="clear" w:color="auto" w:fill="auto"/>
            <w:vAlign w:val="center"/>
          </w:tcPr>
          <w:p w14:paraId="2E05662C" w14:textId="77777777" w:rsidR="00DE5108" w:rsidRPr="00DE5108" w:rsidRDefault="00DE5108" w:rsidP="00BA42B1">
            <w:pPr>
              <w:widowControl/>
              <w:tabs>
                <w:tab w:val="left" w:pos="885"/>
              </w:tabs>
              <w:ind w:rightChars="18" w:right="43"/>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6,307,882</w:t>
            </w:r>
          </w:p>
        </w:tc>
        <w:tc>
          <w:tcPr>
            <w:tcW w:w="1447" w:type="dxa"/>
            <w:vAlign w:val="center"/>
          </w:tcPr>
          <w:p w14:paraId="202D7F87" w14:textId="77777777" w:rsidR="00DE5108" w:rsidRPr="00DE5108" w:rsidRDefault="00DE5108" w:rsidP="00BA42B1">
            <w:pPr>
              <w:widowControl/>
              <w:tabs>
                <w:tab w:val="left" w:pos="1246"/>
              </w:tabs>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642,000</w:t>
            </w:r>
          </w:p>
        </w:tc>
        <w:tc>
          <w:tcPr>
            <w:tcW w:w="1218" w:type="dxa"/>
            <w:vAlign w:val="center"/>
          </w:tcPr>
          <w:p w14:paraId="0C8213D8" w14:textId="77777777" w:rsidR="00DE5108" w:rsidRPr="00DE5108" w:rsidRDefault="00DE5108" w:rsidP="00BA42B1">
            <w:pPr>
              <w:widowControl/>
              <w:tabs>
                <w:tab w:val="left" w:pos="1246"/>
              </w:tabs>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2,564,645</w:t>
            </w:r>
          </w:p>
        </w:tc>
        <w:tc>
          <w:tcPr>
            <w:tcW w:w="1333" w:type="dxa"/>
            <w:vAlign w:val="center"/>
          </w:tcPr>
          <w:p w14:paraId="754008FA" w14:textId="77777777" w:rsidR="00DE5108" w:rsidRPr="00DE5108" w:rsidRDefault="00DE5108" w:rsidP="00BA42B1">
            <w:pPr>
              <w:widowControl/>
              <w:tabs>
                <w:tab w:val="left" w:pos="1246"/>
              </w:tabs>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334,782</w:t>
            </w:r>
          </w:p>
        </w:tc>
      </w:tr>
      <w:tr w:rsidR="00DE5108" w:rsidRPr="00DE5108" w14:paraId="5D1C9D5A" w14:textId="77777777" w:rsidTr="00AF5A57">
        <w:tc>
          <w:tcPr>
            <w:tcW w:w="2694" w:type="dxa"/>
            <w:shd w:val="clear" w:color="auto" w:fill="auto"/>
          </w:tcPr>
          <w:p w14:paraId="4544317C" w14:textId="77777777" w:rsidR="00DE5108" w:rsidRPr="00DE5108" w:rsidRDefault="00DE5108" w:rsidP="005F377B">
            <w:pPr>
              <w:widowControl/>
              <w:tabs>
                <w:tab w:val="left" w:pos="1246"/>
              </w:tabs>
              <w:jc w:val="both"/>
              <w:textAlignment w:val="bottom"/>
              <w:rPr>
                <w:rFonts w:ascii="Times New Roman" w:eastAsia="標楷體" w:hAnsi="Times New Roman" w:cs="Times New Roman"/>
                <w:kern w:val="0"/>
                <w:szCs w:val="24"/>
                <w:lang w:eastAsia="zh-HK"/>
              </w:rPr>
            </w:pPr>
          </w:p>
        </w:tc>
        <w:tc>
          <w:tcPr>
            <w:tcW w:w="1276" w:type="dxa"/>
            <w:shd w:val="clear" w:color="auto" w:fill="auto"/>
            <w:vAlign w:val="bottom"/>
          </w:tcPr>
          <w:p w14:paraId="642B33B8" w14:textId="77777777" w:rsidR="00DE5108" w:rsidRPr="00DE5108" w:rsidRDefault="00DE5108" w:rsidP="005F377B">
            <w:pPr>
              <w:widowControl/>
              <w:tabs>
                <w:tab w:val="left" w:pos="1246"/>
              </w:tabs>
              <w:jc w:val="right"/>
              <w:textAlignment w:val="bottom"/>
              <w:rPr>
                <w:rFonts w:ascii="Times New Roman" w:eastAsia="標楷體" w:hAnsi="Times New Roman" w:cs="Times New Roman"/>
                <w:kern w:val="0"/>
                <w:szCs w:val="24"/>
                <w:lang w:eastAsia="zh-HK"/>
              </w:rPr>
            </w:pPr>
          </w:p>
        </w:tc>
        <w:tc>
          <w:tcPr>
            <w:tcW w:w="1246" w:type="dxa"/>
            <w:shd w:val="clear" w:color="auto" w:fill="auto"/>
            <w:vAlign w:val="bottom"/>
          </w:tcPr>
          <w:p w14:paraId="686BF33B" w14:textId="77777777" w:rsidR="00DE5108" w:rsidRPr="00DE5108" w:rsidRDefault="00DE5108" w:rsidP="005F377B">
            <w:pPr>
              <w:widowControl/>
              <w:tabs>
                <w:tab w:val="left" w:pos="1246"/>
              </w:tabs>
              <w:jc w:val="right"/>
              <w:textAlignment w:val="bottom"/>
              <w:rPr>
                <w:rFonts w:ascii="Times New Roman" w:eastAsia="標楷體" w:hAnsi="Times New Roman" w:cs="Times New Roman"/>
                <w:kern w:val="0"/>
                <w:szCs w:val="24"/>
                <w:lang w:eastAsia="zh-HK"/>
              </w:rPr>
            </w:pPr>
          </w:p>
        </w:tc>
        <w:tc>
          <w:tcPr>
            <w:tcW w:w="1447" w:type="dxa"/>
            <w:vAlign w:val="bottom"/>
          </w:tcPr>
          <w:p w14:paraId="105F1306" w14:textId="77777777" w:rsidR="00DE5108" w:rsidRPr="00DE5108" w:rsidRDefault="00DE5108" w:rsidP="005F377B">
            <w:pPr>
              <w:widowControl/>
              <w:tabs>
                <w:tab w:val="left" w:pos="1246"/>
              </w:tabs>
              <w:jc w:val="right"/>
              <w:textAlignment w:val="bottom"/>
              <w:rPr>
                <w:rFonts w:ascii="Times New Roman" w:eastAsia="標楷體" w:hAnsi="Times New Roman" w:cs="Times New Roman"/>
                <w:kern w:val="0"/>
                <w:szCs w:val="24"/>
                <w:lang w:eastAsia="zh-HK"/>
              </w:rPr>
            </w:pPr>
          </w:p>
        </w:tc>
        <w:tc>
          <w:tcPr>
            <w:tcW w:w="1218" w:type="dxa"/>
            <w:vAlign w:val="bottom"/>
          </w:tcPr>
          <w:p w14:paraId="2A6998EF" w14:textId="77777777" w:rsidR="00DE5108" w:rsidRPr="00DE5108" w:rsidRDefault="00DE5108" w:rsidP="005F377B">
            <w:pPr>
              <w:widowControl/>
              <w:tabs>
                <w:tab w:val="left" w:pos="1246"/>
              </w:tabs>
              <w:jc w:val="right"/>
              <w:textAlignment w:val="bottom"/>
              <w:rPr>
                <w:rFonts w:ascii="Times New Roman" w:eastAsia="標楷體" w:hAnsi="Times New Roman" w:cs="Times New Roman"/>
                <w:kern w:val="0"/>
                <w:szCs w:val="24"/>
                <w:lang w:eastAsia="zh-HK"/>
              </w:rPr>
            </w:pPr>
          </w:p>
        </w:tc>
        <w:tc>
          <w:tcPr>
            <w:tcW w:w="1333" w:type="dxa"/>
            <w:vAlign w:val="bottom"/>
          </w:tcPr>
          <w:p w14:paraId="301CD4CE" w14:textId="77777777" w:rsidR="00DE5108" w:rsidRPr="00DE5108" w:rsidRDefault="00DE5108" w:rsidP="005F377B">
            <w:pPr>
              <w:widowControl/>
              <w:tabs>
                <w:tab w:val="left" w:pos="1246"/>
              </w:tabs>
              <w:jc w:val="right"/>
              <w:textAlignment w:val="bottom"/>
              <w:rPr>
                <w:rFonts w:ascii="Times New Roman" w:eastAsia="標楷體" w:hAnsi="Times New Roman" w:cs="Times New Roman"/>
                <w:kern w:val="0"/>
                <w:szCs w:val="24"/>
                <w:lang w:eastAsia="zh-HK"/>
              </w:rPr>
            </w:pPr>
          </w:p>
        </w:tc>
      </w:tr>
      <w:tr w:rsidR="00DE5108" w:rsidRPr="00DE5108" w14:paraId="576CB0BD" w14:textId="77777777" w:rsidTr="00AF5A57">
        <w:tc>
          <w:tcPr>
            <w:tcW w:w="2694" w:type="dxa"/>
            <w:shd w:val="clear" w:color="auto" w:fill="auto"/>
          </w:tcPr>
          <w:p w14:paraId="2DCD8094" w14:textId="77777777" w:rsidR="00DE5108" w:rsidRPr="00DE5108" w:rsidRDefault="00DE5108" w:rsidP="00D61F4B">
            <w:pPr>
              <w:widowControl/>
              <w:tabs>
                <w:tab w:val="left" w:pos="1246"/>
              </w:tabs>
              <w:textAlignment w:val="bottom"/>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Tax Payable (after tax reduction)</w:t>
            </w:r>
          </w:p>
        </w:tc>
        <w:tc>
          <w:tcPr>
            <w:tcW w:w="1276" w:type="dxa"/>
            <w:shd w:val="clear" w:color="auto" w:fill="auto"/>
            <w:vAlign w:val="center"/>
          </w:tcPr>
          <w:p w14:paraId="3FCA8369" w14:textId="77777777" w:rsidR="00DE5108" w:rsidRPr="00DE5108" w:rsidRDefault="00DE5108" w:rsidP="00387CAC">
            <w:pPr>
              <w:widowControl/>
              <w:tabs>
                <w:tab w:val="left" w:pos="1246"/>
              </w:tabs>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5,705</w:t>
            </w:r>
          </w:p>
        </w:tc>
        <w:tc>
          <w:tcPr>
            <w:tcW w:w="1246" w:type="dxa"/>
            <w:shd w:val="clear" w:color="auto" w:fill="auto"/>
            <w:vAlign w:val="center"/>
          </w:tcPr>
          <w:p w14:paraId="57201E39" w14:textId="77777777" w:rsidR="00DE5108" w:rsidRPr="00DE5108" w:rsidRDefault="00DE5108" w:rsidP="00387CAC">
            <w:pPr>
              <w:widowControl/>
              <w:tabs>
                <w:tab w:val="left" w:pos="1246"/>
              </w:tabs>
              <w:ind w:rightChars="-27" w:right="-65"/>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993,082</w:t>
            </w:r>
            <w:r w:rsidRPr="00DE5108">
              <w:rPr>
                <w:rFonts w:ascii="Times New Roman" w:eastAsia="標楷體" w:hAnsi="Times New Roman" w:cs="Times New Roman"/>
                <w:kern w:val="0"/>
                <w:szCs w:val="24"/>
                <w:lang w:eastAsia="zh-HK"/>
              </w:rPr>
              <w:t>*</w:t>
            </w:r>
          </w:p>
        </w:tc>
        <w:tc>
          <w:tcPr>
            <w:tcW w:w="1447" w:type="dxa"/>
            <w:vAlign w:val="center"/>
          </w:tcPr>
          <w:p w14:paraId="06344AB3" w14:textId="77777777" w:rsidR="00DE5108" w:rsidRPr="00DE5108" w:rsidRDefault="00DE5108" w:rsidP="00387CAC">
            <w:pPr>
              <w:widowControl/>
              <w:tabs>
                <w:tab w:val="left" w:pos="1246"/>
              </w:tabs>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91,140</w:t>
            </w:r>
          </w:p>
        </w:tc>
        <w:tc>
          <w:tcPr>
            <w:tcW w:w="1218" w:type="dxa"/>
            <w:vAlign w:val="center"/>
          </w:tcPr>
          <w:p w14:paraId="1F226E46" w14:textId="77777777" w:rsidR="00DE5108" w:rsidRPr="00DE5108" w:rsidRDefault="00DE5108" w:rsidP="00387CAC">
            <w:pPr>
              <w:widowControl/>
              <w:tabs>
                <w:tab w:val="left" w:pos="1246"/>
              </w:tabs>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417,989</w:t>
            </w:r>
          </w:p>
        </w:tc>
        <w:tc>
          <w:tcPr>
            <w:tcW w:w="1333" w:type="dxa"/>
            <w:vAlign w:val="center"/>
          </w:tcPr>
          <w:p w14:paraId="06ED4495" w14:textId="77777777" w:rsidR="00DE5108" w:rsidRPr="00DE5108" w:rsidRDefault="00DE5108" w:rsidP="00387CAC">
            <w:pPr>
              <w:widowControl/>
              <w:tabs>
                <w:tab w:val="left" w:pos="1246"/>
              </w:tabs>
              <w:jc w:val="center"/>
              <w:textAlignment w:val="bottom"/>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32,912</w:t>
            </w:r>
          </w:p>
        </w:tc>
      </w:tr>
    </w:tbl>
    <w:p w14:paraId="7FC52DBB" w14:textId="77777777" w:rsidR="00DE5108" w:rsidRDefault="00DE5108" w:rsidP="005F377B">
      <w:pPr>
        <w:widowControl/>
        <w:tabs>
          <w:tab w:val="left" w:pos="-142"/>
        </w:tabs>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*Standard rate on net income.</w:t>
      </w:r>
      <w:r w:rsidRPr="00DE5108">
        <w:rPr>
          <w:rFonts w:ascii="Times New Roman" w:eastAsia="標楷體" w:hAnsi="Times New Roman" w:cs="Times New Roman"/>
          <w:kern w:val="0"/>
          <w:szCs w:val="24"/>
          <w:lang w:eastAsia="zh-HK"/>
        </w:rPr>
        <w:tab/>
      </w:r>
    </w:p>
    <w:p w14:paraId="4A784E6D" w14:textId="77777777" w:rsidR="003D750F" w:rsidRPr="00DE5108" w:rsidRDefault="003D750F" w:rsidP="005F377B">
      <w:pPr>
        <w:widowControl/>
        <w:tabs>
          <w:tab w:val="left" w:pos="-142"/>
        </w:tabs>
        <w:jc w:val="both"/>
        <w:rPr>
          <w:rFonts w:ascii="Times New Roman" w:eastAsia="標楷體" w:hAnsi="Times New Roman" w:cs="Times New Roman"/>
          <w:kern w:val="0"/>
          <w:szCs w:val="24"/>
          <w:lang w:eastAsia="zh-HK"/>
        </w:rPr>
      </w:pPr>
    </w:p>
    <w:p w14:paraId="0465903B"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None of the Subject Assessments were objected to by the Appellant either by himself or his tax representative within 30 days from their respective dates of issuance. </w:t>
      </w:r>
    </w:p>
    <w:p w14:paraId="475AD8BC" w14:textId="77777777" w:rsidR="003D750F" w:rsidRPr="00DE5108" w:rsidRDefault="003D750F" w:rsidP="003D750F">
      <w:pPr>
        <w:widowControl/>
        <w:ind w:left="360"/>
        <w:jc w:val="both"/>
        <w:rPr>
          <w:rFonts w:ascii="Times New Roman" w:eastAsia="標楷體" w:hAnsi="Times New Roman" w:cs="Times New Roman"/>
          <w:kern w:val="0"/>
          <w:szCs w:val="24"/>
          <w:lang w:eastAsia="zh-HK"/>
        </w:rPr>
      </w:pPr>
    </w:p>
    <w:p w14:paraId="03399212"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By a letter dated 28 January 2013, the Company stated, among others, that it used to pay commission to the director at year end based on the annual performance.  When the performance was good, the salary would be substantial whereas the Company’s profits would be insignificant.  Personal tax rate was lower than that of profits tax by 1.5%. In the same letter, it requested the Respondent to make the tax assessment of the Company from YA 2007/08 to YA 2011/12 with its complete tax return and the overpaid tax be refunded and requested that the provisional tax for YA 2012/13 be held over</w:t>
      </w:r>
      <w:r w:rsidR="00106DF9">
        <w:rPr>
          <w:rStyle w:val="aa"/>
          <w:rFonts w:ascii="Times New Roman" w:eastAsia="標楷體" w:hAnsi="Times New Roman" w:cs="Times New Roman"/>
          <w:kern w:val="0"/>
          <w:szCs w:val="24"/>
          <w:lang w:eastAsia="zh-HK"/>
        </w:rPr>
        <w:footnoteReference w:id="1"/>
      </w:r>
      <w:r w:rsidRPr="00DE5108">
        <w:rPr>
          <w:rFonts w:ascii="Times New Roman" w:eastAsia="標楷體" w:hAnsi="Times New Roman" w:cs="Times New Roman"/>
          <w:kern w:val="0"/>
          <w:szCs w:val="24"/>
          <w:lang w:eastAsia="zh-HK"/>
        </w:rPr>
        <w:t>.</w:t>
      </w:r>
    </w:p>
    <w:p w14:paraId="58FC7739" w14:textId="77777777" w:rsidR="003D750F" w:rsidRPr="00DE5108" w:rsidRDefault="003D750F" w:rsidP="003D750F">
      <w:pPr>
        <w:widowControl/>
        <w:jc w:val="both"/>
        <w:rPr>
          <w:rFonts w:ascii="Times New Roman" w:eastAsia="標楷體" w:hAnsi="Times New Roman" w:cs="Times New Roman"/>
          <w:kern w:val="0"/>
          <w:szCs w:val="24"/>
          <w:lang w:eastAsia="zh-HK"/>
        </w:rPr>
      </w:pPr>
    </w:p>
    <w:p w14:paraId="68769EB8"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On 18 September 2013, the Appellant, through A Golden Champion CPA Limited (formerly known as Louis Leung &amp; Partners CPA Limited) (</w:t>
      </w:r>
      <w:r w:rsidR="00D264CC">
        <w:rPr>
          <w:rFonts w:ascii="Times New Roman" w:eastAsia="標楷體" w:hAnsi="Times New Roman" w:cs="Times New Roman"/>
          <w:kern w:val="0"/>
          <w:szCs w:val="24"/>
          <w:lang w:eastAsia="zh-HK"/>
        </w:rPr>
        <w:t>‘</w:t>
      </w:r>
      <w:r w:rsidRPr="00713D9B">
        <w:rPr>
          <w:rFonts w:ascii="Times New Roman" w:eastAsia="標楷體" w:hAnsi="Times New Roman" w:cs="Times New Roman"/>
          <w:kern w:val="0"/>
          <w:szCs w:val="24"/>
          <w:lang w:eastAsia="zh-HK"/>
        </w:rPr>
        <w:t>the Former Representative</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made an application to correct the Subject Assessments under section 70A of the Inland Revenue Ordinance (</w:t>
      </w:r>
      <w:r w:rsidR="0093510F">
        <w:rPr>
          <w:rFonts w:ascii="Times New Roman" w:eastAsia="標楷體" w:hAnsi="Times New Roman" w:cs="Times New Roman"/>
          <w:kern w:val="0"/>
          <w:szCs w:val="24"/>
          <w:lang w:eastAsia="zh-HK"/>
        </w:rPr>
        <w:t>Chapter</w:t>
      </w:r>
      <w:r w:rsidRPr="00DE5108">
        <w:rPr>
          <w:rFonts w:ascii="Times New Roman" w:eastAsia="標楷體" w:hAnsi="Times New Roman" w:cs="Times New Roman"/>
          <w:kern w:val="0"/>
          <w:szCs w:val="24"/>
          <w:lang w:eastAsia="zh-HK"/>
        </w:rPr>
        <w:t xml:space="preserve"> 112), laws of Hong Kong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IRO</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claiming </w:t>
      </w:r>
      <w:r w:rsidRPr="0016243D">
        <w:rPr>
          <w:rFonts w:ascii="Times New Roman" w:eastAsia="標楷體" w:hAnsi="Times New Roman" w:cs="Times New Roman"/>
          <w:i/>
          <w:kern w:val="0"/>
          <w:szCs w:val="24"/>
          <w:lang w:eastAsia="zh-HK"/>
        </w:rPr>
        <w:t>inter alia</w:t>
      </w:r>
      <w:r w:rsidRPr="00DE5108">
        <w:rPr>
          <w:rFonts w:ascii="Times New Roman" w:eastAsia="標楷體" w:hAnsi="Times New Roman" w:cs="Times New Roman"/>
          <w:kern w:val="0"/>
          <w:szCs w:val="24"/>
          <w:lang w:eastAsia="zh-HK"/>
        </w:rPr>
        <w:t xml:space="preserve"> that: </w:t>
      </w:r>
    </w:p>
    <w:p w14:paraId="29B3F0F5" w14:textId="77777777" w:rsidR="003D750F" w:rsidRPr="0093510F" w:rsidRDefault="003D750F" w:rsidP="003D750F">
      <w:pPr>
        <w:widowControl/>
        <w:jc w:val="both"/>
        <w:rPr>
          <w:rFonts w:ascii="Times New Roman" w:eastAsia="標楷體" w:hAnsi="Times New Roman" w:cs="Times New Roman"/>
          <w:kern w:val="0"/>
          <w:szCs w:val="24"/>
          <w:lang w:eastAsia="zh-HK"/>
        </w:rPr>
      </w:pPr>
    </w:p>
    <w:p w14:paraId="772FA0FF" w14:textId="77777777" w:rsidR="00DE5108" w:rsidRDefault="00440E35" w:rsidP="006B345A">
      <w:pPr>
        <w:widowControl/>
        <w:numPr>
          <w:ilvl w:val="0"/>
          <w:numId w:val="27"/>
        </w:numPr>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lang w:val="en-GB" w:eastAsia="zh-HK"/>
        </w:rPr>
      </w:pPr>
      <w:r>
        <w:rPr>
          <w:rFonts w:ascii="Times New Roman" w:eastAsia="標楷體" w:hAnsi="Times New Roman" w:cs="Times New Roman"/>
          <w:szCs w:val="24"/>
          <w:lang w:val="en-GB" w:eastAsia="zh-HK"/>
        </w:rPr>
        <w:t xml:space="preserve">Mr B </w:t>
      </w:r>
      <w:r w:rsidR="00DE5108" w:rsidRPr="00DE5108">
        <w:rPr>
          <w:rFonts w:ascii="Times New Roman" w:eastAsia="標楷體" w:hAnsi="Times New Roman" w:cs="Times New Roman"/>
          <w:szCs w:val="24"/>
          <w:lang w:val="en-GB" w:eastAsia="zh-HK"/>
        </w:rPr>
        <w:t xml:space="preserve">was the sole director and operator of the Company.  He was never employed by the Company and had no employment contract made. </w:t>
      </w:r>
    </w:p>
    <w:p w14:paraId="7940471A" w14:textId="77777777" w:rsidR="003D750F" w:rsidRPr="00DE5108" w:rsidRDefault="003D750F" w:rsidP="003D750F">
      <w:pPr>
        <w:widowControl/>
        <w:adjustRightInd w:val="0"/>
        <w:snapToGrid w:val="0"/>
        <w:ind w:left="806"/>
        <w:jc w:val="both"/>
        <w:rPr>
          <w:rFonts w:ascii="Times New Roman" w:eastAsia="標楷體" w:hAnsi="Times New Roman" w:cs="Times New Roman"/>
          <w:szCs w:val="24"/>
          <w:lang w:val="en-GB" w:eastAsia="zh-HK"/>
        </w:rPr>
      </w:pPr>
    </w:p>
    <w:p w14:paraId="31F4A303" w14:textId="77777777" w:rsidR="00DE5108" w:rsidRDefault="00DE5108" w:rsidP="00F81B21">
      <w:pPr>
        <w:widowControl/>
        <w:numPr>
          <w:ilvl w:val="0"/>
          <w:numId w:val="27"/>
        </w:numPr>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 xml:space="preserve">He never received monthly salaries as a normal employee.  He only drew profits from the Company when it had profits.   </w:t>
      </w:r>
    </w:p>
    <w:p w14:paraId="111E7998" w14:textId="77777777" w:rsidR="003D750F" w:rsidRPr="00DE5108" w:rsidRDefault="003D750F" w:rsidP="003D750F">
      <w:pPr>
        <w:widowControl/>
        <w:adjustRightInd w:val="0"/>
        <w:snapToGrid w:val="0"/>
        <w:jc w:val="both"/>
        <w:rPr>
          <w:rFonts w:ascii="Times New Roman" w:eastAsia="標楷體" w:hAnsi="Times New Roman" w:cs="Times New Roman"/>
          <w:szCs w:val="24"/>
          <w:lang w:val="en-GB" w:eastAsia="zh-HK"/>
        </w:rPr>
      </w:pPr>
    </w:p>
    <w:p w14:paraId="592B64FB" w14:textId="77777777" w:rsidR="00DE5108" w:rsidRDefault="00DE5108" w:rsidP="00F81B21">
      <w:pPr>
        <w:widowControl/>
        <w:numPr>
          <w:ilvl w:val="0"/>
          <w:numId w:val="27"/>
        </w:numPr>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He reported the profits drawn as his own income based on the erroneous advice from his previous tax representative.</w:t>
      </w:r>
    </w:p>
    <w:p w14:paraId="70CDC3D4" w14:textId="77777777" w:rsidR="003D750F" w:rsidRPr="00DE5108" w:rsidRDefault="003D750F" w:rsidP="003D750F">
      <w:pPr>
        <w:widowControl/>
        <w:adjustRightInd w:val="0"/>
        <w:snapToGrid w:val="0"/>
        <w:jc w:val="both"/>
        <w:rPr>
          <w:rFonts w:ascii="Times New Roman" w:eastAsia="標楷體" w:hAnsi="Times New Roman" w:cs="Times New Roman"/>
          <w:szCs w:val="24"/>
          <w:lang w:val="en-GB" w:eastAsia="zh-HK"/>
        </w:rPr>
      </w:pPr>
    </w:p>
    <w:p w14:paraId="20DE8345" w14:textId="77777777" w:rsidR="00DE5108" w:rsidRDefault="00DE5108" w:rsidP="00F81B21">
      <w:pPr>
        <w:widowControl/>
        <w:numPr>
          <w:ilvl w:val="0"/>
          <w:numId w:val="27"/>
        </w:numPr>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The Salaries Tax Returns for 2007/08 to 2011/12 were erroneous and the income reported did not represent real salary income of the Appellant.</w:t>
      </w:r>
    </w:p>
    <w:p w14:paraId="135EAD3C" w14:textId="77777777" w:rsidR="003D750F" w:rsidRPr="00DE5108" w:rsidRDefault="003D750F" w:rsidP="003D750F">
      <w:pPr>
        <w:widowControl/>
        <w:adjustRightInd w:val="0"/>
        <w:snapToGrid w:val="0"/>
        <w:jc w:val="both"/>
        <w:rPr>
          <w:rFonts w:ascii="Times New Roman" w:eastAsia="標楷體" w:hAnsi="Times New Roman" w:cs="Times New Roman"/>
          <w:szCs w:val="24"/>
          <w:lang w:val="en-GB" w:eastAsia="zh-HK"/>
        </w:rPr>
      </w:pPr>
    </w:p>
    <w:p w14:paraId="32288EFF"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Assessor conducted a tax audit on the tax affairs of the Appellant. On 6 February 2015 and pending the outcome of the tax audit, she raised on the Appellant the following additional salaries tax assessment for the year of assessment 2008/09 (</w:t>
      </w:r>
      <w:r w:rsidR="00D264CC">
        <w:rPr>
          <w:rFonts w:ascii="Times New Roman" w:eastAsia="標楷體" w:hAnsi="Times New Roman" w:cs="Times New Roman"/>
          <w:kern w:val="0"/>
          <w:szCs w:val="24"/>
          <w:lang w:eastAsia="zh-HK"/>
        </w:rPr>
        <w:t>‘</w:t>
      </w:r>
      <w:r w:rsidRPr="0093510F">
        <w:rPr>
          <w:rFonts w:ascii="Times New Roman" w:eastAsia="標楷體" w:hAnsi="Times New Roman" w:cs="Times New Roman"/>
          <w:bCs/>
          <w:kern w:val="0"/>
          <w:szCs w:val="24"/>
          <w:lang w:eastAsia="zh-HK"/>
        </w:rPr>
        <w:t>Additional Salaries Tax Assessment for 2008/09</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w:t>
      </w:r>
    </w:p>
    <w:p w14:paraId="590288F4" w14:textId="77777777" w:rsidR="003D750F" w:rsidRPr="00DE5108" w:rsidRDefault="003D750F" w:rsidP="003D750F">
      <w:pPr>
        <w:widowControl/>
        <w:adjustRightInd w:val="0"/>
        <w:snapToGrid w:val="0"/>
        <w:ind w:left="360"/>
        <w:jc w:val="both"/>
        <w:rPr>
          <w:rFonts w:ascii="Times New Roman" w:eastAsia="標楷體" w:hAnsi="Times New Roman" w:cs="Times New Roman"/>
          <w:kern w:val="0"/>
          <w:szCs w:val="24"/>
          <w:lang w:eastAsia="zh-HK"/>
        </w:rPr>
      </w:pPr>
    </w:p>
    <w:tbl>
      <w:tblPr>
        <w:tblW w:w="5528" w:type="dxa"/>
        <w:tblInd w:w="1384" w:type="dxa"/>
        <w:tblLook w:val="04A0" w:firstRow="1" w:lastRow="0" w:firstColumn="1" w:lastColumn="0" w:noHBand="0" w:noVBand="1"/>
      </w:tblPr>
      <w:tblGrid>
        <w:gridCol w:w="4532"/>
        <w:gridCol w:w="996"/>
      </w:tblGrid>
      <w:tr w:rsidR="00DE5108" w:rsidRPr="00DE5108" w14:paraId="00645C19" w14:textId="77777777" w:rsidTr="00C82C2C">
        <w:tc>
          <w:tcPr>
            <w:tcW w:w="4532" w:type="dxa"/>
          </w:tcPr>
          <w:p w14:paraId="514CDAF2" w14:textId="77777777" w:rsidR="00DE5108" w:rsidRPr="00DE5108" w:rsidRDefault="00DE5108" w:rsidP="005F377B">
            <w:pPr>
              <w:widowControl/>
              <w:tabs>
                <w:tab w:val="left" w:pos="709"/>
                <w:tab w:val="left" w:pos="1418"/>
              </w:tabs>
              <w:adjustRightInd w:val="0"/>
              <w:snapToGrid w:val="0"/>
              <w:jc w:val="both"/>
              <w:rPr>
                <w:rFonts w:ascii="Times New Roman" w:eastAsia="標楷體" w:hAnsi="Times New Roman" w:cs="Times New Roman"/>
                <w:kern w:val="0"/>
                <w:szCs w:val="24"/>
                <w:u w:val="single"/>
                <w:lang w:eastAsia="zh-HK"/>
              </w:rPr>
            </w:pPr>
          </w:p>
        </w:tc>
        <w:tc>
          <w:tcPr>
            <w:tcW w:w="996" w:type="dxa"/>
          </w:tcPr>
          <w:p w14:paraId="0C785BBF" w14:textId="77777777" w:rsidR="00DE5108" w:rsidRPr="00DE5108" w:rsidRDefault="00DE5108" w:rsidP="005F377B">
            <w:pPr>
              <w:widowControl/>
              <w:tabs>
                <w:tab w:val="left" w:pos="602"/>
                <w:tab w:val="left" w:pos="1418"/>
              </w:tabs>
              <w:adjustRightInd w:val="0"/>
              <w:snapToGrid w:val="0"/>
              <w:jc w:val="center"/>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r>
      <w:tr w:rsidR="00DE5108" w:rsidRPr="00DE5108" w14:paraId="4BCABBB0" w14:textId="77777777" w:rsidTr="00C82C2C">
        <w:tc>
          <w:tcPr>
            <w:tcW w:w="4532" w:type="dxa"/>
          </w:tcPr>
          <w:p w14:paraId="252DD6EB" w14:textId="77777777" w:rsidR="00DE5108" w:rsidRPr="00DE5108" w:rsidRDefault="00DE5108" w:rsidP="005F377B">
            <w:pPr>
              <w:widowControl/>
              <w:tabs>
                <w:tab w:val="left" w:pos="709"/>
                <w:tab w:val="left" w:pos="1418"/>
              </w:tabs>
              <w:adjustRightInd w:val="0"/>
              <w:snapToGrid w:val="0"/>
              <w:ind w:firstLineChars="13" w:firstLine="31"/>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Additional Net Chargeable Income </w:t>
            </w:r>
          </w:p>
        </w:tc>
        <w:tc>
          <w:tcPr>
            <w:tcW w:w="996" w:type="dxa"/>
          </w:tcPr>
          <w:p w14:paraId="6A9AB2D0" w14:textId="77777777" w:rsidR="00DE5108" w:rsidRPr="00DE5108" w:rsidRDefault="00DE5108" w:rsidP="005F377B">
            <w:pPr>
              <w:widowControl/>
              <w:tabs>
                <w:tab w:val="left" w:pos="709"/>
                <w:tab w:val="left" w:pos="1418"/>
              </w:tabs>
              <w:adjustRightInd w:val="0"/>
              <w:snapToGrid w:val="0"/>
              <w:jc w:val="right"/>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500,000</w:t>
            </w:r>
          </w:p>
        </w:tc>
      </w:tr>
      <w:tr w:rsidR="00DE5108" w:rsidRPr="00DE5108" w14:paraId="2CF381DE" w14:textId="77777777" w:rsidTr="00C82C2C">
        <w:tc>
          <w:tcPr>
            <w:tcW w:w="4532" w:type="dxa"/>
          </w:tcPr>
          <w:p w14:paraId="3B8F3EE2" w14:textId="77777777" w:rsidR="00DE5108" w:rsidRPr="00DE5108" w:rsidRDefault="00DE5108" w:rsidP="005F377B">
            <w:pPr>
              <w:widowControl/>
              <w:tabs>
                <w:tab w:val="left" w:pos="709"/>
                <w:tab w:val="left" w:pos="1418"/>
              </w:tabs>
              <w:adjustRightInd w:val="0"/>
              <w:snapToGrid w:val="0"/>
              <w:jc w:val="both"/>
              <w:rPr>
                <w:rFonts w:ascii="Times New Roman" w:eastAsia="標楷體" w:hAnsi="Times New Roman" w:cs="Times New Roman"/>
                <w:kern w:val="0"/>
                <w:szCs w:val="24"/>
                <w:lang w:eastAsia="zh-HK"/>
              </w:rPr>
            </w:pPr>
          </w:p>
        </w:tc>
        <w:tc>
          <w:tcPr>
            <w:tcW w:w="996" w:type="dxa"/>
          </w:tcPr>
          <w:p w14:paraId="016C25D1" w14:textId="77777777" w:rsidR="00DE5108" w:rsidRPr="00DE5108" w:rsidRDefault="00DE5108" w:rsidP="005F377B">
            <w:pPr>
              <w:widowControl/>
              <w:tabs>
                <w:tab w:val="left" w:pos="709"/>
                <w:tab w:val="left" w:pos="1418"/>
              </w:tabs>
              <w:adjustRightInd w:val="0"/>
              <w:snapToGrid w:val="0"/>
              <w:jc w:val="right"/>
              <w:rPr>
                <w:rFonts w:ascii="Times New Roman" w:eastAsia="標楷體" w:hAnsi="Times New Roman" w:cs="Times New Roman"/>
                <w:kern w:val="0"/>
                <w:szCs w:val="24"/>
                <w:u w:val="double"/>
                <w:lang w:eastAsia="zh-HK"/>
              </w:rPr>
            </w:pPr>
          </w:p>
        </w:tc>
      </w:tr>
      <w:tr w:rsidR="00DE5108" w:rsidRPr="00DE5108" w14:paraId="50A92EC8" w14:textId="77777777" w:rsidTr="00C82C2C">
        <w:tc>
          <w:tcPr>
            <w:tcW w:w="4532" w:type="dxa"/>
          </w:tcPr>
          <w:p w14:paraId="14C9EB4F" w14:textId="77777777" w:rsidR="00DE5108" w:rsidRPr="00DE5108" w:rsidRDefault="00DE5108" w:rsidP="005F377B">
            <w:pPr>
              <w:widowControl/>
              <w:tabs>
                <w:tab w:val="left" w:pos="285"/>
                <w:tab w:val="left" w:pos="709"/>
                <w:tab w:val="left" w:pos="1418"/>
              </w:tabs>
              <w:adjustRightInd w:val="0"/>
              <w:snapToGrid w:val="0"/>
              <w:ind w:firstLineChars="13" w:firstLine="31"/>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Tax Payable thereon on standard rate </w:t>
            </w:r>
          </w:p>
        </w:tc>
        <w:tc>
          <w:tcPr>
            <w:tcW w:w="996" w:type="dxa"/>
            <w:vAlign w:val="bottom"/>
          </w:tcPr>
          <w:p w14:paraId="2154E385" w14:textId="77777777" w:rsidR="00DE5108" w:rsidRPr="00DE5108" w:rsidRDefault="00DE5108" w:rsidP="005F377B">
            <w:pPr>
              <w:widowControl/>
              <w:tabs>
                <w:tab w:val="left" w:pos="709"/>
                <w:tab w:val="left" w:pos="1418"/>
              </w:tabs>
              <w:adjustRightInd w:val="0"/>
              <w:snapToGrid w:val="0"/>
              <w:jc w:val="right"/>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75,000</w:t>
            </w:r>
          </w:p>
        </w:tc>
      </w:tr>
      <w:tr w:rsidR="003D750F" w:rsidRPr="00DE5108" w14:paraId="0026D325" w14:textId="77777777" w:rsidTr="00C82C2C">
        <w:tc>
          <w:tcPr>
            <w:tcW w:w="4532" w:type="dxa"/>
          </w:tcPr>
          <w:p w14:paraId="05749F77" w14:textId="77777777" w:rsidR="003D750F" w:rsidRPr="00DE5108" w:rsidRDefault="003D750F" w:rsidP="005F377B">
            <w:pPr>
              <w:widowControl/>
              <w:tabs>
                <w:tab w:val="left" w:pos="285"/>
                <w:tab w:val="left" w:pos="709"/>
                <w:tab w:val="left" w:pos="1418"/>
              </w:tabs>
              <w:adjustRightInd w:val="0"/>
              <w:snapToGrid w:val="0"/>
              <w:ind w:firstLineChars="13" w:firstLine="31"/>
              <w:jc w:val="both"/>
              <w:rPr>
                <w:rFonts w:ascii="Times New Roman" w:eastAsia="標楷體" w:hAnsi="Times New Roman" w:cs="Times New Roman"/>
                <w:kern w:val="0"/>
                <w:szCs w:val="24"/>
                <w:lang w:eastAsia="zh-HK"/>
              </w:rPr>
            </w:pPr>
          </w:p>
        </w:tc>
        <w:tc>
          <w:tcPr>
            <w:tcW w:w="996" w:type="dxa"/>
            <w:vAlign w:val="bottom"/>
          </w:tcPr>
          <w:p w14:paraId="66164A21" w14:textId="77777777" w:rsidR="003D750F" w:rsidRPr="00DE5108" w:rsidRDefault="003D750F" w:rsidP="005F377B">
            <w:pPr>
              <w:widowControl/>
              <w:tabs>
                <w:tab w:val="left" w:pos="709"/>
                <w:tab w:val="left" w:pos="1418"/>
              </w:tabs>
              <w:adjustRightInd w:val="0"/>
              <w:snapToGrid w:val="0"/>
              <w:jc w:val="right"/>
              <w:rPr>
                <w:rFonts w:ascii="Times New Roman" w:eastAsia="標楷體" w:hAnsi="Times New Roman" w:cs="Times New Roman"/>
                <w:kern w:val="0"/>
                <w:szCs w:val="24"/>
                <w:u w:val="double"/>
                <w:lang w:eastAsia="zh-HK"/>
              </w:rPr>
            </w:pPr>
          </w:p>
        </w:tc>
      </w:tr>
    </w:tbl>
    <w:p w14:paraId="6C7EEF48"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From the Company’s books and records, the Assessor ascertained the following:</w:t>
      </w:r>
    </w:p>
    <w:p w14:paraId="5CAE89E1" w14:textId="77777777" w:rsidR="003D750F" w:rsidRPr="00DE5108" w:rsidRDefault="003D750F" w:rsidP="003D750F">
      <w:pPr>
        <w:widowControl/>
        <w:ind w:left="360"/>
        <w:rPr>
          <w:rFonts w:ascii="Times New Roman" w:eastAsia="標楷體" w:hAnsi="Times New Roman" w:cs="Times New Roman"/>
          <w:kern w:val="0"/>
          <w:szCs w:val="24"/>
          <w:lang w:eastAsia="zh-HK"/>
        </w:rPr>
      </w:pPr>
    </w:p>
    <w:p w14:paraId="2EEC542E" w14:textId="77777777" w:rsidR="00DE5108" w:rsidRPr="00DE5108" w:rsidRDefault="00DE5108" w:rsidP="00AC7B7E">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In its audited financial statements for the years ended 31 December 2007 to 2011, the Company disclosed that its profits before taxation were arrived at after charging the director’s remuneration as follows:</w:t>
      </w:r>
    </w:p>
    <w:p w14:paraId="3B664194" w14:textId="77777777" w:rsidR="00DE5108" w:rsidRPr="00DE5108" w:rsidRDefault="00DE5108" w:rsidP="005F377B">
      <w:pPr>
        <w:tabs>
          <w:tab w:val="left" w:pos="709"/>
          <w:tab w:val="left" w:pos="1418"/>
          <w:tab w:val="left" w:pos="2127"/>
        </w:tabs>
        <w:ind w:left="2138"/>
        <w:jc w:val="both"/>
        <w:rPr>
          <w:rFonts w:ascii="Times New Roman" w:eastAsia="標楷體" w:hAnsi="Times New Roman" w:cs="Times New Roman"/>
          <w:szCs w:val="24"/>
          <w:lang w:val="en-GB" w:eastAsia="zh-HK"/>
        </w:rPr>
      </w:pPr>
    </w:p>
    <w:tbl>
      <w:tblPr>
        <w:tblW w:w="7229" w:type="dxa"/>
        <w:tblInd w:w="1560" w:type="dxa"/>
        <w:tblLook w:val="04A0" w:firstRow="1" w:lastRow="0" w:firstColumn="1" w:lastColumn="0" w:noHBand="0" w:noVBand="1"/>
      </w:tblPr>
      <w:tblGrid>
        <w:gridCol w:w="1417"/>
        <w:gridCol w:w="1418"/>
        <w:gridCol w:w="1417"/>
        <w:gridCol w:w="1559"/>
        <w:gridCol w:w="1418"/>
      </w:tblGrid>
      <w:tr w:rsidR="00DE5108" w:rsidRPr="00DE5108" w14:paraId="3E155602" w14:textId="77777777" w:rsidTr="005805E4">
        <w:tc>
          <w:tcPr>
            <w:tcW w:w="1417" w:type="dxa"/>
            <w:shd w:val="clear" w:color="auto" w:fill="auto"/>
          </w:tcPr>
          <w:p w14:paraId="5CEE8E93" w14:textId="77777777" w:rsidR="00DE5108" w:rsidRPr="00DE5108" w:rsidRDefault="00DE5108" w:rsidP="005F377B">
            <w:pPr>
              <w:tabs>
                <w:tab w:val="left" w:pos="312"/>
                <w:tab w:val="left" w:pos="709"/>
                <w:tab w:val="left" w:pos="1418"/>
              </w:tabs>
              <w:ind w:leftChars="-74" w:left="52" w:hangingChars="96" w:hanging="230"/>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lang w:val="en-GB" w:eastAsia="zh-HK"/>
              </w:rPr>
              <w:t xml:space="preserve"> </w:t>
            </w:r>
            <w:r w:rsidRPr="00DE5108">
              <w:rPr>
                <w:rFonts w:ascii="Times New Roman" w:eastAsia="標楷體" w:hAnsi="Times New Roman" w:cs="Times New Roman"/>
                <w:szCs w:val="24"/>
                <w:u w:val="single"/>
                <w:lang w:val="en-GB" w:eastAsia="zh-HK"/>
              </w:rPr>
              <w:t>31</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2007</w:t>
            </w:r>
          </w:p>
        </w:tc>
        <w:tc>
          <w:tcPr>
            <w:tcW w:w="1418" w:type="dxa"/>
            <w:shd w:val="clear" w:color="auto" w:fill="auto"/>
          </w:tcPr>
          <w:p w14:paraId="46E08601"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2008</w:t>
            </w:r>
          </w:p>
        </w:tc>
        <w:tc>
          <w:tcPr>
            <w:tcW w:w="1417" w:type="dxa"/>
            <w:shd w:val="clear" w:color="auto" w:fill="auto"/>
          </w:tcPr>
          <w:p w14:paraId="2E819DB8"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2009</w:t>
            </w:r>
          </w:p>
        </w:tc>
        <w:tc>
          <w:tcPr>
            <w:tcW w:w="1559" w:type="dxa"/>
            <w:shd w:val="clear" w:color="auto" w:fill="auto"/>
          </w:tcPr>
          <w:p w14:paraId="3D8C6F04"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2010</w:t>
            </w:r>
          </w:p>
        </w:tc>
        <w:tc>
          <w:tcPr>
            <w:tcW w:w="1418" w:type="dxa"/>
            <w:shd w:val="clear" w:color="auto" w:fill="auto"/>
          </w:tcPr>
          <w:p w14:paraId="4F8BB7C1"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0660F7">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2011</w:t>
            </w:r>
          </w:p>
        </w:tc>
      </w:tr>
      <w:tr w:rsidR="00DE5108" w:rsidRPr="00DE5108" w14:paraId="49378B7A" w14:textId="77777777" w:rsidTr="005805E4">
        <w:tc>
          <w:tcPr>
            <w:tcW w:w="1417" w:type="dxa"/>
            <w:shd w:val="clear" w:color="auto" w:fill="auto"/>
          </w:tcPr>
          <w:p w14:paraId="53915DF9" w14:textId="77777777" w:rsidR="00DE5108" w:rsidRPr="00DE5108" w:rsidRDefault="00DE5108" w:rsidP="005F377B">
            <w:pPr>
              <w:tabs>
                <w:tab w:val="left" w:pos="1418"/>
              </w:tabs>
              <w:ind w:right="517"/>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c>
          <w:tcPr>
            <w:tcW w:w="1418" w:type="dxa"/>
            <w:shd w:val="clear" w:color="auto" w:fill="auto"/>
          </w:tcPr>
          <w:p w14:paraId="0ACEEBBB" w14:textId="77777777" w:rsidR="00DE5108" w:rsidRPr="00DE5108" w:rsidRDefault="00DE5108" w:rsidP="005F377B">
            <w:pPr>
              <w:tabs>
                <w:tab w:val="left" w:pos="0"/>
                <w:tab w:val="left" w:pos="709"/>
                <w:tab w:val="left" w:pos="1418"/>
              </w:tabs>
              <w:ind w:rightChars="-21" w:right="-50"/>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 xml:space="preserve"> $</w:t>
            </w:r>
          </w:p>
        </w:tc>
        <w:tc>
          <w:tcPr>
            <w:tcW w:w="1417" w:type="dxa"/>
            <w:shd w:val="clear" w:color="auto" w:fill="auto"/>
          </w:tcPr>
          <w:p w14:paraId="3F362958" w14:textId="77777777" w:rsidR="00DE5108" w:rsidRPr="00DE5108" w:rsidRDefault="00DE5108" w:rsidP="005F377B">
            <w:pPr>
              <w:tabs>
                <w:tab w:val="left" w:pos="709"/>
                <w:tab w:val="left" w:pos="1418"/>
              </w:tabs>
              <w:ind w:right="110"/>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 xml:space="preserve">  $</w:t>
            </w:r>
          </w:p>
        </w:tc>
        <w:tc>
          <w:tcPr>
            <w:tcW w:w="1559" w:type="dxa"/>
            <w:shd w:val="clear" w:color="auto" w:fill="auto"/>
          </w:tcPr>
          <w:p w14:paraId="1BDCE897" w14:textId="77777777" w:rsidR="00DE5108" w:rsidRPr="00DE5108" w:rsidRDefault="00DE5108" w:rsidP="005F377B">
            <w:pPr>
              <w:tabs>
                <w:tab w:val="left" w:pos="709"/>
                <w:tab w:val="left" w:pos="1418"/>
              </w:tabs>
              <w:ind w:right="110"/>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 xml:space="preserve">  $</w:t>
            </w:r>
          </w:p>
        </w:tc>
        <w:tc>
          <w:tcPr>
            <w:tcW w:w="1418" w:type="dxa"/>
            <w:shd w:val="clear" w:color="auto" w:fill="auto"/>
          </w:tcPr>
          <w:p w14:paraId="04D3B79C" w14:textId="77777777" w:rsidR="00DE5108" w:rsidRPr="00DE5108" w:rsidRDefault="00DE5108" w:rsidP="005F377B">
            <w:pPr>
              <w:tabs>
                <w:tab w:val="left" w:pos="709"/>
              </w:tabs>
              <w:ind w:right="179"/>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 xml:space="preserve">  $</w:t>
            </w:r>
          </w:p>
        </w:tc>
      </w:tr>
      <w:tr w:rsidR="00DE5108" w:rsidRPr="00DE5108" w14:paraId="0E541B64" w14:textId="77777777" w:rsidTr="005805E4">
        <w:tc>
          <w:tcPr>
            <w:tcW w:w="1417" w:type="dxa"/>
            <w:shd w:val="clear" w:color="auto" w:fill="auto"/>
          </w:tcPr>
          <w:p w14:paraId="72EE9CD0" w14:textId="77777777" w:rsidR="00DE5108" w:rsidRPr="00DE5108" w:rsidRDefault="00DE5108" w:rsidP="005F377B">
            <w:pPr>
              <w:tabs>
                <w:tab w:val="left" w:pos="1418"/>
              </w:tabs>
              <w:ind w:right="110"/>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550,000</w:t>
            </w:r>
          </w:p>
        </w:tc>
        <w:tc>
          <w:tcPr>
            <w:tcW w:w="1418" w:type="dxa"/>
            <w:shd w:val="clear" w:color="auto" w:fill="auto"/>
          </w:tcPr>
          <w:p w14:paraId="4702BB11" w14:textId="77777777" w:rsidR="00DE5108" w:rsidRPr="00DE5108" w:rsidRDefault="00DE5108" w:rsidP="005F377B">
            <w:pPr>
              <w:tabs>
                <w:tab w:val="left" w:pos="0"/>
                <w:tab w:val="left" w:pos="709"/>
                <w:tab w:val="left" w:pos="1418"/>
              </w:tabs>
              <w:ind w:rightChars="-21" w:right="-50"/>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8,082,500</w:t>
            </w:r>
            <w:r w:rsidRPr="00DE5108">
              <w:rPr>
                <w:rFonts w:ascii="Times New Roman" w:eastAsia="標楷體" w:hAnsi="Times New Roman" w:cs="Times New Roman"/>
                <w:szCs w:val="24"/>
                <w:lang w:val="en-GB" w:eastAsia="zh-HK"/>
              </w:rPr>
              <w:t>*</w:t>
            </w:r>
          </w:p>
        </w:tc>
        <w:tc>
          <w:tcPr>
            <w:tcW w:w="1417" w:type="dxa"/>
            <w:shd w:val="clear" w:color="auto" w:fill="auto"/>
          </w:tcPr>
          <w:p w14:paraId="4ECF5D68" w14:textId="77777777" w:rsidR="00DE5108" w:rsidRPr="00DE5108" w:rsidRDefault="00DE5108" w:rsidP="005F377B">
            <w:pPr>
              <w:tabs>
                <w:tab w:val="left" w:pos="709"/>
                <w:tab w:val="left" w:pos="1418"/>
              </w:tabs>
              <w:ind w:right="110"/>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1,050,500</w:t>
            </w:r>
          </w:p>
        </w:tc>
        <w:tc>
          <w:tcPr>
            <w:tcW w:w="1559" w:type="dxa"/>
            <w:shd w:val="clear" w:color="auto" w:fill="auto"/>
          </w:tcPr>
          <w:p w14:paraId="043F3DA5" w14:textId="77777777" w:rsidR="00DE5108" w:rsidRPr="00DE5108" w:rsidRDefault="00DE5108" w:rsidP="005F377B">
            <w:pPr>
              <w:tabs>
                <w:tab w:val="left" w:pos="709"/>
                <w:tab w:val="left" w:pos="1418"/>
              </w:tabs>
              <w:ind w:right="110"/>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3,200,000</w:t>
            </w:r>
          </w:p>
        </w:tc>
        <w:tc>
          <w:tcPr>
            <w:tcW w:w="1418" w:type="dxa"/>
            <w:shd w:val="clear" w:color="auto" w:fill="auto"/>
          </w:tcPr>
          <w:p w14:paraId="092C94C6" w14:textId="77777777" w:rsidR="00DE5108" w:rsidRPr="00DE5108" w:rsidRDefault="00DE5108" w:rsidP="005F377B">
            <w:pPr>
              <w:tabs>
                <w:tab w:val="left" w:pos="709"/>
                <w:tab w:val="left" w:pos="1165"/>
              </w:tabs>
              <w:ind w:right="179"/>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1,200,000</w:t>
            </w:r>
          </w:p>
        </w:tc>
      </w:tr>
    </w:tbl>
    <w:p w14:paraId="4BAB8C4A" w14:textId="77777777" w:rsidR="00DE5108" w:rsidRPr="00DE5108" w:rsidRDefault="00DE5108" w:rsidP="005F377B">
      <w:pPr>
        <w:tabs>
          <w:tab w:val="left" w:pos="709"/>
          <w:tab w:val="left" w:pos="1418"/>
          <w:tab w:val="left" w:pos="2127"/>
        </w:tabs>
        <w:jc w:val="both"/>
        <w:rPr>
          <w:rFonts w:ascii="Times New Roman" w:eastAsia="標楷體" w:hAnsi="Times New Roman" w:cs="Times New Roman"/>
          <w:szCs w:val="24"/>
          <w:lang w:val="en-GB" w:eastAsia="zh-HK"/>
        </w:rPr>
      </w:pPr>
    </w:p>
    <w:p w14:paraId="0F31DF3C" w14:textId="77777777" w:rsidR="00DE5108" w:rsidRPr="00DE5108" w:rsidRDefault="00DE5108" w:rsidP="005F377B">
      <w:pPr>
        <w:tabs>
          <w:tab w:val="left" w:pos="709"/>
          <w:tab w:val="left" w:pos="1418"/>
          <w:tab w:val="left" w:pos="2127"/>
        </w:tabs>
        <w:ind w:firstLineChars="644" w:firstLine="154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*Included housing allowance of $235,000.</w:t>
      </w:r>
    </w:p>
    <w:p w14:paraId="074DA6F0" w14:textId="77777777" w:rsidR="00DE5108" w:rsidRPr="00DE5108" w:rsidRDefault="00DE5108" w:rsidP="005F377B">
      <w:pPr>
        <w:tabs>
          <w:tab w:val="left" w:pos="709"/>
          <w:tab w:val="left" w:pos="1418"/>
          <w:tab w:val="left" w:pos="2127"/>
        </w:tabs>
        <w:ind w:firstLineChars="644" w:firstLine="1546"/>
        <w:jc w:val="both"/>
        <w:rPr>
          <w:rFonts w:ascii="Times New Roman" w:eastAsia="標楷體" w:hAnsi="Times New Roman" w:cs="Times New Roman"/>
          <w:szCs w:val="24"/>
          <w:lang w:val="en-GB" w:eastAsia="zh-HK"/>
        </w:rPr>
      </w:pPr>
    </w:p>
    <w:p w14:paraId="490A0A1F" w14:textId="77777777" w:rsidR="00DE5108" w:rsidRPr="00DE5108" w:rsidRDefault="00DE5108" w:rsidP="00AC7B7E">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In the audited financial statements, the Company disclosed the following amounts due to/from director as at 31 December 2007 to 2011:</w:t>
      </w:r>
    </w:p>
    <w:p w14:paraId="2133254D" w14:textId="77777777" w:rsidR="00DE5108" w:rsidRPr="00DE5108" w:rsidRDefault="00DE5108" w:rsidP="005F377B">
      <w:pPr>
        <w:tabs>
          <w:tab w:val="left" w:pos="709"/>
          <w:tab w:val="left" w:pos="1418"/>
        </w:tabs>
        <w:ind w:left="1418"/>
        <w:jc w:val="both"/>
        <w:rPr>
          <w:rFonts w:ascii="Times New Roman" w:eastAsia="標楷體" w:hAnsi="Times New Roman" w:cs="Times New Roman"/>
          <w:szCs w:val="24"/>
          <w:lang w:val="en-GB" w:eastAsia="zh-HK"/>
        </w:rPr>
      </w:pPr>
    </w:p>
    <w:tbl>
      <w:tblPr>
        <w:tblW w:w="8505" w:type="dxa"/>
        <w:tblInd w:w="284" w:type="dxa"/>
        <w:tblLayout w:type="fixed"/>
        <w:tblLook w:val="04A0" w:firstRow="1" w:lastRow="0" w:firstColumn="1" w:lastColumn="0" w:noHBand="0" w:noVBand="1"/>
      </w:tblPr>
      <w:tblGrid>
        <w:gridCol w:w="1559"/>
        <w:gridCol w:w="1389"/>
        <w:gridCol w:w="1389"/>
        <w:gridCol w:w="1389"/>
        <w:gridCol w:w="1389"/>
        <w:gridCol w:w="1390"/>
      </w:tblGrid>
      <w:tr w:rsidR="00DE5108" w:rsidRPr="00DE5108" w14:paraId="7CC6BE3B" w14:textId="77777777" w:rsidTr="001516D2">
        <w:tc>
          <w:tcPr>
            <w:tcW w:w="1559" w:type="dxa"/>
          </w:tcPr>
          <w:p w14:paraId="422AACE0" w14:textId="77777777" w:rsidR="00DE5108" w:rsidRPr="00DE5108" w:rsidRDefault="00DE5108" w:rsidP="005F377B">
            <w:pPr>
              <w:tabs>
                <w:tab w:val="left" w:pos="312"/>
                <w:tab w:val="left" w:pos="709"/>
                <w:tab w:val="left" w:pos="1418"/>
              </w:tabs>
              <w:ind w:leftChars="-24" w:left="-58" w:firstLineChars="26" w:firstLine="62"/>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As at</w:t>
            </w:r>
          </w:p>
        </w:tc>
        <w:tc>
          <w:tcPr>
            <w:tcW w:w="1389" w:type="dxa"/>
            <w:shd w:val="clear" w:color="auto" w:fill="auto"/>
          </w:tcPr>
          <w:p w14:paraId="7A36E629" w14:textId="77777777" w:rsidR="00DE5108" w:rsidRPr="00DE5108" w:rsidRDefault="00DE5108" w:rsidP="005F377B">
            <w:pPr>
              <w:tabs>
                <w:tab w:val="left" w:pos="312"/>
                <w:tab w:val="left" w:pos="709"/>
                <w:tab w:val="left" w:pos="1418"/>
              </w:tabs>
              <w:ind w:leftChars="-74" w:left="52" w:hangingChars="96" w:hanging="230"/>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2007</w:t>
            </w:r>
          </w:p>
        </w:tc>
        <w:tc>
          <w:tcPr>
            <w:tcW w:w="1389" w:type="dxa"/>
            <w:shd w:val="clear" w:color="auto" w:fill="auto"/>
          </w:tcPr>
          <w:p w14:paraId="2728BC77"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2008</w:t>
            </w:r>
          </w:p>
        </w:tc>
        <w:tc>
          <w:tcPr>
            <w:tcW w:w="1389" w:type="dxa"/>
            <w:shd w:val="clear" w:color="auto" w:fill="auto"/>
          </w:tcPr>
          <w:p w14:paraId="60D2E796"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2009</w:t>
            </w:r>
          </w:p>
        </w:tc>
        <w:tc>
          <w:tcPr>
            <w:tcW w:w="1389" w:type="dxa"/>
            <w:shd w:val="clear" w:color="auto" w:fill="auto"/>
          </w:tcPr>
          <w:p w14:paraId="160B54D7"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2010</w:t>
            </w:r>
          </w:p>
        </w:tc>
        <w:tc>
          <w:tcPr>
            <w:tcW w:w="1390" w:type="dxa"/>
            <w:shd w:val="clear" w:color="auto" w:fill="auto"/>
          </w:tcPr>
          <w:p w14:paraId="4BC26C6F"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31</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12</w:t>
            </w:r>
            <w:r w:rsidR="001516D2">
              <w:rPr>
                <w:rFonts w:ascii="Times New Roman" w:eastAsia="標楷體" w:hAnsi="Times New Roman" w:cs="Times New Roman"/>
                <w:szCs w:val="24"/>
                <w:u w:val="single"/>
                <w:lang w:val="en-GB" w:eastAsia="zh-HK"/>
              </w:rPr>
              <w:t>-</w:t>
            </w:r>
            <w:r w:rsidRPr="00DE5108">
              <w:rPr>
                <w:rFonts w:ascii="Times New Roman" w:eastAsia="標楷體" w:hAnsi="Times New Roman" w:cs="Times New Roman"/>
                <w:szCs w:val="24"/>
                <w:u w:val="single"/>
                <w:lang w:val="en-GB" w:eastAsia="zh-HK"/>
              </w:rPr>
              <w:t>2011</w:t>
            </w:r>
          </w:p>
        </w:tc>
      </w:tr>
      <w:tr w:rsidR="00DE5108" w:rsidRPr="00DE5108" w14:paraId="470F0FE6" w14:textId="77777777" w:rsidTr="001516D2">
        <w:tc>
          <w:tcPr>
            <w:tcW w:w="1559" w:type="dxa"/>
          </w:tcPr>
          <w:p w14:paraId="6F7CCA74" w14:textId="77777777" w:rsidR="00DE5108" w:rsidRPr="00DE5108" w:rsidRDefault="00DE5108" w:rsidP="005F377B">
            <w:pPr>
              <w:tabs>
                <w:tab w:val="left" w:pos="1418"/>
              </w:tabs>
              <w:ind w:right="110"/>
              <w:rPr>
                <w:rFonts w:ascii="Times New Roman" w:eastAsia="標楷體" w:hAnsi="Times New Roman" w:cs="Times New Roman"/>
                <w:szCs w:val="24"/>
                <w:lang w:val="en-GB" w:eastAsia="zh-HK"/>
              </w:rPr>
            </w:pPr>
          </w:p>
        </w:tc>
        <w:tc>
          <w:tcPr>
            <w:tcW w:w="1389" w:type="dxa"/>
            <w:shd w:val="clear" w:color="auto" w:fill="auto"/>
            <w:vAlign w:val="bottom"/>
          </w:tcPr>
          <w:p w14:paraId="216FA912" w14:textId="77777777" w:rsidR="00DE5108" w:rsidRPr="00DE5108" w:rsidRDefault="00DE5108" w:rsidP="005F377B">
            <w:pPr>
              <w:tabs>
                <w:tab w:val="left" w:pos="1418"/>
              </w:tabs>
              <w:ind w:right="110"/>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c>
          <w:tcPr>
            <w:tcW w:w="1389" w:type="dxa"/>
            <w:shd w:val="clear" w:color="auto" w:fill="auto"/>
            <w:vAlign w:val="bottom"/>
          </w:tcPr>
          <w:p w14:paraId="53B5E4CA" w14:textId="77777777" w:rsidR="00DE5108" w:rsidRPr="00DE5108" w:rsidRDefault="00DE5108" w:rsidP="005F377B">
            <w:pPr>
              <w:tabs>
                <w:tab w:val="left" w:pos="0"/>
                <w:tab w:val="left" w:pos="709"/>
                <w:tab w:val="left" w:pos="1418"/>
              </w:tabs>
              <w:ind w:rightChars="-21" w:right="-50"/>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c>
          <w:tcPr>
            <w:tcW w:w="1389" w:type="dxa"/>
            <w:shd w:val="clear" w:color="auto" w:fill="auto"/>
            <w:vAlign w:val="bottom"/>
          </w:tcPr>
          <w:p w14:paraId="0416FDA4" w14:textId="77777777" w:rsidR="00DE5108" w:rsidRPr="00DE5108" w:rsidRDefault="00DE5108" w:rsidP="005F377B">
            <w:pPr>
              <w:tabs>
                <w:tab w:val="left" w:pos="709"/>
                <w:tab w:val="left" w:pos="1418"/>
              </w:tabs>
              <w:ind w:right="39"/>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c>
          <w:tcPr>
            <w:tcW w:w="1389" w:type="dxa"/>
            <w:shd w:val="clear" w:color="auto" w:fill="auto"/>
            <w:vAlign w:val="bottom"/>
          </w:tcPr>
          <w:p w14:paraId="010D3168" w14:textId="77777777" w:rsidR="00DE5108" w:rsidRPr="00DE5108" w:rsidRDefault="00DE5108" w:rsidP="005F377B">
            <w:pPr>
              <w:tabs>
                <w:tab w:val="left" w:pos="1059"/>
              </w:tabs>
              <w:ind w:right="-102"/>
              <w:jc w:val="center"/>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lang w:val="en-GB" w:eastAsia="zh-HK"/>
              </w:rPr>
              <w:t>$</w:t>
            </w:r>
          </w:p>
        </w:tc>
        <w:tc>
          <w:tcPr>
            <w:tcW w:w="1390" w:type="dxa"/>
            <w:shd w:val="clear" w:color="auto" w:fill="auto"/>
            <w:vAlign w:val="bottom"/>
          </w:tcPr>
          <w:p w14:paraId="722D186D" w14:textId="77777777" w:rsidR="00DE5108" w:rsidRPr="00DE5108" w:rsidRDefault="00DE5108" w:rsidP="005F377B">
            <w:pPr>
              <w:tabs>
                <w:tab w:val="left" w:pos="709"/>
              </w:tabs>
              <w:ind w:right="30"/>
              <w:jc w:val="center"/>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lang w:val="en-GB" w:eastAsia="zh-HK"/>
              </w:rPr>
              <w:t>$</w:t>
            </w:r>
          </w:p>
        </w:tc>
      </w:tr>
      <w:tr w:rsidR="00DE5108" w:rsidRPr="00DE5108" w14:paraId="4A35D402" w14:textId="77777777" w:rsidTr="001516D2">
        <w:tc>
          <w:tcPr>
            <w:tcW w:w="1559" w:type="dxa"/>
          </w:tcPr>
          <w:p w14:paraId="27E1CB24" w14:textId="77777777" w:rsidR="00DE5108" w:rsidRPr="00DE5108" w:rsidRDefault="00DE5108" w:rsidP="001516D2">
            <w:pPr>
              <w:tabs>
                <w:tab w:val="left" w:pos="1418"/>
              </w:tabs>
              <w:ind w:right="110"/>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Amount due (to)/ from director</w:t>
            </w:r>
          </w:p>
        </w:tc>
        <w:tc>
          <w:tcPr>
            <w:tcW w:w="1389" w:type="dxa"/>
            <w:shd w:val="clear" w:color="auto" w:fill="auto"/>
            <w:vAlign w:val="bottom"/>
          </w:tcPr>
          <w:p w14:paraId="1C3ADCBA" w14:textId="77777777" w:rsidR="00DE5108" w:rsidRPr="00DE5108" w:rsidRDefault="00DE5108" w:rsidP="005F377B">
            <w:pPr>
              <w:tabs>
                <w:tab w:val="left" w:pos="1418"/>
              </w:tabs>
              <w:ind w:right="110"/>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(48,100)</w:t>
            </w:r>
          </w:p>
        </w:tc>
        <w:tc>
          <w:tcPr>
            <w:tcW w:w="1389" w:type="dxa"/>
            <w:shd w:val="clear" w:color="auto" w:fill="auto"/>
            <w:vAlign w:val="bottom"/>
          </w:tcPr>
          <w:p w14:paraId="19328B56" w14:textId="77777777" w:rsidR="00DE5108" w:rsidRPr="00DE5108" w:rsidRDefault="00DE5108" w:rsidP="005F377B">
            <w:pPr>
              <w:tabs>
                <w:tab w:val="left" w:pos="0"/>
                <w:tab w:val="left" w:pos="709"/>
                <w:tab w:val="left" w:pos="1418"/>
              </w:tabs>
              <w:ind w:rightChars="-21" w:right="-50"/>
              <w:jc w:val="center"/>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lang w:val="en-GB" w:eastAsia="zh-HK"/>
              </w:rPr>
              <w:t xml:space="preserve"> </w:t>
            </w:r>
            <w:r w:rsidRPr="00DE5108">
              <w:rPr>
                <w:rFonts w:ascii="Times New Roman" w:eastAsia="標楷體" w:hAnsi="Times New Roman" w:cs="Times New Roman"/>
                <w:szCs w:val="24"/>
                <w:u w:val="double"/>
                <w:lang w:val="en-GB" w:eastAsia="zh-HK"/>
              </w:rPr>
              <w:t>355,666</w:t>
            </w:r>
          </w:p>
        </w:tc>
        <w:tc>
          <w:tcPr>
            <w:tcW w:w="1389" w:type="dxa"/>
            <w:shd w:val="clear" w:color="auto" w:fill="auto"/>
            <w:vAlign w:val="bottom"/>
          </w:tcPr>
          <w:p w14:paraId="43182BD2" w14:textId="77777777" w:rsidR="00DE5108" w:rsidRPr="00DE5108" w:rsidRDefault="00DE5108" w:rsidP="005F377B">
            <w:pPr>
              <w:tabs>
                <w:tab w:val="left" w:pos="709"/>
                <w:tab w:val="left" w:pos="1418"/>
              </w:tabs>
              <w:ind w:right="39"/>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lang w:val="en-GB" w:eastAsia="zh-HK"/>
              </w:rPr>
              <w:t xml:space="preserve"> </w:t>
            </w:r>
            <w:r w:rsidRPr="00DE5108">
              <w:rPr>
                <w:rFonts w:ascii="Times New Roman" w:eastAsia="標楷體" w:hAnsi="Times New Roman" w:cs="Times New Roman"/>
                <w:szCs w:val="24"/>
                <w:u w:val="double"/>
                <w:lang w:val="en-GB" w:eastAsia="zh-HK"/>
              </w:rPr>
              <w:t>125,409</w:t>
            </w:r>
          </w:p>
        </w:tc>
        <w:tc>
          <w:tcPr>
            <w:tcW w:w="1389" w:type="dxa"/>
            <w:shd w:val="clear" w:color="auto" w:fill="auto"/>
            <w:vAlign w:val="bottom"/>
          </w:tcPr>
          <w:p w14:paraId="1155FF5E" w14:textId="77777777" w:rsidR="00DE5108" w:rsidRPr="00DE5108" w:rsidRDefault="00DE5108" w:rsidP="005F377B">
            <w:pPr>
              <w:tabs>
                <w:tab w:val="left" w:pos="1059"/>
              </w:tabs>
              <w:ind w:right="-102"/>
              <w:jc w:val="center"/>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172,380</w:t>
            </w:r>
          </w:p>
        </w:tc>
        <w:tc>
          <w:tcPr>
            <w:tcW w:w="1390" w:type="dxa"/>
            <w:shd w:val="clear" w:color="auto" w:fill="auto"/>
            <w:vAlign w:val="bottom"/>
          </w:tcPr>
          <w:p w14:paraId="2B327817" w14:textId="77777777" w:rsidR="00DE5108" w:rsidRPr="00DE5108" w:rsidRDefault="00DE5108" w:rsidP="005F377B">
            <w:pPr>
              <w:tabs>
                <w:tab w:val="left" w:pos="709"/>
              </w:tabs>
              <w:ind w:right="30"/>
              <w:jc w:val="center"/>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(1,477,728)</w:t>
            </w:r>
          </w:p>
        </w:tc>
      </w:tr>
    </w:tbl>
    <w:p w14:paraId="0E133FC6" w14:textId="77777777" w:rsidR="00DE5108" w:rsidRPr="00DE5108" w:rsidRDefault="00DE5108" w:rsidP="005F377B">
      <w:pPr>
        <w:tabs>
          <w:tab w:val="left" w:pos="709"/>
          <w:tab w:val="left" w:pos="1418"/>
        </w:tabs>
        <w:jc w:val="both"/>
        <w:rPr>
          <w:rFonts w:ascii="Times New Roman" w:eastAsia="標楷體" w:hAnsi="Times New Roman" w:cs="Times New Roman"/>
          <w:szCs w:val="24"/>
          <w:lang w:val="en-GB" w:eastAsia="zh-HK"/>
        </w:rPr>
      </w:pPr>
      <w:r w:rsidRPr="005F377B">
        <w:rPr>
          <w:rFonts w:ascii="Times New Roman" w:eastAsia="標楷體" w:hAnsi="Times New Roman" w:cs="Times New Roman"/>
          <w:noProof/>
          <w:szCs w:val="24"/>
        </w:rPr>
        <mc:AlternateContent>
          <mc:Choice Requires="wps">
            <w:drawing>
              <wp:anchor distT="0" distB="0" distL="114300" distR="114300" simplePos="0" relativeHeight="251660288" behindDoc="0" locked="0" layoutInCell="1" allowOverlap="1" wp14:anchorId="46EC75F4" wp14:editId="7875DFB6">
                <wp:simplePos x="0" y="0"/>
                <wp:positionH relativeFrom="column">
                  <wp:posOffset>-951865</wp:posOffset>
                </wp:positionH>
                <wp:positionV relativeFrom="paragraph">
                  <wp:posOffset>206375</wp:posOffset>
                </wp:positionV>
                <wp:extent cx="1082675" cy="694055"/>
                <wp:effectExtent l="0" t="0" r="317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694055"/>
                        </a:xfrm>
                        <a:prstGeom prst="rect">
                          <a:avLst/>
                        </a:prstGeom>
                        <a:solidFill>
                          <a:srgbClr val="FFFFFF"/>
                        </a:solidFill>
                        <a:ln>
                          <a:noFill/>
                        </a:ln>
                      </wps:spPr>
                      <wps:txbx>
                        <w:txbxContent>
                          <w:p w14:paraId="5A887B80" w14:textId="77777777" w:rsidR="00DE5108" w:rsidRDefault="00DE5108" w:rsidP="00DE5108">
                            <w:pPr>
                              <w:pStyle w:val="a3"/>
                              <w:tabs>
                                <w:tab w:val="clear" w:pos="4153"/>
                                <w:tab w:val="clear" w:pos="8306"/>
                              </w:tabs>
                              <w:jc w:val="center"/>
                              <w:rPr>
                                <w:sz w:val="18"/>
                                <w:szCs w:val="24"/>
                                <w:lang w:eastAsia="zh-H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C75F4" id="_x0000_t202" coordsize="21600,21600" o:spt="202" path="m,l,21600r21600,l21600,xe">
                <v:stroke joinstyle="miter"/>
                <v:path gradientshapeok="t" o:connecttype="rect"/>
              </v:shapetype>
              <v:shape id="文字方塊 3" o:spid="_x0000_s1026" type="#_x0000_t202" style="position:absolute;left:0;text-align:left;margin-left:-74.95pt;margin-top:16.25pt;width:85.25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" stroked="f">
                <v:textbox>
                  <w:txbxContent>
                    <w:p w14:paraId="5A887B80" w14:textId="77777777" w:rsidR="00DE5108" w:rsidRDefault="00DE5108" w:rsidP="00DE5108">
                      <w:pPr>
                        <w:pStyle w:val="a3"/>
                        <w:tabs>
                          <w:tab w:val="clear" w:pos="4153"/>
                          <w:tab w:val="clear" w:pos="8306"/>
                        </w:tabs>
                        <w:jc w:val="center"/>
                        <w:rPr>
                          <w:sz w:val="18"/>
                          <w:szCs w:val="24"/>
                          <w:lang w:eastAsia="zh-HK"/>
                        </w:rPr>
                      </w:pPr>
                    </w:p>
                  </w:txbxContent>
                </v:textbox>
              </v:shape>
            </w:pict>
          </mc:Fallback>
        </mc:AlternateContent>
      </w:r>
    </w:p>
    <w:p w14:paraId="40F6CFC4" w14:textId="77777777" w:rsidR="00DE5108" w:rsidRPr="00DE5108" w:rsidRDefault="00DE5108" w:rsidP="00AC7B7E">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In the directors’ reports, the directors did not recommend any payment of dividends for the years ended 31 December 2007 to 2011.</w:t>
      </w:r>
    </w:p>
    <w:p w14:paraId="578D6C1E" w14:textId="77777777" w:rsidR="00DE5108" w:rsidRPr="00DE5108" w:rsidRDefault="00DE5108" w:rsidP="005F377B">
      <w:pPr>
        <w:tabs>
          <w:tab w:val="left" w:pos="709"/>
          <w:tab w:val="left" w:pos="1418"/>
        </w:tabs>
        <w:ind w:left="1418"/>
        <w:jc w:val="both"/>
        <w:rPr>
          <w:rFonts w:ascii="Times New Roman" w:eastAsia="標楷體" w:hAnsi="Times New Roman" w:cs="Times New Roman"/>
          <w:szCs w:val="24"/>
          <w:lang w:val="en-GB" w:eastAsia="zh-HK"/>
        </w:rPr>
      </w:pPr>
    </w:p>
    <w:p w14:paraId="67799389" w14:textId="77777777" w:rsidR="00DE5108" w:rsidRPr="00DE5108" w:rsidRDefault="00DE5108" w:rsidP="00AC7B7E">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szCs w:val="24"/>
          <w:lang w:val="en-GB" w:eastAsia="zh-HK"/>
        </w:rPr>
      </w:pPr>
      <w:r w:rsidRPr="005F377B">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5D1453A8" wp14:editId="6FDA4EB0">
                <wp:simplePos x="0" y="0"/>
                <wp:positionH relativeFrom="column">
                  <wp:posOffset>-801370</wp:posOffset>
                </wp:positionH>
                <wp:positionV relativeFrom="paragraph">
                  <wp:posOffset>241935</wp:posOffset>
                </wp:positionV>
                <wp:extent cx="851535" cy="80899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808990"/>
                        </a:xfrm>
                        <a:prstGeom prst="rect">
                          <a:avLst/>
                        </a:prstGeom>
                        <a:solidFill>
                          <a:srgbClr val="FFFFFF"/>
                        </a:solidFill>
                        <a:ln>
                          <a:noFill/>
                        </a:ln>
                      </wps:spPr>
                      <wps:txbx>
                        <w:txbxContent>
                          <w:p w14:paraId="16C2C80D" w14:textId="77777777" w:rsidR="00DE5108" w:rsidRDefault="00DE5108" w:rsidP="00DE5108">
                            <w:pPr>
                              <w:pStyle w:val="a3"/>
                              <w:tabs>
                                <w:tab w:val="clear" w:pos="4153"/>
                                <w:tab w:val="clear" w:pos="8306"/>
                              </w:tabs>
                              <w:jc w:val="center"/>
                              <w:rPr>
                                <w:sz w:val="18"/>
                                <w:szCs w:val="24"/>
                                <w:lang w:eastAsia="zh-HK"/>
                              </w:rPr>
                            </w:pPr>
                          </w:p>
                          <w:p w14:paraId="49815218" w14:textId="77777777" w:rsidR="00DE5108" w:rsidRDefault="00DE5108" w:rsidP="00DE5108">
                            <w:pPr>
                              <w:pStyle w:val="a3"/>
                              <w:tabs>
                                <w:tab w:val="clear" w:pos="4153"/>
                                <w:tab w:val="clear" w:pos="8306"/>
                              </w:tabs>
                              <w:jc w:val="center"/>
                              <w:rPr>
                                <w:sz w:val="18"/>
                                <w:szCs w:val="24"/>
                                <w:lang w:eastAsia="zh-H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53A8" id="文字方塊 2" o:spid="_x0000_s1027" type="#_x0000_t202" style="position:absolute;left:0;text-align:left;margin-left:-63.1pt;margin-top:19.05pt;width:67.05pt;height: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" stroked="f">
                <v:textbox>
                  <w:txbxContent>
                    <w:p w14:paraId="16C2C80D" w14:textId="77777777" w:rsidR="00DE5108" w:rsidRDefault="00DE5108" w:rsidP="00DE5108">
                      <w:pPr>
                        <w:pStyle w:val="a3"/>
                        <w:tabs>
                          <w:tab w:val="clear" w:pos="4153"/>
                          <w:tab w:val="clear" w:pos="8306"/>
                        </w:tabs>
                        <w:jc w:val="center"/>
                        <w:rPr>
                          <w:sz w:val="18"/>
                          <w:szCs w:val="24"/>
                          <w:lang w:eastAsia="zh-HK"/>
                        </w:rPr>
                      </w:pPr>
                    </w:p>
                    <w:p w14:paraId="49815218" w14:textId="77777777" w:rsidR="00DE5108" w:rsidRDefault="00DE5108" w:rsidP="00DE5108">
                      <w:pPr>
                        <w:pStyle w:val="a3"/>
                        <w:tabs>
                          <w:tab w:val="clear" w:pos="4153"/>
                          <w:tab w:val="clear" w:pos="8306"/>
                        </w:tabs>
                        <w:jc w:val="center"/>
                        <w:rPr>
                          <w:sz w:val="18"/>
                          <w:szCs w:val="24"/>
                          <w:lang w:eastAsia="zh-HK"/>
                        </w:rPr>
                      </w:pPr>
                    </w:p>
                  </w:txbxContent>
                </v:textbox>
              </v:shape>
            </w:pict>
          </mc:Fallback>
        </mc:AlternateContent>
      </w:r>
      <w:r w:rsidRPr="00DE5108">
        <w:rPr>
          <w:rFonts w:ascii="Times New Roman" w:eastAsia="標楷體" w:hAnsi="Times New Roman" w:cs="Times New Roman"/>
          <w:szCs w:val="24"/>
          <w:lang w:val="en-GB" w:eastAsia="zh-HK"/>
        </w:rPr>
        <w:t>The breakdown of the Appellant’s income reported in the employer’s returns referred to in paragraph 1 hereof:</w:t>
      </w:r>
    </w:p>
    <w:p w14:paraId="0137457A" w14:textId="77777777" w:rsidR="00DE5108" w:rsidRDefault="00DE5108" w:rsidP="005F377B">
      <w:pPr>
        <w:tabs>
          <w:tab w:val="left" w:pos="709"/>
          <w:tab w:val="left" w:pos="1418"/>
        </w:tabs>
        <w:ind w:left="1418"/>
        <w:jc w:val="both"/>
        <w:rPr>
          <w:rFonts w:ascii="Times New Roman" w:eastAsia="標楷體" w:hAnsi="Times New Roman" w:cs="Times New Roman"/>
          <w:szCs w:val="24"/>
          <w:lang w:val="en-GB" w:eastAsia="zh-HK"/>
        </w:rPr>
      </w:pPr>
    </w:p>
    <w:p w14:paraId="40711C3B" w14:textId="77777777" w:rsidR="00BB4096" w:rsidRPr="00DE5108" w:rsidRDefault="00BB4096" w:rsidP="005F377B">
      <w:pPr>
        <w:tabs>
          <w:tab w:val="left" w:pos="709"/>
          <w:tab w:val="left" w:pos="1418"/>
        </w:tabs>
        <w:ind w:left="1418"/>
        <w:jc w:val="both"/>
        <w:rPr>
          <w:rFonts w:ascii="Times New Roman" w:eastAsia="標楷體" w:hAnsi="Times New Roman" w:cs="Times New Roman"/>
          <w:szCs w:val="24"/>
          <w:lang w:val="en-GB" w:eastAsia="zh-HK"/>
        </w:rPr>
      </w:pPr>
    </w:p>
    <w:tbl>
      <w:tblPr>
        <w:tblW w:w="0" w:type="auto"/>
        <w:tblInd w:w="1560" w:type="dxa"/>
        <w:tblLook w:val="04A0" w:firstRow="1" w:lastRow="0" w:firstColumn="1" w:lastColumn="0" w:noHBand="0" w:noVBand="1"/>
      </w:tblPr>
      <w:tblGrid>
        <w:gridCol w:w="1274"/>
        <w:gridCol w:w="1003"/>
        <w:gridCol w:w="1202"/>
        <w:gridCol w:w="1176"/>
        <w:gridCol w:w="1176"/>
        <w:gridCol w:w="1227"/>
      </w:tblGrid>
      <w:tr w:rsidR="00DE5108" w:rsidRPr="00DE5108" w14:paraId="43E450FC" w14:textId="77777777" w:rsidTr="008C63AD">
        <w:tc>
          <w:tcPr>
            <w:tcW w:w="1178" w:type="dxa"/>
            <w:shd w:val="clear" w:color="auto" w:fill="auto"/>
          </w:tcPr>
          <w:p w14:paraId="4E54E524"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Month</w:t>
            </w:r>
          </w:p>
        </w:tc>
        <w:tc>
          <w:tcPr>
            <w:tcW w:w="1003" w:type="dxa"/>
            <w:shd w:val="clear" w:color="auto" w:fill="auto"/>
          </w:tcPr>
          <w:p w14:paraId="29E775FD"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2007/08</w:t>
            </w:r>
          </w:p>
        </w:tc>
        <w:tc>
          <w:tcPr>
            <w:tcW w:w="1202" w:type="dxa"/>
            <w:shd w:val="clear" w:color="auto" w:fill="auto"/>
          </w:tcPr>
          <w:p w14:paraId="2FA63192"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2008/09</w:t>
            </w:r>
          </w:p>
        </w:tc>
        <w:tc>
          <w:tcPr>
            <w:tcW w:w="1176" w:type="dxa"/>
            <w:shd w:val="clear" w:color="auto" w:fill="auto"/>
          </w:tcPr>
          <w:p w14:paraId="15C86C88"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2009/10</w:t>
            </w:r>
          </w:p>
        </w:tc>
        <w:tc>
          <w:tcPr>
            <w:tcW w:w="1176" w:type="dxa"/>
            <w:shd w:val="clear" w:color="auto" w:fill="auto"/>
          </w:tcPr>
          <w:p w14:paraId="44F8639D"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2010/11</w:t>
            </w:r>
          </w:p>
        </w:tc>
        <w:tc>
          <w:tcPr>
            <w:tcW w:w="1227" w:type="dxa"/>
            <w:shd w:val="clear" w:color="auto" w:fill="auto"/>
          </w:tcPr>
          <w:p w14:paraId="08125F72" w14:textId="77777777" w:rsidR="00DE5108" w:rsidRPr="00DE5108" w:rsidRDefault="00DE5108" w:rsidP="005F377B">
            <w:pPr>
              <w:tabs>
                <w:tab w:val="left" w:pos="709"/>
                <w:tab w:val="left" w:pos="1418"/>
              </w:tabs>
              <w:jc w:val="center"/>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2011/12</w:t>
            </w:r>
          </w:p>
        </w:tc>
      </w:tr>
      <w:tr w:rsidR="00DE5108" w:rsidRPr="00DE5108" w14:paraId="4545719F" w14:textId="77777777" w:rsidTr="008C63AD">
        <w:tc>
          <w:tcPr>
            <w:tcW w:w="1178" w:type="dxa"/>
            <w:shd w:val="clear" w:color="auto" w:fill="auto"/>
          </w:tcPr>
          <w:p w14:paraId="2903B2B5" w14:textId="77777777" w:rsidR="00DE5108" w:rsidRPr="00DE5108" w:rsidRDefault="00DE5108" w:rsidP="005F377B">
            <w:pPr>
              <w:tabs>
                <w:tab w:val="left" w:pos="709"/>
                <w:tab w:val="left" w:pos="1418"/>
              </w:tabs>
              <w:jc w:val="both"/>
              <w:rPr>
                <w:rFonts w:ascii="Times New Roman" w:eastAsia="標楷體" w:hAnsi="Times New Roman" w:cs="Times New Roman"/>
                <w:szCs w:val="24"/>
                <w:lang w:val="en-GB" w:eastAsia="zh-HK"/>
              </w:rPr>
            </w:pPr>
          </w:p>
        </w:tc>
        <w:tc>
          <w:tcPr>
            <w:tcW w:w="1003" w:type="dxa"/>
            <w:shd w:val="clear" w:color="auto" w:fill="auto"/>
          </w:tcPr>
          <w:p w14:paraId="0DEB9775" w14:textId="77777777" w:rsidR="00DE5108" w:rsidRPr="00DE5108" w:rsidRDefault="00DE5108" w:rsidP="005F377B">
            <w:pPr>
              <w:tabs>
                <w:tab w:val="left" w:pos="709"/>
                <w:tab w:val="left" w:pos="1418"/>
              </w:tabs>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c>
          <w:tcPr>
            <w:tcW w:w="1202" w:type="dxa"/>
            <w:shd w:val="clear" w:color="auto" w:fill="auto"/>
          </w:tcPr>
          <w:p w14:paraId="221E24D8" w14:textId="77777777" w:rsidR="00DE5108" w:rsidRPr="00DE5108" w:rsidRDefault="00DE5108" w:rsidP="009E26AF">
            <w:pPr>
              <w:ind w:rightChars="-70" w:right="-168"/>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c>
          <w:tcPr>
            <w:tcW w:w="1176" w:type="dxa"/>
            <w:shd w:val="clear" w:color="auto" w:fill="auto"/>
          </w:tcPr>
          <w:p w14:paraId="797834ED" w14:textId="77777777" w:rsidR="00DE5108" w:rsidRPr="00DE5108" w:rsidRDefault="00DE5108" w:rsidP="00961319">
            <w:pPr>
              <w:ind w:rightChars="-52" w:right="-125"/>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c>
          <w:tcPr>
            <w:tcW w:w="1176" w:type="dxa"/>
            <w:shd w:val="clear" w:color="auto" w:fill="auto"/>
          </w:tcPr>
          <w:p w14:paraId="13936CB9" w14:textId="77777777" w:rsidR="00DE5108" w:rsidRPr="00DE5108" w:rsidRDefault="00DE5108" w:rsidP="00760AD4">
            <w:pPr>
              <w:ind w:rightChars="-34" w:right="-82"/>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c>
          <w:tcPr>
            <w:tcW w:w="1227" w:type="dxa"/>
            <w:shd w:val="clear" w:color="auto" w:fill="auto"/>
          </w:tcPr>
          <w:p w14:paraId="19BEBC2B" w14:textId="77777777" w:rsidR="00DE5108" w:rsidRPr="00DE5108" w:rsidRDefault="00DE5108" w:rsidP="000A237A">
            <w:pPr>
              <w:ind w:rightChars="-114" w:right="-274"/>
              <w:jc w:val="center"/>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w:t>
            </w:r>
          </w:p>
        </w:tc>
      </w:tr>
      <w:tr w:rsidR="00DE5108" w:rsidRPr="00DE5108" w14:paraId="6E03B9B2" w14:textId="77777777" w:rsidTr="008C63AD">
        <w:tc>
          <w:tcPr>
            <w:tcW w:w="1178" w:type="dxa"/>
            <w:shd w:val="clear" w:color="auto" w:fill="auto"/>
          </w:tcPr>
          <w:p w14:paraId="1424BCDA"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April</w:t>
            </w:r>
          </w:p>
        </w:tc>
        <w:tc>
          <w:tcPr>
            <w:tcW w:w="1003" w:type="dxa"/>
            <w:shd w:val="clear" w:color="auto" w:fill="auto"/>
          </w:tcPr>
          <w:p w14:paraId="606DB3BC"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40,000</w:t>
            </w:r>
          </w:p>
        </w:tc>
        <w:tc>
          <w:tcPr>
            <w:tcW w:w="1202" w:type="dxa"/>
            <w:shd w:val="clear" w:color="auto" w:fill="auto"/>
          </w:tcPr>
          <w:p w14:paraId="6B952A81"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548C96B1"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307DD9A5"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67136482"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5A813FBA" w14:textId="77777777" w:rsidTr="008C63AD">
        <w:tc>
          <w:tcPr>
            <w:tcW w:w="1178" w:type="dxa"/>
            <w:shd w:val="clear" w:color="auto" w:fill="auto"/>
          </w:tcPr>
          <w:p w14:paraId="1FF7E624"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May</w:t>
            </w:r>
          </w:p>
        </w:tc>
        <w:tc>
          <w:tcPr>
            <w:tcW w:w="1003" w:type="dxa"/>
            <w:shd w:val="clear" w:color="auto" w:fill="auto"/>
          </w:tcPr>
          <w:p w14:paraId="0444ABF4"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40,000</w:t>
            </w:r>
          </w:p>
        </w:tc>
        <w:tc>
          <w:tcPr>
            <w:tcW w:w="1202" w:type="dxa"/>
            <w:shd w:val="clear" w:color="auto" w:fill="auto"/>
          </w:tcPr>
          <w:p w14:paraId="59855DF2"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6C71F07E"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6A23FAF8"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015FFD33"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0A73BC60" w14:textId="77777777" w:rsidTr="008C63AD">
        <w:tc>
          <w:tcPr>
            <w:tcW w:w="1178" w:type="dxa"/>
            <w:shd w:val="clear" w:color="auto" w:fill="auto"/>
          </w:tcPr>
          <w:p w14:paraId="2B76B73D"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June</w:t>
            </w:r>
          </w:p>
        </w:tc>
        <w:tc>
          <w:tcPr>
            <w:tcW w:w="1003" w:type="dxa"/>
            <w:shd w:val="clear" w:color="auto" w:fill="auto"/>
          </w:tcPr>
          <w:p w14:paraId="046056FC"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7EF5C162" w14:textId="77777777" w:rsidR="00DE5108" w:rsidRPr="00DE5108" w:rsidRDefault="00DE5108" w:rsidP="00EB5B56">
            <w:pPr>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3508C384"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2C415C9F"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628B060B"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7AF3850A" w14:textId="77777777" w:rsidTr="008C63AD">
        <w:tc>
          <w:tcPr>
            <w:tcW w:w="1178" w:type="dxa"/>
            <w:shd w:val="clear" w:color="auto" w:fill="auto"/>
          </w:tcPr>
          <w:p w14:paraId="150E6354"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July</w:t>
            </w:r>
          </w:p>
        </w:tc>
        <w:tc>
          <w:tcPr>
            <w:tcW w:w="1003" w:type="dxa"/>
            <w:shd w:val="clear" w:color="auto" w:fill="auto"/>
          </w:tcPr>
          <w:p w14:paraId="640546AF"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3975981E"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6F5989FE"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590FBFF8"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4C44801C"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1EF4DF15" w14:textId="77777777" w:rsidTr="008C63AD">
        <w:tc>
          <w:tcPr>
            <w:tcW w:w="1178" w:type="dxa"/>
            <w:shd w:val="clear" w:color="auto" w:fill="auto"/>
          </w:tcPr>
          <w:p w14:paraId="6B43CCC9"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August</w:t>
            </w:r>
          </w:p>
        </w:tc>
        <w:tc>
          <w:tcPr>
            <w:tcW w:w="1003" w:type="dxa"/>
            <w:shd w:val="clear" w:color="auto" w:fill="auto"/>
          </w:tcPr>
          <w:p w14:paraId="23143A7A"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5A140CBF"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4E39DE97"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1D1D3394"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04507DC0"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0C444379" w14:textId="77777777" w:rsidTr="008C63AD">
        <w:tc>
          <w:tcPr>
            <w:tcW w:w="1178" w:type="dxa"/>
            <w:shd w:val="clear" w:color="auto" w:fill="auto"/>
          </w:tcPr>
          <w:p w14:paraId="331EE22D"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September</w:t>
            </w:r>
          </w:p>
        </w:tc>
        <w:tc>
          <w:tcPr>
            <w:tcW w:w="1003" w:type="dxa"/>
            <w:shd w:val="clear" w:color="auto" w:fill="auto"/>
          </w:tcPr>
          <w:p w14:paraId="42D79F01"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64FBCE37"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2B23008E"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78D902A0"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3846B96C"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1B99C46E" w14:textId="77777777" w:rsidTr="008C63AD">
        <w:tc>
          <w:tcPr>
            <w:tcW w:w="1178" w:type="dxa"/>
            <w:shd w:val="clear" w:color="auto" w:fill="auto"/>
          </w:tcPr>
          <w:p w14:paraId="31DD2744"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October</w:t>
            </w:r>
          </w:p>
        </w:tc>
        <w:tc>
          <w:tcPr>
            <w:tcW w:w="1003" w:type="dxa"/>
            <w:shd w:val="clear" w:color="auto" w:fill="auto"/>
          </w:tcPr>
          <w:p w14:paraId="0C3818EC"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5F20D892"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0A2133C8"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36CC31DC"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52A19339"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77D176CD" w14:textId="77777777" w:rsidTr="008C63AD">
        <w:tc>
          <w:tcPr>
            <w:tcW w:w="1178" w:type="dxa"/>
            <w:shd w:val="clear" w:color="auto" w:fill="auto"/>
          </w:tcPr>
          <w:p w14:paraId="751177D0"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November</w:t>
            </w:r>
          </w:p>
        </w:tc>
        <w:tc>
          <w:tcPr>
            <w:tcW w:w="1003" w:type="dxa"/>
            <w:shd w:val="clear" w:color="auto" w:fill="auto"/>
          </w:tcPr>
          <w:p w14:paraId="3A2E6E2F"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2245D239"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6B9EA3AE"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3FFA3549"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7CDAFAB9"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04358513" w14:textId="77777777" w:rsidTr="008C63AD">
        <w:tc>
          <w:tcPr>
            <w:tcW w:w="1178" w:type="dxa"/>
            <w:shd w:val="clear" w:color="auto" w:fill="auto"/>
          </w:tcPr>
          <w:p w14:paraId="39C79062"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December</w:t>
            </w:r>
          </w:p>
        </w:tc>
        <w:tc>
          <w:tcPr>
            <w:tcW w:w="1003" w:type="dxa"/>
            <w:shd w:val="clear" w:color="auto" w:fill="auto"/>
          </w:tcPr>
          <w:p w14:paraId="37FAC775"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2AC2B4C3"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7,297,500</w:t>
            </w:r>
          </w:p>
        </w:tc>
        <w:tc>
          <w:tcPr>
            <w:tcW w:w="1176" w:type="dxa"/>
            <w:shd w:val="clear" w:color="auto" w:fill="auto"/>
          </w:tcPr>
          <w:p w14:paraId="0A9D6DD7"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548B9224"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2,100,000</w:t>
            </w:r>
          </w:p>
        </w:tc>
        <w:tc>
          <w:tcPr>
            <w:tcW w:w="1227" w:type="dxa"/>
            <w:shd w:val="clear" w:color="auto" w:fill="auto"/>
          </w:tcPr>
          <w:p w14:paraId="09726265"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7687FB59" w14:textId="77777777" w:rsidTr="008C63AD">
        <w:tc>
          <w:tcPr>
            <w:tcW w:w="1178" w:type="dxa"/>
            <w:shd w:val="clear" w:color="auto" w:fill="auto"/>
          </w:tcPr>
          <w:p w14:paraId="143EEF37"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January</w:t>
            </w:r>
          </w:p>
        </w:tc>
        <w:tc>
          <w:tcPr>
            <w:tcW w:w="1003" w:type="dxa"/>
            <w:shd w:val="clear" w:color="auto" w:fill="auto"/>
          </w:tcPr>
          <w:p w14:paraId="4D6BC521"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3A766D03"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6C40E6C0"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10E14BB7"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2E22579D"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14CA7F3A" w14:textId="77777777" w:rsidTr="008C63AD">
        <w:tc>
          <w:tcPr>
            <w:tcW w:w="1178" w:type="dxa"/>
            <w:shd w:val="clear" w:color="auto" w:fill="auto"/>
          </w:tcPr>
          <w:p w14:paraId="59C272F3"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February</w:t>
            </w:r>
          </w:p>
        </w:tc>
        <w:tc>
          <w:tcPr>
            <w:tcW w:w="1003" w:type="dxa"/>
            <w:shd w:val="clear" w:color="auto" w:fill="auto"/>
          </w:tcPr>
          <w:p w14:paraId="13C0CA98"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202" w:type="dxa"/>
            <w:shd w:val="clear" w:color="auto" w:fill="auto"/>
          </w:tcPr>
          <w:p w14:paraId="6628D56D"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50,000</w:t>
            </w:r>
          </w:p>
        </w:tc>
        <w:tc>
          <w:tcPr>
            <w:tcW w:w="1176" w:type="dxa"/>
            <w:shd w:val="clear" w:color="auto" w:fill="auto"/>
          </w:tcPr>
          <w:p w14:paraId="479096E1"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176" w:type="dxa"/>
            <w:shd w:val="clear" w:color="auto" w:fill="auto"/>
          </w:tcPr>
          <w:p w14:paraId="10F91F3E"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c>
          <w:tcPr>
            <w:tcW w:w="1227" w:type="dxa"/>
            <w:shd w:val="clear" w:color="auto" w:fill="auto"/>
          </w:tcPr>
          <w:p w14:paraId="40303769" w14:textId="77777777" w:rsidR="00DE5108" w:rsidRPr="00DE5108" w:rsidRDefault="00DE5108" w:rsidP="005F377B">
            <w:pPr>
              <w:tabs>
                <w:tab w:val="left" w:pos="709"/>
                <w:tab w:val="left" w:pos="1418"/>
              </w:tabs>
              <w:jc w:val="right"/>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100,000</w:t>
            </w:r>
          </w:p>
        </w:tc>
      </w:tr>
      <w:tr w:rsidR="00DE5108" w:rsidRPr="00DE5108" w14:paraId="6DC8BF4D" w14:textId="77777777" w:rsidTr="008C63AD">
        <w:tc>
          <w:tcPr>
            <w:tcW w:w="1178" w:type="dxa"/>
            <w:shd w:val="clear" w:color="auto" w:fill="auto"/>
          </w:tcPr>
          <w:p w14:paraId="377FA3DF" w14:textId="77777777" w:rsidR="00DE5108" w:rsidRPr="00DE5108" w:rsidRDefault="00DE5108" w:rsidP="005F377B">
            <w:pPr>
              <w:tabs>
                <w:tab w:val="left" w:pos="709"/>
                <w:tab w:val="left" w:pos="1418"/>
              </w:tabs>
              <w:ind w:firstLineChars="13" w:firstLine="31"/>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March</w:t>
            </w:r>
          </w:p>
        </w:tc>
        <w:tc>
          <w:tcPr>
            <w:tcW w:w="1003" w:type="dxa"/>
            <w:shd w:val="clear" w:color="auto" w:fill="auto"/>
          </w:tcPr>
          <w:p w14:paraId="36BE66A6" w14:textId="77777777" w:rsidR="00DE5108" w:rsidRPr="00DE5108" w:rsidRDefault="00DE5108" w:rsidP="005F377B">
            <w:pPr>
              <w:tabs>
                <w:tab w:val="left" w:pos="709"/>
                <w:tab w:val="left" w:pos="1418"/>
              </w:tabs>
              <w:jc w:val="right"/>
              <w:rPr>
                <w:rFonts w:ascii="Times New Roman" w:eastAsia="標楷體" w:hAnsi="Times New Roman" w:cs="Times New Roman"/>
                <w:szCs w:val="24"/>
                <w:u w:val="single"/>
                <w:lang w:val="en-GB" w:eastAsia="zh-HK"/>
              </w:rPr>
            </w:pPr>
            <w:r w:rsidRPr="00DE5108">
              <w:rPr>
                <w:rFonts w:ascii="Times New Roman" w:eastAsia="標楷體" w:hAnsi="Times New Roman" w:cs="Times New Roman"/>
                <w:szCs w:val="24"/>
                <w:u w:val="single"/>
                <w:lang w:val="en-GB" w:eastAsia="zh-HK"/>
              </w:rPr>
              <w:t xml:space="preserve"> 50,000</w:t>
            </w:r>
          </w:p>
        </w:tc>
        <w:tc>
          <w:tcPr>
            <w:tcW w:w="1202" w:type="dxa"/>
            <w:shd w:val="clear" w:color="auto" w:fill="auto"/>
          </w:tcPr>
          <w:p w14:paraId="4174B077" w14:textId="77777777" w:rsidR="00DE5108" w:rsidRPr="00DE5108" w:rsidRDefault="00DE5108" w:rsidP="005F377B">
            <w:pPr>
              <w:tabs>
                <w:tab w:val="left" w:pos="709"/>
                <w:tab w:val="left" w:pos="1418"/>
              </w:tabs>
              <w:jc w:val="right"/>
              <w:rPr>
                <w:rFonts w:ascii="Times New Roman" w:eastAsia="標楷體" w:hAnsi="Times New Roman" w:cs="Times New Roman"/>
                <w:szCs w:val="24"/>
                <w:u w:val="single"/>
                <w:lang w:val="en-GB" w:eastAsia="zh-HK"/>
              </w:rPr>
            </w:pPr>
            <w:r w:rsidRPr="00DE5108">
              <w:rPr>
                <w:rFonts w:ascii="Times New Roman" w:eastAsia="標楷體" w:hAnsi="Times New Roman" w:cs="Times New Roman"/>
                <w:spacing w:val="-20"/>
                <w:szCs w:val="24"/>
                <w:u w:val="single"/>
                <w:lang w:val="en-GB" w:eastAsia="zh-HK"/>
              </w:rPr>
              <w:t xml:space="preserve"> </w:t>
            </w:r>
            <w:r w:rsidRPr="00DE5108">
              <w:rPr>
                <w:rFonts w:ascii="Times New Roman" w:eastAsia="標楷體" w:hAnsi="Times New Roman" w:cs="Times New Roman"/>
                <w:szCs w:val="24"/>
                <w:u w:val="single"/>
                <w:lang w:val="en-GB" w:eastAsia="zh-HK"/>
              </w:rPr>
              <w:t xml:space="preserve">  50,000</w:t>
            </w:r>
          </w:p>
        </w:tc>
        <w:tc>
          <w:tcPr>
            <w:tcW w:w="1176" w:type="dxa"/>
            <w:shd w:val="clear" w:color="auto" w:fill="auto"/>
          </w:tcPr>
          <w:p w14:paraId="34A2ADFB" w14:textId="77777777" w:rsidR="00DE5108" w:rsidRPr="00DE5108" w:rsidRDefault="00DE5108" w:rsidP="005F377B">
            <w:pPr>
              <w:tabs>
                <w:tab w:val="left" w:pos="709"/>
                <w:tab w:val="left" w:pos="1418"/>
              </w:tabs>
              <w:jc w:val="right"/>
              <w:rPr>
                <w:rFonts w:ascii="Times New Roman" w:eastAsia="標楷體" w:hAnsi="Times New Roman" w:cs="Times New Roman"/>
                <w:szCs w:val="24"/>
                <w:u w:val="single"/>
                <w:lang w:val="en-GB" w:eastAsia="zh-HK"/>
              </w:rPr>
            </w:pPr>
            <w:r w:rsidRPr="00DE5108">
              <w:rPr>
                <w:rFonts w:ascii="Times New Roman" w:eastAsia="標楷體" w:hAnsi="Times New Roman" w:cs="Times New Roman"/>
                <w:spacing w:val="20"/>
                <w:szCs w:val="24"/>
                <w:u w:val="single"/>
                <w:lang w:val="en-GB" w:eastAsia="zh-HK"/>
              </w:rPr>
              <w:t xml:space="preserve"> </w:t>
            </w:r>
            <w:r w:rsidRPr="00DE5108">
              <w:rPr>
                <w:rFonts w:ascii="Times New Roman" w:eastAsia="標楷體" w:hAnsi="Times New Roman" w:cs="Times New Roman"/>
                <w:szCs w:val="24"/>
                <w:u w:val="single"/>
                <w:lang w:val="en-GB" w:eastAsia="zh-HK"/>
              </w:rPr>
              <w:t>100,000</w:t>
            </w:r>
          </w:p>
        </w:tc>
        <w:tc>
          <w:tcPr>
            <w:tcW w:w="1176" w:type="dxa"/>
            <w:shd w:val="clear" w:color="auto" w:fill="auto"/>
          </w:tcPr>
          <w:p w14:paraId="5FF94D79" w14:textId="77777777" w:rsidR="00DE5108" w:rsidRPr="00DE5108" w:rsidRDefault="00DE5108" w:rsidP="005F377B">
            <w:pPr>
              <w:tabs>
                <w:tab w:val="left" w:pos="709"/>
                <w:tab w:val="left" w:pos="1418"/>
              </w:tabs>
              <w:jc w:val="right"/>
              <w:rPr>
                <w:rFonts w:ascii="Times New Roman" w:eastAsia="標楷體" w:hAnsi="Times New Roman" w:cs="Times New Roman"/>
                <w:szCs w:val="24"/>
                <w:u w:val="single"/>
                <w:lang w:val="en-GB" w:eastAsia="zh-HK"/>
              </w:rPr>
            </w:pPr>
            <w:r w:rsidRPr="00DE5108">
              <w:rPr>
                <w:rFonts w:ascii="Times New Roman" w:eastAsia="標楷體" w:hAnsi="Times New Roman" w:cs="Times New Roman"/>
                <w:spacing w:val="20"/>
                <w:szCs w:val="24"/>
                <w:u w:val="single"/>
                <w:lang w:val="en-GB" w:eastAsia="zh-HK"/>
              </w:rPr>
              <w:t xml:space="preserve"> </w:t>
            </w:r>
            <w:r w:rsidRPr="00DE5108">
              <w:rPr>
                <w:rFonts w:ascii="Times New Roman" w:eastAsia="標楷體" w:hAnsi="Times New Roman" w:cs="Times New Roman"/>
                <w:szCs w:val="24"/>
                <w:u w:val="single"/>
                <w:lang w:val="en-GB" w:eastAsia="zh-HK"/>
              </w:rPr>
              <w:t>100,000</w:t>
            </w:r>
          </w:p>
        </w:tc>
        <w:tc>
          <w:tcPr>
            <w:tcW w:w="1227" w:type="dxa"/>
            <w:shd w:val="clear" w:color="auto" w:fill="auto"/>
          </w:tcPr>
          <w:p w14:paraId="7A1E0C3F" w14:textId="77777777" w:rsidR="00DE5108" w:rsidRPr="00DE5108" w:rsidRDefault="00DE5108" w:rsidP="005F377B">
            <w:pPr>
              <w:tabs>
                <w:tab w:val="left" w:pos="709"/>
                <w:tab w:val="left" w:pos="1418"/>
              </w:tabs>
              <w:jc w:val="right"/>
              <w:rPr>
                <w:rFonts w:ascii="Times New Roman" w:eastAsia="標楷體" w:hAnsi="Times New Roman" w:cs="Times New Roman"/>
                <w:szCs w:val="24"/>
                <w:u w:val="single"/>
                <w:lang w:val="en-GB" w:eastAsia="zh-HK"/>
              </w:rPr>
            </w:pPr>
            <w:r w:rsidRPr="00DE5108">
              <w:rPr>
                <w:rFonts w:ascii="Times New Roman" w:eastAsia="標楷體" w:hAnsi="Times New Roman" w:cs="Times New Roman"/>
                <w:spacing w:val="20"/>
                <w:szCs w:val="24"/>
                <w:u w:val="single"/>
                <w:lang w:val="en-GB" w:eastAsia="zh-HK"/>
              </w:rPr>
              <w:t xml:space="preserve"> </w:t>
            </w:r>
            <w:r w:rsidRPr="00DE5108">
              <w:rPr>
                <w:rFonts w:ascii="Times New Roman" w:eastAsia="標楷體" w:hAnsi="Times New Roman" w:cs="Times New Roman"/>
                <w:szCs w:val="24"/>
                <w:u w:val="single"/>
                <w:lang w:val="en-GB" w:eastAsia="zh-HK"/>
              </w:rPr>
              <w:t>100,000</w:t>
            </w:r>
          </w:p>
        </w:tc>
      </w:tr>
      <w:tr w:rsidR="00DE5108" w:rsidRPr="00DE5108" w14:paraId="640272E8" w14:textId="77777777" w:rsidTr="008C63AD">
        <w:tc>
          <w:tcPr>
            <w:tcW w:w="1178" w:type="dxa"/>
            <w:shd w:val="clear" w:color="auto" w:fill="auto"/>
          </w:tcPr>
          <w:p w14:paraId="495FD4E6" w14:textId="77777777" w:rsidR="00DE5108" w:rsidRPr="00DE5108" w:rsidRDefault="00DE5108" w:rsidP="005F377B">
            <w:pPr>
              <w:tabs>
                <w:tab w:val="left" w:pos="709"/>
                <w:tab w:val="left" w:pos="1418"/>
              </w:tabs>
              <w:jc w:val="both"/>
              <w:rPr>
                <w:rFonts w:ascii="Times New Roman" w:eastAsia="標楷體" w:hAnsi="Times New Roman" w:cs="Times New Roman"/>
                <w:szCs w:val="24"/>
                <w:lang w:val="en-GB" w:eastAsia="zh-HK"/>
              </w:rPr>
            </w:pPr>
          </w:p>
        </w:tc>
        <w:tc>
          <w:tcPr>
            <w:tcW w:w="1003" w:type="dxa"/>
            <w:shd w:val="clear" w:color="auto" w:fill="auto"/>
          </w:tcPr>
          <w:p w14:paraId="7C7752FE" w14:textId="77777777" w:rsidR="00DE5108" w:rsidRPr="00DE5108" w:rsidRDefault="00DE5108" w:rsidP="005F377B">
            <w:pPr>
              <w:tabs>
                <w:tab w:val="left" w:pos="709"/>
                <w:tab w:val="left" w:pos="1418"/>
              </w:tabs>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580,000</w:t>
            </w:r>
          </w:p>
        </w:tc>
        <w:tc>
          <w:tcPr>
            <w:tcW w:w="1202" w:type="dxa"/>
            <w:shd w:val="clear" w:color="auto" w:fill="auto"/>
          </w:tcPr>
          <w:p w14:paraId="08B7D981" w14:textId="77777777" w:rsidR="00DE5108" w:rsidRPr="00DE5108" w:rsidRDefault="00DE5108" w:rsidP="005F377B">
            <w:pPr>
              <w:tabs>
                <w:tab w:val="left" w:pos="709"/>
                <w:tab w:val="left" w:pos="1418"/>
              </w:tabs>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7,847,500</w:t>
            </w:r>
          </w:p>
        </w:tc>
        <w:tc>
          <w:tcPr>
            <w:tcW w:w="1176" w:type="dxa"/>
            <w:shd w:val="clear" w:color="auto" w:fill="auto"/>
          </w:tcPr>
          <w:p w14:paraId="101FEDD4" w14:textId="77777777" w:rsidR="00DE5108" w:rsidRPr="00DE5108" w:rsidRDefault="00DE5108" w:rsidP="005F377B">
            <w:pPr>
              <w:tabs>
                <w:tab w:val="left" w:pos="709"/>
                <w:tab w:val="left" w:pos="1418"/>
              </w:tabs>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1,200,000</w:t>
            </w:r>
          </w:p>
        </w:tc>
        <w:tc>
          <w:tcPr>
            <w:tcW w:w="1176" w:type="dxa"/>
            <w:shd w:val="clear" w:color="auto" w:fill="auto"/>
          </w:tcPr>
          <w:p w14:paraId="33F387D4" w14:textId="77777777" w:rsidR="00DE5108" w:rsidRPr="00DE5108" w:rsidRDefault="00DE5108" w:rsidP="005F377B">
            <w:pPr>
              <w:tabs>
                <w:tab w:val="left" w:pos="709"/>
                <w:tab w:val="left" w:pos="1418"/>
              </w:tabs>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3,200,000</w:t>
            </w:r>
          </w:p>
        </w:tc>
        <w:tc>
          <w:tcPr>
            <w:tcW w:w="1227" w:type="dxa"/>
            <w:shd w:val="clear" w:color="auto" w:fill="auto"/>
          </w:tcPr>
          <w:p w14:paraId="20AE9121" w14:textId="77777777" w:rsidR="00DE5108" w:rsidRPr="00DE5108" w:rsidRDefault="00DE5108" w:rsidP="005F377B">
            <w:pPr>
              <w:tabs>
                <w:tab w:val="left" w:pos="709"/>
                <w:tab w:val="left" w:pos="1418"/>
              </w:tabs>
              <w:jc w:val="right"/>
              <w:rPr>
                <w:rFonts w:ascii="Times New Roman" w:eastAsia="標楷體" w:hAnsi="Times New Roman" w:cs="Times New Roman"/>
                <w:szCs w:val="24"/>
                <w:u w:val="double"/>
                <w:lang w:val="en-GB" w:eastAsia="zh-HK"/>
              </w:rPr>
            </w:pPr>
            <w:r w:rsidRPr="00DE5108">
              <w:rPr>
                <w:rFonts w:ascii="Times New Roman" w:eastAsia="標楷體" w:hAnsi="Times New Roman" w:cs="Times New Roman"/>
                <w:szCs w:val="24"/>
                <w:u w:val="double"/>
                <w:lang w:val="en-GB" w:eastAsia="zh-HK"/>
              </w:rPr>
              <w:t>1,200,000</w:t>
            </w:r>
          </w:p>
        </w:tc>
      </w:tr>
    </w:tbl>
    <w:p w14:paraId="4CFF18E7" w14:textId="77777777" w:rsidR="00DE5108" w:rsidRPr="00DE5108" w:rsidRDefault="00DE5108" w:rsidP="005F377B">
      <w:pPr>
        <w:tabs>
          <w:tab w:val="left" w:pos="709"/>
          <w:tab w:val="left" w:pos="1418"/>
        </w:tabs>
        <w:ind w:left="1418"/>
        <w:jc w:val="both"/>
        <w:rPr>
          <w:rFonts w:ascii="Times New Roman" w:eastAsia="標楷體" w:hAnsi="Times New Roman" w:cs="Times New Roman"/>
          <w:szCs w:val="24"/>
          <w:lang w:val="en-GB" w:eastAsia="zh-HK"/>
        </w:rPr>
      </w:pPr>
    </w:p>
    <w:p w14:paraId="716B41F6" w14:textId="77777777" w:rsidR="00DE5108" w:rsidRPr="00DE5108" w:rsidRDefault="00DE5108" w:rsidP="00AC7B7E">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The Company contributed $1,000 per month to a Mandatory Provident Fund (</w:t>
      </w:r>
      <w:r w:rsidR="00D264CC">
        <w:rPr>
          <w:rFonts w:ascii="Times New Roman" w:eastAsia="標楷體" w:hAnsi="Times New Roman" w:cs="Times New Roman"/>
          <w:szCs w:val="24"/>
          <w:lang w:val="en-GB" w:eastAsia="zh-HK"/>
        </w:rPr>
        <w:t>‘</w:t>
      </w:r>
      <w:r w:rsidRPr="00DE5108">
        <w:rPr>
          <w:rFonts w:ascii="Times New Roman" w:eastAsia="標楷體" w:hAnsi="Times New Roman" w:cs="Times New Roman"/>
          <w:b/>
          <w:szCs w:val="24"/>
          <w:lang w:val="en-GB" w:eastAsia="zh-HK"/>
        </w:rPr>
        <w:t>MPF</w:t>
      </w:r>
      <w:r w:rsidR="00D264CC">
        <w:rPr>
          <w:rFonts w:ascii="Times New Roman" w:eastAsia="標楷體" w:hAnsi="Times New Roman" w:cs="Times New Roman"/>
          <w:szCs w:val="24"/>
          <w:lang w:val="en-GB" w:eastAsia="zh-HK"/>
        </w:rPr>
        <w:t>’</w:t>
      </w:r>
      <w:r w:rsidRPr="00DE5108">
        <w:rPr>
          <w:rFonts w:ascii="Times New Roman" w:eastAsia="標楷體" w:hAnsi="Times New Roman" w:cs="Times New Roman"/>
          <w:szCs w:val="24"/>
          <w:lang w:val="en-GB" w:eastAsia="zh-HK"/>
        </w:rPr>
        <w:t>) Scheme in respect of the Appellant during the years of assessment 2007/08 to 2011/12.</w:t>
      </w:r>
    </w:p>
    <w:p w14:paraId="3ACE77B9" w14:textId="77777777" w:rsidR="00DE5108" w:rsidRPr="00DE5108" w:rsidRDefault="00DE5108" w:rsidP="005F377B">
      <w:pPr>
        <w:tabs>
          <w:tab w:val="left" w:pos="709"/>
          <w:tab w:val="left" w:pos="1418"/>
        </w:tabs>
        <w:jc w:val="both"/>
        <w:rPr>
          <w:rFonts w:ascii="Times New Roman" w:eastAsia="標楷體" w:hAnsi="Times New Roman" w:cs="Times New Roman"/>
          <w:szCs w:val="24"/>
          <w:lang w:val="en-GB" w:eastAsia="zh-HK"/>
        </w:rPr>
      </w:pPr>
    </w:p>
    <w:p w14:paraId="1DD3C9B4" w14:textId="77777777" w:rsidR="00DE5108" w:rsidRDefault="00DE5108" w:rsidP="00AC7B7E">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 xml:space="preserve">The Company’s entertainment and marketing expenses charged for the year ended 31 December 2008 included an item described as </w:t>
      </w:r>
      <w:r w:rsidR="00D264CC">
        <w:rPr>
          <w:rFonts w:ascii="Times New Roman" w:eastAsia="標楷體" w:hAnsi="Times New Roman" w:cs="Times New Roman"/>
          <w:szCs w:val="24"/>
          <w:lang w:val="en-GB" w:eastAsia="zh-HK"/>
        </w:rPr>
        <w:t>‘</w:t>
      </w:r>
      <w:r w:rsidRPr="00DE5108">
        <w:rPr>
          <w:rFonts w:ascii="Times New Roman" w:eastAsia="標楷體" w:hAnsi="Times New Roman" w:cs="Times New Roman"/>
          <w:szCs w:val="24"/>
          <w:lang w:val="en-GB" w:eastAsia="zh-HK"/>
        </w:rPr>
        <w:t>staff quarters</w:t>
      </w:r>
      <w:r w:rsidR="00D264CC">
        <w:rPr>
          <w:rFonts w:ascii="Times New Roman" w:eastAsia="標楷體" w:hAnsi="Times New Roman" w:cs="Times New Roman"/>
          <w:szCs w:val="24"/>
          <w:lang w:val="en-GB" w:eastAsia="zh-HK"/>
        </w:rPr>
        <w:t>’</w:t>
      </w:r>
      <w:r w:rsidRPr="00DE5108">
        <w:rPr>
          <w:rFonts w:ascii="Times New Roman" w:eastAsia="標楷體" w:hAnsi="Times New Roman" w:cs="Times New Roman"/>
          <w:szCs w:val="24"/>
          <w:lang w:val="en-GB" w:eastAsia="zh-HK"/>
        </w:rPr>
        <w:t xml:space="preserve"> of $941,832.60 (</w:t>
      </w:r>
      <w:r w:rsidR="00D264CC">
        <w:rPr>
          <w:rFonts w:ascii="Times New Roman" w:eastAsia="標楷體" w:hAnsi="Times New Roman" w:cs="Times New Roman"/>
          <w:szCs w:val="24"/>
          <w:lang w:val="en-GB" w:eastAsia="zh-HK"/>
        </w:rPr>
        <w:t>‘</w:t>
      </w:r>
      <w:r w:rsidRPr="000F631E">
        <w:rPr>
          <w:rFonts w:ascii="Times New Roman" w:eastAsia="標楷體" w:hAnsi="Times New Roman" w:cs="Times New Roman"/>
          <w:szCs w:val="24"/>
          <w:lang w:val="en-GB" w:eastAsia="zh-HK"/>
        </w:rPr>
        <w:t>the Sum</w:t>
      </w:r>
      <w:r w:rsidR="00D264CC" w:rsidRPr="000F631E">
        <w:rPr>
          <w:rFonts w:ascii="Times New Roman" w:eastAsia="標楷體" w:hAnsi="Times New Roman" w:cs="Times New Roman"/>
          <w:szCs w:val="24"/>
          <w:lang w:val="en-GB" w:eastAsia="zh-HK"/>
        </w:rPr>
        <w:t>’</w:t>
      </w:r>
      <w:r w:rsidRPr="000F631E">
        <w:rPr>
          <w:rFonts w:ascii="Times New Roman" w:eastAsia="標楷體" w:hAnsi="Times New Roman" w:cs="Times New Roman"/>
          <w:szCs w:val="24"/>
          <w:lang w:val="en-GB" w:eastAsia="zh-HK"/>
        </w:rPr>
        <w:t xml:space="preserve">) which represented the expenses incurred for the acquisition of the Property and its decoration expenses.  Details of the Sum are set out in Appendix A </w:t>
      </w:r>
      <w:r w:rsidRPr="000F631E">
        <w:rPr>
          <w:rFonts w:ascii="Times New Roman" w:eastAsia="標楷體" w:hAnsi="Times New Roman" w:cs="Times New Roman"/>
          <w:bCs/>
          <w:szCs w:val="24"/>
          <w:lang w:val="en-GB" w:eastAsia="zh-HK"/>
        </w:rPr>
        <w:t>of</w:t>
      </w:r>
      <w:r w:rsidRPr="00DE5108">
        <w:rPr>
          <w:rFonts w:ascii="Times New Roman" w:eastAsia="標楷體" w:hAnsi="Times New Roman" w:cs="Times New Roman"/>
          <w:bCs/>
          <w:szCs w:val="24"/>
          <w:lang w:val="en-GB" w:eastAsia="zh-HK"/>
        </w:rPr>
        <w:t xml:space="preserve"> the determination referred to in paragraph 13 hereof</w:t>
      </w:r>
      <w:r w:rsidRPr="00DE5108">
        <w:rPr>
          <w:rFonts w:ascii="Times New Roman" w:eastAsia="標楷體" w:hAnsi="Times New Roman" w:cs="Times New Roman"/>
          <w:szCs w:val="24"/>
          <w:lang w:val="en-GB" w:eastAsia="zh-HK"/>
        </w:rPr>
        <w:t>.</w:t>
      </w:r>
    </w:p>
    <w:p w14:paraId="60EDBB88" w14:textId="77777777" w:rsidR="003D750F" w:rsidRPr="00DE5108" w:rsidRDefault="003D750F" w:rsidP="003D750F">
      <w:pPr>
        <w:widowControl/>
        <w:tabs>
          <w:tab w:val="left" w:pos="709"/>
          <w:tab w:val="left" w:pos="1418"/>
        </w:tabs>
        <w:adjustRightInd w:val="0"/>
        <w:snapToGrid w:val="0"/>
        <w:jc w:val="both"/>
        <w:rPr>
          <w:rFonts w:ascii="Times New Roman" w:eastAsia="標楷體" w:hAnsi="Times New Roman" w:cs="Times New Roman"/>
          <w:szCs w:val="24"/>
          <w:lang w:val="en-GB" w:eastAsia="zh-HK"/>
        </w:rPr>
      </w:pPr>
    </w:p>
    <w:p w14:paraId="1B4032A4" w14:textId="77777777" w:rsidR="00DE5108" w:rsidRDefault="00DE5108" w:rsidP="00AC7B7E">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 xml:space="preserve">In the Company’s trial balance for the year ended 31 December 2011, a sum of $1,120,000 was charged as salaries with the corresponding credit entry made to the ledger account of </w:t>
      </w:r>
      <w:r w:rsidR="00D264CC">
        <w:rPr>
          <w:rFonts w:ascii="Times New Roman" w:eastAsia="標楷體" w:hAnsi="Times New Roman" w:cs="Times New Roman"/>
          <w:szCs w:val="24"/>
          <w:lang w:val="en-GB" w:eastAsia="zh-HK"/>
        </w:rPr>
        <w:t>‘</w:t>
      </w:r>
      <w:r w:rsidRPr="00DE5108">
        <w:rPr>
          <w:rFonts w:ascii="Times New Roman" w:eastAsia="標楷體" w:hAnsi="Times New Roman" w:cs="Times New Roman"/>
          <w:szCs w:val="24"/>
          <w:lang w:val="en-GB" w:eastAsia="zh-HK"/>
        </w:rPr>
        <w:t>Amount due to director</w:t>
      </w:r>
      <w:r w:rsidR="00D264CC">
        <w:rPr>
          <w:rFonts w:ascii="Times New Roman" w:eastAsia="標楷體" w:hAnsi="Times New Roman" w:cs="Times New Roman"/>
          <w:szCs w:val="24"/>
          <w:lang w:val="en-GB" w:eastAsia="zh-HK"/>
        </w:rPr>
        <w:t>’</w:t>
      </w:r>
      <w:r w:rsidRPr="00DE5108">
        <w:rPr>
          <w:rFonts w:ascii="Times New Roman" w:eastAsia="標楷體" w:hAnsi="Times New Roman" w:cs="Times New Roman"/>
          <w:szCs w:val="24"/>
          <w:lang w:val="en-GB" w:eastAsia="zh-HK"/>
        </w:rPr>
        <w:t>.</w:t>
      </w:r>
    </w:p>
    <w:p w14:paraId="08E37614" w14:textId="77777777" w:rsidR="003D750F" w:rsidRPr="00DE5108" w:rsidRDefault="003D750F" w:rsidP="003D750F">
      <w:pPr>
        <w:widowControl/>
        <w:tabs>
          <w:tab w:val="left" w:pos="709"/>
          <w:tab w:val="left" w:pos="1418"/>
        </w:tabs>
        <w:adjustRightInd w:val="0"/>
        <w:snapToGrid w:val="0"/>
        <w:jc w:val="both"/>
        <w:rPr>
          <w:rFonts w:ascii="Times New Roman" w:eastAsia="標楷體" w:hAnsi="Times New Roman" w:cs="Times New Roman"/>
          <w:szCs w:val="24"/>
          <w:lang w:val="en-GB" w:eastAsia="zh-HK"/>
        </w:rPr>
      </w:pPr>
    </w:p>
    <w:p w14:paraId="19358F18"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In response to the Assessor’s enquiries, the Company, either by itself or through the Former Representative, provided the following information:</w:t>
      </w:r>
    </w:p>
    <w:p w14:paraId="36BF5D8B" w14:textId="77777777" w:rsidR="0045378D" w:rsidRPr="00DE5108" w:rsidRDefault="0045378D" w:rsidP="0045378D">
      <w:pPr>
        <w:widowControl/>
        <w:adjustRightInd w:val="0"/>
        <w:snapToGrid w:val="0"/>
        <w:ind w:left="360"/>
        <w:jc w:val="both"/>
        <w:rPr>
          <w:rFonts w:ascii="Times New Roman" w:eastAsia="標楷體" w:hAnsi="Times New Roman" w:cs="Times New Roman"/>
          <w:kern w:val="0"/>
          <w:szCs w:val="24"/>
          <w:lang w:eastAsia="zh-HK"/>
        </w:rPr>
      </w:pPr>
    </w:p>
    <w:p w14:paraId="66745E75" w14:textId="77777777" w:rsidR="00DE5108" w:rsidRDefault="00DE5108" w:rsidP="001124BB">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There was no computation basis for the Appellant’s salary.  The Appellant would transfer to his personal account the fund needed to meet his family’s cash flow.  At the year end, he would make a rough assessment and adjusted the total salary accordingly.</w:t>
      </w:r>
    </w:p>
    <w:p w14:paraId="19589ADA" w14:textId="77777777" w:rsidR="0045378D" w:rsidRPr="00DE5108" w:rsidRDefault="0045378D" w:rsidP="0045378D">
      <w:pPr>
        <w:widowControl/>
        <w:adjustRightInd w:val="0"/>
        <w:snapToGrid w:val="0"/>
        <w:ind w:left="360"/>
        <w:jc w:val="both"/>
        <w:rPr>
          <w:rFonts w:ascii="Times New Roman" w:eastAsia="標楷體" w:hAnsi="Times New Roman" w:cs="Times New Roman"/>
          <w:kern w:val="0"/>
          <w:szCs w:val="24"/>
          <w:lang w:eastAsia="zh-HK"/>
        </w:rPr>
      </w:pPr>
    </w:p>
    <w:p w14:paraId="773969B2" w14:textId="77777777" w:rsidR="00DE5108" w:rsidRDefault="00DE5108" w:rsidP="001124BB">
      <w:pPr>
        <w:widowControl/>
        <w:numPr>
          <w:ilvl w:val="0"/>
          <w:numId w:val="30"/>
        </w:numPr>
        <w:tabs>
          <w:tab w:val="left" w:pos="709"/>
          <w:tab w:val="left" w:pos="1418"/>
        </w:tabs>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Sum was related to renovation and soft furnishing of the director’s quarters, which is a staff benefit.</w:t>
      </w:r>
    </w:p>
    <w:p w14:paraId="7098BCF5" w14:textId="77777777" w:rsidR="0045378D" w:rsidRPr="00DE5108" w:rsidRDefault="0045378D" w:rsidP="0045378D">
      <w:pPr>
        <w:widowControl/>
        <w:adjustRightInd w:val="0"/>
        <w:snapToGrid w:val="0"/>
        <w:jc w:val="both"/>
        <w:rPr>
          <w:rFonts w:ascii="Times New Roman" w:eastAsia="標楷體" w:hAnsi="Times New Roman" w:cs="Times New Roman"/>
          <w:kern w:val="0"/>
          <w:szCs w:val="24"/>
          <w:lang w:eastAsia="zh-HK"/>
        </w:rPr>
      </w:pPr>
    </w:p>
    <w:p w14:paraId="2E960767"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Assessor was not satisfied that the tax charged on the Appellant under the Subject Assessments were excessive by reason of an error or omission, as prescribed by section 70A of the IRO.  By a letter dated 27 June 2019, the Assessor refused the Appellant’s application for correction of the Subject Assessments.</w:t>
      </w:r>
    </w:p>
    <w:p w14:paraId="4CA6D2C2" w14:textId="77777777" w:rsidR="0045378D" w:rsidRPr="00DE5108" w:rsidRDefault="0045378D" w:rsidP="0045378D">
      <w:pPr>
        <w:widowControl/>
        <w:adjustRightInd w:val="0"/>
        <w:snapToGrid w:val="0"/>
        <w:ind w:left="360"/>
        <w:jc w:val="both"/>
        <w:rPr>
          <w:rFonts w:ascii="Times New Roman" w:eastAsia="標楷體" w:hAnsi="Times New Roman" w:cs="Times New Roman"/>
          <w:kern w:val="0"/>
          <w:szCs w:val="24"/>
          <w:lang w:eastAsia="zh-HK"/>
        </w:rPr>
      </w:pPr>
    </w:p>
    <w:p w14:paraId="36F03C3C"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through Asia For</w:t>
      </w:r>
      <w:r w:rsidRPr="00E93B31">
        <w:rPr>
          <w:rFonts w:ascii="Times New Roman" w:eastAsia="標楷體" w:hAnsi="Times New Roman" w:cs="Times New Roman"/>
          <w:kern w:val="0"/>
          <w:szCs w:val="24"/>
          <w:lang w:eastAsia="zh-HK"/>
        </w:rPr>
        <w:t>tune Consultants Limited (</w:t>
      </w:r>
      <w:r w:rsidR="00D264CC" w:rsidRPr="00E93B31">
        <w:rPr>
          <w:rFonts w:ascii="Times New Roman" w:eastAsia="標楷體" w:hAnsi="Times New Roman" w:cs="Times New Roman"/>
          <w:kern w:val="0"/>
          <w:szCs w:val="24"/>
          <w:lang w:eastAsia="zh-HK"/>
        </w:rPr>
        <w:t>‘</w:t>
      </w:r>
      <w:r w:rsidRPr="00E93B31">
        <w:rPr>
          <w:rFonts w:ascii="Times New Roman" w:eastAsia="標楷體" w:hAnsi="Times New Roman" w:cs="Times New Roman"/>
          <w:kern w:val="0"/>
          <w:szCs w:val="24"/>
          <w:lang w:eastAsia="zh-HK"/>
        </w:rPr>
        <w:t>the Representative</w:t>
      </w:r>
      <w:r w:rsidR="00D264CC" w:rsidRPr="00E93B31">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on 25 July 2019 objected to the Assessor’s refusal under paragraph 10 hereof above claiming that the tax charged was excessive, and that:</w:t>
      </w:r>
    </w:p>
    <w:p w14:paraId="3943A8E2" w14:textId="77777777" w:rsidR="0045378D" w:rsidRPr="00DE5108" w:rsidRDefault="0045378D" w:rsidP="0045378D">
      <w:pPr>
        <w:widowControl/>
        <w:adjustRightInd w:val="0"/>
        <w:snapToGrid w:val="0"/>
        <w:jc w:val="both"/>
        <w:rPr>
          <w:rFonts w:ascii="Times New Roman" w:eastAsia="標楷體" w:hAnsi="Times New Roman" w:cs="Times New Roman"/>
          <w:kern w:val="0"/>
          <w:szCs w:val="24"/>
          <w:lang w:eastAsia="zh-HK"/>
        </w:rPr>
      </w:pPr>
    </w:p>
    <w:p w14:paraId="73B2ACD5" w14:textId="77777777" w:rsidR="00DE5108" w:rsidRPr="00DE5108" w:rsidRDefault="00DE5108" w:rsidP="003D7677">
      <w:pPr>
        <w:widowControl/>
        <w:numPr>
          <w:ilvl w:val="0"/>
          <w:numId w:val="33"/>
        </w:numPr>
        <w:tabs>
          <w:tab w:val="left" w:pos="709"/>
        </w:tabs>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eastAsia="zh-HK"/>
        </w:rPr>
        <w:t>He was advised by the Immigration Department that he should pay some tax in order to renew his visa to stay in Hong Kong.</w:t>
      </w:r>
    </w:p>
    <w:p w14:paraId="289D5334" w14:textId="77777777" w:rsidR="00DE5108" w:rsidRPr="00DE5108" w:rsidRDefault="00DE5108" w:rsidP="005F377B">
      <w:pPr>
        <w:tabs>
          <w:tab w:val="left" w:pos="709"/>
        </w:tabs>
        <w:jc w:val="both"/>
        <w:rPr>
          <w:rFonts w:ascii="Times New Roman" w:eastAsia="標楷體" w:hAnsi="Times New Roman" w:cs="Times New Roman"/>
          <w:szCs w:val="24"/>
          <w:lang w:val="en-GB" w:eastAsia="zh-HK"/>
        </w:rPr>
      </w:pPr>
    </w:p>
    <w:p w14:paraId="368DB40E" w14:textId="77777777" w:rsidR="00DE5108" w:rsidRPr="00DE5108" w:rsidRDefault="00DE5108" w:rsidP="001B714D">
      <w:pPr>
        <w:widowControl/>
        <w:numPr>
          <w:ilvl w:val="0"/>
          <w:numId w:val="33"/>
        </w:numPr>
        <w:tabs>
          <w:tab w:val="left" w:pos="709"/>
        </w:tabs>
        <w:adjustRightInd w:val="0"/>
        <w:snapToGrid w:val="0"/>
        <w:ind w:leftChars="638" w:left="2107" w:hangingChars="240" w:hanging="576"/>
        <w:jc w:val="both"/>
        <w:rPr>
          <w:rFonts w:ascii="Times New Roman" w:eastAsia="標楷體" w:hAnsi="Times New Roman" w:cs="Times New Roman"/>
          <w:szCs w:val="24"/>
          <w:lang w:val="en-GB" w:eastAsia="zh-HK"/>
        </w:rPr>
      </w:pPr>
      <w:r w:rsidRPr="00DE5108">
        <w:rPr>
          <w:rFonts w:ascii="Times New Roman" w:eastAsia="標楷體" w:hAnsi="Times New Roman" w:cs="Times New Roman"/>
          <w:szCs w:val="24"/>
          <w:lang w:val="en-GB" w:eastAsia="zh-HK"/>
        </w:rPr>
        <w:t>He was a foreigner with little Hong Kong tax knowledge.  He relied on the previous tax representative and reported the money he drew as salaries, which was in fact an appropriation of the Company’s profits.</w:t>
      </w:r>
    </w:p>
    <w:p w14:paraId="75413F78" w14:textId="77777777" w:rsidR="00DE5108" w:rsidRPr="00DE5108" w:rsidRDefault="00DE5108" w:rsidP="005F377B">
      <w:pPr>
        <w:tabs>
          <w:tab w:val="left" w:pos="709"/>
        </w:tabs>
        <w:jc w:val="both"/>
        <w:rPr>
          <w:rFonts w:ascii="Times New Roman" w:eastAsia="標楷體" w:hAnsi="Times New Roman" w:cs="Times New Roman"/>
          <w:szCs w:val="24"/>
          <w:lang w:val="en-GB" w:eastAsia="zh-HK"/>
        </w:rPr>
      </w:pPr>
    </w:p>
    <w:p w14:paraId="632CDC3F" w14:textId="77777777" w:rsidR="00DE5108" w:rsidRPr="0045378D" w:rsidRDefault="00DE5108" w:rsidP="001B714D">
      <w:pPr>
        <w:widowControl/>
        <w:numPr>
          <w:ilvl w:val="0"/>
          <w:numId w:val="33"/>
        </w:numPr>
        <w:tabs>
          <w:tab w:val="left" w:pos="709"/>
        </w:tabs>
        <w:adjustRightInd w:val="0"/>
        <w:snapToGrid w:val="0"/>
        <w:ind w:leftChars="638" w:left="2107" w:hangingChars="240" w:hanging="576"/>
        <w:jc w:val="both"/>
        <w:rPr>
          <w:rFonts w:ascii="Times New Roman" w:eastAsia="標楷體" w:hAnsi="Times New Roman" w:cs="Times New Roman"/>
          <w:szCs w:val="24"/>
          <w:lang w:val="en-GB" w:eastAsia="zh-HK"/>
        </w:rPr>
      </w:pPr>
      <w:r w:rsidRPr="0045378D">
        <w:rPr>
          <w:rFonts w:ascii="Times New Roman" w:eastAsia="標楷體" w:hAnsi="Times New Roman" w:cs="Times New Roman"/>
          <w:szCs w:val="24"/>
          <w:lang w:val="en-GB" w:eastAsia="zh-HK"/>
        </w:rPr>
        <w:t>He drew cash from the Company’s bank account, and the withdrawals were often used to pay various expenses incurred by the Company.</w:t>
      </w:r>
    </w:p>
    <w:p w14:paraId="4B0A4E41" w14:textId="77777777" w:rsidR="0045378D" w:rsidRPr="0045378D" w:rsidRDefault="0045378D" w:rsidP="0045378D">
      <w:pPr>
        <w:pStyle w:val="ac"/>
        <w:tabs>
          <w:tab w:val="left" w:pos="709"/>
        </w:tabs>
        <w:adjustRightInd w:val="0"/>
        <w:snapToGrid w:val="0"/>
        <w:ind w:leftChars="0" w:left="1410"/>
        <w:jc w:val="both"/>
        <w:rPr>
          <w:rFonts w:ascii="Times New Roman" w:eastAsia="標楷體" w:hAnsi="Times New Roman" w:cs="Times New Roman"/>
          <w:szCs w:val="24"/>
          <w:lang w:val="en-GB" w:eastAsia="zh-HK"/>
        </w:rPr>
      </w:pPr>
    </w:p>
    <w:p w14:paraId="6568E6A2" w14:textId="77777777" w:rsidR="00DE5108" w:rsidRPr="0045378D" w:rsidRDefault="00DE5108" w:rsidP="001B714D">
      <w:pPr>
        <w:widowControl/>
        <w:numPr>
          <w:ilvl w:val="0"/>
          <w:numId w:val="33"/>
        </w:numPr>
        <w:tabs>
          <w:tab w:val="left" w:pos="709"/>
        </w:tabs>
        <w:adjustRightInd w:val="0"/>
        <w:snapToGrid w:val="0"/>
        <w:ind w:leftChars="638" w:left="2107" w:hangingChars="240" w:hanging="576"/>
        <w:jc w:val="both"/>
        <w:rPr>
          <w:rFonts w:ascii="Times New Roman" w:eastAsia="標楷體" w:hAnsi="Times New Roman" w:cs="Times New Roman"/>
          <w:kern w:val="0"/>
          <w:szCs w:val="24"/>
          <w:lang w:eastAsia="zh-HK"/>
        </w:rPr>
      </w:pPr>
      <w:r w:rsidRPr="0045378D">
        <w:rPr>
          <w:rFonts w:ascii="Times New Roman" w:eastAsia="標楷體" w:hAnsi="Times New Roman" w:cs="Times New Roman"/>
          <w:kern w:val="0"/>
          <w:szCs w:val="24"/>
          <w:lang w:eastAsia="zh-HK"/>
        </w:rPr>
        <w:t xml:space="preserve">The reported income of </w:t>
      </w:r>
      <w:r w:rsidR="00440E35">
        <w:rPr>
          <w:rFonts w:ascii="Times New Roman" w:eastAsia="標楷體" w:hAnsi="Times New Roman" w:cs="Times New Roman"/>
          <w:kern w:val="0"/>
          <w:szCs w:val="24"/>
          <w:lang w:eastAsia="zh-HK"/>
        </w:rPr>
        <w:t xml:space="preserve">Mr B </w:t>
      </w:r>
      <w:r w:rsidRPr="0045378D">
        <w:rPr>
          <w:rFonts w:ascii="Times New Roman" w:eastAsia="標楷體" w:hAnsi="Times New Roman" w:cs="Times New Roman"/>
          <w:kern w:val="0"/>
          <w:szCs w:val="24"/>
          <w:lang w:eastAsia="zh-HK"/>
        </w:rPr>
        <w:t>differed from the amount of cash he actually received as shown below.  The reported income were thus fictitious figures, and should not be taxed.</w:t>
      </w:r>
    </w:p>
    <w:p w14:paraId="0464B896" w14:textId="77777777" w:rsidR="0045378D" w:rsidRPr="0045378D" w:rsidRDefault="0045378D" w:rsidP="0045378D">
      <w:pPr>
        <w:widowControl/>
        <w:tabs>
          <w:tab w:val="left" w:pos="709"/>
        </w:tabs>
        <w:adjustRightInd w:val="0"/>
        <w:snapToGrid w:val="0"/>
        <w:jc w:val="both"/>
        <w:rPr>
          <w:rFonts w:ascii="Times New Roman" w:eastAsia="標楷體" w:hAnsi="Times New Roman" w:cs="Times New Roman"/>
          <w:kern w:val="0"/>
          <w:szCs w:val="24"/>
          <w:lang w:eastAsia="zh-HK"/>
        </w:rPr>
      </w:pPr>
    </w:p>
    <w:tbl>
      <w:tblPr>
        <w:tblW w:w="9518" w:type="dxa"/>
        <w:tblInd w:w="-162" w:type="dxa"/>
        <w:tblLook w:val="04A0" w:firstRow="1" w:lastRow="0" w:firstColumn="1" w:lastColumn="0" w:noHBand="0" w:noVBand="1"/>
      </w:tblPr>
      <w:tblGrid>
        <w:gridCol w:w="1258"/>
        <w:gridCol w:w="1265"/>
        <w:gridCol w:w="2338"/>
        <w:gridCol w:w="1301"/>
        <w:gridCol w:w="1214"/>
        <w:gridCol w:w="2142"/>
      </w:tblGrid>
      <w:tr w:rsidR="00DE5108" w:rsidRPr="00DE5108" w14:paraId="60E42A84" w14:textId="77777777" w:rsidTr="00EC4E78">
        <w:tc>
          <w:tcPr>
            <w:tcW w:w="1258" w:type="dxa"/>
            <w:shd w:val="clear" w:color="auto" w:fill="auto"/>
          </w:tcPr>
          <w:p w14:paraId="2709FCE7" w14:textId="77777777" w:rsidR="00DE5108" w:rsidRPr="004530E0" w:rsidRDefault="00DE5108" w:rsidP="00722E18">
            <w:pPr>
              <w:widowControl/>
              <w:tabs>
                <w:tab w:val="left" w:pos="709"/>
              </w:tabs>
              <w:adjustRightInd w:val="0"/>
              <w:ind w:leftChars="-44" w:rightChars="-47" w:right="-113" w:hangingChars="48" w:hanging="106"/>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Year ended</w:t>
            </w:r>
          </w:p>
        </w:tc>
        <w:tc>
          <w:tcPr>
            <w:tcW w:w="3603" w:type="dxa"/>
            <w:gridSpan w:val="2"/>
            <w:tcBorders>
              <w:right w:val="double" w:sz="4" w:space="0" w:color="auto"/>
            </w:tcBorders>
            <w:shd w:val="clear" w:color="auto" w:fill="auto"/>
          </w:tcPr>
          <w:p w14:paraId="4537FC6A" w14:textId="77777777" w:rsidR="00DE5108" w:rsidRPr="004530E0" w:rsidRDefault="00DE5108" w:rsidP="00243627">
            <w:pPr>
              <w:widowControl/>
              <w:adjustRightInd w:val="0"/>
              <w:ind w:leftChars="-323" w:left="-775"/>
              <w:jc w:val="center"/>
              <w:rPr>
                <w:rFonts w:ascii="Times New Roman" w:eastAsia="標楷體" w:hAnsi="Times New Roman" w:cs="Times New Roman"/>
                <w:kern w:val="0"/>
                <w:sz w:val="22"/>
                <w:szCs w:val="24"/>
                <w:u w:val="single"/>
                <w:lang w:eastAsia="zh-HK"/>
              </w:rPr>
            </w:pPr>
            <w:r w:rsidRPr="004530E0">
              <w:rPr>
                <w:rFonts w:ascii="Times New Roman" w:eastAsia="標楷體" w:hAnsi="Times New Roman" w:cs="Times New Roman"/>
                <w:kern w:val="0"/>
                <w:sz w:val="22"/>
                <w:szCs w:val="24"/>
                <w:u w:val="single"/>
                <w:lang w:eastAsia="zh-HK"/>
              </w:rPr>
              <w:t>31 December</w:t>
            </w:r>
          </w:p>
        </w:tc>
        <w:tc>
          <w:tcPr>
            <w:tcW w:w="1301" w:type="dxa"/>
            <w:tcBorders>
              <w:left w:val="double" w:sz="4" w:space="0" w:color="auto"/>
            </w:tcBorders>
          </w:tcPr>
          <w:p w14:paraId="0FDB47D3" w14:textId="77777777" w:rsidR="00DE5108" w:rsidRPr="004530E0" w:rsidRDefault="00DE5108" w:rsidP="00722E18">
            <w:pPr>
              <w:widowControl/>
              <w:tabs>
                <w:tab w:val="left" w:pos="709"/>
              </w:tabs>
              <w:adjustRightInd w:val="0"/>
              <w:ind w:rightChars="-46" w:right="-110"/>
              <w:jc w:val="center"/>
              <w:rPr>
                <w:rFonts w:ascii="Times New Roman" w:eastAsia="標楷體" w:hAnsi="Times New Roman" w:cs="Times New Roman"/>
                <w:kern w:val="0"/>
                <w:sz w:val="22"/>
                <w:szCs w:val="24"/>
                <w:u w:val="single"/>
                <w:lang w:eastAsia="zh-HK"/>
              </w:rPr>
            </w:pPr>
            <w:r w:rsidRPr="004530E0">
              <w:rPr>
                <w:rFonts w:ascii="Times New Roman" w:eastAsia="標楷體" w:hAnsi="Times New Roman" w:cs="Times New Roman"/>
                <w:kern w:val="0"/>
                <w:sz w:val="22"/>
                <w:szCs w:val="24"/>
                <w:lang w:eastAsia="zh-HK"/>
              </w:rPr>
              <w:t>Year ended</w:t>
            </w:r>
          </w:p>
        </w:tc>
        <w:tc>
          <w:tcPr>
            <w:tcW w:w="3356" w:type="dxa"/>
            <w:gridSpan w:val="2"/>
            <w:shd w:val="clear" w:color="auto" w:fill="auto"/>
          </w:tcPr>
          <w:p w14:paraId="6A5F30E8" w14:textId="77777777" w:rsidR="00DE5108" w:rsidRPr="004530E0" w:rsidRDefault="00DE5108" w:rsidP="00243627">
            <w:pPr>
              <w:widowControl/>
              <w:adjustRightInd w:val="0"/>
              <w:ind w:leftChars="-420" w:left="-1008"/>
              <w:jc w:val="center"/>
              <w:rPr>
                <w:rFonts w:ascii="Times New Roman" w:eastAsia="標楷體" w:hAnsi="Times New Roman" w:cs="Times New Roman"/>
                <w:kern w:val="0"/>
                <w:sz w:val="22"/>
                <w:szCs w:val="24"/>
                <w:u w:val="single"/>
                <w:lang w:eastAsia="zh-HK"/>
              </w:rPr>
            </w:pPr>
            <w:r w:rsidRPr="004530E0">
              <w:rPr>
                <w:rFonts w:ascii="Times New Roman" w:eastAsia="標楷體" w:hAnsi="Times New Roman" w:cs="Times New Roman"/>
                <w:kern w:val="0"/>
                <w:sz w:val="22"/>
                <w:szCs w:val="24"/>
                <w:u w:val="single"/>
                <w:lang w:eastAsia="zh-HK"/>
              </w:rPr>
              <w:t>31 March</w:t>
            </w:r>
          </w:p>
        </w:tc>
      </w:tr>
      <w:tr w:rsidR="00DE5108" w:rsidRPr="00DE5108" w14:paraId="53B5E8CE" w14:textId="77777777" w:rsidTr="00EC4E78">
        <w:tc>
          <w:tcPr>
            <w:tcW w:w="1258" w:type="dxa"/>
            <w:shd w:val="clear" w:color="auto" w:fill="auto"/>
          </w:tcPr>
          <w:p w14:paraId="2C3FFBEC"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p>
        </w:tc>
        <w:tc>
          <w:tcPr>
            <w:tcW w:w="1265" w:type="dxa"/>
            <w:shd w:val="clear" w:color="auto" w:fill="auto"/>
          </w:tcPr>
          <w:p w14:paraId="2DB04AC7"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Actual cash received</w:t>
            </w:r>
          </w:p>
        </w:tc>
        <w:tc>
          <w:tcPr>
            <w:tcW w:w="2338" w:type="dxa"/>
            <w:tcBorders>
              <w:right w:val="double" w:sz="4" w:space="0" w:color="auto"/>
            </w:tcBorders>
            <w:shd w:val="clear" w:color="auto" w:fill="auto"/>
          </w:tcPr>
          <w:p w14:paraId="5F31770D"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Director’s remuneration, per paragraph 8(a) hereof</w:t>
            </w:r>
          </w:p>
        </w:tc>
        <w:tc>
          <w:tcPr>
            <w:tcW w:w="1301" w:type="dxa"/>
            <w:tcBorders>
              <w:left w:val="double" w:sz="4" w:space="0" w:color="auto"/>
            </w:tcBorders>
          </w:tcPr>
          <w:p w14:paraId="07B127DC"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p>
        </w:tc>
        <w:tc>
          <w:tcPr>
            <w:tcW w:w="1214" w:type="dxa"/>
            <w:shd w:val="clear" w:color="auto" w:fill="auto"/>
          </w:tcPr>
          <w:p w14:paraId="3252D93F"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Actual cash received</w:t>
            </w:r>
          </w:p>
        </w:tc>
        <w:tc>
          <w:tcPr>
            <w:tcW w:w="2142" w:type="dxa"/>
            <w:shd w:val="clear" w:color="auto" w:fill="auto"/>
          </w:tcPr>
          <w:p w14:paraId="2F6513D0"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Director’s remuneration per paragraph 1 hereof</w:t>
            </w:r>
          </w:p>
        </w:tc>
      </w:tr>
      <w:tr w:rsidR="00DE5108" w:rsidRPr="00DE5108" w14:paraId="7B5FEE8B" w14:textId="77777777" w:rsidTr="00EC4E78">
        <w:tc>
          <w:tcPr>
            <w:tcW w:w="1258" w:type="dxa"/>
            <w:shd w:val="clear" w:color="auto" w:fill="auto"/>
          </w:tcPr>
          <w:p w14:paraId="04B1034D"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p>
        </w:tc>
        <w:tc>
          <w:tcPr>
            <w:tcW w:w="1265" w:type="dxa"/>
            <w:shd w:val="clear" w:color="auto" w:fill="auto"/>
          </w:tcPr>
          <w:p w14:paraId="15D859FF" w14:textId="77777777" w:rsidR="00DE5108" w:rsidRPr="004530E0" w:rsidRDefault="00DE5108" w:rsidP="00722E18">
            <w:pPr>
              <w:widowControl/>
              <w:adjustRightInd w:val="0"/>
              <w:ind w:rightChars="-23" w:right="-55"/>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w:t>
            </w:r>
          </w:p>
        </w:tc>
        <w:tc>
          <w:tcPr>
            <w:tcW w:w="2338" w:type="dxa"/>
            <w:tcBorders>
              <w:right w:val="double" w:sz="4" w:space="0" w:color="auto"/>
            </w:tcBorders>
            <w:shd w:val="clear" w:color="auto" w:fill="auto"/>
          </w:tcPr>
          <w:p w14:paraId="280147E1"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w:t>
            </w:r>
          </w:p>
        </w:tc>
        <w:tc>
          <w:tcPr>
            <w:tcW w:w="1301" w:type="dxa"/>
            <w:tcBorders>
              <w:left w:val="double" w:sz="4" w:space="0" w:color="auto"/>
            </w:tcBorders>
          </w:tcPr>
          <w:p w14:paraId="542F5E13"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p>
        </w:tc>
        <w:tc>
          <w:tcPr>
            <w:tcW w:w="1214" w:type="dxa"/>
            <w:shd w:val="clear" w:color="auto" w:fill="auto"/>
          </w:tcPr>
          <w:p w14:paraId="3838E8DA"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w:t>
            </w:r>
          </w:p>
        </w:tc>
        <w:tc>
          <w:tcPr>
            <w:tcW w:w="2142" w:type="dxa"/>
            <w:shd w:val="clear" w:color="auto" w:fill="auto"/>
          </w:tcPr>
          <w:p w14:paraId="7A49C6E3" w14:textId="77777777" w:rsidR="00DE5108" w:rsidRPr="004530E0" w:rsidRDefault="00DE5108" w:rsidP="00722E18">
            <w:pPr>
              <w:widowControl/>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w:t>
            </w:r>
          </w:p>
        </w:tc>
      </w:tr>
      <w:tr w:rsidR="00DE5108" w:rsidRPr="00DE5108" w14:paraId="7539F691" w14:textId="77777777" w:rsidTr="00EC4E78">
        <w:tc>
          <w:tcPr>
            <w:tcW w:w="1258" w:type="dxa"/>
            <w:shd w:val="clear" w:color="auto" w:fill="auto"/>
          </w:tcPr>
          <w:p w14:paraId="2A4F42E8"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2007</w:t>
            </w:r>
          </w:p>
        </w:tc>
        <w:tc>
          <w:tcPr>
            <w:tcW w:w="1265" w:type="dxa"/>
            <w:shd w:val="clear" w:color="auto" w:fill="auto"/>
          </w:tcPr>
          <w:p w14:paraId="3DC69439" w14:textId="77777777" w:rsidR="00DE5108" w:rsidRPr="004530E0" w:rsidRDefault="00DE5108" w:rsidP="00722E18">
            <w:pPr>
              <w:widowControl/>
              <w:tabs>
                <w:tab w:val="left" w:pos="709"/>
              </w:tabs>
              <w:adjustRightInd w:val="0"/>
              <w:ind w:rightChars="37" w:right="89"/>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380,240</w:t>
            </w:r>
          </w:p>
        </w:tc>
        <w:tc>
          <w:tcPr>
            <w:tcW w:w="2338" w:type="dxa"/>
            <w:tcBorders>
              <w:right w:val="double" w:sz="4" w:space="0" w:color="auto"/>
            </w:tcBorders>
            <w:shd w:val="clear" w:color="auto" w:fill="auto"/>
          </w:tcPr>
          <w:p w14:paraId="063135AA" w14:textId="77777777" w:rsidR="00DE5108" w:rsidRPr="004530E0" w:rsidRDefault="00DE5108" w:rsidP="00722E18">
            <w:pPr>
              <w:widowControl/>
              <w:tabs>
                <w:tab w:val="left" w:pos="709"/>
              </w:tabs>
              <w:adjustRightInd w:val="0"/>
              <w:ind w:rightChars="105" w:right="252"/>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550,000</w:t>
            </w:r>
          </w:p>
        </w:tc>
        <w:tc>
          <w:tcPr>
            <w:tcW w:w="1301" w:type="dxa"/>
            <w:tcBorders>
              <w:left w:val="double" w:sz="4" w:space="0" w:color="auto"/>
            </w:tcBorders>
          </w:tcPr>
          <w:p w14:paraId="28E45DE7" w14:textId="77777777" w:rsidR="00DE5108" w:rsidRPr="004530E0" w:rsidRDefault="00DE5108" w:rsidP="00722E18">
            <w:pPr>
              <w:widowControl/>
              <w:tabs>
                <w:tab w:val="left" w:pos="709"/>
              </w:tabs>
              <w:adjustRightInd w:val="0"/>
              <w:ind w:rightChars="-11" w:right="-26"/>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2008</w:t>
            </w:r>
          </w:p>
        </w:tc>
        <w:tc>
          <w:tcPr>
            <w:tcW w:w="1214" w:type="dxa"/>
            <w:shd w:val="clear" w:color="auto" w:fill="auto"/>
          </w:tcPr>
          <w:p w14:paraId="5BF321A9" w14:textId="77777777" w:rsidR="00DE5108" w:rsidRPr="004530E0" w:rsidRDefault="00DE5108" w:rsidP="00722E18">
            <w:pPr>
              <w:widowControl/>
              <w:tabs>
                <w:tab w:val="left" w:pos="709"/>
              </w:tabs>
              <w:adjustRightInd w:val="0"/>
              <w:ind w:rightChars="16" w:right="3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535,240</w:t>
            </w:r>
          </w:p>
        </w:tc>
        <w:tc>
          <w:tcPr>
            <w:tcW w:w="2142" w:type="dxa"/>
            <w:shd w:val="clear" w:color="auto" w:fill="auto"/>
          </w:tcPr>
          <w:p w14:paraId="195F39D2" w14:textId="77777777" w:rsidR="00DE5108" w:rsidRPr="004530E0" w:rsidRDefault="00DE5108" w:rsidP="00722E18">
            <w:pPr>
              <w:widowControl/>
              <w:adjustRightInd w:val="0"/>
              <w:ind w:rightChars="95" w:right="22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580,000</w:t>
            </w:r>
          </w:p>
        </w:tc>
      </w:tr>
      <w:tr w:rsidR="00DE5108" w:rsidRPr="00DE5108" w14:paraId="3549ACC1" w14:textId="77777777" w:rsidTr="00EC4E78">
        <w:tc>
          <w:tcPr>
            <w:tcW w:w="1258" w:type="dxa"/>
            <w:shd w:val="clear" w:color="auto" w:fill="auto"/>
          </w:tcPr>
          <w:p w14:paraId="4BB50B3E"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2008</w:t>
            </w:r>
          </w:p>
        </w:tc>
        <w:tc>
          <w:tcPr>
            <w:tcW w:w="1265" w:type="dxa"/>
            <w:shd w:val="clear" w:color="auto" w:fill="auto"/>
          </w:tcPr>
          <w:p w14:paraId="7B7D1905" w14:textId="77777777" w:rsidR="00DE5108" w:rsidRPr="004530E0" w:rsidRDefault="00DE5108" w:rsidP="00722E18">
            <w:pPr>
              <w:widowControl/>
              <w:tabs>
                <w:tab w:val="left" w:pos="709"/>
              </w:tabs>
              <w:adjustRightInd w:val="0"/>
              <w:ind w:rightChars="37" w:right="89"/>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8,037,065</w:t>
            </w:r>
          </w:p>
        </w:tc>
        <w:tc>
          <w:tcPr>
            <w:tcW w:w="2338" w:type="dxa"/>
            <w:tcBorders>
              <w:right w:val="double" w:sz="4" w:space="0" w:color="auto"/>
            </w:tcBorders>
            <w:shd w:val="clear" w:color="auto" w:fill="auto"/>
          </w:tcPr>
          <w:p w14:paraId="0935CA4F" w14:textId="77777777" w:rsidR="00DE5108" w:rsidRPr="004530E0" w:rsidRDefault="00DE5108" w:rsidP="00722E18">
            <w:pPr>
              <w:widowControl/>
              <w:tabs>
                <w:tab w:val="left" w:pos="709"/>
              </w:tabs>
              <w:adjustRightInd w:val="0"/>
              <w:ind w:rightChars="105" w:right="252"/>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8,082,500</w:t>
            </w:r>
          </w:p>
        </w:tc>
        <w:tc>
          <w:tcPr>
            <w:tcW w:w="1301" w:type="dxa"/>
            <w:tcBorders>
              <w:left w:val="double" w:sz="4" w:space="0" w:color="auto"/>
            </w:tcBorders>
          </w:tcPr>
          <w:p w14:paraId="6F9EE4FB" w14:textId="77777777" w:rsidR="00DE5108" w:rsidRPr="004530E0" w:rsidRDefault="00DE5108" w:rsidP="00722E18">
            <w:pPr>
              <w:widowControl/>
              <w:tabs>
                <w:tab w:val="left" w:pos="709"/>
              </w:tabs>
              <w:adjustRightInd w:val="0"/>
              <w:ind w:rightChars="-11" w:right="-26"/>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2009</w:t>
            </w:r>
          </w:p>
        </w:tc>
        <w:tc>
          <w:tcPr>
            <w:tcW w:w="1214" w:type="dxa"/>
            <w:shd w:val="clear" w:color="auto" w:fill="auto"/>
          </w:tcPr>
          <w:p w14:paraId="3DC3586F" w14:textId="77777777" w:rsidR="00DE5108" w:rsidRPr="004530E0" w:rsidRDefault="00DE5108" w:rsidP="00722E18">
            <w:pPr>
              <w:widowControl/>
              <w:tabs>
                <w:tab w:val="left" w:pos="709"/>
              </w:tabs>
              <w:adjustRightInd w:val="0"/>
              <w:ind w:rightChars="16" w:right="3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7,753,065</w:t>
            </w:r>
          </w:p>
        </w:tc>
        <w:tc>
          <w:tcPr>
            <w:tcW w:w="2142" w:type="dxa"/>
            <w:shd w:val="clear" w:color="auto" w:fill="auto"/>
          </w:tcPr>
          <w:p w14:paraId="0A247FDB" w14:textId="77777777" w:rsidR="00DE5108" w:rsidRPr="004530E0" w:rsidRDefault="00DE5108" w:rsidP="00722E18">
            <w:pPr>
              <w:widowControl/>
              <w:tabs>
                <w:tab w:val="left" w:pos="709"/>
              </w:tabs>
              <w:adjustRightInd w:val="0"/>
              <w:ind w:rightChars="95" w:right="22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7,847,500</w:t>
            </w:r>
          </w:p>
        </w:tc>
      </w:tr>
      <w:tr w:rsidR="00DE5108" w:rsidRPr="00DE5108" w14:paraId="62314B4C" w14:textId="77777777" w:rsidTr="001E7CA2">
        <w:tc>
          <w:tcPr>
            <w:tcW w:w="1258" w:type="dxa"/>
            <w:shd w:val="clear" w:color="auto" w:fill="auto"/>
          </w:tcPr>
          <w:p w14:paraId="66754ACB"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2009</w:t>
            </w:r>
          </w:p>
        </w:tc>
        <w:tc>
          <w:tcPr>
            <w:tcW w:w="1265" w:type="dxa"/>
            <w:shd w:val="clear" w:color="auto" w:fill="auto"/>
          </w:tcPr>
          <w:p w14:paraId="3CC3300D" w14:textId="77777777" w:rsidR="00DE5108" w:rsidRPr="004530E0" w:rsidRDefault="00DE5108" w:rsidP="00722E18">
            <w:pPr>
              <w:widowControl/>
              <w:tabs>
                <w:tab w:val="left" w:pos="709"/>
              </w:tabs>
              <w:adjustRightInd w:val="0"/>
              <w:ind w:rightChars="37" w:right="89"/>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1,041,357</w:t>
            </w:r>
          </w:p>
        </w:tc>
        <w:tc>
          <w:tcPr>
            <w:tcW w:w="2338" w:type="dxa"/>
            <w:tcBorders>
              <w:right w:val="double" w:sz="4" w:space="0" w:color="auto"/>
            </w:tcBorders>
            <w:shd w:val="clear" w:color="auto" w:fill="auto"/>
          </w:tcPr>
          <w:p w14:paraId="2717488D" w14:textId="77777777" w:rsidR="00DE5108" w:rsidRPr="004530E0" w:rsidRDefault="00DE5108" w:rsidP="00722E18">
            <w:pPr>
              <w:widowControl/>
              <w:tabs>
                <w:tab w:val="left" w:pos="709"/>
              </w:tabs>
              <w:adjustRightInd w:val="0"/>
              <w:ind w:rightChars="105" w:right="252"/>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1,050,500</w:t>
            </w:r>
          </w:p>
        </w:tc>
        <w:tc>
          <w:tcPr>
            <w:tcW w:w="1301" w:type="dxa"/>
            <w:tcBorders>
              <w:left w:val="double" w:sz="4" w:space="0" w:color="auto"/>
            </w:tcBorders>
          </w:tcPr>
          <w:p w14:paraId="43471D4B" w14:textId="77777777" w:rsidR="00DE5108" w:rsidRPr="004530E0" w:rsidRDefault="00DE5108" w:rsidP="00722E18">
            <w:pPr>
              <w:widowControl/>
              <w:tabs>
                <w:tab w:val="left" w:pos="709"/>
              </w:tabs>
              <w:adjustRightInd w:val="0"/>
              <w:ind w:rightChars="-11" w:right="-26"/>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2010</w:t>
            </w:r>
          </w:p>
        </w:tc>
        <w:tc>
          <w:tcPr>
            <w:tcW w:w="1214" w:type="dxa"/>
            <w:shd w:val="clear" w:color="auto" w:fill="auto"/>
          </w:tcPr>
          <w:p w14:paraId="1A3B9872" w14:textId="77777777" w:rsidR="00DE5108" w:rsidRPr="004530E0" w:rsidRDefault="00DE5108" w:rsidP="00722E18">
            <w:pPr>
              <w:widowControl/>
              <w:tabs>
                <w:tab w:val="left" w:pos="709"/>
              </w:tabs>
              <w:adjustRightInd w:val="0"/>
              <w:ind w:rightChars="16" w:right="3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1,025,357</w:t>
            </w:r>
          </w:p>
        </w:tc>
        <w:tc>
          <w:tcPr>
            <w:tcW w:w="2142" w:type="dxa"/>
            <w:shd w:val="clear" w:color="auto" w:fill="auto"/>
          </w:tcPr>
          <w:p w14:paraId="7B540ADA" w14:textId="77777777" w:rsidR="00DE5108" w:rsidRPr="004530E0" w:rsidRDefault="00DE5108" w:rsidP="00722E18">
            <w:pPr>
              <w:widowControl/>
              <w:tabs>
                <w:tab w:val="left" w:pos="709"/>
              </w:tabs>
              <w:adjustRightInd w:val="0"/>
              <w:ind w:rightChars="95" w:right="22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1,200,000</w:t>
            </w:r>
          </w:p>
        </w:tc>
      </w:tr>
      <w:tr w:rsidR="00DE5108" w:rsidRPr="00DE5108" w14:paraId="2BACD384" w14:textId="77777777" w:rsidTr="001E7CA2">
        <w:tc>
          <w:tcPr>
            <w:tcW w:w="1258" w:type="dxa"/>
            <w:shd w:val="clear" w:color="auto" w:fill="auto"/>
          </w:tcPr>
          <w:p w14:paraId="1822976D"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2010</w:t>
            </w:r>
          </w:p>
        </w:tc>
        <w:tc>
          <w:tcPr>
            <w:tcW w:w="1265" w:type="dxa"/>
            <w:shd w:val="clear" w:color="auto" w:fill="auto"/>
          </w:tcPr>
          <w:p w14:paraId="0217EAE5" w14:textId="77777777" w:rsidR="00DE5108" w:rsidRPr="004530E0" w:rsidRDefault="00DE5108" w:rsidP="00722E18">
            <w:pPr>
              <w:widowControl/>
              <w:tabs>
                <w:tab w:val="left" w:pos="709"/>
              </w:tabs>
              <w:adjustRightInd w:val="0"/>
              <w:ind w:rightChars="37" w:right="89"/>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3,536,178</w:t>
            </w:r>
          </w:p>
        </w:tc>
        <w:tc>
          <w:tcPr>
            <w:tcW w:w="2338" w:type="dxa"/>
            <w:tcBorders>
              <w:right w:val="double" w:sz="4" w:space="0" w:color="auto"/>
            </w:tcBorders>
            <w:shd w:val="clear" w:color="auto" w:fill="auto"/>
          </w:tcPr>
          <w:p w14:paraId="6A9B12CE" w14:textId="77777777" w:rsidR="00DE5108" w:rsidRPr="004530E0" w:rsidRDefault="00DE5108" w:rsidP="00722E18">
            <w:pPr>
              <w:widowControl/>
              <w:tabs>
                <w:tab w:val="left" w:pos="709"/>
              </w:tabs>
              <w:adjustRightInd w:val="0"/>
              <w:ind w:rightChars="105" w:right="252"/>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3,200,000</w:t>
            </w:r>
          </w:p>
        </w:tc>
        <w:tc>
          <w:tcPr>
            <w:tcW w:w="1301" w:type="dxa"/>
            <w:tcBorders>
              <w:left w:val="double" w:sz="4" w:space="0" w:color="auto"/>
            </w:tcBorders>
          </w:tcPr>
          <w:p w14:paraId="5A2D4AD8" w14:textId="77777777" w:rsidR="00DE5108" w:rsidRPr="004530E0" w:rsidRDefault="00DE5108" w:rsidP="00722E18">
            <w:pPr>
              <w:widowControl/>
              <w:tabs>
                <w:tab w:val="left" w:pos="709"/>
              </w:tabs>
              <w:adjustRightInd w:val="0"/>
              <w:ind w:rightChars="-11" w:right="-26"/>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2011</w:t>
            </w:r>
          </w:p>
        </w:tc>
        <w:tc>
          <w:tcPr>
            <w:tcW w:w="1214" w:type="dxa"/>
            <w:shd w:val="clear" w:color="auto" w:fill="auto"/>
          </w:tcPr>
          <w:p w14:paraId="169D216E" w14:textId="77777777" w:rsidR="00DE5108" w:rsidRPr="004530E0" w:rsidRDefault="00DE5108" w:rsidP="00722E18">
            <w:pPr>
              <w:widowControl/>
              <w:tabs>
                <w:tab w:val="left" w:pos="709"/>
              </w:tabs>
              <w:adjustRightInd w:val="0"/>
              <w:ind w:rightChars="16" w:right="3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3,386,178</w:t>
            </w:r>
          </w:p>
        </w:tc>
        <w:tc>
          <w:tcPr>
            <w:tcW w:w="2142" w:type="dxa"/>
            <w:shd w:val="clear" w:color="auto" w:fill="auto"/>
          </w:tcPr>
          <w:p w14:paraId="25182E16" w14:textId="77777777" w:rsidR="00DE5108" w:rsidRPr="004530E0" w:rsidRDefault="00DE5108" w:rsidP="00722E18">
            <w:pPr>
              <w:widowControl/>
              <w:tabs>
                <w:tab w:val="left" w:pos="709"/>
              </w:tabs>
              <w:adjustRightInd w:val="0"/>
              <w:ind w:rightChars="95" w:right="22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3,200,000</w:t>
            </w:r>
          </w:p>
        </w:tc>
      </w:tr>
      <w:tr w:rsidR="00DE5108" w:rsidRPr="00DE5108" w14:paraId="42A8F66A" w14:textId="77777777" w:rsidTr="001E7CA2">
        <w:tc>
          <w:tcPr>
            <w:tcW w:w="1258" w:type="dxa"/>
            <w:shd w:val="clear" w:color="auto" w:fill="auto"/>
          </w:tcPr>
          <w:p w14:paraId="203B3A68" w14:textId="77777777" w:rsidR="00DE5108" w:rsidRPr="004530E0" w:rsidRDefault="00DE5108" w:rsidP="00722E18">
            <w:pPr>
              <w:widowControl/>
              <w:tabs>
                <w:tab w:val="left" w:pos="709"/>
              </w:tabs>
              <w:adjustRightInd w:val="0"/>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2011</w:t>
            </w:r>
          </w:p>
        </w:tc>
        <w:tc>
          <w:tcPr>
            <w:tcW w:w="1265" w:type="dxa"/>
            <w:shd w:val="clear" w:color="auto" w:fill="auto"/>
          </w:tcPr>
          <w:p w14:paraId="1B3C7E40" w14:textId="77777777" w:rsidR="00DE5108" w:rsidRPr="004530E0" w:rsidRDefault="00DE5108" w:rsidP="00722E18">
            <w:pPr>
              <w:widowControl/>
              <w:tabs>
                <w:tab w:val="left" w:pos="709"/>
              </w:tabs>
              <w:adjustRightInd w:val="0"/>
              <w:ind w:rightChars="37" w:right="89"/>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80,000</w:t>
            </w:r>
          </w:p>
        </w:tc>
        <w:tc>
          <w:tcPr>
            <w:tcW w:w="2338" w:type="dxa"/>
            <w:tcBorders>
              <w:right w:val="double" w:sz="4" w:space="0" w:color="auto"/>
            </w:tcBorders>
            <w:shd w:val="clear" w:color="auto" w:fill="auto"/>
          </w:tcPr>
          <w:p w14:paraId="7AC42840" w14:textId="77777777" w:rsidR="00DE5108" w:rsidRPr="004530E0" w:rsidRDefault="00DE5108" w:rsidP="00722E18">
            <w:pPr>
              <w:widowControl/>
              <w:tabs>
                <w:tab w:val="left" w:pos="709"/>
              </w:tabs>
              <w:adjustRightInd w:val="0"/>
              <w:ind w:rightChars="105" w:right="252"/>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1,200,000</w:t>
            </w:r>
          </w:p>
        </w:tc>
        <w:tc>
          <w:tcPr>
            <w:tcW w:w="1301" w:type="dxa"/>
            <w:tcBorders>
              <w:left w:val="double" w:sz="4" w:space="0" w:color="auto"/>
            </w:tcBorders>
          </w:tcPr>
          <w:p w14:paraId="524918A2" w14:textId="77777777" w:rsidR="00DE5108" w:rsidRPr="004530E0" w:rsidRDefault="00DE5108" w:rsidP="00722E18">
            <w:pPr>
              <w:widowControl/>
              <w:tabs>
                <w:tab w:val="left" w:pos="709"/>
              </w:tabs>
              <w:adjustRightInd w:val="0"/>
              <w:ind w:rightChars="-11" w:right="-26"/>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2012</w:t>
            </w:r>
          </w:p>
        </w:tc>
        <w:tc>
          <w:tcPr>
            <w:tcW w:w="1214" w:type="dxa"/>
            <w:shd w:val="clear" w:color="auto" w:fill="auto"/>
          </w:tcPr>
          <w:p w14:paraId="5942E294" w14:textId="77777777" w:rsidR="00DE5108" w:rsidRPr="004530E0" w:rsidRDefault="00DE5108" w:rsidP="00722E18">
            <w:pPr>
              <w:widowControl/>
              <w:tabs>
                <w:tab w:val="left" w:pos="709"/>
              </w:tabs>
              <w:adjustRightInd w:val="0"/>
              <w:ind w:rightChars="16" w:right="3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230,000</w:t>
            </w:r>
          </w:p>
        </w:tc>
        <w:tc>
          <w:tcPr>
            <w:tcW w:w="2142" w:type="dxa"/>
            <w:shd w:val="clear" w:color="auto" w:fill="auto"/>
          </w:tcPr>
          <w:p w14:paraId="75FB3EE6" w14:textId="77777777" w:rsidR="00DE5108" w:rsidRPr="004530E0" w:rsidRDefault="00DE5108" w:rsidP="00722E18">
            <w:pPr>
              <w:widowControl/>
              <w:tabs>
                <w:tab w:val="left" w:pos="709"/>
              </w:tabs>
              <w:adjustRightInd w:val="0"/>
              <w:ind w:rightChars="95" w:right="228"/>
              <w:jc w:val="center"/>
              <w:rPr>
                <w:rFonts w:ascii="Times New Roman" w:eastAsia="標楷體" w:hAnsi="Times New Roman" w:cs="Times New Roman"/>
                <w:kern w:val="0"/>
                <w:sz w:val="22"/>
                <w:szCs w:val="24"/>
                <w:lang w:eastAsia="zh-HK"/>
              </w:rPr>
            </w:pPr>
            <w:r w:rsidRPr="004530E0">
              <w:rPr>
                <w:rFonts w:ascii="Times New Roman" w:eastAsia="標楷體" w:hAnsi="Times New Roman" w:cs="Times New Roman"/>
                <w:kern w:val="0"/>
                <w:sz w:val="22"/>
                <w:szCs w:val="24"/>
                <w:lang w:eastAsia="zh-HK"/>
              </w:rPr>
              <w:t>1,200,000</w:t>
            </w:r>
          </w:p>
        </w:tc>
      </w:tr>
      <w:tr w:rsidR="00CD438A" w:rsidRPr="00DE5108" w14:paraId="2A306A03" w14:textId="77777777" w:rsidTr="001E7CA2">
        <w:trPr>
          <w:trHeight w:val="150"/>
        </w:trPr>
        <w:tc>
          <w:tcPr>
            <w:tcW w:w="1258" w:type="dxa"/>
            <w:shd w:val="clear" w:color="auto" w:fill="auto"/>
          </w:tcPr>
          <w:p w14:paraId="670219E5" w14:textId="77777777" w:rsidR="00CD438A" w:rsidRPr="00DE5108" w:rsidRDefault="00CD438A" w:rsidP="005F377B">
            <w:pPr>
              <w:widowControl/>
              <w:tabs>
                <w:tab w:val="left" w:pos="709"/>
              </w:tabs>
              <w:adjustRightInd w:val="0"/>
              <w:jc w:val="center"/>
              <w:rPr>
                <w:rFonts w:ascii="Times New Roman" w:eastAsia="標楷體" w:hAnsi="Times New Roman" w:cs="Times New Roman"/>
                <w:kern w:val="0"/>
                <w:szCs w:val="24"/>
                <w:lang w:eastAsia="zh-HK"/>
              </w:rPr>
            </w:pPr>
          </w:p>
        </w:tc>
        <w:tc>
          <w:tcPr>
            <w:tcW w:w="1265" w:type="dxa"/>
            <w:shd w:val="clear" w:color="auto" w:fill="auto"/>
          </w:tcPr>
          <w:p w14:paraId="56A85AC7" w14:textId="77777777" w:rsidR="00CD438A" w:rsidRPr="00DE5108" w:rsidRDefault="00CD438A" w:rsidP="005F377B">
            <w:pPr>
              <w:widowControl/>
              <w:tabs>
                <w:tab w:val="left" w:pos="709"/>
              </w:tabs>
              <w:adjustRightInd w:val="0"/>
              <w:ind w:rightChars="37" w:right="89"/>
              <w:jc w:val="right"/>
              <w:rPr>
                <w:rFonts w:ascii="Times New Roman" w:eastAsia="標楷體" w:hAnsi="Times New Roman" w:cs="Times New Roman"/>
                <w:kern w:val="0"/>
                <w:szCs w:val="24"/>
                <w:lang w:eastAsia="zh-HK"/>
              </w:rPr>
            </w:pPr>
          </w:p>
        </w:tc>
        <w:tc>
          <w:tcPr>
            <w:tcW w:w="2338" w:type="dxa"/>
            <w:shd w:val="clear" w:color="auto" w:fill="auto"/>
          </w:tcPr>
          <w:p w14:paraId="13AF7669" w14:textId="77777777" w:rsidR="00CD438A" w:rsidRPr="00DE5108" w:rsidRDefault="00CD438A" w:rsidP="005F377B">
            <w:pPr>
              <w:widowControl/>
              <w:tabs>
                <w:tab w:val="left" w:pos="709"/>
              </w:tabs>
              <w:adjustRightInd w:val="0"/>
              <w:ind w:rightChars="105" w:right="252"/>
              <w:jc w:val="right"/>
              <w:rPr>
                <w:rFonts w:ascii="Times New Roman" w:eastAsia="標楷體" w:hAnsi="Times New Roman" w:cs="Times New Roman"/>
                <w:kern w:val="0"/>
                <w:szCs w:val="24"/>
                <w:lang w:eastAsia="zh-HK"/>
              </w:rPr>
            </w:pPr>
          </w:p>
        </w:tc>
        <w:tc>
          <w:tcPr>
            <w:tcW w:w="1301" w:type="dxa"/>
          </w:tcPr>
          <w:p w14:paraId="4D5E661F" w14:textId="77777777" w:rsidR="00CD438A" w:rsidRPr="00DE5108" w:rsidRDefault="00CD438A" w:rsidP="005F377B">
            <w:pPr>
              <w:widowControl/>
              <w:tabs>
                <w:tab w:val="left" w:pos="709"/>
              </w:tabs>
              <w:adjustRightInd w:val="0"/>
              <w:ind w:rightChars="-11" w:right="-26"/>
              <w:jc w:val="center"/>
              <w:rPr>
                <w:rFonts w:ascii="Times New Roman" w:eastAsia="標楷體" w:hAnsi="Times New Roman" w:cs="Times New Roman"/>
                <w:kern w:val="0"/>
                <w:szCs w:val="24"/>
                <w:lang w:eastAsia="zh-HK"/>
              </w:rPr>
            </w:pPr>
          </w:p>
        </w:tc>
        <w:tc>
          <w:tcPr>
            <w:tcW w:w="1214" w:type="dxa"/>
            <w:shd w:val="clear" w:color="auto" w:fill="auto"/>
          </w:tcPr>
          <w:p w14:paraId="39809425" w14:textId="77777777" w:rsidR="00CD438A" w:rsidRPr="00DE5108" w:rsidRDefault="00CD438A" w:rsidP="005F377B">
            <w:pPr>
              <w:widowControl/>
              <w:tabs>
                <w:tab w:val="left" w:pos="709"/>
              </w:tabs>
              <w:adjustRightInd w:val="0"/>
              <w:ind w:rightChars="16" w:right="38"/>
              <w:jc w:val="right"/>
              <w:rPr>
                <w:rFonts w:ascii="Times New Roman" w:eastAsia="標楷體" w:hAnsi="Times New Roman" w:cs="Times New Roman"/>
                <w:kern w:val="0"/>
                <w:szCs w:val="24"/>
                <w:lang w:eastAsia="zh-HK"/>
              </w:rPr>
            </w:pPr>
          </w:p>
        </w:tc>
        <w:tc>
          <w:tcPr>
            <w:tcW w:w="2142" w:type="dxa"/>
            <w:shd w:val="clear" w:color="auto" w:fill="auto"/>
          </w:tcPr>
          <w:p w14:paraId="14C023F7" w14:textId="77777777" w:rsidR="00CD438A" w:rsidRPr="00DE5108" w:rsidRDefault="00CD438A" w:rsidP="005F377B">
            <w:pPr>
              <w:widowControl/>
              <w:tabs>
                <w:tab w:val="left" w:pos="709"/>
              </w:tabs>
              <w:adjustRightInd w:val="0"/>
              <w:ind w:rightChars="95" w:right="228"/>
              <w:jc w:val="right"/>
              <w:rPr>
                <w:rFonts w:ascii="Times New Roman" w:eastAsia="標楷體" w:hAnsi="Times New Roman" w:cs="Times New Roman"/>
                <w:kern w:val="0"/>
                <w:szCs w:val="24"/>
                <w:lang w:eastAsia="zh-HK"/>
              </w:rPr>
            </w:pPr>
          </w:p>
        </w:tc>
      </w:tr>
    </w:tbl>
    <w:p w14:paraId="1E5FC02C" w14:textId="77777777" w:rsidR="00DE5108" w:rsidRPr="00CD438A" w:rsidRDefault="00DE5108" w:rsidP="00AF3AE2">
      <w:pPr>
        <w:widowControl/>
        <w:numPr>
          <w:ilvl w:val="0"/>
          <w:numId w:val="33"/>
        </w:numPr>
        <w:tabs>
          <w:tab w:val="left" w:pos="709"/>
        </w:tabs>
        <w:adjustRightInd w:val="0"/>
        <w:snapToGrid w:val="0"/>
        <w:ind w:leftChars="638" w:left="2107" w:hangingChars="240" w:hanging="576"/>
        <w:jc w:val="both"/>
        <w:rPr>
          <w:rFonts w:ascii="Times New Roman" w:eastAsia="標楷體" w:hAnsi="Times New Roman" w:cs="Times New Roman"/>
          <w:kern w:val="0"/>
          <w:szCs w:val="24"/>
          <w:lang w:eastAsia="zh-HK"/>
        </w:rPr>
      </w:pPr>
      <w:r w:rsidRPr="00CD438A">
        <w:rPr>
          <w:rFonts w:ascii="Times New Roman" w:eastAsia="標楷體" w:hAnsi="Times New Roman" w:cs="Times New Roman"/>
          <w:kern w:val="0"/>
          <w:szCs w:val="24"/>
          <w:lang w:eastAsia="zh-HK"/>
        </w:rPr>
        <w:t xml:space="preserve">The Appellant could not distinguish between remuneration and withdrawal of profits.  His behaviour was something incorrectly done through ignorance or inadvertence, a mistake. </w:t>
      </w:r>
    </w:p>
    <w:p w14:paraId="5A5C0B9C" w14:textId="77777777" w:rsidR="00CD438A" w:rsidRPr="00CD438A" w:rsidRDefault="00CD438A" w:rsidP="00CD438A">
      <w:pPr>
        <w:pStyle w:val="ac"/>
        <w:widowControl/>
        <w:tabs>
          <w:tab w:val="left" w:pos="709"/>
        </w:tabs>
        <w:adjustRightInd w:val="0"/>
        <w:snapToGrid w:val="0"/>
        <w:ind w:leftChars="0" w:left="1410"/>
        <w:jc w:val="both"/>
        <w:rPr>
          <w:rFonts w:ascii="Times New Roman" w:eastAsia="標楷體" w:hAnsi="Times New Roman" w:cs="Times New Roman"/>
          <w:kern w:val="0"/>
          <w:szCs w:val="24"/>
          <w:lang w:eastAsia="zh-HK"/>
        </w:rPr>
      </w:pPr>
    </w:p>
    <w:p w14:paraId="18363F48" w14:textId="77777777" w:rsidR="00DE5108" w:rsidRPr="00CD438A" w:rsidRDefault="00DE5108" w:rsidP="00AF3AE2">
      <w:pPr>
        <w:widowControl/>
        <w:numPr>
          <w:ilvl w:val="0"/>
          <w:numId w:val="33"/>
        </w:numPr>
        <w:tabs>
          <w:tab w:val="left" w:pos="709"/>
        </w:tabs>
        <w:adjustRightInd w:val="0"/>
        <w:snapToGrid w:val="0"/>
        <w:ind w:leftChars="638" w:left="2107" w:hangingChars="240" w:hanging="576"/>
        <w:jc w:val="both"/>
        <w:rPr>
          <w:rFonts w:ascii="Times New Roman" w:eastAsia="標楷體" w:hAnsi="Times New Roman" w:cs="Times New Roman"/>
          <w:kern w:val="0"/>
          <w:szCs w:val="24"/>
          <w:lang w:eastAsia="zh-HK"/>
        </w:rPr>
      </w:pPr>
      <w:r w:rsidRPr="00CD438A">
        <w:rPr>
          <w:rFonts w:ascii="Times New Roman" w:eastAsia="標楷體" w:hAnsi="Times New Roman" w:cs="Times New Roman"/>
          <w:kern w:val="0"/>
          <w:szCs w:val="24"/>
          <w:lang w:eastAsia="zh-HK"/>
        </w:rPr>
        <w:t>According to MPF rules, a director was regarded as an employee of the Company.  The Applicant had to make mandatory contributions, which was not relevant to whether he received remuneration from the Company or not.</w:t>
      </w:r>
    </w:p>
    <w:p w14:paraId="74267E4D" w14:textId="77777777" w:rsidR="00CD438A" w:rsidRPr="00CD438A" w:rsidRDefault="00CD438A" w:rsidP="00CD438A">
      <w:pPr>
        <w:widowControl/>
        <w:tabs>
          <w:tab w:val="left" w:pos="709"/>
        </w:tabs>
        <w:adjustRightInd w:val="0"/>
        <w:snapToGrid w:val="0"/>
        <w:jc w:val="both"/>
        <w:rPr>
          <w:rFonts w:ascii="Times New Roman" w:eastAsia="標楷體" w:hAnsi="Times New Roman" w:cs="Times New Roman"/>
          <w:kern w:val="0"/>
          <w:szCs w:val="24"/>
          <w:lang w:eastAsia="zh-HK"/>
        </w:rPr>
      </w:pPr>
    </w:p>
    <w:p w14:paraId="68BE8269" w14:textId="15ADA39F" w:rsidR="00877FD2" w:rsidRPr="000D1767" w:rsidRDefault="00DE5108" w:rsidP="000D1767">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Assessor maintained the view that the Subject Assessments should not be revised pursuant to section 70A of the IRO.  However, she is of the view that the Sum was a staff benefit provided by the Company and should be chargeable to Salaries Tax.  She now considers that the Additional Salaries Tax Assessment for the year of assessment 2008/09 should be revised as follows:</w:t>
      </w:r>
    </w:p>
    <w:p w14:paraId="6F9DE3D6" w14:textId="77777777" w:rsidR="00877FD2" w:rsidRPr="00DE5108" w:rsidRDefault="00877FD2" w:rsidP="00CD438A">
      <w:pPr>
        <w:widowControl/>
        <w:adjustRightInd w:val="0"/>
        <w:snapToGrid w:val="0"/>
        <w:ind w:left="360"/>
        <w:jc w:val="both"/>
        <w:rPr>
          <w:rFonts w:ascii="Times New Roman" w:eastAsia="標楷體" w:hAnsi="Times New Roman" w:cs="Times New Roman"/>
          <w:kern w:val="0"/>
          <w:szCs w:val="24"/>
          <w:lang w:eastAsia="zh-HK"/>
        </w:rPr>
      </w:pPr>
    </w:p>
    <w:tbl>
      <w:tblPr>
        <w:tblW w:w="6095" w:type="dxa"/>
        <w:tblInd w:w="1526" w:type="dxa"/>
        <w:tblLook w:val="04A0" w:firstRow="1" w:lastRow="0" w:firstColumn="1" w:lastColumn="0" w:noHBand="0" w:noVBand="1"/>
      </w:tblPr>
      <w:tblGrid>
        <w:gridCol w:w="5099"/>
        <w:gridCol w:w="996"/>
      </w:tblGrid>
      <w:tr w:rsidR="00DE5108" w:rsidRPr="00DE5108" w14:paraId="7575111F" w14:textId="77777777" w:rsidTr="00C82C2C">
        <w:tc>
          <w:tcPr>
            <w:tcW w:w="5099" w:type="dxa"/>
          </w:tcPr>
          <w:p w14:paraId="173A85F3" w14:textId="77777777" w:rsidR="00DE5108" w:rsidRPr="00DE5108" w:rsidRDefault="00DE5108" w:rsidP="005F377B">
            <w:pPr>
              <w:widowControl/>
              <w:tabs>
                <w:tab w:val="left" w:pos="709"/>
                <w:tab w:val="left" w:pos="1418"/>
              </w:tabs>
              <w:adjustRightInd w:val="0"/>
              <w:snapToGrid w:val="0"/>
              <w:jc w:val="both"/>
              <w:rPr>
                <w:rFonts w:ascii="Times New Roman" w:eastAsia="標楷體" w:hAnsi="Times New Roman" w:cs="Times New Roman"/>
                <w:kern w:val="0"/>
                <w:szCs w:val="24"/>
                <w:u w:val="single"/>
                <w:lang w:eastAsia="zh-HK"/>
              </w:rPr>
            </w:pPr>
          </w:p>
        </w:tc>
        <w:tc>
          <w:tcPr>
            <w:tcW w:w="996" w:type="dxa"/>
          </w:tcPr>
          <w:p w14:paraId="3B3182D6" w14:textId="77777777" w:rsidR="00DE5108" w:rsidRPr="00DE5108" w:rsidRDefault="00DE5108" w:rsidP="005F377B">
            <w:pPr>
              <w:widowControl/>
              <w:tabs>
                <w:tab w:val="left" w:pos="709"/>
                <w:tab w:val="left" w:pos="1418"/>
              </w:tabs>
              <w:adjustRightInd w:val="0"/>
              <w:snapToGrid w:val="0"/>
              <w:jc w:val="center"/>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r>
      <w:tr w:rsidR="00DE5108" w:rsidRPr="00DE5108" w14:paraId="1843B807" w14:textId="77777777" w:rsidTr="00C82C2C">
        <w:tc>
          <w:tcPr>
            <w:tcW w:w="5099" w:type="dxa"/>
          </w:tcPr>
          <w:p w14:paraId="271EDA1C" w14:textId="77777777" w:rsidR="00DE5108" w:rsidRPr="00DE5108" w:rsidRDefault="00DE5108" w:rsidP="005F377B">
            <w:pPr>
              <w:widowControl/>
              <w:tabs>
                <w:tab w:val="left" w:pos="709"/>
                <w:tab w:val="left" w:pos="1418"/>
              </w:tabs>
              <w:adjustRightInd w:val="0"/>
              <w:snapToGrid w:val="0"/>
              <w:ind w:left="103" w:hangingChars="43" w:hanging="103"/>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Additional Net Chargeable Income – </w:t>
            </w:r>
          </w:p>
        </w:tc>
        <w:tc>
          <w:tcPr>
            <w:tcW w:w="996" w:type="dxa"/>
          </w:tcPr>
          <w:p w14:paraId="65A223C9" w14:textId="77777777" w:rsidR="00DE5108" w:rsidRPr="00DE5108" w:rsidRDefault="00DE5108" w:rsidP="005F377B">
            <w:pPr>
              <w:widowControl/>
              <w:tabs>
                <w:tab w:val="left" w:pos="709"/>
                <w:tab w:val="left" w:pos="1418"/>
              </w:tabs>
              <w:adjustRightInd w:val="0"/>
              <w:snapToGrid w:val="0"/>
              <w:jc w:val="right"/>
              <w:rPr>
                <w:rFonts w:ascii="Times New Roman" w:eastAsia="標楷體" w:hAnsi="Times New Roman" w:cs="Times New Roman"/>
                <w:kern w:val="0"/>
                <w:szCs w:val="24"/>
                <w:lang w:eastAsia="zh-HK"/>
              </w:rPr>
            </w:pPr>
          </w:p>
        </w:tc>
      </w:tr>
      <w:tr w:rsidR="00DE5108" w:rsidRPr="00DE5108" w14:paraId="5AB5B126" w14:textId="77777777" w:rsidTr="00C82C2C">
        <w:tc>
          <w:tcPr>
            <w:tcW w:w="5099" w:type="dxa"/>
          </w:tcPr>
          <w:p w14:paraId="78F7AE7E" w14:textId="77777777" w:rsidR="00DE5108" w:rsidRPr="00DE5108" w:rsidRDefault="00DE5108" w:rsidP="005D27AA">
            <w:pPr>
              <w:widowControl/>
              <w:tabs>
                <w:tab w:val="left" w:pos="709"/>
                <w:tab w:val="left" w:pos="1418"/>
              </w:tabs>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Sum (referred to in paragraph 8(f) hereof)</w:t>
            </w:r>
          </w:p>
        </w:tc>
        <w:tc>
          <w:tcPr>
            <w:tcW w:w="996" w:type="dxa"/>
          </w:tcPr>
          <w:p w14:paraId="50EE22B1" w14:textId="77777777" w:rsidR="00DE5108" w:rsidRPr="00DE5108" w:rsidRDefault="00DE5108" w:rsidP="005F377B">
            <w:pPr>
              <w:widowControl/>
              <w:tabs>
                <w:tab w:val="left" w:pos="709"/>
                <w:tab w:val="left" w:pos="1418"/>
              </w:tabs>
              <w:adjustRightInd w:val="0"/>
              <w:snapToGrid w:val="0"/>
              <w:jc w:val="right"/>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941,832</w:t>
            </w:r>
          </w:p>
        </w:tc>
      </w:tr>
      <w:tr w:rsidR="00DE5108" w:rsidRPr="00DE5108" w14:paraId="250C65F9" w14:textId="77777777" w:rsidTr="00C82C2C">
        <w:tc>
          <w:tcPr>
            <w:tcW w:w="5099" w:type="dxa"/>
          </w:tcPr>
          <w:p w14:paraId="0759D846" w14:textId="77777777" w:rsidR="00DE5108" w:rsidRPr="00DE5108" w:rsidRDefault="00DE5108" w:rsidP="005F377B">
            <w:pPr>
              <w:widowControl/>
              <w:tabs>
                <w:tab w:val="left" w:pos="709"/>
                <w:tab w:val="left" w:pos="1418"/>
              </w:tabs>
              <w:adjustRightInd w:val="0"/>
              <w:snapToGrid w:val="0"/>
              <w:jc w:val="both"/>
              <w:rPr>
                <w:rFonts w:ascii="Times New Roman" w:eastAsia="標楷體" w:hAnsi="Times New Roman" w:cs="Times New Roman"/>
                <w:kern w:val="0"/>
                <w:szCs w:val="24"/>
                <w:lang w:eastAsia="zh-HK"/>
              </w:rPr>
            </w:pPr>
          </w:p>
        </w:tc>
        <w:tc>
          <w:tcPr>
            <w:tcW w:w="996" w:type="dxa"/>
          </w:tcPr>
          <w:p w14:paraId="1CCAA443" w14:textId="77777777" w:rsidR="00DE5108" w:rsidRPr="00DE5108" w:rsidRDefault="00DE5108" w:rsidP="005F377B">
            <w:pPr>
              <w:widowControl/>
              <w:tabs>
                <w:tab w:val="left" w:pos="709"/>
                <w:tab w:val="left" w:pos="1418"/>
              </w:tabs>
              <w:adjustRightInd w:val="0"/>
              <w:snapToGrid w:val="0"/>
              <w:jc w:val="right"/>
              <w:rPr>
                <w:rFonts w:ascii="Times New Roman" w:eastAsia="標楷體" w:hAnsi="Times New Roman" w:cs="Times New Roman"/>
                <w:kern w:val="0"/>
                <w:szCs w:val="24"/>
                <w:u w:val="double"/>
                <w:lang w:eastAsia="zh-HK"/>
              </w:rPr>
            </w:pPr>
          </w:p>
        </w:tc>
      </w:tr>
      <w:tr w:rsidR="00DE5108" w:rsidRPr="00DE5108" w14:paraId="61C96339" w14:textId="77777777" w:rsidTr="00C82C2C">
        <w:tc>
          <w:tcPr>
            <w:tcW w:w="5099" w:type="dxa"/>
          </w:tcPr>
          <w:p w14:paraId="67B0CDCF" w14:textId="77777777" w:rsidR="00DE5108" w:rsidRPr="00DE5108" w:rsidRDefault="00DE5108" w:rsidP="005F377B">
            <w:pPr>
              <w:widowControl/>
              <w:tabs>
                <w:tab w:val="left" w:pos="709"/>
                <w:tab w:val="left" w:pos="1418"/>
              </w:tabs>
              <w:adjustRightInd w:val="0"/>
              <w:snapToGrid w:val="0"/>
              <w:ind w:left="103" w:hangingChars="43" w:hanging="103"/>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Tax Payable thereon on standard rate </w:t>
            </w:r>
          </w:p>
        </w:tc>
        <w:tc>
          <w:tcPr>
            <w:tcW w:w="996" w:type="dxa"/>
            <w:vAlign w:val="bottom"/>
          </w:tcPr>
          <w:p w14:paraId="04D45B90" w14:textId="77777777" w:rsidR="00DE5108" w:rsidRPr="00DE5108" w:rsidRDefault="00DE5108" w:rsidP="005F377B">
            <w:pPr>
              <w:widowControl/>
              <w:tabs>
                <w:tab w:val="left" w:pos="709"/>
                <w:tab w:val="left" w:pos="1418"/>
              </w:tabs>
              <w:adjustRightInd w:val="0"/>
              <w:snapToGrid w:val="0"/>
              <w:jc w:val="right"/>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141,275</w:t>
            </w:r>
          </w:p>
        </w:tc>
      </w:tr>
      <w:tr w:rsidR="00CD438A" w:rsidRPr="00DE5108" w14:paraId="2EE3BF35" w14:textId="77777777" w:rsidTr="00C82C2C">
        <w:tc>
          <w:tcPr>
            <w:tcW w:w="5099" w:type="dxa"/>
          </w:tcPr>
          <w:p w14:paraId="05F07F97" w14:textId="77777777" w:rsidR="00CD438A" w:rsidRPr="00DE5108" w:rsidRDefault="00CD438A" w:rsidP="005F377B">
            <w:pPr>
              <w:widowControl/>
              <w:tabs>
                <w:tab w:val="left" w:pos="709"/>
                <w:tab w:val="left" w:pos="1418"/>
              </w:tabs>
              <w:adjustRightInd w:val="0"/>
              <w:snapToGrid w:val="0"/>
              <w:ind w:left="103" w:hangingChars="43" w:hanging="103"/>
              <w:jc w:val="both"/>
              <w:rPr>
                <w:rFonts w:ascii="Times New Roman" w:eastAsia="標楷體" w:hAnsi="Times New Roman" w:cs="Times New Roman"/>
                <w:kern w:val="0"/>
                <w:szCs w:val="24"/>
                <w:lang w:eastAsia="zh-HK"/>
              </w:rPr>
            </w:pPr>
          </w:p>
        </w:tc>
        <w:tc>
          <w:tcPr>
            <w:tcW w:w="996" w:type="dxa"/>
            <w:vAlign w:val="bottom"/>
          </w:tcPr>
          <w:p w14:paraId="765B7D53" w14:textId="77777777" w:rsidR="00CD438A" w:rsidRPr="00DE5108" w:rsidRDefault="00CD438A" w:rsidP="005F377B">
            <w:pPr>
              <w:widowControl/>
              <w:tabs>
                <w:tab w:val="left" w:pos="709"/>
                <w:tab w:val="left" w:pos="1418"/>
              </w:tabs>
              <w:adjustRightInd w:val="0"/>
              <w:snapToGrid w:val="0"/>
              <w:jc w:val="right"/>
              <w:rPr>
                <w:rFonts w:ascii="Times New Roman" w:eastAsia="標楷體" w:hAnsi="Times New Roman" w:cs="Times New Roman"/>
                <w:kern w:val="0"/>
                <w:szCs w:val="24"/>
                <w:u w:val="double"/>
                <w:lang w:eastAsia="zh-HK"/>
              </w:rPr>
            </w:pPr>
          </w:p>
        </w:tc>
      </w:tr>
    </w:tbl>
    <w:p w14:paraId="722B1703"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objections were considered by the Respondent. By its determination issued on 4 January 2022 (</w:t>
      </w:r>
      <w:r w:rsidR="00D264CC">
        <w:rPr>
          <w:rFonts w:ascii="Times New Roman" w:eastAsia="標楷體" w:hAnsi="Times New Roman" w:cs="Times New Roman"/>
          <w:kern w:val="0"/>
          <w:szCs w:val="24"/>
          <w:lang w:eastAsia="zh-HK"/>
        </w:rPr>
        <w:t>‘</w:t>
      </w:r>
      <w:r w:rsidRPr="00415EAE">
        <w:rPr>
          <w:rFonts w:ascii="Times New Roman" w:eastAsia="標楷體" w:hAnsi="Times New Roman" w:cs="Times New Roman"/>
          <w:bCs/>
          <w:kern w:val="0"/>
          <w:szCs w:val="24"/>
          <w:lang w:eastAsia="zh-HK"/>
        </w:rPr>
        <w:t>the Determination</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the Acting Deputy Commissioner of Inland Revenue made </w:t>
      </w:r>
      <w:r w:rsidRPr="0016243D">
        <w:rPr>
          <w:rFonts w:ascii="Times New Roman" w:eastAsia="標楷體" w:hAnsi="Times New Roman" w:cs="Times New Roman"/>
          <w:i/>
          <w:kern w:val="0"/>
          <w:szCs w:val="24"/>
          <w:lang w:eastAsia="zh-HK"/>
        </w:rPr>
        <w:t>inter alia</w:t>
      </w:r>
      <w:r w:rsidRPr="00DE5108">
        <w:rPr>
          <w:rFonts w:ascii="Times New Roman" w:eastAsia="標楷體" w:hAnsi="Times New Roman" w:cs="Times New Roman"/>
          <w:kern w:val="0"/>
          <w:szCs w:val="24"/>
          <w:lang w:eastAsia="zh-HK"/>
        </w:rPr>
        <w:t xml:space="preserve"> the following determinations on the Appellant’s objections:</w:t>
      </w:r>
    </w:p>
    <w:p w14:paraId="7A1EC838" w14:textId="77777777" w:rsidR="00CD438A" w:rsidRPr="00DE5108" w:rsidRDefault="00CD438A" w:rsidP="00CD438A">
      <w:pPr>
        <w:widowControl/>
        <w:adjustRightInd w:val="0"/>
        <w:ind w:left="360"/>
        <w:jc w:val="both"/>
        <w:rPr>
          <w:rFonts w:ascii="Times New Roman" w:eastAsia="標楷體" w:hAnsi="Times New Roman" w:cs="Times New Roman"/>
          <w:kern w:val="0"/>
          <w:szCs w:val="24"/>
          <w:lang w:eastAsia="zh-HK"/>
        </w:rPr>
      </w:pPr>
    </w:p>
    <w:p w14:paraId="09F40F8C" w14:textId="77777777" w:rsidR="00DE5108" w:rsidRDefault="00DE5108" w:rsidP="00052027">
      <w:pPr>
        <w:widowControl/>
        <w:numPr>
          <w:ilvl w:val="0"/>
          <w:numId w:val="35"/>
        </w:numPr>
        <w:tabs>
          <w:tab w:val="left" w:pos="720"/>
        </w:tabs>
        <w:adjustRightInd w:val="0"/>
        <w:snapToGrid w:val="0"/>
        <w:ind w:leftChars="638" w:left="2107" w:hangingChars="240" w:hanging="576"/>
        <w:jc w:val="both"/>
        <w:rPr>
          <w:rFonts w:ascii="Times New Roman" w:eastAsia="標楷體" w:hAnsi="Times New Roman" w:cs="Times New Roman"/>
          <w:szCs w:val="24"/>
          <w:lang w:eastAsia="zh-HK"/>
        </w:rPr>
      </w:pPr>
      <w:r w:rsidRPr="00DE5108">
        <w:rPr>
          <w:rFonts w:ascii="Times New Roman" w:eastAsia="標楷體" w:hAnsi="Times New Roman" w:cs="Times New Roman"/>
          <w:szCs w:val="24"/>
          <w:lang w:eastAsia="zh-HK"/>
        </w:rPr>
        <w:t xml:space="preserve">The Assessor’s refusal to correct the Salaries Tax Assessment for the year of assessment 2007/08 under section 70A of the IRO, dated 27 June 2019, is upheld and the Salaries Tax Assessment for the year of assessment 2007/08 under Charge Number </w:t>
      </w:r>
      <w:r w:rsidR="00D64FE7">
        <w:rPr>
          <w:rFonts w:ascii="Times New Roman" w:eastAsia="標楷體" w:hAnsi="Times New Roman" w:cs="Times New Roman"/>
          <w:szCs w:val="24"/>
          <w:lang w:eastAsia="zh-HK"/>
        </w:rPr>
        <w:t>X</w:t>
      </w:r>
      <w:r w:rsidRPr="00DE5108">
        <w:rPr>
          <w:rFonts w:ascii="Times New Roman" w:eastAsia="標楷體" w:hAnsi="Times New Roman" w:cs="Times New Roman"/>
          <w:szCs w:val="24"/>
          <w:lang w:eastAsia="zh-HK"/>
        </w:rPr>
        <w:t>-</w:t>
      </w:r>
      <w:r w:rsidR="00D64FE7">
        <w:rPr>
          <w:rFonts w:ascii="Times New Roman" w:eastAsia="標楷體" w:hAnsi="Times New Roman" w:cs="Times New Roman"/>
          <w:szCs w:val="24"/>
          <w:lang w:eastAsia="zh-HK"/>
        </w:rPr>
        <w:t>XXXXXXX</w:t>
      </w:r>
      <w:r w:rsidRPr="00DE5108">
        <w:rPr>
          <w:rFonts w:ascii="Times New Roman" w:eastAsia="標楷體" w:hAnsi="Times New Roman" w:cs="Times New Roman"/>
          <w:szCs w:val="24"/>
          <w:lang w:eastAsia="zh-HK"/>
        </w:rPr>
        <w:t>-</w:t>
      </w:r>
      <w:r w:rsidR="00D64FE7">
        <w:rPr>
          <w:rFonts w:ascii="Times New Roman" w:eastAsia="標楷體" w:hAnsi="Times New Roman" w:cs="Times New Roman"/>
          <w:szCs w:val="24"/>
          <w:lang w:eastAsia="zh-HK"/>
        </w:rPr>
        <w:t>XX</w:t>
      </w:r>
      <w:r w:rsidRPr="00DE5108">
        <w:rPr>
          <w:rFonts w:ascii="Times New Roman" w:eastAsia="標楷體" w:hAnsi="Times New Roman" w:cs="Times New Roman"/>
          <w:szCs w:val="24"/>
          <w:lang w:eastAsia="zh-HK"/>
        </w:rPr>
        <w:t>-</w:t>
      </w:r>
      <w:r w:rsidR="00D64FE7">
        <w:rPr>
          <w:rFonts w:ascii="Times New Roman" w:eastAsia="標楷體" w:hAnsi="Times New Roman" w:cs="Times New Roman"/>
          <w:szCs w:val="24"/>
          <w:lang w:eastAsia="zh-HK"/>
        </w:rPr>
        <w:t>X</w:t>
      </w:r>
      <w:r w:rsidRPr="00DE5108">
        <w:rPr>
          <w:rFonts w:ascii="Times New Roman" w:eastAsia="標楷體" w:hAnsi="Times New Roman" w:cs="Times New Roman"/>
          <w:szCs w:val="24"/>
          <w:lang w:eastAsia="zh-HK"/>
        </w:rPr>
        <w:t>, dated 22 August 2008, showing Net Chargeable Income of $196,000 with Tax Payable thereon of $5,705 is confirmed.</w:t>
      </w:r>
    </w:p>
    <w:p w14:paraId="7305236E" w14:textId="77777777" w:rsidR="00DE5108" w:rsidRPr="00DE5108" w:rsidRDefault="00DE5108" w:rsidP="008B73BF">
      <w:pPr>
        <w:tabs>
          <w:tab w:val="left" w:pos="720"/>
        </w:tabs>
        <w:jc w:val="both"/>
        <w:rPr>
          <w:rFonts w:ascii="Times New Roman" w:eastAsia="標楷體" w:hAnsi="Times New Roman" w:cs="Times New Roman"/>
          <w:szCs w:val="24"/>
          <w:lang w:eastAsia="zh-HK"/>
        </w:rPr>
      </w:pPr>
    </w:p>
    <w:p w14:paraId="272D2E4B" w14:textId="77777777" w:rsidR="00DE5108" w:rsidRPr="00DE5108" w:rsidRDefault="00DE5108" w:rsidP="006C4964">
      <w:pPr>
        <w:widowControl/>
        <w:numPr>
          <w:ilvl w:val="0"/>
          <w:numId w:val="35"/>
        </w:numPr>
        <w:tabs>
          <w:tab w:val="left" w:pos="720"/>
        </w:tabs>
        <w:adjustRightInd w:val="0"/>
        <w:snapToGrid w:val="0"/>
        <w:ind w:leftChars="638" w:left="2107" w:hangingChars="240" w:hanging="576"/>
        <w:jc w:val="both"/>
        <w:rPr>
          <w:rFonts w:ascii="Times New Roman" w:eastAsia="標楷體" w:hAnsi="Times New Roman" w:cs="Times New Roman"/>
          <w:szCs w:val="24"/>
        </w:rPr>
      </w:pPr>
      <w:r w:rsidRPr="00DE5108">
        <w:rPr>
          <w:rFonts w:ascii="Times New Roman" w:eastAsia="標楷體" w:hAnsi="Times New Roman" w:cs="Times New Roman"/>
          <w:szCs w:val="24"/>
          <w:lang w:eastAsia="zh-HK"/>
        </w:rPr>
        <w:t xml:space="preserve">The Assessor’s refusal to correct the Revised Salaries Tax Assessment for the year of assessment 2008/09 under section 70A of the IRO, dated 27 June 2019, is upheld and the Revised Salaries Tax Assessment for the year of assessment 2008/09 under Charge Number </w:t>
      </w:r>
      <w:r w:rsidR="00E11E1D">
        <w:rPr>
          <w:rFonts w:ascii="Times New Roman" w:eastAsia="標楷體" w:hAnsi="Times New Roman" w:cs="Times New Roman"/>
          <w:szCs w:val="24"/>
          <w:lang w:eastAsia="zh-HK"/>
        </w:rPr>
        <w:t>X</w:t>
      </w:r>
      <w:r w:rsidR="00E11E1D" w:rsidRPr="00DE5108">
        <w:rPr>
          <w:rFonts w:ascii="Times New Roman" w:eastAsia="標楷體" w:hAnsi="Times New Roman" w:cs="Times New Roman"/>
          <w:szCs w:val="24"/>
          <w:lang w:eastAsia="zh-HK"/>
        </w:rPr>
        <w:t>-</w:t>
      </w:r>
      <w:r w:rsidR="00E11E1D">
        <w:rPr>
          <w:rFonts w:ascii="Times New Roman" w:eastAsia="標楷體" w:hAnsi="Times New Roman" w:cs="Times New Roman"/>
          <w:szCs w:val="24"/>
          <w:lang w:eastAsia="zh-HK"/>
        </w:rPr>
        <w:t>XXXXXXX</w:t>
      </w:r>
      <w:r w:rsidR="00E11E1D" w:rsidRPr="00DE5108">
        <w:rPr>
          <w:rFonts w:ascii="Times New Roman" w:eastAsia="標楷體" w:hAnsi="Times New Roman" w:cs="Times New Roman"/>
          <w:szCs w:val="24"/>
          <w:lang w:eastAsia="zh-HK"/>
        </w:rPr>
        <w:t>-</w:t>
      </w:r>
      <w:r w:rsidR="00E11E1D">
        <w:rPr>
          <w:rFonts w:ascii="Times New Roman" w:eastAsia="標楷體" w:hAnsi="Times New Roman" w:cs="Times New Roman"/>
          <w:szCs w:val="24"/>
          <w:lang w:eastAsia="zh-HK"/>
        </w:rPr>
        <w:t>XX</w:t>
      </w:r>
      <w:r w:rsidR="00E11E1D" w:rsidRPr="00DE5108">
        <w:rPr>
          <w:rFonts w:ascii="Times New Roman" w:eastAsia="標楷體" w:hAnsi="Times New Roman" w:cs="Times New Roman"/>
          <w:szCs w:val="24"/>
          <w:lang w:eastAsia="zh-HK"/>
        </w:rPr>
        <w:t>-</w:t>
      </w:r>
      <w:r w:rsidR="00E11E1D">
        <w:rPr>
          <w:rFonts w:ascii="Times New Roman" w:eastAsia="標楷體" w:hAnsi="Times New Roman" w:cs="Times New Roman"/>
          <w:szCs w:val="24"/>
          <w:lang w:eastAsia="zh-HK"/>
        </w:rPr>
        <w:t>X</w:t>
      </w:r>
      <w:r w:rsidRPr="00DE5108">
        <w:rPr>
          <w:rFonts w:ascii="Times New Roman" w:eastAsia="標楷體" w:hAnsi="Times New Roman" w:cs="Times New Roman"/>
          <w:szCs w:val="24"/>
          <w:lang w:eastAsia="zh-HK"/>
        </w:rPr>
        <w:t>, dated 26 February 2010, showing Net Chargeable Income of $6,307,882 with Tax Payable thereon of $993,082 is confirmed.</w:t>
      </w:r>
    </w:p>
    <w:p w14:paraId="0B55CC7D" w14:textId="77777777" w:rsidR="00DE5108" w:rsidRPr="00DE5108" w:rsidRDefault="00DE5108" w:rsidP="005F377B">
      <w:pPr>
        <w:widowControl/>
        <w:ind w:left="720"/>
        <w:jc w:val="both"/>
        <w:rPr>
          <w:rFonts w:ascii="Times New Roman" w:eastAsia="標楷體" w:hAnsi="Times New Roman" w:cs="Times New Roman"/>
          <w:kern w:val="0"/>
          <w:szCs w:val="24"/>
          <w:lang w:eastAsia="zh-CN"/>
        </w:rPr>
      </w:pPr>
    </w:p>
    <w:p w14:paraId="759297B2" w14:textId="77777777" w:rsidR="00DE5108" w:rsidRPr="00DE5108" w:rsidRDefault="00DE5108" w:rsidP="006C4964">
      <w:pPr>
        <w:widowControl/>
        <w:numPr>
          <w:ilvl w:val="0"/>
          <w:numId w:val="35"/>
        </w:numPr>
        <w:tabs>
          <w:tab w:val="left" w:pos="720"/>
        </w:tabs>
        <w:adjustRightInd w:val="0"/>
        <w:snapToGrid w:val="0"/>
        <w:ind w:leftChars="638" w:left="2107" w:hangingChars="240" w:hanging="576"/>
        <w:jc w:val="both"/>
        <w:rPr>
          <w:rFonts w:ascii="Times New Roman" w:eastAsia="標楷體" w:hAnsi="Times New Roman" w:cs="Times New Roman"/>
          <w:szCs w:val="24"/>
        </w:rPr>
      </w:pPr>
      <w:r w:rsidRPr="00DE5108">
        <w:rPr>
          <w:rFonts w:ascii="Times New Roman" w:eastAsia="標楷體" w:hAnsi="Times New Roman" w:cs="Times New Roman"/>
          <w:szCs w:val="24"/>
        </w:rPr>
        <w:t xml:space="preserve">Additional Salaries Tax </w:t>
      </w:r>
      <w:r w:rsidRPr="00DE5108">
        <w:rPr>
          <w:rFonts w:ascii="Times New Roman" w:eastAsia="標楷體" w:hAnsi="Times New Roman" w:cs="Times New Roman"/>
          <w:szCs w:val="24"/>
          <w:lang w:eastAsia="zh-HK"/>
        </w:rPr>
        <w:t>A</w:t>
      </w:r>
      <w:r w:rsidRPr="00DE5108">
        <w:rPr>
          <w:rFonts w:ascii="Times New Roman" w:eastAsia="標楷體" w:hAnsi="Times New Roman" w:cs="Times New Roman"/>
          <w:szCs w:val="24"/>
        </w:rPr>
        <w:t xml:space="preserve">ssessment for the year of assessment 2008/09 under Charge Number </w:t>
      </w:r>
      <w:r w:rsidR="000C3AC2">
        <w:rPr>
          <w:rFonts w:ascii="Times New Roman" w:eastAsia="標楷體" w:hAnsi="Times New Roman" w:cs="Times New Roman"/>
          <w:szCs w:val="24"/>
          <w:lang w:eastAsia="zh-HK"/>
        </w:rPr>
        <w:t>X</w:t>
      </w:r>
      <w:r w:rsidR="000C3AC2" w:rsidRPr="00DE5108">
        <w:rPr>
          <w:rFonts w:ascii="Times New Roman" w:eastAsia="標楷體" w:hAnsi="Times New Roman" w:cs="Times New Roman"/>
          <w:szCs w:val="24"/>
          <w:lang w:eastAsia="zh-HK"/>
        </w:rPr>
        <w:t>-</w:t>
      </w:r>
      <w:r w:rsidR="000C3AC2">
        <w:rPr>
          <w:rFonts w:ascii="Times New Roman" w:eastAsia="標楷體" w:hAnsi="Times New Roman" w:cs="Times New Roman"/>
          <w:szCs w:val="24"/>
          <w:lang w:eastAsia="zh-HK"/>
        </w:rPr>
        <w:t>XXXXXXX</w:t>
      </w:r>
      <w:r w:rsidR="000C3AC2" w:rsidRPr="00DE5108">
        <w:rPr>
          <w:rFonts w:ascii="Times New Roman" w:eastAsia="標楷體" w:hAnsi="Times New Roman" w:cs="Times New Roman"/>
          <w:szCs w:val="24"/>
          <w:lang w:eastAsia="zh-HK"/>
        </w:rPr>
        <w:t>-</w:t>
      </w:r>
      <w:r w:rsidR="000C3AC2">
        <w:rPr>
          <w:rFonts w:ascii="Times New Roman" w:eastAsia="標楷體" w:hAnsi="Times New Roman" w:cs="Times New Roman"/>
          <w:szCs w:val="24"/>
          <w:lang w:eastAsia="zh-HK"/>
        </w:rPr>
        <w:t>XX</w:t>
      </w:r>
      <w:r w:rsidR="000C3AC2" w:rsidRPr="00DE5108">
        <w:rPr>
          <w:rFonts w:ascii="Times New Roman" w:eastAsia="標楷體" w:hAnsi="Times New Roman" w:cs="Times New Roman"/>
          <w:szCs w:val="24"/>
          <w:lang w:eastAsia="zh-HK"/>
        </w:rPr>
        <w:t>-</w:t>
      </w:r>
      <w:r w:rsidR="000C3AC2">
        <w:rPr>
          <w:rFonts w:ascii="Times New Roman" w:eastAsia="標楷體" w:hAnsi="Times New Roman" w:cs="Times New Roman"/>
          <w:szCs w:val="24"/>
          <w:lang w:eastAsia="zh-HK"/>
        </w:rPr>
        <w:t>X</w:t>
      </w:r>
      <w:r w:rsidRPr="00DE5108">
        <w:rPr>
          <w:rFonts w:ascii="Times New Roman" w:eastAsia="標楷體" w:hAnsi="Times New Roman" w:cs="Times New Roman"/>
          <w:szCs w:val="24"/>
        </w:rPr>
        <w:t xml:space="preserve">, dated </w:t>
      </w:r>
      <w:r w:rsidRPr="00DE5108">
        <w:rPr>
          <w:rFonts w:ascii="Times New Roman" w:eastAsia="標楷體" w:hAnsi="Times New Roman" w:cs="Times New Roman"/>
          <w:szCs w:val="24"/>
          <w:lang w:eastAsia="zh-HK"/>
        </w:rPr>
        <w:t>6 February 2015</w:t>
      </w:r>
      <w:r w:rsidRPr="00DE5108">
        <w:rPr>
          <w:rFonts w:ascii="Times New Roman" w:eastAsia="標楷體" w:hAnsi="Times New Roman" w:cs="Times New Roman"/>
          <w:szCs w:val="24"/>
        </w:rPr>
        <w:t xml:space="preserve">, showing </w:t>
      </w:r>
      <w:r w:rsidRPr="00DE5108">
        <w:rPr>
          <w:rFonts w:ascii="Times New Roman" w:eastAsia="標楷體" w:hAnsi="Times New Roman" w:cs="Times New Roman"/>
          <w:szCs w:val="24"/>
          <w:lang w:eastAsia="zh-HK"/>
        </w:rPr>
        <w:t xml:space="preserve">Additional Net Chargeable </w:t>
      </w:r>
      <w:r w:rsidRPr="00DE5108">
        <w:rPr>
          <w:rFonts w:ascii="Times New Roman" w:eastAsia="標楷體" w:hAnsi="Times New Roman" w:cs="Times New Roman"/>
          <w:szCs w:val="24"/>
        </w:rPr>
        <w:t>Income of $</w:t>
      </w:r>
      <w:r w:rsidRPr="00DE5108">
        <w:rPr>
          <w:rFonts w:ascii="Times New Roman" w:eastAsia="標楷體" w:hAnsi="Times New Roman" w:cs="Times New Roman"/>
          <w:szCs w:val="24"/>
          <w:lang w:eastAsia="zh-HK"/>
        </w:rPr>
        <w:t>500,000</w:t>
      </w:r>
      <w:r w:rsidRPr="00DE5108">
        <w:rPr>
          <w:rFonts w:ascii="Times New Roman" w:eastAsia="標楷體" w:hAnsi="Times New Roman" w:cs="Times New Roman"/>
          <w:szCs w:val="24"/>
        </w:rPr>
        <w:t xml:space="preserve"> with</w:t>
      </w:r>
      <w:r w:rsidRPr="00DE5108">
        <w:rPr>
          <w:rFonts w:ascii="Times New Roman" w:eastAsia="標楷體" w:hAnsi="Times New Roman" w:cs="Times New Roman"/>
          <w:szCs w:val="24"/>
          <w:lang w:eastAsia="zh-HK"/>
        </w:rPr>
        <w:t xml:space="preserve"> </w:t>
      </w:r>
      <w:r w:rsidRPr="00DE5108">
        <w:rPr>
          <w:rFonts w:ascii="Times New Roman" w:eastAsia="標楷體" w:hAnsi="Times New Roman" w:cs="Times New Roman"/>
          <w:szCs w:val="24"/>
        </w:rPr>
        <w:t>Tax Payable thereon of $</w:t>
      </w:r>
      <w:r w:rsidRPr="00DE5108">
        <w:rPr>
          <w:rFonts w:ascii="Times New Roman" w:eastAsia="標楷體" w:hAnsi="Times New Roman" w:cs="Times New Roman"/>
          <w:szCs w:val="24"/>
          <w:lang w:eastAsia="zh-HK"/>
        </w:rPr>
        <w:t xml:space="preserve">75,000 </w:t>
      </w:r>
      <w:r w:rsidRPr="00DE5108">
        <w:rPr>
          <w:rFonts w:ascii="Times New Roman" w:eastAsia="標楷體" w:hAnsi="Times New Roman" w:cs="Times New Roman"/>
          <w:szCs w:val="24"/>
        </w:rPr>
        <w:t xml:space="preserve">is </w:t>
      </w:r>
      <w:r w:rsidRPr="00DE5108">
        <w:rPr>
          <w:rFonts w:ascii="Times New Roman" w:eastAsia="標楷體" w:hAnsi="Times New Roman" w:cs="Times New Roman"/>
          <w:szCs w:val="24"/>
          <w:lang w:eastAsia="zh-HK"/>
        </w:rPr>
        <w:t>increased to Additional Net Chargeable Income of $941,832 with Tax Payable thereon of $141,275.</w:t>
      </w:r>
    </w:p>
    <w:p w14:paraId="13D28206" w14:textId="77777777" w:rsidR="00DE5108" w:rsidRPr="00DE5108" w:rsidRDefault="00DE5108" w:rsidP="005F377B">
      <w:pPr>
        <w:widowControl/>
        <w:ind w:left="720"/>
        <w:jc w:val="both"/>
        <w:rPr>
          <w:rFonts w:ascii="Times New Roman" w:eastAsia="標楷體" w:hAnsi="Times New Roman" w:cs="Times New Roman"/>
          <w:kern w:val="0"/>
          <w:szCs w:val="24"/>
          <w:lang w:eastAsia="zh-CN"/>
        </w:rPr>
      </w:pPr>
    </w:p>
    <w:p w14:paraId="0DD2EB7C" w14:textId="77777777" w:rsidR="00DE5108" w:rsidRPr="00DE5108" w:rsidRDefault="00DE5108" w:rsidP="006C4964">
      <w:pPr>
        <w:widowControl/>
        <w:numPr>
          <w:ilvl w:val="0"/>
          <w:numId w:val="35"/>
        </w:numPr>
        <w:tabs>
          <w:tab w:val="left" w:pos="720"/>
        </w:tabs>
        <w:adjustRightInd w:val="0"/>
        <w:snapToGrid w:val="0"/>
        <w:ind w:leftChars="638" w:left="2107" w:hangingChars="240" w:hanging="576"/>
        <w:jc w:val="both"/>
        <w:rPr>
          <w:rFonts w:ascii="Times New Roman" w:eastAsia="標楷體" w:hAnsi="Times New Roman" w:cs="Times New Roman"/>
          <w:szCs w:val="24"/>
        </w:rPr>
      </w:pPr>
      <w:r w:rsidRPr="00DE5108">
        <w:rPr>
          <w:rFonts w:ascii="Times New Roman" w:eastAsia="標楷體" w:hAnsi="Times New Roman" w:cs="Times New Roman"/>
          <w:szCs w:val="24"/>
          <w:lang w:eastAsia="zh-HK"/>
        </w:rPr>
        <w:t xml:space="preserve">The Assessor’s refusal to correct the Salaries Tax Assessment for the year of assessment 2009/10 under section 70A of the IRO, dated 27 June 2019, is upheld and the Salaries Tax Assessment for the year of assessment 2009/10 under Charge Number </w:t>
      </w:r>
      <w:r w:rsidR="000C504B">
        <w:rPr>
          <w:rFonts w:ascii="Times New Roman" w:eastAsia="標楷體" w:hAnsi="Times New Roman" w:cs="Times New Roman"/>
          <w:szCs w:val="24"/>
          <w:lang w:eastAsia="zh-HK"/>
        </w:rPr>
        <w:t>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XXXXXXX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w:t>
      </w:r>
      <w:r w:rsidRPr="00DE5108">
        <w:rPr>
          <w:rFonts w:ascii="Times New Roman" w:eastAsia="標楷體" w:hAnsi="Times New Roman" w:cs="Times New Roman"/>
          <w:szCs w:val="24"/>
          <w:lang w:eastAsia="zh-HK"/>
        </w:rPr>
        <w:t>, dated 27 October 2010, showing Net Chargeable Income of $642,000 with Tax Payable thereon of $91,140 is confirmed.</w:t>
      </w:r>
    </w:p>
    <w:p w14:paraId="6FA0BC93" w14:textId="77777777" w:rsidR="00DE5108" w:rsidRPr="00DE5108" w:rsidRDefault="00DE5108" w:rsidP="005F377B">
      <w:pPr>
        <w:widowControl/>
        <w:ind w:left="720"/>
        <w:jc w:val="both"/>
        <w:rPr>
          <w:rFonts w:ascii="Times New Roman" w:eastAsia="標楷體" w:hAnsi="Times New Roman" w:cs="Times New Roman"/>
          <w:kern w:val="0"/>
          <w:szCs w:val="24"/>
          <w:lang w:eastAsia="zh-CN"/>
        </w:rPr>
      </w:pPr>
    </w:p>
    <w:p w14:paraId="046F4D04" w14:textId="77777777" w:rsidR="00DE5108" w:rsidRPr="00DE5108" w:rsidRDefault="00DE5108" w:rsidP="006C4964">
      <w:pPr>
        <w:widowControl/>
        <w:numPr>
          <w:ilvl w:val="0"/>
          <w:numId w:val="35"/>
        </w:numPr>
        <w:tabs>
          <w:tab w:val="left" w:pos="720"/>
        </w:tabs>
        <w:adjustRightInd w:val="0"/>
        <w:snapToGrid w:val="0"/>
        <w:ind w:leftChars="638" w:left="2107" w:hangingChars="240" w:hanging="576"/>
        <w:jc w:val="both"/>
        <w:rPr>
          <w:rFonts w:ascii="Times New Roman" w:eastAsia="標楷體" w:hAnsi="Times New Roman" w:cs="Times New Roman"/>
          <w:szCs w:val="24"/>
        </w:rPr>
      </w:pPr>
      <w:r w:rsidRPr="00DE5108">
        <w:rPr>
          <w:rFonts w:ascii="Times New Roman" w:eastAsia="標楷體" w:hAnsi="Times New Roman" w:cs="Times New Roman"/>
          <w:szCs w:val="24"/>
          <w:lang w:eastAsia="zh-HK"/>
        </w:rPr>
        <w:t xml:space="preserve">The Assessor’s refusal to correct the Salaries Tax Assessment for the year of assessment 2010/11 under section 70A of the IRO, dated 27 June 2019, is upheld and the Salaries Tax Assessment for the year of assessment 2010/11 under Charge Number </w:t>
      </w:r>
      <w:r w:rsidR="000C504B">
        <w:rPr>
          <w:rFonts w:ascii="Times New Roman" w:eastAsia="標楷體" w:hAnsi="Times New Roman" w:cs="Times New Roman"/>
          <w:szCs w:val="24"/>
          <w:lang w:eastAsia="zh-HK"/>
        </w:rPr>
        <w:t>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XXXXXXX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w:t>
      </w:r>
      <w:r w:rsidRPr="00DE5108">
        <w:rPr>
          <w:rFonts w:ascii="Times New Roman" w:eastAsia="標楷體" w:hAnsi="Times New Roman" w:cs="Times New Roman"/>
          <w:szCs w:val="24"/>
          <w:lang w:eastAsia="zh-HK"/>
        </w:rPr>
        <w:t>, dated 11 August 2011, showing Net Chargeable Income of $2,564,645 with Tax Payable thereon of $417,989 is confirmed.</w:t>
      </w:r>
    </w:p>
    <w:p w14:paraId="3CEA3E70" w14:textId="77777777" w:rsidR="00DE5108" w:rsidRPr="00DE5108" w:rsidRDefault="00DE5108" w:rsidP="005F377B">
      <w:pPr>
        <w:widowControl/>
        <w:ind w:left="720"/>
        <w:jc w:val="both"/>
        <w:rPr>
          <w:rFonts w:ascii="Times New Roman" w:eastAsia="標楷體" w:hAnsi="Times New Roman" w:cs="Times New Roman"/>
          <w:kern w:val="0"/>
          <w:szCs w:val="24"/>
          <w:lang w:eastAsia="zh-CN"/>
        </w:rPr>
      </w:pPr>
    </w:p>
    <w:p w14:paraId="016A1A12" w14:textId="77777777" w:rsidR="00DE5108" w:rsidRDefault="00DE5108" w:rsidP="006C4964">
      <w:pPr>
        <w:widowControl/>
        <w:numPr>
          <w:ilvl w:val="0"/>
          <w:numId w:val="35"/>
        </w:numPr>
        <w:tabs>
          <w:tab w:val="left" w:pos="720"/>
        </w:tabs>
        <w:adjustRightInd w:val="0"/>
        <w:snapToGrid w:val="0"/>
        <w:ind w:leftChars="638" w:left="2107" w:hangingChars="240" w:hanging="576"/>
        <w:jc w:val="both"/>
        <w:rPr>
          <w:rFonts w:ascii="Times New Roman" w:eastAsia="標楷體" w:hAnsi="Times New Roman" w:cs="Times New Roman"/>
          <w:szCs w:val="24"/>
        </w:rPr>
      </w:pPr>
      <w:r w:rsidRPr="00DE5108">
        <w:rPr>
          <w:rFonts w:ascii="Times New Roman" w:eastAsia="標楷體" w:hAnsi="Times New Roman" w:cs="Times New Roman"/>
          <w:szCs w:val="24"/>
          <w:lang w:eastAsia="zh-HK"/>
        </w:rPr>
        <w:t xml:space="preserve">The Assessor’s refusal to correct the Salaries Tax Assessment for the year of assessment 2011/12 under section 70A of the IRO, dated 27 June 2019, is upheld and the Salaries Tax Assessment for the year of assessment 2011/12 under Refund Number </w:t>
      </w:r>
      <w:r w:rsidR="000C504B">
        <w:rPr>
          <w:rFonts w:ascii="Times New Roman" w:eastAsia="標楷體" w:hAnsi="Times New Roman" w:cs="Times New Roman"/>
          <w:szCs w:val="24"/>
          <w:lang w:eastAsia="zh-HK"/>
        </w:rPr>
        <w:t>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XXXXXXX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XX</w:t>
      </w:r>
      <w:r w:rsidR="000C504B" w:rsidRPr="00DE5108">
        <w:rPr>
          <w:rFonts w:ascii="Times New Roman" w:eastAsia="標楷體" w:hAnsi="Times New Roman" w:cs="Times New Roman"/>
          <w:szCs w:val="24"/>
          <w:lang w:eastAsia="zh-HK"/>
        </w:rPr>
        <w:t>-</w:t>
      </w:r>
      <w:r w:rsidR="000C504B">
        <w:rPr>
          <w:rFonts w:ascii="Times New Roman" w:eastAsia="標楷體" w:hAnsi="Times New Roman" w:cs="Times New Roman"/>
          <w:szCs w:val="24"/>
          <w:lang w:eastAsia="zh-HK"/>
        </w:rPr>
        <w:t>X</w:t>
      </w:r>
      <w:r w:rsidRPr="00DE5108">
        <w:rPr>
          <w:rFonts w:ascii="Times New Roman" w:eastAsia="標楷體" w:hAnsi="Times New Roman" w:cs="Times New Roman"/>
          <w:szCs w:val="24"/>
          <w:lang w:eastAsia="zh-HK"/>
        </w:rPr>
        <w:t>, dated 3 October 2012, showing Net Chargeable Income of $334,782 with Tax Payable thereon of $32,912 is confirmed.</w:t>
      </w:r>
    </w:p>
    <w:p w14:paraId="5E76CDAC" w14:textId="77777777" w:rsidR="00CD438A" w:rsidRPr="00DE5108" w:rsidRDefault="00CD438A" w:rsidP="00CD438A">
      <w:pPr>
        <w:widowControl/>
        <w:tabs>
          <w:tab w:val="left" w:pos="720"/>
        </w:tabs>
        <w:adjustRightInd w:val="0"/>
        <w:snapToGrid w:val="0"/>
        <w:jc w:val="both"/>
        <w:rPr>
          <w:rFonts w:ascii="Times New Roman" w:eastAsia="標楷體" w:hAnsi="Times New Roman" w:cs="Times New Roman"/>
          <w:szCs w:val="24"/>
        </w:rPr>
      </w:pPr>
    </w:p>
    <w:p w14:paraId="0EBD34FA" w14:textId="77777777" w:rsidR="00DE5108" w:rsidRP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b/>
          <w:bCs/>
          <w:kern w:val="0"/>
          <w:szCs w:val="24"/>
          <w:u w:val="single"/>
          <w:lang w:eastAsia="zh-HK"/>
        </w:rPr>
      </w:pPr>
      <w:r w:rsidRPr="00DE5108">
        <w:rPr>
          <w:rFonts w:ascii="Times New Roman" w:eastAsia="標楷體" w:hAnsi="Times New Roman" w:cs="Times New Roman"/>
          <w:kern w:val="0"/>
          <w:szCs w:val="24"/>
          <w:lang w:eastAsia="zh-HK"/>
        </w:rPr>
        <w:t>The Appellant was not satisfied with the Determination. By his letter of 4 February 2022, the Appellant filed a Notice of Appeal together with the requisite documents with the Board of Review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Board</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under section 66 of the IRO appealing against the Determination.</w:t>
      </w:r>
    </w:p>
    <w:p w14:paraId="0BA61292" w14:textId="77777777" w:rsidR="00DE5108" w:rsidRPr="00DE5108" w:rsidRDefault="00DE5108" w:rsidP="005F377B">
      <w:pPr>
        <w:widowControl/>
        <w:ind w:left="360"/>
        <w:jc w:val="both"/>
        <w:rPr>
          <w:rFonts w:ascii="Times New Roman" w:eastAsia="標楷體" w:hAnsi="Times New Roman" w:cs="Times New Roman"/>
          <w:b/>
          <w:bCs/>
          <w:kern w:val="0"/>
          <w:szCs w:val="24"/>
          <w:u w:val="single"/>
          <w:lang w:eastAsia="zh-HK"/>
        </w:rPr>
      </w:pPr>
    </w:p>
    <w:p w14:paraId="7D2323E8" w14:textId="77777777" w:rsidR="00DE5108" w:rsidRPr="001B3781" w:rsidRDefault="00DE5108" w:rsidP="005F377B">
      <w:pPr>
        <w:widowControl/>
        <w:jc w:val="both"/>
        <w:rPr>
          <w:rFonts w:ascii="Times New Roman" w:eastAsia="標楷體" w:hAnsi="Times New Roman" w:cs="Times New Roman"/>
          <w:b/>
          <w:bCs/>
          <w:kern w:val="0"/>
          <w:szCs w:val="24"/>
          <w:lang w:eastAsia="zh-HK"/>
        </w:rPr>
      </w:pPr>
      <w:r w:rsidRPr="001B3781">
        <w:rPr>
          <w:rFonts w:ascii="Times New Roman" w:eastAsia="標楷體" w:hAnsi="Times New Roman" w:cs="Times New Roman"/>
          <w:b/>
          <w:bCs/>
          <w:kern w:val="0"/>
          <w:szCs w:val="24"/>
          <w:lang w:eastAsia="zh-HK"/>
        </w:rPr>
        <w:t>Grounds of Appeal</w:t>
      </w:r>
    </w:p>
    <w:p w14:paraId="48257650" w14:textId="77777777" w:rsidR="00003CF2" w:rsidRPr="00DE5108" w:rsidRDefault="00003CF2" w:rsidP="005F377B">
      <w:pPr>
        <w:widowControl/>
        <w:jc w:val="both"/>
        <w:rPr>
          <w:rFonts w:ascii="Times New Roman" w:eastAsia="標楷體" w:hAnsi="Times New Roman" w:cs="Times New Roman"/>
          <w:b/>
          <w:bCs/>
          <w:kern w:val="0"/>
          <w:szCs w:val="24"/>
          <w:u w:val="single"/>
          <w:lang w:eastAsia="zh-HK"/>
        </w:rPr>
      </w:pPr>
    </w:p>
    <w:p w14:paraId="6038BECA" w14:textId="77777777" w:rsidR="00DE5108" w:rsidRPr="00003CF2"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b/>
          <w:bCs/>
          <w:kern w:val="0"/>
          <w:szCs w:val="24"/>
          <w:u w:val="single"/>
          <w:lang w:eastAsia="zh-HK"/>
        </w:rPr>
      </w:pPr>
      <w:r w:rsidRPr="00DE5108">
        <w:rPr>
          <w:rFonts w:ascii="Times New Roman" w:eastAsia="標楷體" w:hAnsi="Times New Roman" w:cs="Times New Roman"/>
          <w:kern w:val="0"/>
          <w:szCs w:val="24"/>
          <w:lang w:eastAsia="zh-HK"/>
        </w:rPr>
        <w:t>The Statement of Grounds of Appeal is consisted of 5 pages but major points can be summarized as follows: -</w:t>
      </w:r>
    </w:p>
    <w:p w14:paraId="7BFC4284" w14:textId="77777777" w:rsidR="00003CF2" w:rsidRPr="00DE5108" w:rsidRDefault="00003CF2" w:rsidP="00003CF2">
      <w:pPr>
        <w:widowControl/>
        <w:ind w:left="360"/>
        <w:jc w:val="both"/>
        <w:rPr>
          <w:rFonts w:ascii="Times New Roman" w:eastAsia="標楷體" w:hAnsi="Times New Roman" w:cs="Times New Roman"/>
          <w:b/>
          <w:bCs/>
          <w:kern w:val="0"/>
          <w:szCs w:val="24"/>
          <w:u w:val="single"/>
          <w:lang w:eastAsia="zh-HK"/>
        </w:rPr>
      </w:pPr>
    </w:p>
    <w:p w14:paraId="1790BAD1"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is a </w:t>
      </w:r>
      <w:r w:rsidR="00C649A4">
        <w:rPr>
          <w:rFonts w:ascii="Times New Roman" w:eastAsia="標楷體" w:hAnsi="Times New Roman" w:cs="Times New Roman"/>
          <w:kern w:val="0"/>
          <w:szCs w:val="24"/>
          <w:lang w:eastAsia="zh-HK"/>
        </w:rPr>
        <w:t>Country C</w:t>
      </w:r>
      <w:r w:rsidRPr="00DE5108">
        <w:rPr>
          <w:rFonts w:ascii="Times New Roman" w:eastAsia="標楷體" w:hAnsi="Times New Roman" w:cs="Times New Roman"/>
          <w:kern w:val="0"/>
          <w:szCs w:val="24"/>
          <w:lang w:eastAsia="zh-HK"/>
        </w:rPr>
        <w:t xml:space="preserve"> citizen with no Hong Kong tax knowledge and relied 100% on his tax representative to advise him on how to handle his tax affairs.</w:t>
      </w:r>
    </w:p>
    <w:p w14:paraId="265B96F4" w14:textId="77777777" w:rsidR="00003CF2" w:rsidRPr="00DE5108" w:rsidRDefault="00003CF2" w:rsidP="00003CF2">
      <w:pPr>
        <w:widowControl/>
        <w:ind w:left="720"/>
        <w:jc w:val="both"/>
        <w:rPr>
          <w:rFonts w:ascii="Times New Roman" w:eastAsia="標楷體" w:hAnsi="Times New Roman" w:cs="Times New Roman"/>
          <w:kern w:val="0"/>
          <w:szCs w:val="24"/>
          <w:lang w:eastAsia="zh-HK"/>
        </w:rPr>
      </w:pPr>
    </w:p>
    <w:p w14:paraId="22BADCDE"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He is the sole owner of the Company from which he derived all his income for the relevant years. </w:t>
      </w:r>
    </w:p>
    <w:p w14:paraId="75B7FC66"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2E5AC766"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When he applied for resident visa from the Immigration Department, he was advised to pay some tax in Hong Kong in order to strengthen the chance of renewing the visa to stay in Hong Kong.</w:t>
      </w:r>
    </w:p>
    <w:p w14:paraId="6BA04EB9"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7FF8F1A9"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He drew cash from the Company’s account to pay for Company’s expenses as well as personal expenses as this was the normal pattern of working style in </w:t>
      </w:r>
      <w:r w:rsidR="00C649A4">
        <w:rPr>
          <w:rFonts w:ascii="Times New Roman" w:eastAsia="標楷體" w:hAnsi="Times New Roman" w:cs="Times New Roman"/>
          <w:kern w:val="0"/>
          <w:szCs w:val="24"/>
          <w:lang w:eastAsia="zh-HK"/>
        </w:rPr>
        <w:t>Country C</w:t>
      </w:r>
      <w:r w:rsidRPr="00DE5108">
        <w:rPr>
          <w:rFonts w:ascii="Times New Roman" w:eastAsia="標楷體" w:hAnsi="Times New Roman" w:cs="Times New Roman"/>
          <w:kern w:val="0"/>
          <w:szCs w:val="24"/>
          <w:lang w:eastAsia="zh-HK"/>
        </w:rPr>
        <w:t>.</w:t>
      </w:r>
    </w:p>
    <w:p w14:paraId="0C5BD450"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39ECB48A"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Whenever there were big surplus cash in the company’s account, he transferred them into his own account thus the drawing for each year was substantial.</w:t>
      </w:r>
    </w:p>
    <w:p w14:paraId="48D6E3CE"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76EE2F39"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When he received the Salaries Tax returns, he sought advice from his tax representative and she advised that since salaries tax rate is lower than profits tax rate and personal income tax is more obvious evidence for visa purposes, it would be advantageous to report the profits under salaries tax and for simplicity, just to use the annual drawing as a basis to report as the salary income.</w:t>
      </w:r>
    </w:p>
    <w:p w14:paraId="2A96924C"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6D77395C"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In his case, the money received by him represented drawings and not income thus it should not be subject to salaries tax. Alternatively, the cash received differed from the income reported thus there were errors in the Salaries Tax returns previously submitted.</w:t>
      </w:r>
    </w:p>
    <w:p w14:paraId="11E070C4"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6A52C9DF"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director has no service contract with the Company thus he has no legal rights for accrual of income for any year of assessment. Nor was there any formal basis for accrual.</w:t>
      </w:r>
    </w:p>
    <w:p w14:paraId="05175279"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6AC392FE"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previous auditor and tax representative was ignorant, has erroneously advised the Company to put through the credit entry in the current account with director to raise the income to $1,200,000. This was evidence of erroneous advice.</w:t>
      </w:r>
    </w:p>
    <w:p w14:paraId="6BEB0C76"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334A042D"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When he does not have a salaries tax status, any benefit in kind could not be chargeable to Salaries Tax.</w:t>
      </w:r>
    </w:p>
    <w:p w14:paraId="398F0F2F"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404659F0" w14:textId="77777777" w:rsidR="00DE5108" w:rsidRDefault="003C432A"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He was advised by Mr</w:t>
      </w:r>
      <w:r w:rsidR="00DE5108" w:rsidRPr="00DE5108">
        <w:rPr>
          <w:rFonts w:ascii="Times New Roman" w:eastAsia="標楷體" w:hAnsi="Times New Roman" w:cs="Times New Roman"/>
          <w:kern w:val="0"/>
          <w:szCs w:val="24"/>
          <w:lang w:eastAsia="zh-HK"/>
        </w:rPr>
        <w:t xml:space="preserve"> Cheung of the Inland Revenue Department to make a claim of 70A in salaries tax as the facts and circumstances favored such application.</w:t>
      </w:r>
    </w:p>
    <w:p w14:paraId="65F51A30"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06FA80A7" w14:textId="77777777" w:rsidR="00DE5108" w:rsidRDefault="00DE5108" w:rsidP="0019000A">
      <w:pPr>
        <w:widowControl/>
        <w:numPr>
          <w:ilvl w:val="0"/>
          <w:numId w:val="1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It has taken nearly six years for the officers to consider the application and he presumed that they must have too many discussions, but no solid conclusion could be reached. They have therefore blimpishly rejected the application and made a vague determination and shifted the responsibility of determination to the Board of Review.</w:t>
      </w:r>
    </w:p>
    <w:p w14:paraId="532638A5" w14:textId="77777777" w:rsidR="00003CF2" w:rsidRPr="00DE5108" w:rsidRDefault="00003CF2" w:rsidP="00003CF2">
      <w:pPr>
        <w:widowControl/>
        <w:jc w:val="both"/>
        <w:rPr>
          <w:rFonts w:ascii="Times New Roman" w:eastAsia="標楷體" w:hAnsi="Times New Roman" w:cs="Times New Roman"/>
          <w:kern w:val="0"/>
          <w:szCs w:val="24"/>
          <w:lang w:eastAsia="zh-HK"/>
        </w:rPr>
      </w:pPr>
    </w:p>
    <w:p w14:paraId="7C57F1B2" w14:textId="77777777" w:rsidR="00DE5108" w:rsidRDefault="00DE5108" w:rsidP="0019000A">
      <w:pPr>
        <w:widowControl/>
        <w:ind w:left="2107"/>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There are other grounds or reasons set out in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Statement of Grounds of Appeal</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but we consider them as submissions. Nevertheless, in considering the appeal, we take into all the matters stated in the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Statement of Grounds of Appeal</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carefully and thoroughly.  </w:t>
      </w:r>
    </w:p>
    <w:p w14:paraId="54E03F1C" w14:textId="227DF992" w:rsidR="00003CF2" w:rsidRDefault="00003CF2" w:rsidP="00003CF2">
      <w:pPr>
        <w:widowControl/>
        <w:jc w:val="both"/>
        <w:rPr>
          <w:rFonts w:ascii="Times New Roman" w:eastAsia="標楷體" w:hAnsi="Times New Roman" w:cs="Times New Roman"/>
          <w:b/>
          <w:bCs/>
          <w:kern w:val="0"/>
          <w:szCs w:val="24"/>
          <w:u w:val="single"/>
          <w:lang w:eastAsia="zh-HK"/>
        </w:rPr>
      </w:pPr>
    </w:p>
    <w:p w14:paraId="55DC0AF0" w14:textId="270BF607" w:rsidR="001F6E71" w:rsidRDefault="001F6E71" w:rsidP="00003CF2">
      <w:pPr>
        <w:widowControl/>
        <w:jc w:val="both"/>
        <w:rPr>
          <w:rFonts w:ascii="Times New Roman" w:eastAsia="標楷體" w:hAnsi="Times New Roman" w:cs="Times New Roman"/>
          <w:b/>
          <w:bCs/>
          <w:kern w:val="0"/>
          <w:szCs w:val="24"/>
          <w:u w:val="single"/>
          <w:lang w:eastAsia="zh-HK"/>
        </w:rPr>
      </w:pPr>
    </w:p>
    <w:p w14:paraId="10EA3241" w14:textId="29CFF700" w:rsidR="001F6E71" w:rsidRDefault="001F6E71" w:rsidP="00003CF2">
      <w:pPr>
        <w:widowControl/>
        <w:jc w:val="both"/>
        <w:rPr>
          <w:rFonts w:ascii="Times New Roman" w:eastAsia="標楷體" w:hAnsi="Times New Roman" w:cs="Times New Roman"/>
          <w:b/>
          <w:bCs/>
          <w:kern w:val="0"/>
          <w:szCs w:val="24"/>
          <w:u w:val="single"/>
          <w:lang w:eastAsia="zh-HK"/>
        </w:rPr>
      </w:pPr>
    </w:p>
    <w:p w14:paraId="2A437D8A" w14:textId="477862C4" w:rsidR="001F6E71" w:rsidRDefault="001F6E71" w:rsidP="00003CF2">
      <w:pPr>
        <w:widowControl/>
        <w:jc w:val="both"/>
        <w:rPr>
          <w:rFonts w:ascii="Times New Roman" w:eastAsia="標楷體" w:hAnsi="Times New Roman" w:cs="Times New Roman"/>
          <w:b/>
          <w:bCs/>
          <w:kern w:val="0"/>
          <w:szCs w:val="24"/>
          <w:u w:val="single"/>
          <w:lang w:eastAsia="zh-HK"/>
        </w:rPr>
      </w:pPr>
    </w:p>
    <w:p w14:paraId="7071E21A" w14:textId="77777777" w:rsidR="001F6E71" w:rsidRPr="00DE5108" w:rsidRDefault="001F6E71" w:rsidP="00003CF2">
      <w:pPr>
        <w:widowControl/>
        <w:jc w:val="both"/>
        <w:rPr>
          <w:rFonts w:ascii="Times New Roman" w:eastAsia="標楷體" w:hAnsi="Times New Roman" w:cs="Times New Roman"/>
          <w:b/>
          <w:bCs/>
          <w:kern w:val="0"/>
          <w:szCs w:val="24"/>
          <w:u w:val="single"/>
          <w:lang w:eastAsia="zh-HK"/>
        </w:rPr>
      </w:pPr>
    </w:p>
    <w:p w14:paraId="39E20258" w14:textId="77777777" w:rsidR="00DE5108" w:rsidRPr="00BE17C0" w:rsidRDefault="00DE5108" w:rsidP="005F377B">
      <w:pPr>
        <w:widowControl/>
        <w:adjustRightInd w:val="0"/>
        <w:snapToGrid w:val="0"/>
        <w:rPr>
          <w:rFonts w:ascii="Times New Roman" w:eastAsia="標楷體" w:hAnsi="Times New Roman" w:cs="Times New Roman"/>
          <w:b/>
          <w:bCs/>
          <w:kern w:val="0"/>
          <w:szCs w:val="24"/>
          <w:lang w:eastAsia="zh-HK"/>
        </w:rPr>
      </w:pPr>
      <w:r w:rsidRPr="00BE17C0">
        <w:rPr>
          <w:rFonts w:ascii="Times New Roman" w:eastAsia="標楷體" w:hAnsi="Times New Roman" w:cs="Times New Roman"/>
          <w:b/>
          <w:bCs/>
          <w:kern w:val="0"/>
          <w:szCs w:val="24"/>
          <w:lang w:eastAsia="zh-HK"/>
        </w:rPr>
        <w:t>Issues</w:t>
      </w:r>
    </w:p>
    <w:p w14:paraId="2E80B666" w14:textId="77777777" w:rsidR="00003CF2" w:rsidRPr="00DE5108" w:rsidRDefault="00003CF2" w:rsidP="005F377B">
      <w:pPr>
        <w:widowControl/>
        <w:adjustRightInd w:val="0"/>
        <w:snapToGrid w:val="0"/>
        <w:rPr>
          <w:rFonts w:ascii="Times New Roman" w:eastAsia="標楷體" w:hAnsi="Times New Roman" w:cs="Times New Roman"/>
          <w:b/>
          <w:bCs/>
          <w:kern w:val="0"/>
          <w:szCs w:val="24"/>
          <w:u w:val="single"/>
          <w:lang w:eastAsia="zh-HK"/>
        </w:rPr>
      </w:pPr>
    </w:p>
    <w:p w14:paraId="1AE22506"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Having considered the background of the case and the grounds of appeal relied on by the Appellant, the Board feels that the issues for the Board to determine are therefore:</w:t>
      </w:r>
    </w:p>
    <w:p w14:paraId="70B312F8" w14:textId="77777777" w:rsidR="00003CF2" w:rsidRPr="00DE5108" w:rsidRDefault="00003CF2" w:rsidP="00003CF2">
      <w:pPr>
        <w:widowControl/>
        <w:adjustRightInd w:val="0"/>
        <w:snapToGrid w:val="0"/>
        <w:ind w:left="360"/>
        <w:jc w:val="both"/>
        <w:rPr>
          <w:rFonts w:ascii="Times New Roman" w:eastAsia="標楷體" w:hAnsi="Times New Roman" w:cs="Times New Roman"/>
          <w:kern w:val="0"/>
          <w:szCs w:val="24"/>
          <w:lang w:eastAsia="zh-HK"/>
        </w:rPr>
      </w:pPr>
    </w:p>
    <w:p w14:paraId="20EBB25A" w14:textId="77777777" w:rsidR="00DE5108" w:rsidRDefault="00DE5108" w:rsidP="00C543B0">
      <w:pPr>
        <w:widowControl/>
        <w:numPr>
          <w:ilvl w:val="0"/>
          <w:numId w:val="18"/>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whether the Subject Assessments become final and conclusive;  </w:t>
      </w:r>
    </w:p>
    <w:p w14:paraId="0D25DCB9" w14:textId="77777777" w:rsidR="00003CF2" w:rsidRPr="00DE5108" w:rsidRDefault="00003CF2" w:rsidP="00003CF2">
      <w:pPr>
        <w:widowControl/>
        <w:adjustRightInd w:val="0"/>
        <w:snapToGrid w:val="0"/>
        <w:ind w:left="360"/>
        <w:jc w:val="both"/>
        <w:rPr>
          <w:rFonts w:ascii="Times New Roman" w:eastAsia="標楷體" w:hAnsi="Times New Roman" w:cs="Times New Roman"/>
          <w:kern w:val="0"/>
          <w:szCs w:val="24"/>
          <w:lang w:eastAsia="zh-HK"/>
        </w:rPr>
      </w:pPr>
    </w:p>
    <w:p w14:paraId="00915743" w14:textId="77777777" w:rsidR="00DE5108" w:rsidRDefault="00DE5108" w:rsidP="00920A7E">
      <w:pPr>
        <w:widowControl/>
        <w:numPr>
          <w:ilvl w:val="0"/>
          <w:numId w:val="18"/>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if so, whether they can be re-opened by virtue of section 70A of the IRO; and  </w:t>
      </w:r>
    </w:p>
    <w:p w14:paraId="62CD65B4" w14:textId="77777777" w:rsidR="00003CF2" w:rsidRPr="00DE5108" w:rsidRDefault="00003CF2" w:rsidP="00003CF2">
      <w:pPr>
        <w:widowControl/>
        <w:adjustRightInd w:val="0"/>
        <w:snapToGrid w:val="0"/>
        <w:jc w:val="both"/>
        <w:rPr>
          <w:rFonts w:ascii="Times New Roman" w:eastAsia="標楷體" w:hAnsi="Times New Roman" w:cs="Times New Roman"/>
          <w:kern w:val="0"/>
          <w:szCs w:val="24"/>
          <w:lang w:eastAsia="zh-HK"/>
        </w:rPr>
      </w:pPr>
    </w:p>
    <w:p w14:paraId="7CC3855A" w14:textId="77777777" w:rsidR="00DE5108" w:rsidRDefault="00DE5108" w:rsidP="00920A7E">
      <w:pPr>
        <w:widowControl/>
        <w:numPr>
          <w:ilvl w:val="0"/>
          <w:numId w:val="18"/>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CN"/>
        </w:rPr>
        <w:t xml:space="preserve">whether the Additional Salaries Tax Assessment for 2008/09 is excessive. </w:t>
      </w:r>
    </w:p>
    <w:p w14:paraId="73DFC6A0" w14:textId="77777777" w:rsidR="00003CF2" w:rsidRPr="00DE5108" w:rsidRDefault="00003CF2" w:rsidP="00003CF2">
      <w:pPr>
        <w:widowControl/>
        <w:adjustRightInd w:val="0"/>
        <w:snapToGrid w:val="0"/>
        <w:jc w:val="both"/>
        <w:rPr>
          <w:rFonts w:ascii="Times New Roman" w:eastAsia="標楷體" w:hAnsi="Times New Roman" w:cs="Times New Roman"/>
          <w:kern w:val="0"/>
          <w:szCs w:val="24"/>
          <w:lang w:eastAsia="zh-HK"/>
        </w:rPr>
      </w:pPr>
    </w:p>
    <w:p w14:paraId="6AD3EEEB" w14:textId="77777777" w:rsidR="00DE5108" w:rsidRPr="00FD0C90" w:rsidRDefault="00DE5108" w:rsidP="005F377B">
      <w:pPr>
        <w:widowControl/>
        <w:adjustRightInd w:val="0"/>
        <w:snapToGrid w:val="0"/>
        <w:jc w:val="both"/>
        <w:rPr>
          <w:rFonts w:ascii="Times New Roman" w:eastAsia="標楷體" w:hAnsi="Times New Roman" w:cs="Times New Roman"/>
          <w:b/>
          <w:bCs/>
          <w:kern w:val="0"/>
          <w:szCs w:val="24"/>
          <w:lang w:eastAsia="zh-HK"/>
        </w:rPr>
      </w:pPr>
      <w:r w:rsidRPr="00FD0C90">
        <w:rPr>
          <w:rFonts w:ascii="Times New Roman" w:eastAsia="標楷體" w:hAnsi="Times New Roman" w:cs="Times New Roman"/>
          <w:b/>
          <w:bCs/>
          <w:kern w:val="0"/>
          <w:szCs w:val="24"/>
          <w:lang w:eastAsia="zh-HK"/>
        </w:rPr>
        <w:t>Undisputed Facts of the Case</w:t>
      </w:r>
    </w:p>
    <w:p w14:paraId="5F81A4E1" w14:textId="77777777" w:rsidR="00913558" w:rsidRPr="00DE5108" w:rsidRDefault="00913558" w:rsidP="005F377B">
      <w:pPr>
        <w:widowControl/>
        <w:adjustRightInd w:val="0"/>
        <w:snapToGrid w:val="0"/>
        <w:jc w:val="both"/>
        <w:rPr>
          <w:rFonts w:ascii="Times New Roman" w:eastAsia="標楷體" w:hAnsi="Times New Roman" w:cs="Times New Roman"/>
          <w:b/>
          <w:bCs/>
          <w:kern w:val="0"/>
          <w:szCs w:val="24"/>
          <w:u w:val="single"/>
          <w:lang w:eastAsia="zh-HK"/>
        </w:rPr>
      </w:pPr>
    </w:p>
    <w:p w14:paraId="0B9F4128"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statements made in paragraph 1 to paragraph 14 hereof were from the section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Facts upon which the Determination was arrived at</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of the Determination or from the correspondences exchanged between the Appellant or its tax representatives with the Respondent or documents submitted by the Appellant or its tax representatives or from the documents in the bundles. The documents and correspondences were not objected to nor disputed by the Appellant. </w:t>
      </w:r>
    </w:p>
    <w:p w14:paraId="779340D8" w14:textId="77777777" w:rsidR="007E4825" w:rsidRPr="00DE5108" w:rsidRDefault="007E4825" w:rsidP="007E4825">
      <w:pPr>
        <w:widowControl/>
        <w:adjustRightInd w:val="0"/>
        <w:snapToGrid w:val="0"/>
        <w:ind w:left="360"/>
        <w:jc w:val="both"/>
        <w:rPr>
          <w:rFonts w:ascii="Times New Roman" w:eastAsia="標楷體" w:hAnsi="Times New Roman" w:cs="Times New Roman"/>
          <w:kern w:val="0"/>
          <w:szCs w:val="24"/>
          <w:lang w:eastAsia="zh-HK"/>
        </w:rPr>
      </w:pPr>
    </w:p>
    <w:p w14:paraId="672B89D7"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parties had not come to an agreement on the facts of the case prior to the hearing. In order to sort out the Appellant’s complaints on the Determination, the Board went through the Determination with the Appellant paragraph by paragraph with a view to narrowing down the disputed facts. At first, the Appellant indicated that he objected to paragraph 5 hereof and paragraph 8(d), paragraph 8(f) and paragraph 8(g) hereof. After hearing his reasons, the Board found that he just wished to give more information on the said paragraphs. As a matter of fact, he did not object thereto. As such, we find the statements set out in paragraph 1 to paragraph 14 hereof form part of the facts of the Appeal.</w:t>
      </w:r>
    </w:p>
    <w:p w14:paraId="0C53E230"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09190031"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For completeness, we also find the following facts as undisputed facts of the case:</w:t>
      </w:r>
    </w:p>
    <w:p w14:paraId="1F29067C"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03EA7CBF" w14:textId="77777777" w:rsidR="00DE5108" w:rsidRDefault="00100857" w:rsidP="0052040C">
      <w:pPr>
        <w:widowControl/>
        <w:numPr>
          <w:ilvl w:val="0"/>
          <w:numId w:val="16"/>
        </w:numPr>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bCs/>
          <w:kern w:val="0"/>
          <w:szCs w:val="24"/>
          <w:lang w:eastAsia="zh-HK"/>
        </w:rPr>
        <w:t>Company A</w:t>
      </w:r>
      <w:r w:rsidR="00DE5108" w:rsidRPr="00DE5108">
        <w:rPr>
          <w:rFonts w:ascii="Times New Roman" w:eastAsia="標楷體" w:hAnsi="Times New Roman" w:cs="Times New Roman"/>
          <w:bCs/>
          <w:kern w:val="0"/>
          <w:szCs w:val="24"/>
          <w:lang w:eastAsia="zh-HK"/>
        </w:rPr>
        <w:t xml:space="preserve"> is </w:t>
      </w:r>
      <w:r w:rsidR="00DE5108" w:rsidRPr="00DE5108">
        <w:rPr>
          <w:rFonts w:ascii="Times New Roman" w:eastAsia="標楷體" w:hAnsi="Times New Roman" w:cs="Times New Roman"/>
          <w:kern w:val="0"/>
          <w:szCs w:val="24"/>
          <w:lang w:eastAsia="zh-HK"/>
        </w:rPr>
        <w:t xml:space="preserve">company incorporated in Hong Kong </w:t>
      </w:r>
      <w:r w:rsidR="00664DBB">
        <w:rPr>
          <w:rFonts w:ascii="Times New Roman" w:eastAsia="標楷體" w:hAnsi="Times New Roman" w:cs="Times New Roman"/>
          <w:kern w:val="0"/>
          <w:szCs w:val="24"/>
          <w:lang w:eastAsia="zh-HK"/>
        </w:rPr>
        <w:t>in</w:t>
      </w:r>
      <w:r w:rsidR="00DE5108" w:rsidRPr="00DE5108">
        <w:rPr>
          <w:rFonts w:ascii="Times New Roman" w:eastAsia="標楷體" w:hAnsi="Times New Roman" w:cs="Times New Roman"/>
          <w:kern w:val="0"/>
          <w:szCs w:val="24"/>
          <w:lang w:eastAsia="zh-HK"/>
        </w:rPr>
        <w:t xml:space="preserve"> 2003. Its </w:t>
      </w:r>
      <w:r w:rsidR="00DE5108" w:rsidRPr="00DE5108">
        <w:rPr>
          <w:rFonts w:ascii="Times New Roman" w:eastAsia="標楷體" w:hAnsi="Times New Roman" w:cs="Times New Roman"/>
          <w:kern w:val="0"/>
          <w:szCs w:val="24"/>
          <w:lang w:eastAsia="zh-CN"/>
        </w:rPr>
        <w:t xml:space="preserve">principal activities included acting as a property agent and providing property consulting services.  It had a business address in Hong Kong.  The Company </w:t>
      </w:r>
      <w:r w:rsidR="00DE5108" w:rsidRPr="00DE5108">
        <w:rPr>
          <w:rFonts w:ascii="Times New Roman" w:eastAsia="標楷體" w:hAnsi="Times New Roman" w:cs="Times New Roman"/>
          <w:kern w:val="0"/>
          <w:szCs w:val="24"/>
          <w:lang w:eastAsia="zh-HK"/>
        </w:rPr>
        <w:t>closed its accounts on 31 December annually.</w:t>
      </w:r>
    </w:p>
    <w:p w14:paraId="55C0599E" w14:textId="77777777" w:rsidR="007E4825" w:rsidRPr="00DE5108" w:rsidRDefault="007E4825" w:rsidP="007E4825">
      <w:pPr>
        <w:widowControl/>
        <w:adjustRightInd w:val="0"/>
        <w:snapToGrid w:val="0"/>
        <w:ind w:left="720"/>
        <w:jc w:val="both"/>
        <w:rPr>
          <w:rFonts w:ascii="Times New Roman" w:eastAsia="標楷體" w:hAnsi="Times New Roman" w:cs="Times New Roman"/>
          <w:kern w:val="0"/>
          <w:szCs w:val="24"/>
          <w:lang w:eastAsia="zh-HK"/>
        </w:rPr>
      </w:pPr>
    </w:p>
    <w:p w14:paraId="4F3ADF02" w14:textId="77777777" w:rsidR="00DE5108" w:rsidRDefault="00DE5108" w:rsidP="0052040C">
      <w:pPr>
        <w:widowControl/>
        <w:numPr>
          <w:ilvl w:val="0"/>
          <w:numId w:val="16"/>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At the relevant times, the Appellant was a director and shareholder of the Company.</w:t>
      </w:r>
    </w:p>
    <w:p w14:paraId="208A3D0D"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7254CFB8" w14:textId="77777777" w:rsidR="00DE5108" w:rsidRDefault="00DE5108" w:rsidP="0052040C">
      <w:pPr>
        <w:widowControl/>
        <w:numPr>
          <w:ilvl w:val="0"/>
          <w:numId w:val="16"/>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is a </w:t>
      </w:r>
      <w:r w:rsidR="006D5FEC">
        <w:rPr>
          <w:rFonts w:ascii="Times New Roman" w:eastAsia="標楷體" w:hAnsi="Times New Roman" w:cs="Times New Roman"/>
          <w:kern w:val="0"/>
          <w:szCs w:val="24"/>
          <w:lang w:eastAsia="zh-HK"/>
        </w:rPr>
        <w:t>citizen of c</w:t>
      </w:r>
      <w:r w:rsidR="00C649A4">
        <w:rPr>
          <w:rFonts w:ascii="Times New Roman" w:eastAsia="標楷體" w:hAnsi="Times New Roman" w:cs="Times New Roman"/>
          <w:kern w:val="0"/>
          <w:szCs w:val="24"/>
          <w:lang w:eastAsia="zh-HK"/>
        </w:rPr>
        <w:t>ountry C</w:t>
      </w:r>
      <w:r w:rsidRPr="00DE5108">
        <w:rPr>
          <w:rFonts w:ascii="Times New Roman" w:eastAsia="標楷體" w:hAnsi="Times New Roman" w:cs="Times New Roman"/>
          <w:kern w:val="0"/>
          <w:szCs w:val="24"/>
          <w:lang w:eastAsia="zh-HK"/>
        </w:rPr>
        <w:t xml:space="preserve">, His wife is </w:t>
      </w:r>
      <w:r w:rsidR="006D2A0C">
        <w:rPr>
          <w:rFonts w:ascii="Times New Roman" w:eastAsia="標楷體" w:hAnsi="Times New Roman" w:cs="Times New Roman"/>
          <w:kern w:val="0"/>
          <w:szCs w:val="24"/>
          <w:lang w:eastAsia="zh-HK"/>
        </w:rPr>
        <w:t>Ms D</w:t>
      </w:r>
      <w:r w:rsidRPr="00DE5108">
        <w:rPr>
          <w:rFonts w:ascii="Times New Roman" w:eastAsia="標楷體" w:hAnsi="Times New Roman" w:cs="Times New Roman"/>
          <w:kern w:val="0"/>
          <w:szCs w:val="24"/>
          <w:lang w:eastAsia="zh-HK"/>
        </w:rPr>
        <w:t xml:space="preserve">. </w:t>
      </w:r>
    </w:p>
    <w:p w14:paraId="3AB1C84B" w14:textId="77777777" w:rsidR="007E4825" w:rsidRPr="00DE5108" w:rsidRDefault="007E4825" w:rsidP="007E4825">
      <w:pPr>
        <w:widowControl/>
        <w:tabs>
          <w:tab w:val="left" w:pos="690"/>
          <w:tab w:val="left" w:pos="1418"/>
        </w:tabs>
        <w:ind w:left="360"/>
        <w:jc w:val="both"/>
        <w:rPr>
          <w:rFonts w:ascii="Times New Roman" w:eastAsia="標楷體" w:hAnsi="Times New Roman" w:cs="Times New Roman"/>
          <w:kern w:val="0"/>
          <w:szCs w:val="24"/>
          <w:lang w:eastAsia="zh-HK"/>
        </w:rPr>
      </w:pPr>
    </w:p>
    <w:p w14:paraId="515DC83A" w14:textId="77777777" w:rsidR="00DE5108" w:rsidRDefault="006D2A0C" w:rsidP="0052040C">
      <w:pPr>
        <w:widowControl/>
        <w:numPr>
          <w:ilvl w:val="0"/>
          <w:numId w:val="16"/>
        </w:numPr>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Ms D</w:t>
      </w:r>
      <w:r w:rsidR="00DE5108" w:rsidRPr="00DE5108">
        <w:rPr>
          <w:rFonts w:ascii="Times New Roman" w:eastAsia="標楷體" w:hAnsi="Times New Roman" w:cs="Times New Roman"/>
          <w:kern w:val="0"/>
          <w:szCs w:val="24"/>
          <w:lang w:eastAsia="zh-HK"/>
        </w:rPr>
        <w:t xml:space="preserve"> had been the registered owner of a property located at </w:t>
      </w:r>
      <w:r w:rsidR="00DA6183">
        <w:rPr>
          <w:rFonts w:ascii="Times New Roman" w:eastAsia="標楷體" w:hAnsi="Times New Roman" w:cs="Times New Roman"/>
          <w:kern w:val="0"/>
          <w:szCs w:val="24"/>
          <w:lang w:eastAsia="zh-HK"/>
        </w:rPr>
        <w:t>Address E</w:t>
      </w:r>
      <w:r w:rsidR="00DE5108" w:rsidRPr="00DE5108">
        <w:rPr>
          <w:rFonts w:ascii="Times New Roman" w:eastAsia="標楷體" w:hAnsi="Times New Roman" w:cs="Times New Roman"/>
          <w:kern w:val="0"/>
          <w:szCs w:val="24"/>
          <w:lang w:eastAsia="zh-HK"/>
        </w:rPr>
        <w:t xml:space="preserve"> (</w:t>
      </w:r>
      <w:r w:rsidR="00D264CC">
        <w:rPr>
          <w:rFonts w:ascii="Times New Roman" w:eastAsia="標楷體" w:hAnsi="Times New Roman" w:cs="Times New Roman"/>
          <w:kern w:val="0"/>
          <w:szCs w:val="24"/>
          <w:lang w:eastAsia="zh-HK"/>
        </w:rPr>
        <w:t>‘</w:t>
      </w:r>
      <w:r w:rsidR="00DE5108" w:rsidRPr="0046643F">
        <w:rPr>
          <w:rFonts w:ascii="Times New Roman" w:eastAsia="標楷體" w:hAnsi="Times New Roman" w:cs="Times New Roman"/>
          <w:bCs/>
          <w:kern w:val="0"/>
          <w:szCs w:val="24"/>
          <w:lang w:eastAsia="zh-HK"/>
        </w:rPr>
        <w:t>the Property</w:t>
      </w:r>
      <w:r w:rsidR="00D264CC">
        <w:rPr>
          <w:rFonts w:ascii="Times New Roman" w:eastAsia="標楷體" w:hAnsi="Times New Roman" w:cs="Times New Roman"/>
          <w:kern w:val="0"/>
          <w:szCs w:val="24"/>
          <w:lang w:eastAsia="zh-HK"/>
        </w:rPr>
        <w:t>’</w:t>
      </w:r>
      <w:r w:rsidR="00DE5108" w:rsidRPr="00DE5108">
        <w:rPr>
          <w:rFonts w:ascii="Times New Roman" w:eastAsia="標楷體" w:hAnsi="Times New Roman" w:cs="Times New Roman"/>
          <w:kern w:val="0"/>
          <w:szCs w:val="24"/>
          <w:lang w:eastAsia="zh-HK"/>
        </w:rPr>
        <w:t xml:space="preserve">) since </w:t>
      </w:r>
      <w:r w:rsidR="00DA6183">
        <w:rPr>
          <w:rFonts w:ascii="Times New Roman" w:eastAsia="標楷體" w:hAnsi="Times New Roman" w:cs="Times New Roman"/>
          <w:kern w:val="0"/>
          <w:szCs w:val="24"/>
          <w:lang w:eastAsia="zh-HK"/>
        </w:rPr>
        <w:t>XX</w:t>
      </w:r>
      <w:r w:rsidR="00DE5108" w:rsidRPr="00DE5108">
        <w:rPr>
          <w:rFonts w:ascii="Times New Roman" w:eastAsia="標楷體" w:hAnsi="Times New Roman" w:cs="Times New Roman"/>
          <w:kern w:val="0"/>
          <w:szCs w:val="24"/>
          <w:lang w:eastAsia="zh-HK"/>
        </w:rPr>
        <w:t xml:space="preserve"> August 2008 before its sale in 2018. </w:t>
      </w:r>
    </w:p>
    <w:p w14:paraId="15D730E4"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7B7B49CE" w14:textId="77777777" w:rsidR="007E4825" w:rsidRPr="001B1FCD" w:rsidRDefault="00DE5108" w:rsidP="005F377B">
      <w:pPr>
        <w:widowControl/>
        <w:adjustRightInd w:val="0"/>
        <w:snapToGrid w:val="0"/>
        <w:rPr>
          <w:rFonts w:ascii="Times New Roman" w:eastAsia="標楷體" w:hAnsi="Times New Roman" w:cs="Times New Roman"/>
          <w:b/>
          <w:bCs/>
          <w:kern w:val="0"/>
          <w:szCs w:val="24"/>
          <w:lang w:eastAsia="zh-HK"/>
        </w:rPr>
      </w:pPr>
      <w:r w:rsidRPr="001B1FCD">
        <w:rPr>
          <w:rFonts w:ascii="Times New Roman" w:eastAsia="標楷體" w:hAnsi="Times New Roman" w:cs="Times New Roman"/>
          <w:b/>
          <w:bCs/>
          <w:kern w:val="0"/>
          <w:szCs w:val="24"/>
          <w:lang w:eastAsia="zh-HK"/>
        </w:rPr>
        <w:t>The testimony of Mr</w:t>
      </w:r>
      <w:r w:rsidR="00440E35" w:rsidRPr="001B1FCD">
        <w:rPr>
          <w:rFonts w:ascii="Times New Roman" w:eastAsia="標楷體" w:hAnsi="Times New Roman" w:cs="Times New Roman"/>
          <w:b/>
          <w:bCs/>
          <w:kern w:val="0"/>
          <w:szCs w:val="24"/>
          <w:lang w:eastAsia="zh-HK"/>
        </w:rPr>
        <w:t xml:space="preserve"> B</w:t>
      </w:r>
    </w:p>
    <w:p w14:paraId="43CB5FC4" w14:textId="77777777" w:rsidR="007E4825" w:rsidRPr="00DE5108" w:rsidRDefault="007E4825" w:rsidP="005F377B">
      <w:pPr>
        <w:widowControl/>
        <w:adjustRightInd w:val="0"/>
        <w:snapToGrid w:val="0"/>
        <w:rPr>
          <w:rFonts w:ascii="Times New Roman" w:eastAsia="標楷體" w:hAnsi="Times New Roman" w:cs="Times New Roman"/>
          <w:b/>
          <w:bCs/>
          <w:kern w:val="0"/>
          <w:szCs w:val="24"/>
          <w:u w:val="single"/>
          <w:lang w:eastAsia="zh-HK"/>
        </w:rPr>
      </w:pPr>
    </w:p>
    <w:p w14:paraId="6C25CCD3" w14:textId="77777777" w:rsidR="00DE5108" w:rsidRDefault="00DE5108" w:rsidP="0064023C">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testified before the Board under oath. He called no other witness at the hearing. </w:t>
      </w:r>
    </w:p>
    <w:p w14:paraId="012FA6B4" w14:textId="77777777" w:rsidR="007E4825" w:rsidRPr="00DE5108" w:rsidRDefault="007E4825" w:rsidP="007E4825">
      <w:pPr>
        <w:widowControl/>
        <w:adjustRightInd w:val="0"/>
        <w:snapToGrid w:val="0"/>
        <w:ind w:left="360"/>
        <w:jc w:val="both"/>
        <w:rPr>
          <w:rFonts w:ascii="Times New Roman" w:eastAsia="標楷體" w:hAnsi="Times New Roman" w:cs="Times New Roman"/>
          <w:kern w:val="0"/>
          <w:szCs w:val="24"/>
          <w:lang w:eastAsia="zh-HK"/>
        </w:rPr>
      </w:pPr>
    </w:p>
    <w:p w14:paraId="1C1AF82C" w14:textId="77777777" w:rsidR="00DE5108" w:rsidRDefault="00DE5108" w:rsidP="00023E67">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following is the summary of the Appellant’s testimony given at the hearing:</w:t>
      </w:r>
    </w:p>
    <w:p w14:paraId="51AF6CFA"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51F4929E" w14:textId="77777777" w:rsidR="00DE5108" w:rsidRDefault="00DE5108" w:rsidP="007C48C8">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He confirmed paragraph 1 to paragraph 14 hereof save that he had given further comments on paragraph 5 and paragraph 8(d), (f) and (g) hereof.</w:t>
      </w:r>
    </w:p>
    <w:p w14:paraId="2EA986D3" w14:textId="77777777" w:rsidR="007E4825" w:rsidRPr="00DE5108" w:rsidRDefault="007E4825" w:rsidP="007E4825">
      <w:pPr>
        <w:widowControl/>
        <w:adjustRightInd w:val="0"/>
        <w:snapToGrid w:val="0"/>
        <w:ind w:left="720"/>
        <w:jc w:val="both"/>
        <w:rPr>
          <w:rFonts w:ascii="Times New Roman" w:eastAsia="標楷體" w:hAnsi="Times New Roman" w:cs="Times New Roman"/>
          <w:kern w:val="0"/>
          <w:szCs w:val="24"/>
          <w:lang w:eastAsia="zh-HK"/>
        </w:rPr>
      </w:pPr>
    </w:p>
    <w:p w14:paraId="38A614CF"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Originally, he objected to the statement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the Subject Assessments became final and conclusive in terms of section 70 of the IRO’ in paragraph 4 hereof which is in paragraph 6 of the Determination. Given the fact that it is a matter for the Board to decide, it is fair that such statement should not become fact undisputed by the Appellant.</w:t>
      </w:r>
    </w:p>
    <w:p w14:paraId="56791FF7"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7FCC2D9A"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bCs/>
          <w:kern w:val="0"/>
          <w:szCs w:val="24"/>
          <w:lang w:eastAsia="zh-HK"/>
        </w:rPr>
      </w:pPr>
      <w:r w:rsidRPr="00DE5108">
        <w:rPr>
          <w:rFonts w:ascii="Times New Roman" w:eastAsia="標楷體" w:hAnsi="Times New Roman" w:cs="Times New Roman"/>
          <w:kern w:val="0"/>
          <w:szCs w:val="24"/>
          <w:lang w:eastAsia="zh-HK"/>
        </w:rPr>
        <w:t xml:space="preserve">In respect paragraph 8(d) hereof, the Appellant said that he had no pay roll with the Company. He was asked by the assessor to give a breakdown. That explained why he made this one to the assessor. He stressed that there was no monthly payment to him. In respect of paragraph 8(f) hereof, he used the wrong trial balance, so the figures were not correct. In respect of 8(g) hereof, the Appellant said there was a discrepancy between the figures because there was an adjustment of $1,120,000 as his drawing was only $80,000. If we looked at paragraph 11(d) hereof (which is paragraph 14(d) of the Determination), </w:t>
      </w:r>
      <w:r w:rsidRPr="00DE5108">
        <w:rPr>
          <w:rFonts w:ascii="Times New Roman" w:eastAsia="標楷體" w:hAnsi="Times New Roman" w:cs="Times New Roman"/>
          <w:bCs/>
          <w:kern w:val="0"/>
          <w:szCs w:val="24"/>
          <w:lang w:eastAsia="zh-HK"/>
        </w:rPr>
        <w:t xml:space="preserve">we could find that the actual drawdown on that year was only $80,000 but finally $1.2 million had been charged. Actually, they were just numbers only. It did not like actual salary. So, they should not be considered as the salary. </w:t>
      </w:r>
    </w:p>
    <w:p w14:paraId="56FE7C35" w14:textId="77777777" w:rsidR="007E4825" w:rsidRPr="00DE5108" w:rsidRDefault="007E4825" w:rsidP="007E4825">
      <w:pPr>
        <w:widowControl/>
        <w:adjustRightInd w:val="0"/>
        <w:snapToGrid w:val="0"/>
        <w:jc w:val="both"/>
        <w:rPr>
          <w:rFonts w:ascii="Times New Roman" w:eastAsia="標楷體" w:hAnsi="Times New Roman" w:cs="Times New Roman"/>
          <w:bCs/>
          <w:kern w:val="0"/>
          <w:szCs w:val="24"/>
          <w:lang w:eastAsia="zh-HK"/>
        </w:rPr>
      </w:pPr>
    </w:p>
    <w:p w14:paraId="7BEFE27B"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said for salary tax-wise, basically as the owner and director, he used to draw down the cash whenever he needed, also by cheque to his personal account to cover his family’s living expenses. </w:t>
      </w:r>
    </w:p>
    <w:p w14:paraId="3CD071BC"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23A80640"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Although he maintained the salaries tax, he was benefitted 1.5 percent tax rate difference. But the IRD could add back this one to the profits tax of the Company and they could open the cases for proper calculation of the profits tax and then also salaries tax. So, in respect of paragraph 8(g) hereof, they should not perceive the sum as the salaries.</w:t>
      </w:r>
    </w:p>
    <w:p w14:paraId="00048DA3"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49BA4529"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was referred to the notes of the Company’s audited report for 2008 to 2011 by Ms Wong which stated that the audited financial statements had been prepared under the accrual basis of accounting. He was asked to confirm whether the Company’s income and expenses including director’s remuneration were booked in the audited financial statements on accrual basis. The Appellant said the Company did not have double entry. He just used the bank statements and the single entry only. For him, he did not have any accrual basis. He agreed that the audited reports were wrong in this regard.</w:t>
      </w:r>
    </w:p>
    <w:p w14:paraId="09FC106A"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260E5DAB"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further commented that he did not make any accrual because he did not understand the audited reports, their contents and details. He only prepared the bank statements, the list of transactions by the bank statements and then gave to the auditor. He only used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cash basis</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The auditors prepared all these things. He only trusted his auditors. He could not say whether they were right or wrong. He simply signed the relevant pages of the audited reports. The auditors handled everything.</w:t>
      </w:r>
    </w:p>
    <w:p w14:paraId="102C3494"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0AE9C1E0"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He admitted that it was his fault in signing the audited report which he did not quite understand their exact meanings.</w:t>
      </w:r>
    </w:p>
    <w:p w14:paraId="44BF5304"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7AE09378"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When he was asked why he confirmed the audited reports were true and correct, the Appellant said he only looked at the balance sheet and then the income statement. He did not actually read other things in the reports. He only counted on his auditors.</w:t>
      </w:r>
    </w:p>
    <w:p w14:paraId="14866CB1"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04046CCA"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He was under the impression that he could not challenge his own auditors in 2012 though he could distinguish the meaning of accrual and cash basis.</w:t>
      </w:r>
    </w:p>
    <w:p w14:paraId="38CE347C"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59C04E3D"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He confirmed that the contents of the audited reports were not correct as he did not check the figures at 2012. He only spent time to understand the reports after the IRD issued additional assessment to him.</w:t>
      </w:r>
    </w:p>
    <w:p w14:paraId="41866828"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5C5692E2"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was referred to page 23 of R1 Bundle (the Company’s audited reports for 2008/09) where it stated the salary of director being $7,847,500.00. He confirmed that the report was correct when he signed the same in 2012. When he was asked whether the director’s salary of $7,847,500.00 was correct, he said the amount did not match with the ledger so it was wrong. That was his mistake to sign the report.</w:t>
      </w:r>
    </w:p>
    <w:p w14:paraId="004DC577"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429D2625"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When the Appellant was asked what happened when he signed the audited report, he said it was really rush because the CPA told him that it was so. So at that time, he did not know the details or exact understanding of the salaries.</w:t>
      </w:r>
    </w:p>
    <w:p w14:paraId="21CD30F6"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57DC1539"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said each year he only gave the bank statements and documents to his auditors. The auditors would group them together and calculated the director’s salary. He also gave the employer tax return IR 56B to his auditor for her calculation. He though it was salary but after discussion with his current tax representative Mr Leung, this should not be salary. It was some sorts of drawings from the Company’s account.</w:t>
      </w:r>
    </w:p>
    <w:p w14:paraId="31270CF7"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422930BA"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said during a meeting with the IRD staff (together with </w:t>
      </w:r>
      <w:r w:rsidR="00940D94">
        <w:rPr>
          <w:rFonts w:ascii="Times New Roman" w:eastAsia="標楷體" w:hAnsi="Times New Roman" w:cs="Times New Roman"/>
          <w:kern w:val="0"/>
          <w:szCs w:val="24"/>
          <w:lang w:eastAsia="zh-HK"/>
        </w:rPr>
        <w:t>Mr Leung</w:t>
      </w:r>
      <w:r w:rsidRPr="00DE5108">
        <w:rPr>
          <w:rFonts w:ascii="Times New Roman" w:eastAsia="標楷體" w:hAnsi="Times New Roman" w:cs="Times New Roman"/>
          <w:kern w:val="0"/>
          <w:szCs w:val="24"/>
          <w:lang w:eastAsia="zh-HK"/>
        </w:rPr>
        <w:t xml:space="preserve">), the officer in charge actually gave him the advice the estimated assessments for the profits tax could not be re-opened again for new assessment. He advised him to go for the salary tax and all salary tax could be added back to the profits tax. Based on his advice, he lodged the claims not only for the profits tax assessments, but also the salary tax assessments. He said according to the officer and </w:t>
      </w:r>
      <w:r w:rsidR="00940D94">
        <w:rPr>
          <w:rFonts w:ascii="Times New Roman" w:eastAsia="標楷體" w:hAnsi="Times New Roman" w:cs="Times New Roman"/>
          <w:kern w:val="0"/>
          <w:szCs w:val="24"/>
          <w:lang w:eastAsia="zh-HK"/>
        </w:rPr>
        <w:t>Mr Leung</w:t>
      </w:r>
      <w:r w:rsidRPr="00DE5108">
        <w:rPr>
          <w:rFonts w:ascii="Times New Roman" w:eastAsia="標楷體" w:hAnsi="Times New Roman" w:cs="Times New Roman"/>
          <w:kern w:val="0"/>
          <w:szCs w:val="24"/>
          <w:lang w:eastAsia="zh-HK"/>
        </w:rPr>
        <w:t>, he should have a strong case because he made the tax returns and proper tax returns.</w:t>
      </w:r>
    </w:p>
    <w:p w14:paraId="413F36F9"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312CBB69"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Upon clarification, the Appellant agreed that it was not a promise on the part of the officer but some sort of hint. In any event, he had lodged the objections and the appeals. He also agreed that the hint was the trigger point to lodge the salary tax objections and appeal.</w:t>
      </w:r>
    </w:p>
    <w:p w14:paraId="1C1E7387"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5742C75A"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was asked if there were errors, had the Company corrected the errors once such was found. He replied that as the case was still going on, the Company had not made any rectification and he would do so after the case was fixed. He said without the confirmation of the IRD, he could not correct the errors.</w:t>
      </w:r>
    </w:p>
    <w:p w14:paraId="37E6A236"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25E9B548"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was asked if his tax representative asked for correction when he lodged the section 70A application, he said his tax representative did not.</w:t>
      </w:r>
    </w:p>
    <w:p w14:paraId="11DC3F76"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497B3D1A" w14:textId="77777777" w:rsidR="00DE5108" w:rsidRDefault="00DE5108" w:rsidP="00EE2183">
      <w:pPr>
        <w:widowControl/>
        <w:numPr>
          <w:ilvl w:val="0"/>
          <w:numId w:val="17"/>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was referred to several letters sent to the IRD for holding over taxes, they referred to his salaries. He agreed that the Company intended to pay him salary for the relevant years. He did not get any advice from any tax adviser or CPA or professional. He confirmed that the contents of those letters were true and correct. </w:t>
      </w:r>
    </w:p>
    <w:p w14:paraId="17E3E0DF" w14:textId="77777777" w:rsidR="007E4825" w:rsidRPr="00DE5108" w:rsidRDefault="007E4825" w:rsidP="007E4825">
      <w:pPr>
        <w:widowControl/>
        <w:adjustRightInd w:val="0"/>
        <w:snapToGrid w:val="0"/>
        <w:jc w:val="both"/>
        <w:rPr>
          <w:rFonts w:ascii="Times New Roman" w:eastAsia="標楷體" w:hAnsi="Times New Roman" w:cs="Times New Roman"/>
          <w:kern w:val="0"/>
          <w:szCs w:val="24"/>
          <w:lang w:eastAsia="zh-HK"/>
        </w:rPr>
      </w:pPr>
    </w:p>
    <w:p w14:paraId="1C3676FF" w14:textId="77777777" w:rsidR="00DE5108" w:rsidRPr="00940D94" w:rsidRDefault="00DE5108" w:rsidP="005F377B">
      <w:pPr>
        <w:widowControl/>
        <w:rPr>
          <w:rFonts w:ascii="Times New Roman" w:eastAsia="標楷體" w:hAnsi="Times New Roman" w:cs="Times New Roman"/>
          <w:b/>
          <w:bCs/>
          <w:kern w:val="0"/>
          <w:szCs w:val="24"/>
          <w:lang w:eastAsia="zh-HK"/>
        </w:rPr>
      </w:pPr>
      <w:r w:rsidRPr="00940D94">
        <w:rPr>
          <w:rFonts w:ascii="Times New Roman" w:eastAsia="標楷體" w:hAnsi="Times New Roman" w:cs="Times New Roman"/>
          <w:b/>
          <w:bCs/>
          <w:kern w:val="0"/>
          <w:szCs w:val="24"/>
          <w:lang w:eastAsia="zh-HK"/>
        </w:rPr>
        <w:t>The Statutory Provisions relating to Salary Tax</w:t>
      </w:r>
    </w:p>
    <w:p w14:paraId="707FE003" w14:textId="77777777" w:rsidR="007E4825" w:rsidRPr="00DE5108" w:rsidRDefault="007E4825" w:rsidP="005F377B">
      <w:pPr>
        <w:widowControl/>
        <w:rPr>
          <w:rFonts w:ascii="Times New Roman" w:eastAsia="標楷體" w:hAnsi="Times New Roman" w:cs="Times New Roman"/>
          <w:kern w:val="0"/>
          <w:szCs w:val="24"/>
          <w:lang w:eastAsia="zh-HK"/>
        </w:rPr>
      </w:pPr>
    </w:p>
    <w:p w14:paraId="74C1C8F3" w14:textId="77777777" w:rsidR="00DE5108" w:rsidRDefault="00DE5108" w:rsidP="00023E67">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following provisions of the IRO are relevant in determining the Appeal taken by the Appellant: </w:t>
      </w:r>
    </w:p>
    <w:p w14:paraId="494707D7" w14:textId="77777777" w:rsidR="00823C10" w:rsidRPr="00DE5108" w:rsidRDefault="00823C10" w:rsidP="00823C10">
      <w:pPr>
        <w:widowControl/>
        <w:ind w:left="360"/>
        <w:rPr>
          <w:rFonts w:ascii="Times New Roman" w:eastAsia="標楷體" w:hAnsi="Times New Roman" w:cs="Times New Roman"/>
          <w:kern w:val="0"/>
          <w:szCs w:val="24"/>
          <w:lang w:eastAsia="zh-HK"/>
        </w:rPr>
      </w:pPr>
    </w:p>
    <w:p w14:paraId="45049CCB" w14:textId="77777777" w:rsidR="00DE5108" w:rsidRPr="007B56DD" w:rsidRDefault="00DE5108" w:rsidP="00AB5D34">
      <w:pPr>
        <w:widowControl/>
        <w:tabs>
          <w:tab w:val="num" w:pos="1276"/>
        </w:tabs>
        <w:ind w:left="1560" w:hanging="1560"/>
        <w:jc w:val="both"/>
        <w:rPr>
          <w:rFonts w:ascii="Times New Roman" w:eastAsia="標楷體" w:hAnsi="Times New Roman" w:cs="Times New Roman"/>
          <w:b/>
          <w:i/>
          <w:kern w:val="0"/>
          <w:szCs w:val="24"/>
          <w:lang w:eastAsia="zh-CN"/>
        </w:rPr>
      </w:pPr>
      <w:r w:rsidRPr="00DE5108">
        <w:rPr>
          <w:rFonts w:ascii="Times New Roman" w:eastAsia="標楷體" w:hAnsi="Times New Roman" w:cs="Times New Roman"/>
          <w:kern w:val="0"/>
          <w:szCs w:val="24"/>
          <w:lang w:eastAsia="zh-HK"/>
        </w:rPr>
        <w:tab/>
      </w:r>
      <w:r w:rsidRPr="00DE5108">
        <w:rPr>
          <w:rFonts w:ascii="Times New Roman" w:eastAsia="標楷體" w:hAnsi="Times New Roman" w:cs="Times New Roman"/>
          <w:kern w:val="0"/>
          <w:szCs w:val="24"/>
          <w:lang w:eastAsia="zh-HK"/>
        </w:rPr>
        <w:tab/>
      </w:r>
      <w:r w:rsidRPr="007B56DD">
        <w:rPr>
          <w:rFonts w:ascii="Times New Roman" w:eastAsia="標楷體" w:hAnsi="Times New Roman" w:cs="Times New Roman"/>
          <w:b/>
          <w:i/>
          <w:kern w:val="0"/>
          <w:szCs w:val="24"/>
          <w:lang w:eastAsia="zh-HK"/>
        </w:rPr>
        <w:t xml:space="preserve">Section 8(1)(a) </w:t>
      </w:r>
    </w:p>
    <w:p w14:paraId="5D0001D8" w14:textId="77777777" w:rsidR="00DE5108" w:rsidRDefault="00D264CC" w:rsidP="00AB5D34">
      <w:pPr>
        <w:widowControl/>
        <w:shd w:val="clear" w:color="auto" w:fill="FFFFFF"/>
        <w:adjustRightInd w:val="0"/>
        <w:snapToGrid w:val="0"/>
        <w:ind w:leftChars="650" w:left="1560" w:rightChars="217" w:right="521"/>
        <w:jc w:val="both"/>
        <w:rPr>
          <w:rFonts w:ascii="Times New Roman" w:eastAsia="標楷體" w:hAnsi="Times New Roman" w:cs="Times New Roman"/>
          <w:i/>
          <w:kern w:val="0"/>
          <w:szCs w:val="24"/>
          <w:lang w:val="en" w:eastAsia="zh-CN"/>
        </w:rPr>
      </w:pPr>
      <w:r>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val="en" w:eastAsia="zh-CN"/>
        </w:rPr>
        <w:t>Salaries tax shall … be charged for each year of assessment on every person in respect of his income arising in or derived from Hong Kong from … any office or employment of profit.</w:t>
      </w:r>
      <w:r>
        <w:rPr>
          <w:rFonts w:ascii="Times New Roman" w:eastAsia="標楷體" w:hAnsi="Times New Roman" w:cs="Times New Roman"/>
          <w:i/>
          <w:kern w:val="0"/>
          <w:szCs w:val="24"/>
          <w:lang w:val="en" w:eastAsia="zh-CN"/>
        </w:rPr>
        <w:t>’</w:t>
      </w:r>
    </w:p>
    <w:p w14:paraId="64539D19" w14:textId="77777777" w:rsidR="00823C10" w:rsidRPr="00DE5108" w:rsidRDefault="00823C10" w:rsidP="005F377B">
      <w:pPr>
        <w:widowControl/>
        <w:shd w:val="clear" w:color="auto" w:fill="FFFFFF"/>
        <w:adjustRightInd w:val="0"/>
        <w:snapToGrid w:val="0"/>
        <w:ind w:leftChars="531" w:left="1274" w:rightChars="217" w:right="521"/>
        <w:jc w:val="both"/>
        <w:rPr>
          <w:rFonts w:ascii="Times New Roman" w:eastAsia="標楷體" w:hAnsi="Times New Roman" w:cs="Times New Roman"/>
          <w:i/>
          <w:kern w:val="0"/>
          <w:szCs w:val="24"/>
          <w:lang w:val="en" w:eastAsia="zh-CN"/>
        </w:rPr>
      </w:pPr>
    </w:p>
    <w:p w14:paraId="76BEBBEB" w14:textId="77777777" w:rsidR="00DE5108" w:rsidRPr="007B56DD" w:rsidRDefault="00DE5108" w:rsidP="00914DDF">
      <w:pPr>
        <w:widowControl/>
        <w:shd w:val="clear" w:color="auto" w:fill="FFFFFF"/>
        <w:adjustRightInd w:val="0"/>
        <w:snapToGrid w:val="0"/>
        <w:ind w:leftChars="650" w:left="1560" w:rightChars="217" w:right="521"/>
        <w:jc w:val="both"/>
        <w:rPr>
          <w:rFonts w:ascii="Times New Roman" w:eastAsia="標楷體" w:hAnsi="Times New Roman" w:cs="Times New Roman"/>
          <w:b/>
          <w:i/>
          <w:kern w:val="0"/>
          <w:szCs w:val="24"/>
          <w:lang w:val="en" w:eastAsia="zh-CN"/>
        </w:rPr>
      </w:pPr>
      <w:r w:rsidRPr="007B56DD">
        <w:rPr>
          <w:rFonts w:ascii="Times New Roman" w:eastAsia="標楷體" w:hAnsi="Times New Roman" w:cs="Times New Roman"/>
          <w:b/>
          <w:i/>
          <w:kern w:val="0"/>
          <w:szCs w:val="24"/>
          <w:lang w:val="en" w:eastAsia="zh-CN"/>
        </w:rPr>
        <w:t>Section 9(1)(a)</w:t>
      </w:r>
      <w:r w:rsidRPr="007B56DD">
        <w:rPr>
          <w:rFonts w:ascii="Times New Roman" w:eastAsia="標楷體" w:hAnsi="Times New Roman" w:cs="Times New Roman"/>
          <w:b/>
          <w:i/>
          <w:kern w:val="0"/>
          <w:szCs w:val="24"/>
          <w:lang w:eastAsia="zh-HK"/>
        </w:rPr>
        <w:t xml:space="preserve"> </w:t>
      </w:r>
    </w:p>
    <w:p w14:paraId="0E3C1F89" w14:textId="77777777" w:rsidR="00DE5108" w:rsidRDefault="00D264CC" w:rsidP="00914DDF">
      <w:pPr>
        <w:widowControl/>
        <w:shd w:val="clear" w:color="auto" w:fill="FFFFFF"/>
        <w:ind w:leftChars="650" w:left="1560" w:rightChars="217" w:right="521"/>
        <w:jc w:val="both"/>
        <w:rPr>
          <w:rFonts w:ascii="Times New Roman" w:eastAsia="標楷體" w:hAnsi="Times New Roman" w:cs="Times New Roman"/>
          <w:i/>
          <w:kern w:val="0"/>
          <w:szCs w:val="24"/>
          <w:lang w:val="en" w:eastAsia="zh-CN"/>
        </w:rPr>
      </w:pPr>
      <w:r>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val="en" w:eastAsia="zh-CN"/>
        </w:rPr>
        <w:t>Income from any office or employment includes any wages, salary, leave pay, fee, commission, bonus, gratuity, perquisite, or allowance, whether derived from the employer or others.</w:t>
      </w:r>
      <w:r>
        <w:rPr>
          <w:rFonts w:ascii="Times New Roman" w:eastAsia="標楷體" w:hAnsi="Times New Roman" w:cs="Times New Roman"/>
          <w:i/>
          <w:kern w:val="0"/>
          <w:szCs w:val="24"/>
          <w:lang w:val="en" w:eastAsia="zh-CN"/>
        </w:rPr>
        <w:t>’</w:t>
      </w:r>
    </w:p>
    <w:p w14:paraId="3392734F" w14:textId="77777777" w:rsidR="00823C10" w:rsidRPr="00DE5108" w:rsidRDefault="00823C10" w:rsidP="005F377B">
      <w:pPr>
        <w:widowControl/>
        <w:shd w:val="clear" w:color="auto" w:fill="FFFFFF"/>
        <w:ind w:leftChars="531" w:left="1274" w:rightChars="217" w:right="521"/>
        <w:jc w:val="both"/>
        <w:rPr>
          <w:rFonts w:ascii="Times New Roman" w:eastAsia="標楷體" w:hAnsi="Times New Roman" w:cs="Times New Roman"/>
          <w:kern w:val="0"/>
          <w:szCs w:val="24"/>
          <w:lang w:val="en" w:eastAsia="zh-CN"/>
        </w:rPr>
      </w:pPr>
    </w:p>
    <w:p w14:paraId="145E5B71" w14:textId="77777777" w:rsidR="00DE5108" w:rsidRPr="004C10BF" w:rsidRDefault="00DE5108" w:rsidP="00914DDF">
      <w:pPr>
        <w:widowControl/>
        <w:ind w:left="1276"/>
        <w:jc w:val="both"/>
        <w:rPr>
          <w:rFonts w:ascii="Times New Roman" w:eastAsia="標楷體" w:hAnsi="Times New Roman" w:cs="Times New Roman"/>
          <w:b/>
          <w:i/>
          <w:kern w:val="0"/>
          <w:szCs w:val="24"/>
          <w:lang w:eastAsia="zh-HK"/>
        </w:rPr>
      </w:pPr>
      <w:r w:rsidRPr="00DE5108">
        <w:rPr>
          <w:rFonts w:ascii="Times New Roman" w:eastAsia="標楷體" w:hAnsi="Times New Roman" w:cs="Times New Roman"/>
          <w:kern w:val="0"/>
          <w:szCs w:val="24"/>
          <w:lang w:eastAsia="zh-HK"/>
        </w:rPr>
        <w:tab/>
      </w:r>
      <w:r w:rsidRPr="004C10BF">
        <w:rPr>
          <w:rFonts w:ascii="Times New Roman" w:eastAsia="標楷體" w:hAnsi="Times New Roman" w:cs="Times New Roman"/>
          <w:b/>
          <w:i/>
          <w:kern w:val="0"/>
          <w:szCs w:val="24"/>
          <w:lang w:eastAsia="zh-HK"/>
        </w:rPr>
        <w:t>Section 11B</w:t>
      </w:r>
    </w:p>
    <w:p w14:paraId="02E6CB4E" w14:textId="77777777" w:rsidR="00DE5108" w:rsidRDefault="00DE5108" w:rsidP="00914DDF">
      <w:pPr>
        <w:widowControl/>
        <w:adjustRightInd w:val="0"/>
        <w:snapToGrid w:val="0"/>
        <w:ind w:left="1560" w:rightChars="217" w:right="521" w:hanging="6"/>
        <w:jc w:val="both"/>
        <w:rPr>
          <w:rFonts w:ascii="Times New Roman" w:eastAsia="標楷體" w:hAnsi="Times New Roman" w:cs="Times New Roman"/>
          <w:i/>
          <w:kern w:val="0"/>
          <w:szCs w:val="24"/>
          <w:lang w:val="en" w:eastAsia="zh-CN"/>
        </w:rPr>
      </w:pPr>
      <w:r w:rsidRPr="00DE5108">
        <w:rPr>
          <w:rFonts w:ascii="Times New Roman" w:eastAsia="標楷體" w:hAnsi="Times New Roman" w:cs="Times New Roman"/>
          <w:i/>
          <w:kern w:val="0"/>
          <w:szCs w:val="24"/>
          <w:lang w:eastAsia="zh-HK"/>
        </w:rPr>
        <w:tab/>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val="en" w:eastAsia="zh-CN"/>
        </w:rPr>
        <w:t>The assessable income of a person in any year of assessment shall be the aggregate amount of income accruing to him from all sources in that year of assessment.</w:t>
      </w:r>
      <w:r w:rsidR="00D264CC">
        <w:rPr>
          <w:rFonts w:ascii="Times New Roman" w:eastAsia="標楷體" w:hAnsi="Times New Roman" w:cs="Times New Roman"/>
          <w:i/>
          <w:kern w:val="0"/>
          <w:szCs w:val="24"/>
          <w:lang w:val="en" w:eastAsia="zh-CN"/>
        </w:rPr>
        <w:t>’</w:t>
      </w:r>
    </w:p>
    <w:p w14:paraId="6B122D39" w14:textId="77777777" w:rsidR="00823C10" w:rsidRPr="00DE5108" w:rsidRDefault="00823C10" w:rsidP="005F377B">
      <w:pPr>
        <w:widowControl/>
        <w:tabs>
          <w:tab w:val="num" w:pos="1276"/>
        </w:tabs>
        <w:adjustRightInd w:val="0"/>
        <w:snapToGrid w:val="0"/>
        <w:ind w:left="1282" w:rightChars="217" w:right="521" w:hanging="994"/>
        <w:jc w:val="both"/>
        <w:rPr>
          <w:rFonts w:ascii="Times New Roman" w:eastAsia="標楷體" w:hAnsi="Times New Roman" w:cs="Times New Roman"/>
          <w:i/>
          <w:kern w:val="0"/>
          <w:szCs w:val="24"/>
          <w:lang w:val="en" w:eastAsia="zh-CN"/>
        </w:rPr>
      </w:pPr>
    </w:p>
    <w:p w14:paraId="335DE543" w14:textId="77777777" w:rsidR="00DE5108" w:rsidRPr="002E21E4" w:rsidRDefault="00DE5108" w:rsidP="00836A17">
      <w:pPr>
        <w:widowControl/>
        <w:ind w:left="1276"/>
        <w:jc w:val="both"/>
        <w:rPr>
          <w:rFonts w:ascii="Times New Roman" w:eastAsia="標楷體" w:hAnsi="Times New Roman" w:cs="Times New Roman"/>
          <w:b/>
          <w:i/>
          <w:kern w:val="0"/>
          <w:szCs w:val="24"/>
          <w:lang w:eastAsia="zh-HK"/>
        </w:rPr>
      </w:pPr>
      <w:r w:rsidRPr="00DE5108">
        <w:rPr>
          <w:rFonts w:ascii="Times New Roman" w:eastAsia="標楷體" w:hAnsi="Times New Roman" w:cs="Times New Roman"/>
          <w:kern w:val="0"/>
          <w:szCs w:val="24"/>
          <w:lang w:eastAsia="zh-HK"/>
        </w:rPr>
        <w:tab/>
      </w:r>
      <w:r w:rsidRPr="002E21E4">
        <w:rPr>
          <w:rFonts w:ascii="Times New Roman" w:eastAsia="標楷體" w:hAnsi="Times New Roman" w:cs="Times New Roman"/>
          <w:b/>
          <w:i/>
          <w:kern w:val="0"/>
          <w:szCs w:val="24"/>
          <w:lang w:eastAsia="zh-HK"/>
        </w:rPr>
        <w:t>Section 11D</w:t>
      </w:r>
    </w:p>
    <w:p w14:paraId="343107FE" w14:textId="77777777" w:rsidR="00836A17" w:rsidRDefault="00DE5108" w:rsidP="00836A17">
      <w:pPr>
        <w:widowControl/>
        <w:tabs>
          <w:tab w:val="num" w:pos="709"/>
        </w:tabs>
        <w:adjustRightInd w:val="0"/>
        <w:snapToGrid w:val="0"/>
        <w:ind w:left="1560" w:right="518" w:hanging="1282"/>
        <w:jc w:val="both"/>
        <w:rPr>
          <w:rFonts w:ascii="Times New Roman" w:eastAsia="標楷體" w:hAnsi="Times New Roman" w:cs="Times New Roman"/>
          <w:i/>
          <w:kern w:val="0"/>
          <w:szCs w:val="24"/>
          <w:lang w:eastAsia="zh-HK"/>
        </w:rPr>
      </w:pPr>
      <w:r w:rsidRPr="00DE5108">
        <w:rPr>
          <w:rFonts w:ascii="Times New Roman" w:eastAsia="標楷體" w:hAnsi="Times New Roman" w:cs="Times New Roman"/>
          <w:i/>
          <w:kern w:val="0"/>
          <w:szCs w:val="24"/>
          <w:lang w:eastAsia="zh-HK"/>
        </w:rPr>
        <w:tab/>
      </w:r>
      <w:r w:rsidRPr="00DE5108">
        <w:rPr>
          <w:rFonts w:ascii="Times New Roman" w:eastAsia="標楷體" w:hAnsi="Times New Roman" w:cs="Times New Roman"/>
          <w:i/>
          <w:kern w:val="0"/>
          <w:szCs w:val="24"/>
          <w:lang w:eastAsia="zh-HK"/>
        </w:rPr>
        <w:tab/>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For the purpose of section 11B –</w:t>
      </w:r>
    </w:p>
    <w:p w14:paraId="580C6E25" w14:textId="77777777" w:rsidR="00DE5108" w:rsidRDefault="00836A17" w:rsidP="00784F1D">
      <w:pPr>
        <w:widowControl/>
        <w:adjustRightInd w:val="0"/>
        <w:snapToGrid w:val="0"/>
        <w:ind w:leftChars="708" w:left="1701" w:right="518" w:hanging="2"/>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br/>
        <w:t xml:space="preserve">(a)  </w:t>
      </w:r>
      <w:r w:rsidR="00DE5108" w:rsidRPr="00DE5108">
        <w:rPr>
          <w:rFonts w:ascii="Times New Roman" w:eastAsia="標楷體" w:hAnsi="Times New Roman" w:cs="Times New Roman"/>
          <w:i/>
          <w:kern w:val="0"/>
          <w:szCs w:val="24"/>
          <w:lang w:eastAsia="zh-HK"/>
        </w:rPr>
        <w:t>income which has accrued to a person during the basis period for a year of assessment but which has not been received by him in such basis period shall not be included in his assessable income for that year of assessment until such time as he shall have received such income, … an additional assessment shall be raised in respect of such income:</w:t>
      </w:r>
    </w:p>
    <w:p w14:paraId="6FEA573B" w14:textId="77777777" w:rsidR="00836A17" w:rsidRPr="00DE5108" w:rsidRDefault="00836A17" w:rsidP="00836A17">
      <w:pPr>
        <w:widowControl/>
        <w:tabs>
          <w:tab w:val="num" w:pos="709"/>
        </w:tabs>
        <w:adjustRightInd w:val="0"/>
        <w:snapToGrid w:val="0"/>
        <w:ind w:leftChars="708" w:left="1699" w:right="518"/>
        <w:jc w:val="both"/>
        <w:rPr>
          <w:rFonts w:ascii="Times New Roman" w:eastAsia="標楷體" w:hAnsi="Times New Roman" w:cs="Times New Roman"/>
          <w:i/>
          <w:kern w:val="0"/>
          <w:szCs w:val="24"/>
          <w:lang w:eastAsia="zh-HK"/>
        </w:rPr>
      </w:pPr>
    </w:p>
    <w:p w14:paraId="0C2171D1" w14:textId="77777777" w:rsidR="00DE5108" w:rsidRPr="00DE5108" w:rsidRDefault="00DE5108" w:rsidP="00836A17">
      <w:pPr>
        <w:widowControl/>
        <w:tabs>
          <w:tab w:val="left" w:pos="1843"/>
        </w:tabs>
        <w:ind w:leftChars="1181" w:left="2834" w:right="521"/>
        <w:jc w:val="both"/>
        <w:rPr>
          <w:rFonts w:ascii="Times New Roman" w:eastAsia="標楷體" w:hAnsi="Times New Roman" w:cs="Times New Roman"/>
          <w:i/>
          <w:kern w:val="0"/>
          <w:szCs w:val="24"/>
          <w:lang w:eastAsia="zh-HK"/>
        </w:rPr>
      </w:pPr>
      <w:r w:rsidRPr="00DE5108">
        <w:rPr>
          <w:rFonts w:ascii="Times New Roman" w:eastAsia="標楷體" w:hAnsi="Times New Roman" w:cs="Times New Roman"/>
          <w:i/>
          <w:kern w:val="0"/>
          <w:szCs w:val="24"/>
          <w:lang w:eastAsia="zh-HK"/>
        </w:rPr>
        <w:t>Provided that … income which has either been made available to the person to whom it has accrued or has been dealt with on his behalf or according to his directions shall be deemed to have been received by such person;</w:t>
      </w:r>
    </w:p>
    <w:p w14:paraId="7A180A4E" w14:textId="77777777" w:rsidR="00DE5108" w:rsidRPr="00DE5108" w:rsidRDefault="00DE5108" w:rsidP="005F377B">
      <w:pPr>
        <w:widowControl/>
        <w:tabs>
          <w:tab w:val="left" w:pos="1843"/>
        </w:tabs>
        <w:ind w:left="2413" w:right="521"/>
        <w:jc w:val="both"/>
        <w:rPr>
          <w:rFonts w:ascii="Times New Roman" w:eastAsia="標楷體" w:hAnsi="Times New Roman" w:cs="Times New Roman"/>
          <w:i/>
          <w:kern w:val="0"/>
          <w:szCs w:val="24"/>
          <w:lang w:eastAsia="zh-HK"/>
        </w:rPr>
      </w:pPr>
    </w:p>
    <w:p w14:paraId="07505910" w14:textId="77777777" w:rsidR="00DE5108" w:rsidRDefault="00836A17" w:rsidP="00836A17">
      <w:pPr>
        <w:widowControl/>
        <w:tabs>
          <w:tab w:val="left" w:pos="1843"/>
        </w:tabs>
        <w:ind w:left="1701" w:right="521"/>
        <w:jc w:val="both"/>
        <w:rPr>
          <w:rFonts w:ascii="Times New Roman" w:eastAsia="標楷體" w:hAnsi="Times New Roman" w:cs="Times New Roman"/>
          <w:i/>
          <w:kern w:val="0"/>
          <w:szCs w:val="24"/>
          <w:lang w:eastAsia="zh-CN"/>
        </w:rPr>
      </w:pPr>
      <w:r>
        <w:rPr>
          <w:rFonts w:ascii="Times New Roman" w:eastAsia="標楷體" w:hAnsi="Times New Roman" w:cs="Times New Roman"/>
          <w:i/>
          <w:kern w:val="0"/>
          <w:szCs w:val="24"/>
          <w:lang w:eastAsia="zh-CN"/>
        </w:rPr>
        <w:t xml:space="preserve">(b)  </w:t>
      </w:r>
      <w:r w:rsidR="00DE5108" w:rsidRPr="00DE5108">
        <w:rPr>
          <w:rFonts w:ascii="Times New Roman" w:eastAsia="標楷體" w:hAnsi="Times New Roman" w:cs="Times New Roman"/>
          <w:i/>
          <w:kern w:val="0"/>
          <w:szCs w:val="24"/>
          <w:lang w:eastAsia="zh-CN"/>
        </w:rPr>
        <w:t>income accrues to a person when he becomes entitled to claim payment thereof …</w:t>
      </w:r>
      <w:r w:rsidR="00D264CC">
        <w:rPr>
          <w:rFonts w:ascii="Times New Roman" w:eastAsia="標楷體" w:hAnsi="Times New Roman" w:cs="Times New Roman"/>
          <w:i/>
          <w:kern w:val="0"/>
          <w:szCs w:val="24"/>
          <w:lang w:eastAsia="zh-CN"/>
        </w:rPr>
        <w:t>’</w:t>
      </w:r>
    </w:p>
    <w:p w14:paraId="30755EB4" w14:textId="77777777" w:rsidR="00823C10" w:rsidRPr="00DE5108" w:rsidRDefault="00823C10" w:rsidP="005F377B">
      <w:pPr>
        <w:widowControl/>
        <w:tabs>
          <w:tab w:val="left" w:pos="1843"/>
        </w:tabs>
        <w:ind w:left="2413" w:right="521"/>
        <w:jc w:val="both"/>
        <w:rPr>
          <w:rFonts w:ascii="Times New Roman" w:eastAsia="標楷體" w:hAnsi="Times New Roman" w:cs="Times New Roman"/>
          <w:i/>
          <w:kern w:val="0"/>
          <w:szCs w:val="24"/>
          <w:lang w:eastAsia="zh-HK"/>
        </w:rPr>
      </w:pPr>
    </w:p>
    <w:p w14:paraId="21BEF975" w14:textId="77777777" w:rsidR="00DE5108" w:rsidRPr="0036758B" w:rsidRDefault="00DE5108" w:rsidP="0036758B">
      <w:pPr>
        <w:widowControl/>
        <w:ind w:leftChars="650" w:left="1560"/>
        <w:jc w:val="both"/>
        <w:rPr>
          <w:rFonts w:ascii="Times New Roman" w:eastAsia="標楷體" w:hAnsi="Times New Roman" w:cs="Times New Roman"/>
          <w:b/>
          <w:i/>
          <w:kern w:val="0"/>
          <w:szCs w:val="24"/>
          <w:lang w:eastAsia="zh-HK"/>
        </w:rPr>
      </w:pPr>
      <w:r w:rsidRPr="0036758B">
        <w:rPr>
          <w:rFonts w:ascii="Times New Roman" w:eastAsia="標楷體" w:hAnsi="Times New Roman" w:cs="Times New Roman"/>
          <w:b/>
          <w:i/>
          <w:kern w:val="0"/>
          <w:szCs w:val="24"/>
          <w:lang w:eastAsia="zh-HK"/>
        </w:rPr>
        <w:t xml:space="preserve">Section </w:t>
      </w:r>
      <w:r w:rsidRPr="0036758B">
        <w:rPr>
          <w:rFonts w:ascii="Times New Roman" w:eastAsia="標楷體" w:hAnsi="Times New Roman" w:cs="Times New Roman"/>
          <w:b/>
          <w:i/>
          <w:kern w:val="0"/>
          <w:szCs w:val="24"/>
          <w:lang w:eastAsia="zh-CN"/>
        </w:rPr>
        <w:t>51(5)</w:t>
      </w:r>
    </w:p>
    <w:p w14:paraId="3674BDB8" w14:textId="77777777" w:rsidR="00DE5108" w:rsidRDefault="00CC42D4" w:rsidP="00CC42D4">
      <w:pPr>
        <w:widowControl/>
        <w:tabs>
          <w:tab w:val="num" w:pos="993"/>
        </w:tabs>
        <w:adjustRightInd w:val="0"/>
        <w:snapToGrid w:val="0"/>
        <w:ind w:left="1560" w:rightChars="217" w:right="521" w:hanging="6"/>
        <w:jc w:val="both"/>
        <w:rPr>
          <w:rFonts w:ascii="Times New Roman" w:eastAsia="標楷體" w:hAnsi="Times New Roman" w:cs="Times New Roman"/>
          <w:i/>
          <w:kern w:val="0"/>
          <w:szCs w:val="24"/>
          <w:lang w:val="en" w:eastAsia="zh-CN"/>
        </w:rPr>
      </w:pPr>
      <w:r>
        <w:rPr>
          <w:rFonts w:ascii="Times New Roman" w:eastAsia="標楷體" w:hAnsi="Times New Roman" w:cs="Times New Roman"/>
          <w:kern w:val="0"/>
          <w:szCs w:val="24"/>
          <w:lang w:eastAsia="zh-HK"/>
        </w:rPr>
        <w:tab/>
      </w:r>
      <w:r w:rsidR="00D264CC">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val="en" w:eastAsia="zh-CN"/>
        </w:rPr>
        <w:t>A return, statement, or form purporting to be furnished under this Ordinance by or on behalf of any person shall for all purposes be deemed to have been furnished by that person or by his authority, as the case may be, unless the contrary is proved, and any person signing any such return, statement, or form shall be deemed to be cognizant of all matters therein.</w:t>
      </w:r>
      <w:r w:rsidR="00D264CC">
        <w:rPr>
          <w:rFonts w:ascii="Times New Roman" w:eastAsia="標楷體" w:hAnsi="Times New Roman" w:cs="Times New Roman"/>
          <w:i/>
          <w:kern w:val="0"/>
          <w:szCs w:val="24"/>
          <w:lang w:val="en" w:eastAsia="zh-CN"/>
        </w:rPr>
        <w:t>’</w:t>
      </w:r>
    </w:p>
    <w:p w14:paraId="379F08DF" w14:textId="77777777" w:rsidR="00664658" w:rsidRPr="00DE5108" w:rsidRDefault="00664658" w:rsidP="005F377B">
      <w:pPr>
        <w:widowControl/>
        <w:tabs>
          <w:tab w:val="num" w:pos="993"/>
        </w:tabs>
        <w:adjustRightInd w:val="0"/>
        <w:snapToGrid w:val="0"/>
        <w:ind w:left="1282" w:rightChars="217" w:right="521" w:hanging="994"/>
        <w:jc w:val="both"/>
        <w:rPr>
          <w:rFonts w:ascii="Times New Roman" w:eastAsia="標楷體" w:hAnsi="Times New Roman" w:cs="Times New Roman"/>
          <w:i/>
          <w:kern w:val="0"/>
          <w:szCs w:val="24"/>
          <w:lang w:val="en" w:eastAsia="zh-CN"/>
        </w:rPr>
      </w:pPr>
    </w:p>
    <w:p w14:paraId="6B24225C" w14:textId="77777777" w:rsidR="00DE5108" w:rsidRPr="00131CE2" w:rsidRDefault="00DE5108" w:rsidP="00CE1C11">
      <w:pPr>
        <w:widowControl/>
        <w:tabs>
          <w:tab w:val="num" w:pos="993"/>
        </w:tabs>
        <w:adjustRightInd w:val="0"/>
        <w:snapToGrid w:val="0"/>
        <w:ind w:left="567" w:rightChars="217" w:right="521" w:hanging="6"/>
        <w:jc w:val="both"/>
        <w:rPr>
          <w:rFonts w:ascii="Times New Roman" w:eastAsia="標楷體" w:hAnsi="Times New Roman" w:cs="Times New Roman"/>
          <w:b/>
          <w:i/>
          <w:iCs/>
          <w:kern w:val="0"/>
          <w:szCs w:val="24"/>
          <w:lang w:val="en" w:eastAsia="zh-CN"/>
        </w:rPr>
      </w:pPr>
      <w:r w:rsidRPr="00DE5108">
        <w:rPr>
          <w:rFonts w:ascii="Times New Roman" w:eastAsia="標楷體" w:hAnsi="Times New Roman" w:cs="Times New Roman"/>
          <w:i/>
          <w:kern w:val="0"/>
          <w:szCs w:val="24"/>
          <w:lang w:val="en" w:eastAsia="zh-CN"/>
        </w:rPr>
        <w:t xml:space="preserve">        </w:t>
      </w:r>
      <w:r w:rsidRPr="00131CE2">
        <w:rPr>
          <w:rFonts w:ascii="Times New Roman" w:eastAsia="標楷體" w:hAnsi="Times New Roman" w:cs="Times New Roman"/>
          <w:b/>
          <w:i/>
          <w:iCs/>
          <w:kern w:val="0"/>
          <w:szCs w:val="24"/>
          <w:lang w:val="en" w:eastAsia="zh-CN"/>
        </w:rPr>
        <w:t>Section 64(1)</w:t>
      </w:r>
    </w:p>
    <w:p w14:paraId="64470AF9" w14:textId="77777777" w:rsidR="00DE5108" w:rsidRDefault="00DE5108" w:rsidP="00CE1C11">
      <w:pPr>
        <w:widowControl/>
        <w:tabs>
          <w:tab w:val="num" w:pos="993"/>
        </w:tabs>
        <w:adjustRightInd w:val="0"/>
        <w:snapToGrid w:val="0"/>
        <w:ind w:left="1560" w:rightChars="217" w:right="521" w:hanging="994"/>
        <w:jc w:val="both"/>
        <w:rPr>
          <w:rFonts w:ascii="Times New Roman" w:eastAsia="標楷體" w:hAnsi="Times New Roman" w:cs="Times New Roman"/>
          <w:i/>
          <w:kern w:val="0"/>
          <w:szCs w:val="24"/>
          <w:lang w:val="en" w:eastAsia="zh-CN"/>
        </w:rPr>
      </w:pPr>
      <w:r w:rsidRPr="00DE5108">
        <w:rPr>
          <w:rFonts w:ascii="Times New Roman" w:eastAsia="標楷體" w:hAnsi="Times New Roman" w:cs="Times New Roman"/>
          <w:iCs/>
          <w:kern w:val="0"/>
          <w:szCs w:val="24"/>
          <w:lang w:val="en" w:eastAsia="zh-CN"/>
        </w:rPr>
        <w:t xml:space="preserve">        </w:t>
      </w:r>
      <w:r w:rsidR="00D264CC">
        <w:rPr>
          <w:rFonts w:ascii="Times New Roman" w:eastAsia="標楷體" w:hAnsi="Times New Roman" w:cs="Times New Roman"/>
          <w:iCs/>
          <w:kern w:val="0"/>
          <w:szCs w:val="24"/>
          <w:lang w:val="en" w:eastAsia="zh-CN"/>
        </w:rPr>
        <w:t>‘</w:t>
      </w:r>
      <w:r w:rsidRPr="00DE5108">
        <w:rPr>
          <w:rFonts w:ascii="Times New Roman" w:eastAsia="標楷體" w:hAnsi="Times New Roman" w:cs="Times New Roman"/>
          <w:i/>
          <w:kern w:val="0"/>
          <w:szCs w:val="24"/>
          <w:lang w:val="en" w:eastAsia="zh-CN"/>
        </w:rPr>
        <w:t>Any person aggrieved by an assessment made under this Ordinance may, by notice in writing to the Commissioner, object to the assessment; but no such notice shall be valid unless it states precisely the grounds of objection to the assessment and is received by the Commissioner within 1 month after the date of the notice of assessment:</w:t>
      </w:r>
    </w:p>
    <w:p w14:paraId="147CCD7F" w14:textId="77777777" w:rsidR="00664658" w:rsidRPr="00DE5108" w:rsidRDefault="00664658" w:rsidP="005F377B">
      <w:pPr>
        <w:widowControl/>
        <w:tabs>
          <w:tab w:val="num" w:pos="993"/>
        </w:tabs>
        <w:adjustRightInd w:val="0"/>
        <w:snapToGrid w:val="0"/>
        <w:ind w:left="1282" w:rightChars="217" w:right="521" w:hanging="994"/>
        <w:jc w:val="both"/>
        <w:rPr>
          <w:rFonts w:ascii="Times New Roman" w:eastAsia="標楷體" w:hAnsi="Times New Roman" w:cs="Times New Roman"/>
          <w:i/>
          <w:kern w:val="0"/>
          <w:szCs w:val="24"/>
          <w:lang w:val="en" w:eastAsia="zh-CN"/>
        </w:rPr>
      </w:pPr>
    </w:p>
    <w:p w14:paraId="12E44F37" w14:textId="77777777" w:rsidR="00DE5108" w:rsidRDefault="00273A75" w:rsidP="005F377B">
      <w:pPr>
        <w:widowControl/>
        <w:tabs>
          <w:tab w:val="num" w:pos="993"/>
        </w:tabs>
        <w:adjustRightInd w:val="0"/>
        <w:snapToGrid w:val="0"/>
        <w:ind w:leftChars="431" w:left="2028" w:rightChars="217" w:right="521" w:hanging="994"/>
        <w:jc w:val="both"/>
        <w:rPr>
          <w:rFonts w:ascii="Times New Roman" w:eastAsia="標楷體" w:hAnsi="Times New Roman" w:cs="Times New Roman"/>
          <w:i/>
          <w:kern w:val="0"/>
          <w:szCs w:val="24"/>
          <w:lang w:val="en" w:eastAsia="zh-CN"/>
        </w:rPr>
      </w:pPr>
      <w:r>
        <w:rPr>
          <w:rFonts w:ascii="Times New Roman" w:eastAsia="標楷體" w:hAnsi="Times New Roman" w:cs="Times New Roman"/>
          <w:i/>
          <w:kern w:val="0"/>
          <w:szCs w:val="24"/>
          <w:lang w:val="en" w:eastAsia="zh-CN"/>
        </w:rPr>
        <w:tab/>
      </w:r>
      <w:r w:rsidR="00DE5108" w:rsidRPr="00DE5108">
        <w:rPr>
          <w:rFonts w:ascii="Times New Roman" w:eastAsia="標楷體" w:hAnsi="Times New Roman" w:cs="Times New Roman"/>
          <w:i/>
          <w:kern w:val="0"/>
          <w:szCs w:val="24"/>
          <w:lang w:val="en" w:eastAsia="zh-CN"/>
        </w:rPr>
        <w:t>Provided that – (a) if the Commissioner is satisfied that owing to absence from Hong Kong, sickness or other reasonable cause, the person objecting to the assessment was prevented from giving such notice within such period, the Commissioner shall extend the period as may be reasonable in the circumstances; …</w:t>
      </w:r>
      <w:r w:rsidR="00D264CC">
        <w:rPr>
          <w:rFonts w:ascii="Times New Roman" w:eastAsia="標楷體" w:hAnsi="Times New Roman" w:cs="Times New Roman"/>
          <w:i/>
          <w:kern w:val="0"/>
          <w:szCs w:val="24"/>
          <w:lang w:val="en" w:eastAsia="zh-CN"/>
        </w:rPr>
        <w:t>’</w:t>
      </w:r>
    </w:p>
    <w:p w14:paraId="5BBFAECC" w14:textId="77777777" w:rsidR="00664658" w:rsidRPr="00DE5108" w:rsidRDefault="00664658" w:rsidP="005F377B">
      <w:pPr>
        <w:widowControl/>
        <w:tabs>
          <w:tab w:val="num" w:pos="993"/>
        </w:tabs>
        <w:adjustRightInd w:val="0"/>
        <w:snapToGrid w:val="0"/>
        <w:ind w:leftChars="431" w:left="2028" w:rightChars="217" w:right="521" w:hanging="994"/>
        <w:jc w:val="both"/>
        <w:rPr>
          <w:rFonts w:ascii="Times New Roman" w:eastAsia="標楷體" w:hAnsi="Times New Roman" w:cs="Times New Roman"/>
          <w:i/>
          <w:kern w:val="0"/>
          <w:szCs w:val="24"/>
          <w:lang w:val="en" w:eastAsia="zh-CN"/>
        </w:rPr>
      </w:pPr>
    </w:p>
    <w:p w14:paraId="63A19C54" w14:textId="77777777" w:rsidR="00DE5108" w:rsidRPr="00BD0AC8" w:rsidRDefault="00DE5108" w:rsidP="00BD0AC8">
      <w:pPr>
        <w:widowControl/>
        <w:ind w:left="1418"/>
        <w:jc w:val="both"/>
        <w:rPr>
          <w:rFonts w:ascii="Times New Roman" w:eastAsia="標楷體" w:hAnsi="Times New Roman" w:cs="Times New Roman"/>
          <w:b/>
          <w:i/>
          <w:kern w:val="0"/>
          <w:szCs w:val="24"/>
          <w:lang w:eastAsia="zh-HK"/>
        </w:rPr>
      </w:pPr>
      <w:r w:rsidRPr="00DE5108">
        <w:rPr>
          <w:rFonts w:ascii="Times New Roman" w:eastAsia="標楷體" w:hAnsi="Times New Roman" w:cs="Times New Roman"/>
          <w:kern w:val="0"/>
          <w:szCs w:val="24"/>
          <w:lang w:eastAsia="zh-HK"/>
        </w:rPr>
        <w:tab/>
      </w:r>
      <w:r w:rsidRPr="00BD0AC8">
        <w:rPr>
          <w:rFonts w:ascii="Times New Roman" w:eastAsia="標楷體" w:hAnsi="Times New Roman" w:cs="Times New Roman"/>
          <w:b/>
          <w:i/>
          <w:kern w:val="0"/>
          <w:szCs w:val="24"/>
          <w:lang w:eastAsia="zh-HK"/>
        </w:rPr>
        <w:t>Section 70</w:t>
      </w:r>
    </w:p>
    <w:p w14:paraId="49F722A6" w14:textId="77777777" w:rsidR="00DE5108" w:rsidRDefault="00DE5108" w:rsidP="00BD0AC8">
      <w:pPr>
        <w:widowControl/>
        <w:tabs>
          <w:tab w:val="num" w:pos="993"/>
        </w:tabs>
        <w:adjustRightInd w:val="0"/>
        <w:snapToGrid w:val="0"/>
        <w:ind w:left="1560" w:rightChars="217" w:right="521" w:hanging="994"/>
        <w:jc w:val="both"/>
        <w:rPr>
          <w:rFonts w:ascii="Times New Roman" w:eastAsia="標楷體" w:hAnsi="Times New Roman" w:cs="Times New Roman"/>
          <w:i/>
          <w:kern w:val="0"/>
          <w:szCs w:val="24"/>
          <w:lang w:val="en" w:eastAsia="zh-CN"/>
        </w:rPr>
      </w:pPr>
      <w:r w:rsidRPr="00DE5108">
        <w:rPr>
          <w:rFonts w:ascii="Times New Roman" w:eastAsia="標楷體" w:hAnsi="Times New Roman" w:cs="Times New Roman"/>
          <w:kern w:val="0"/>
          <w:szCs w:val="24"/>
          <w:lang w:eastAsia="zh-HK"/>
        </w:rPr>
        <w:tab/>
      </w:r>
      <w:r w:rsidRPr="00DE5108">
        <w:rPr>
          <w:rFonts w:ascii="Times New Roman" w:eastAsia="標楷體" w:hAnsi="Times New Roman" w:cs="Times New Roman"/>
          <w:kern w:val="0"/>
          <w:szCs w:val="24"/>
          <w:lang w:eastAsia="zh-HK"/>
        </w:rPr>
        <w:tab/>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val="en" w:eastAsia="zh-CN"/>
        </w:rPr>
        <w:t>Where no valid objection or appeal has been lodged within the time limited by this Part against an assessment as regards the amount of the assessable income or profits or net assessable value assessed thereby, … the assessment as made … shall be final and conclusive for all purposes of [the IRO] as regards the amount of such assessable income or profits or net assessable value …</w:t>
      </w:r>
      <w:r w:rsidR="00D264CC">
        <w:rPr>
          <w:rFonts w:ascii="Times New Roman" w:eastAsia="標楷體" w:hAnsi="Times New Roman" w:cs="Times New Roman"/>
          <w:i/>
          <w:kern w:val="0"/>
          <w:szCs w:val="24"/>
          <w:lang w:val="en" w:eastAsia="zh-CN"/>
        </w:rPr>
        <w:t>’</w:t>
      </w:r>
    </w:p>
    <w:p w14:paraId="28F915DE" w14:textId="77777777" w:rsidR="00664658" w:rsidRPr="00DE5108" w:rsidRDefault="00664658" w:rsidP="005F377B">
      <w:pPr>
        <w:widowControl/>
        <w:tabs>
          <w:tab w:val="num" w:pos="993"/>
        </w:tabs>
        <w:adjustRightInd w:val="0"/>
        <w:snapToGrid w:val="0"/>
        <w:ind w:left="1282" w:rightChars="217" w:right="521" w:hanging="994"/>
        <w:jc w:val="both"/>
        <w:rPr>
          <w:rFonts w:ascii="Times New Roman" w:eastAsia="標楷體" w:hAnsi="Times New Roman" w:cs="Times New Roman"/>
          <w:i/>
          <w:kern w:val="0"/>
          <w:szCs w:val="24"/>
          <w:lang w:val="en" w:eastAsia="zh-CN"/>
        </w:rPr>
      </w:pPr>
    </w:p>
    <w:p w14:paraId="76C8BE23" w14:textId="77777777" w:rsidR="00DE5108" w:rsidRPr="00BD0AC8" w:rsidRDefault="00DE5108" w:rsidP="00BD0AC8">
      <w:pPr>
        <w:widowControl/>
        <w:adjustRightInd w:val="0"/>
        <w:ind w:left="1560" w:hanging="6"/>
        <w:jc w:val="both"/>
        <w:rPr>
          <w:rFonts w:ascii="Times New Roman" w:eastAsia="標楷體" w:hAnsi="Times New Roman" w:cs="Times New Roman"/>
          <w:b/>
          <w:i/>
          <w:kern w:val="0"/>
          <w:szCs w:val="24"/>
          <w:lang w:eastAsia="zh-HK"/>
        </w:rPr>
      </w:pPr>
      <w:r w:rsidRPr="00DE5108">
        <w:rPr>
          <w:rFonts w:ascii="Times New Roman" w:eastAsia="標楷體" w:hAnsi="Times New Roman" w:cs="Times New Roman"/>
          <w:i/>
          <w:kern w:val="0"/>
          <w:szCs w:val="24"/>
          <w:lang w:val="en" w:eastAsia="zh-CN"/>
        </w:rPr>
        <w:tab/>
      </w:r>
      <w:r w:rsidRPr="00BD0AC8">
        <w:rPr>
          <w:rFonts w:ascii="Times New Roman" w:eastAsia="標楷體" w:hAnsi="Times New Roman" w:cs="Times New Roman"/>
          <w:b/>
          <w:i/>
          <w:kern w:val="0"/>
          <w:szCs w:val="24"/>
          <w:lang w:val="en" w:eastAsia="zh-CN"/>
        </w:rPr>
        <w:t>Section 70A(1)</w:t>
      </w:r>
      <w:r w:rsidRPr="00BD0AC8">
        <w:rPr>
          <w:rFonts w:ascii="Times New Roman" w:eastAsia="標楷體" w:hAnsi="Times New Roman" w:cs="Times New Roman"/>
          <w:b/>
          <w:i/>
          <w:kern w:val="0"/>
          <w:szCs w:val="24"/>
          <w:lang w:eastAsia="zh-HK"/>
        </w:rPr>
        <w:t xml:space="preserve"> </w:t>
      </w:r>
    </w:p>
    <w:p w14:paraId="0E33326A" w14:textId="77777777" w:rsidR="00DE5108" w:rsidRDefault="00DE5108" w:rsidP="00BD0AC8">
      <w:pPr>
        <w:widowControl/>
        <w:tabs>
          <w:tab w:val="num" w:pos="993"/>
        </w:tabs>
        <w:adjustRightInd w:val="0"/>
        <w:snapToGrid w:val="0"/>
        <w:ind w:left="1560" w:rightChars="217" w:right="521" w:hanging="994"/>
        <w:jc w:val="both"/>
        <w:rPr>
          <w:rFonts w:ascii="Times New Roman" w:eastAsia="標楷體" w:hAnsi="Times New Roman" w:cs="Times New Roman"/>
          <w:i/>
          <w:kern w:val="0"/>
          <w:szCs w:val="24"/>
          <w:lang w:val="en" w:eastAsia="zh-CN"/>
        </w:rPr>
      </w:pPr>
      <w:r w:rsidRPr="00DE5108">
        <w:rPr>
          <w:rFonts w:ascii="Times New Roman" w:eastAsia="標楷體" w:hAnsi="Times New Roman" w:cs="Times New Roman"/>
          <w:i/>
          <w:kern w:val="0"/>
          <w:szCs w:val="24"/>
          <w:lang w:eastAsia="zh-HK"/>
        </w:rPr>
        <w:tab/>
      </w:r>
      <w:r w:rsidRPr="00DE5108">
        <w:rPr>
          <w:rFonts w:ascii="Times New Roman" w:eastAsia="標楷體" w:hAnsi="Times New Roman" w:cs="Times New Roman"/>
          <w:i/>
          <w:kern w:val="0"/>
          <w:szCs w:val="24"/>
          <w:lang w:eastAsia="zh-HK"/>
        </w:rPr>
        <w:tab/>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val="en" w:eastAsia="zh-CN"/>
        </w:rPr>
        <w:t>Notwithstanding the provisions of section 70, if, upon application made within 6 years after the end of a year of assessment … it is established to the satisfaction of an assessor that the tax charged for that year of assessment is excessive by reason of an error or omission in any return or statement submitted in respect thereof, or by reason of any arithmetical error or omission in the calculation of the amount of the … assessable income or profits assessed or in the amount of the tax charged, the assessor shall correct such assessment …</w:t>
      </w:r>
      <w:r w:rsidR="00D264CC">
        <w:rPr>
          <w:rFonts w:ascii="Times New Roman" w:eastAsia="標楷體" w:hAnsi="Times New Roman" w:cs="Times New Roman"/>
          <w:i/>
          <w:kern w:val="0"/>
          <w:szCs w:val="24"/>
          <w:lang w:val="en" w:eastAsia="zh-CN"/>
        </w:rPr>
        <w:t>’</w:t>
      </w:r>
    </w:p>
    <w:p w14:paraId="5D21BCFC" w14:textId="77777777" w:rsidR="00664658" w:rsidRPr="00DE5108" w:rsidRDefault="00664658" w:rsidP="005F377B">
      <w:pPr>
        <w:widowControl/>
        <w:tabs>
          <w:tab w:val="num" w:pos="993"/>
        </w:tabs>
        <w:adjustRightInd w:val="0"/>
        <w:snapToGrid w:val="0"/>
        <w:ind w:left="1282" w:rightChars="217" w:right="521" w:hanging="994"/>
        <w:jc w:val="both"/>
        <w:rPr>
          <w:rFonts w:ascii="Times New Roman" w:eastAsia="標楷體" w:hAnsi="Times New Roman" w:cs="Times New Roman"/>
          <w:i/>
          <w:kern w:val="0"/>
          <w:szCs w:val="24"/>
          <w:lang w:val="en" w:eastAsia="zh-CN"/>
        </w:rPr>
      </w:pPr>
    </w:p>
    <w:p w14:paraId="725BFD64" w14:textId="77777777" w:rsidR="00DE5108" w:rsidRDefault="00DE5108" w:rsidP="00023E67">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CN"/>
        </w:rPr>
      </w:pPr>
      <w:r w:rsidRPr="00DE5108">
        <w:rPr>
          <w:rFonts w:ascii="Times New Roman" w:eastAsia="標楷體" w:hAnsi="Times New Roman" w:cs="Times New Roman"/>
          <w:kern w:val="0"/>
          <w:szCs w:val="24"/>
          <w:lang w:eastAsia="zh-HK"/>
        </w:rPr>
        <w:t>The onus of proof in an appeal before the Board and the issue of costs are provided in section 68 of the IRO as follows</w:t>
      </w:r>
      <w:r w:rsidRPr="00DE5108">
        <w:rPr>
          <w:rFonts w:ascii="Times New Roman" w:eastAsia="標楷體" w:hAnsi="Times New Roman" w:cs="Times New Roman"/>
          <w:kern w:val="0"/>
          <w:szCs w:val="24"/>
          <w:lang w:eastAsia="zh-CN"/>
        </w:rPr>
        <w:t>:</w:t>
      </w:r>
    </w:p>
    <w:p w14:paraId="4E14CA1B" w14:textId="77777777" w:rsidR="00664658" w:rsidRPr="00DE5108" w:rsidRDefault="00664658" w:rsidP="00701ED2">
      <w:pPr>
        <w:widowControl/>
        <w:ind w:left="360"/>
        <w:jc w:val="both"/>
        <w:rPr>
          <w:rFonts w:ascii="Times New Roman" w:eastAsia="標楷體" w:hAnsi="Times New Roman" w:cs="Times New Roman"/>
          <w:kern w:val="0"/>
          <w:szCs w:val="24"/>
          <w:lang w:eastAsia="zh-CN"/>
        </w:rPr>
      </w:pPr>
    </w:p>
    <w:p w14:paraId="0E9A537D" w14:textId="77777777" w:rsidR="00DE5108" w:rsidRPr="00775172" w:rsidRDefault="00DE5108" w:rsidP="00674C01">
      <w:pPr>
        <w:widowControl/>
        <w:numPr>
          <w:ilvl w:val="0"/>
          <w:numId w:val="37"/>
        </w:numPr>
        <w:ind w:leftChars="638" w:left="2108" w:hangingChars="240" w:hanging="577"/>
        <w:jc w:val="both"/>
        <w:rPr>
          <w:rFonts w:ascii="Times New Roman" w:eastAsia="標楷體" w:hAnsi="Times New Roman" w:cs="Times New Roman"/>
          <w:b/>
          <w:i/>
          <w:kern w:val="0"/>
          <w:szCs w:val="24"/>
          <w:lang w:eastAsia="zh-CN"/>
        </w:rPr>
      </w:pPr>
      <w:r w:rsidRPr="00775172">
        <w:rPr>
          <w:rFonts w:ascii="Times New Roman" w:eastAsia="標楷體" w:hAnsi="Times New Roman" w:cs="Times New Roman"/>
          <w:b/>
          <w:i/>
          <w:kern w:val="0"/>
          <w:szCs w:val="24"/>
          <w:lang w:eastAsia="zh-CN"/>
        </w:rPr>
        <w:t>Burden of Proof</w:t>
      </w:r>
    </w:p>
    <w:p w14:paraId="5181A88B" w14:textId="77777777" w:rsidR="00664658" w:rsidRPr="00DE5108" w:rsidRDefault="00664658" w:rsidP="00664658">
      <w:pPr>
        <w:widowControl/>
        <w:ind w:left="840"/>
        <w:jc w:val="both"/>
        <w:rPr>
          <w:rFonts w:ascii="Times New Roman" w:eastAsia="標楷體" w:hAnsi="Times New Roman" w:cs="Times New Roman"/>
          <w:kern w:val="0"/>
          <w:szCs w:val="24"/>
          <w:lang w:eastAsia="zh-CN"/>
        </w:rPr>
      </w:pPr>
    </w:p>
    <w:p w14:paraId="762BB6EE" w14:textId="77777777" w:rsidR="00DE5108" w:rsidRPr="00DE5108" w:rsidRDefault="00DE5108" w:rsidP="00775172">
      <w:pPr>
        <w:widowControl/>
        <w:ind w:leftChars="885" w:left="2124" w:firstLine="1"/>
        <w:jc w:val="both"/>
        <w:rPr>
          <w:rFonts w:ascii="Times New Roman" w:eastAsia="標楷體" w:hAnsi="Times New Roman" w:cs="Times New Roman"/>
          <w:i/>
          <w:kern w:val="0"/>
          <w:szCs w:val="24"/>
          <w:lang w:eastAsia="zh-HK"/>
        </w:rPr>
      </w:pPr>
      <w:r w:rsidRPr="00DE5108">
        <w:rPr>
          <w:rFonts w:ascii="Times New Roman" w:eastAsia="標楷體" w:hAnsi="Times New Roman" w:cs="Times New Roman"/>
          <w:kern w:val="0"/>
          <w:szCs w:val="24"/>
          <w:u w:val="single"/>
          <w:lang w:eastAsia="zh-HK"/>
        </w:rPr>
        <w:t>Section 68(4)</w:t>
      </w:r>
    </w:p>
    <w:p w14:paraId="0615D1E2" w14:textId="77777777" w:rsidR="00DE5108" w:rsidRDefault="00DE5108" w:rsidP="00775172">
      <w:pPr>
        <w:widowControl/>
        <w:tabs>
          <w:tab w:val="num" w:pos="1134"/>
        </w:tabs>
        <w:ind w:left="2127" w:right="521" w:hanging="1418"/>
        <w:jc w:val="both"/>
        <w:rPr>
          <w:rFonts w:ascii="Times New Roman" w:eastAsia="標楷體" w:hAnsi="Times New Roman" w:cs="Times New Roman"/>
          <w:i/>
          <w:kern w:val="0"/>
          <w:szCs w:val="24"/>
          <w:lang w:eastAsia="zh-HK"/>
        </w:rPr>
      </w:pPr>
      <w:r w:rsidRPr="00DE5108">
        <w:rPr>
          <w:rFonts w:ascii="Times New Roman" w:eastAsia="標楷體" w:hAnsi="Times New Roman" w:cs="Times New Roman"/>
          <w:kern w:val="0"/>
          <w:szCs w:val="24"/>
          <w:lang w:eastAsia="zh-CN"/>
        </w:rPr>
        <w:tab/>
      </w:r>
      <w:r w:rsidRPr="00DE5108">
        <w:rPr>
          <w:rFonts w:ascii="Times New Roman" w:eastAsia="標楷體" w:hAnsi="Times New Roman" w:cs="Times New Roman"/>
          <w:i/>
          <w:kern w:val="0"/>
          <w:szCs w:val="24"/>
          <w:lang w:eastAsia="zh-CN"/>
        </w:rPr>
        <w:t xml:space="preserve"> </w:t>
      </w:r>
      <w:r w:rsidRPr="00DE5108">
        <w:rPr>
          <w:rFonts w:ascii="Times New Roman" w:eastAsia="標楷體" w:hAnsi="Times New Roman" w:cs="Times New Roman"/>
          <w:i/>
          <w:kern w:val="0"/>
          <w:szCs w:val="24"/>
          <w:lang w:eastAsia="zh-CN"/>
        </w:rPr>
        <w:tab/>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CN"/>
        </w:rPr>
        <w:t>The onus of proving that the assessment appealed against is excessive or incorrect shall be on the appellant.</w:t>
      </w:r>
      <w:r w:rsidR="00D264CC">
        <w:rPr>
          <w:rFonts w:ascii="Times New Roman" w:eastAsia="標楷體" w:hAnsi="Times New Roman" w:cs="Times New Roman"/>
          <w:i/>
          <w:kern w:val="0"/>
          <w:szCs w:val="24"/>
          <w:lang w:eastAsia="zh-HK"/>
        </w:rPr>
        <w:t>’</w:t>
      </w:r>
    </w:p>
    <w:p w14:paraId="0E2183AD" w14:textId="77777777" w:rsidR="00664658" w:rsidRPr="00DE5108" w:rsidRDefault="00664658" w:rsidP="005F377B">
      <w:pPr>
        <w:widowControl/>
        <w:tabs>
          <w:tab w:val="num" w:pos="1134"/>
        </w:tabs>
        <w:ind w:left="1276" w:right="521" w:hanging="1418"/>
        <w:jc w:val="both"/>
        <w:rPr>
          <w:rFonts w:ascii="Times New Roman" w:eastAsia="標楷體" w:hAnsi="Times New Roman" w:cs="Times New Roman"/>
          <w:i/>
          <w:kern w:val="0"/>
          <w:szCs w:val="24"/>
          <w:lang w:eastAsia="zh-HK"/>
        </w:rPr>
      </w:pPr>
    </w:p>
    <w:p w14:paraId="36C53CA5" w14:textId="77777777" w:rsidR="00DE5108" w:rsidRPr="00775172" w:rsidRDefault="00DE5108" w:rsidP="00655E2B">
      <w:pPr>
        <w:widowControl/>
        <w:numPr>
          <w:ilvl w:val="0"/>
          <w:numId w:val="37"/>
        </w:numPr>
        <w:ind w:leftChars="638" w:left="2108" w:hangingChars="240" w:hanging="577"/>
        <w:jc w:val="both"/>
        <w:rPr>
          <w:rFonts w:ascii="Times New Roman" w:eastAsia="標楷體" w:hAnsi="Times New Roman" w:cs="Times New Roman"/>
          <w:b/>
          <w:i/>
          <w:kern w:val="0"/>
          <w:szCs w:val="24"/>
          <w:lang w:eastAsia="zh-HK"/>
        </w:rPr>
      </w:pPr>
      <w:r w:rsidRPr="00775172">
        <w:rPr>
          <w:rFonts w:ascii="Times New Roman" w:eastAsia="標楷體" w:hAnsi="Times New Roman" w:cs="Times New Roman"/>
          <w:b/>
          <w:i/>
          <w:kern w:val="0"/>
          <w:szCs w:val="24"/>
          <w:lang w:eastAsia="zh-HK"/>
        </w:rPr>
        <w:t>Costs</w:t>
      </w:r>
    </w:p>
    <w:p w14:paraId="47B453A4" w14:textId="77777777" w:rsidR="00664658" w:rsidRPr="00DE5108" w:rsidRDefault="00664658" w:rsidP="00664658">
      <w:pPr>
        <w:widowControl/>
        <w:adjustRightInd w:val="0"/>
        <w:snapToGrid w:val="0"/>
        <w:ind w:left="840"/>
        <w:rPr>
          <w:rFonts w:ascii="Times New Roman" w:eastAsia="標楷體" w:hAnsi="Times New Roman" w:cs="Times New Roman"/>
          <w:kern w:val="0"/>
          <w:szCs w:val="24"/>
          <w:u w:val="single"/>
          <w:lang w:eastAsia="zh-HK"/>
        </w:rPr>
      </w:pPr>
    </w:p>
    <w:p w14:paraId="6BF9A247" w14:textId="77777777" w:rsidR="00DE5108" w:rsidRPr="00DE5108" w:rsidRDefault="00DE5108" w:rsidP="00197A1F">
      <w:pPr>
        <w:ind w:leftChars="886" w:left="2126"/>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u w:val="single"/>
          <w:lang w:eastAsia="zh-HK"/>
        </w:rPr>
        <w:t>Section 68(9)</w:t>
      </w:r>
    </w:p>
    <w:p w14:paraId="62D3669E" w14:textId="77777777" w:rsidR="00DE5108" w:rsidRDefault="00D264CC" w:rsidP="00197A1F">
      <w:pPr>
        <w:ind w:left="2127" w:hanging="22"/>
        <w:rPr>
          <w:rFonts w:ascii="Times New Roman" w:eastAsia="標楷體" w:hAnsi="Times New Roman" w:cs="Times New Roman"/>
          <w:i/>
          <w:iCs/>
          <w:kern w:val="0"/>
          <w:szCs w:val="24"/>
          <w:lang w:eastAsia="zh-HK"/>
        </w:rPr>
      </w:pPr>
      <w:r>
        <w:rPr>
          <w:rFonts w:ascii="Times New Roman" w:eastAsia="標楷體" w:hAnsi="Times New Roman" w:cs="Times New Roman"/>
          <w:i/>
          <w:iCs/>
          <w:kern w:val="0"/>
          <w:szCs w:val="24"/>
          <w:lang w:eastAsia="zh-HK"/>
        </w:rPr>
        <w:t>‘</w:t>
      </w:r>
      <w:r w:rsidR="00DE5108" w:rsidRPr="00DE5108">
        <w:rPr>
          <w:rFonts w:ascii="Times New Roman" w:eastAsia="標楷體" w:hAnsi="Times New Roman" w:cs="Times New Roman"/>
          <w:i/>
          <w:iCs/>
          <w:kern w:val="0"/>
          <w:szCs w:val="24"/>
          <w:lang w:eastAsia="zh-HK"/>
        </w:rPr>
        <w:t>Where under subsection (8), the Board does not reduce or annul such assessment, the Board may order the appellant to pay as costs of the Board a sum not exceeding the amount specified in Part 1 of Schedule 5</w:t>
      </w:r>
      <w:r w:rsidR="00DE5108" w:rsidRPr="005F377B">
        <w:rPr>
          <w:rFonts w:ascii="Times New Roman" w:eastAsia="標楷體" w:hAnsi="Times New Roman" w:cs="Times New Roman"/>
          <w:i/>
          <w:iCs/>
          <w:kern w:val="0"/>
          <w:szCs w:val="24"/>
          <w:vertAlign w:val="superscript"/>
          <w:lang w:eastAsia="zh-HK"/>
        </w:rPr>
        <w:footnoteReference w:id="2"/>
      </w:r>
      <w:r w:rsidR="00DE5108" w:rsidRPr="00DE5108">
        <w:rPr>
          <w:rFonts w:ascii="Times New Roman" w:eastAsia="標楷體" w:hAnsi="Times New Roman" w:cs="Times New Roman"/>
          <w:i/>
          <w:iCs/>
          <w:kern w:val="0"/>
          <w:szCs w:val="24"/>
          <w:lang w:eastAsia="zh-HK"/>
        </w:rPr>
        <w:t>, which shall be added to the tax charged and recovered therewith.</w:t>
      </w:r>
      <w:r>
        <w:rPr>
          <w:rFonts w:ascii="Times New Roman" w:eastAsia="標楷體" w:hAnsi="Times New Roman" w:cs="Times New Roman"/>
          <w:i/>
          <w:iCs/>
          <w:kern w:val="0"/>
          <w:szCs w:val="24"/>
          <w:lang w:eastAsia="zh-HK"/>
        </w:rPr>
        <w:t>’</w:t>
      </w:r>
      <w:r w:rsidR="00DE5108" w:rsidRPr="00DE5108">
        <w:rPr>
          <w:rFonts w:ascii="Times New Roman" w:eastAsia="標楷體" w:hAnsi="Times New Roman" w:cs="Times New Roman"/>
          <w:i/>
          <w:iCs/>
          <w:kern w:val="0"/>
          <w:szCs w:val="24"/>
          <w:lang w:eastAsia="zh-HK"/>
        </w:rPr>
        <w:t xml:space="preserve"> </w:t>
      </w:r>
    </w:p>
    <w:p w14:paraId="285A8F13" w14:textId="77777777" w:rsidR="00664658" w:rsidRPr="00DE5108" w:rsidRDefault="00664658" w:rsidP="005F377B">
      <w:pPr>
        <w:ind w:left="1440" w:hanging="540"/>
        <w:rPr>
          <w:rFonts w:ascii="Times New Roman" w:eastAsia="標楷體" w:hAnsi="Times New Roman" w:cs="Times New Roman"/>
          <w:i/>
          <w:iCs/>
          <w:kern w:val="0"/>
          <w:szCs w:val="24"/>
          <w:lang w:eastAsia="zh-HK"/>
        </w:rPr>
      </w:pPr>
    </w:p>
    <w:p w14:paraId="352F9436" w14:textId="77777777" w:rsidR="00DE5108" w:rsidRPr="00537163" w:rsidRDefault="00DE5108" w:rsidP="005F377B">
      <w:pPr>
        <w:rPr>
          <w:rFonts w:ascii="Times New Roman" w:eastAsia="標楷體" w:hAnsi="Times New Roman" w:cs="Times New Roman"/>
          <w:b/>
          <w:bCs/>
          <w:kern w:val="0"/>
          <w:szCs w:val="24"/>
          <w:lang w:eastAsia="zh-HK"/>
        </w:rPr>
      </w:pPr>
      <w:r w:rsidRPr="00537163">
        <w:rPr>
          <w:rFonts w:ascii="Times New Roman" w:eastAsia="標楷體" w:hAnsi="Times New Roman" w:cs="Times New Roman"/>
          <w:b/>
          <w:bCs/>
          <w:kern w:val="0"/>
          <w:szCs w:val="24"/>
          <w:lang w:eastAsia="zh-HK"/>
        </w:rPr>
        <w:t>Legal Authorities submitted by the Respondent</w:t>
      </w:r>
    </w:p>
    <w:p w14:paraId="7D5599F4" w14:textId="77777777" w:rsidR="00664658" w:rsidRPr="00DE5108" w:rsidRDefault="00664658" w:rsidP="005F377B">
      <w:pPr>
        <w:rPr>
          <w:rFonts w:ascii="Times New Roman" w:eastAsia="標楷體" w:hAnsi="Times New Roman" w:cs="Times New Roman"/>
          <w:b/>
          <w:bCs/>
          <w:kern w:val="0"/>
          <w:szCs w:val="24"/>
          <w:u w:val="single"/>
          <w:lang w:eastAsia="zh-HK"/>
        </w:rPr>
      </w:pPr>
    </w:p>
    <w:p w14:paraId="58002AA3"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Respondent submitted the following authorities, which illustrate the well-established legal principles relating to the scope of application of section 70 and 70A of the IRO.  </w:t>
      </w:r>
    </w:p>
    <w:p w14:paraId="197098F1" w14:textId="77777777" w:rsidR="003533DB" w:rsidRPr="00DE5108" w:rsidRDefault="003533DB" w:rsidP="003533DB">
      <w:pPr>
        <w:widowControl/>
        <w:ind w:left="360"/>
        <w:jc w:val="both"/>
        <w:rPr>
          <w:rFonts w:ascii="Times New Roman" w:eastAsia="標楷體" w:hAnsi="Times New Roman" w:cs="Times New Roman"/>
          <w:kern w:val="0"/>
          <w:szCs w:val="24"/>
          <w:lang w:eastAsia="zh-HK"/>
        </w:rPr>
      </w:pPr>
    </w:p>
    <w:p w14:paraId="0FA81458" w14:textId="77777777" w:rsidR="00DE5108" w:rsidRPr="000E50FA" w:rsidRDefault="00DE5108" w:rsidP="0022514B">
      <w:pPr>
        <w:adjustRightInd w:val="0"/>
        <w:snapToGrid w:val="0"/>
        <w:ind w:leftChars="638" w:left="2108" w:hangingChars="240" w:hanging="577"/>
        <w:rPr>
          <w:rFonts w:ascii="Times New Roman" w:eastAsia="標楷體" w:hAnsi="Times New Roman" w:cs="Times New Roman"/>
          <w:b/>
          <w:i/>
          <w:kern w:val="0"/>
          <w:szCs w:val="24"/>
          <w:lang w:eastAsia="zh-HK"/>
        </w:rPr>
      </w:pPr>
      <w:r w:rsidRPr="000E50FA">
        <w:rPr>
          <w:rFonts w:ascii="Times New Roman" w:eastAsia="標楷體" w:hAnsi="Times New Roman" w:cs="Times New Roman"/>
          <w:b/>
          <w:i/>
          <w:kern w:val="0"/>
          <w:szCs w:val="24"/>
          <w:lang w:eastAsia="zh-HK"/>
        </w:rPr>
        <w:t>Court Decisions</w:t>
      </w:r>
    </w:p>
    <w:p w14:paraId="3E212FB0" w14:textId="77777777" w:rsidR="003533DB" w:rsidRPr="00DE5108" w:rsidRDefault="003533DB" w:rsidP="005F377B">
      <w:pPr>
        <w:adjustRightInd w:val="0"/>
        <w:snapToGrid w:val="0"/>
        <w:ind w:left="360"/>
        <w:rPr>
          <w:rFonts w:ascii="Times New Roman" w:eastAsia="標楷體" w:hAnsi="Times New Roman" w:cs="Times New Roman"/>
          <w:kern w:val="0"/>
          <w:szCs w:val="24"/>
          <w:u w:val="single"/>
          <w:lang w:eastAsia="zh-HK"/>
        </w:rPr>
      </w:pPr>
    </w:p>
    <w:p w14:paraId="1A2F43DD" w14:textId="77777777" w:rsidR="00DE5108" w:rsidRDefault="00DE5108" w:rsidP="007D6C41">
      <w:pPr>
        <w:widowControl/>
        <w:numPr>
          <w:ilvl w:val="0"/>
          <w:numId w:val="20"/>
        </w:numPr>
        <w:adjustRightInd w:val="0"/>
        <w:snapToGrid w:val="0"/>
        <w:ind w:leftChars="638" w:left="2107" w:hangingChars="240" w:hanging="576"/>
        <w:rPr>
          <w:rFonts w:ascii="Times New Roman" w:eastAsia="標楷體" w:hAnsi="Times New Roman" w:cs="Times New Roman"/>
          <w:kern w:val="0"/>
          <w:szCs w:val="24"/>
          <w:lang w:eastAsia="zh-HK"/>
        </w:rPr>
      </w:pPr>
      <w:r w:rsidRPr="00DF6C73">
        <w:rPr>
          <w:rFonts w:ascii="Times New Roman" w:eastAsia="標楷體" w:hAnsi="Times New Roman" w:cs="Times New Roman"/>
          <w:kern w:val="0"/>
          <w:szCs w:val="24"/>
          <w:u w:val="single"/>
          <w:lang w:eastAsia="zh-HK"/>
        </w:rPr>
        <w:t>Extramoney Limited v CIR</w:t>
      </w:r>
      <w:r w:rsidRPr="00DE5108">
        <w:rPr>
          <w:rFonts w:ascii="Times New Roman" w:eastAsia="標楷體" w:hAnsi="Times New Roman" w:cs="Times New Roman"/>
          <w:kern w:val="0"/>
          <w:szCs w:val="24"/>
          <w:lang w:eastAsia="zh-HK"/>
        </w:rPr>
        <w:t xml:space="preserve"> [1997] HKLRD 387;</w:t>
      </w:r>
    </w:p>
    <w:p w14:paraId="224B2F5B" w14:textId="77777777" w:rsidR="003533DB" w:rsidRPr="00DE5108" w:rsidRDefault="003533DB" w:rsidP="003533DB">
      <w:pPr>
        <w:widowControl/>
        <w:adjustRightInd w:val="0"/>
        <w:snapToGrid w:val="0"/>
        <w:ind w:left="720"/>
        <w:rPr>
          <w:rFonts w:ascii="Times New Roman" w:eastAsia="標楷體" w:hAnsi="Times New Roman" w:cs="Times New Roman"/>
          <w:kern w:val="0"/>
          <w:szCs w:val="24"/>
          <w:lang w:eastAsia="zh-HK"/>
        </w:rPr>
      </w:pPr>
    </w:p>
    <w:p w14:paraId="39648722" w14:textId="77777777" w:rsidR="00DE5108" w:rsidRDefault="00DE5108" w:rsidP="007D6C41">
      <w:pPr>
        <w:widowControl/>
        <w:numPr>
          <w:ilvl w:val="0"/>
          <w:numId w:val="20"/>
        </w:numPr>
        <w:adjustRightInd w:val="0"/>
        <w:snapToGrid w:val="0"/>
        <w:ind w:leftChars="638" w:left="2107" w:hangingChars="240" w:hanging="576"/>
        <w:rPr>
          <w:rFonts w:ascii="Times New Roman" w:eastAsia="標楷體" w:hAnsi="Times New Roman" w:cs="Times New Roman"/>
          <w:kern w:val="0"/>
          <w:szCs w:val="24"/>
          <w:lang w:eastAsia="zh-HK"/>
        </w:rPr>
      </w:pPr>
      <w:r w:rsidRPr="00C821E4">
        <w:rPr>
          <w:rFonts w:ascii="Times New Roman" w:eastAsia="標楷體" w:hAnsi="Times New Roman" w:cs="Times New Roman"/>
          <w:kern w:val="0"/>
          <w:szCs w:val="24"/>
          <w:u w:val="single"/>
          <w:lang w:eastAsia="zh-HK"/>
        </w:rPr>
        <w:t>Moulin Global Eyecare Trading Ltd v CIR</w:t>
      </w:r>
      <w:r w:rsidRPr="00DE5108">
        <w:rPr>
          <w:rFonts w:ascii="Times New Roman" w:eastAsia="標楷體" w:hAnsi="Times New Roman" w:cs="Times New Roman"/>
          <w:kern w:val="0"/>
          <w:szCs w:val="24"/>
          <w:lang w:eastAsia="zh-HK"/>
        </w:rPr>
        <w:t xml:space="preserve"> (2014) 17 HKCFAR 218;</w:t>
      </w:r>
    </w:p>
    <w:p w14:paraId="60A0EB5B" w14:textId="77777777" w:rsidR="003533DB" w:rsidRPr="00DE5108" w:rsidRDefault="003533DB" w:rsidP="003533DB">
      <w:pPr>
        <w:widowControl/>
        <w:adjustRightInd w:val="0"/>
        <w:snapToGrid w:val="0"/>
        <w:rPr>
          <w:rFonts w:ascii="Times New Roman" w:eastAsia="標楷體" w:hAnsi="Times New Roman" w:cs="Times New Roman"/>
          <w:kern w:val="0"/>
          <w:szCs w:val="24"/>
          <w:lang w:eastAsia="zh-HK"/>
        </w:rPr>
      </w:pPr>
    </w:p>
    <w:p w14:paraId="1871F141" w14:textId="77777777" w:rsidR="00DE5108" w:rsidRDefault="00DE5108" w:rsidP="007D6C41">
      <w:pPr>
        <w:widowControl/>
        <w:numPr>
          <w:ilvl w:val="0"/>
          <w:numId w:val="20"/>
        </w:numPr>
        <w:adjustRightInd w:val="0"/>
        <w:snapToGrid w:val="0"/>
        <w:ind w:leftChars="638" w:left="2107" w:hangingChars="240" w:hanging="576"/>
        <w:rPr>
          <w:rFonts w:ascii="Times New Roman" w:eastAsia="標楷體" w:hAnsi="Times New Roman" w:cs="Times New Roman"/>
          <w:kern w:val="0"/>
          <w:szCs w:val="24"/>
          <w:lang w:eastAsia="zh-HK"/>
        </w:rPr>
      </w:pPr>
      <w:r w:rsidRPr="00D34D09">
        <w:rPr>
          <w:rFonts w:ascii="Times New Roman" w:eastAsia="標楷體" w:hAnsi="Times New Roman" w:cs="Times New Roman"/>
          <w:kern w:val="0"/>
          <w:szCs w:val="24"/>
          <w:u w:val="single"/>
          <w:lang w:eastAsia="zh-HK"/>
        </w:rPr>
        <w:t>Good Mark Industrial Ltd v CIR</w:t>
      </w:r>
      <w:r w:rsidRPr="00DE5108">
        <w:rPr>
          <w:rFonts w:ascii="Times New Roman" w:eastAsia="標楷體" w:hAnsi="Times New Roman" w:cs="Times New Roman"/>
          <w:kern w:val="0"/>
          <w:szCs w:val="24"/>
          <w:lang w:eastAsia="zh-HK"/>
        </w:rPr>
        <w:t xml:space="preserve"> </w:t>
      </w:r>
      <w:r w:rsidR="00A94738">
        <w:rPr>
          <w:rFonts w:ascii="Times New Roman" w:eastAsia="標楷體" w:hAnsi="Times New Roman" w:cs="Times New Roman"/>
          <w:kern w:val="0"/>
          <w:szCs w:val="24"/>
          <w:lang w:eastAsia="zh-HK"/>
        </w:rPr>
        <w:t>[2014</w:t>
      </w:r>
      <w:r w:rsidR="0077676F" w:rsidRPr="00DE5108">
        <w:rPr>
          <w:rFonts w:ascii="Times New Roman" w:eastAsia="標楷體" w:hAnsi="Times New Roman" w:cs="Times New Roman"/>
          <w:kern w:val="0"/>
          <w:szCs w:val="24"/>
          <w:lang w:eastAsia="zh-HK"/>
        </w:rPr>
        <w:t>]</w:t>
      </w:r>
      <w:r w:rsidR="0077676F">
        <w:rPr>
          <w:rFonts w:ascii="Times New Roman" w:eastAsia="標楷體" w:hAnsi="Times New Roman" w:cs="Times New Roman"/>
          <w:kern w:val="0"/>
          <w:szCs w:val="24"/>
          <w:lang w:eastAsia="zh-HK"/>
        </w:rPr>
        <w:t xml:space="preserve"> </w:t>
      </w:r>
      <w:r w:rsidRPr="00DE5108">
        <w:rPr>
          <w:rFonts w:ascii="Times New Roman" w:eastAsia="標楷體" w:hAnsi="Times New Roman" w:cs="Times New Roman"/>
          <w:kern w:val="0"/>
          <w:szCs w:val="24"/>
          <w:lang w:eastAsia="zh-HK"/>
        </w:rPr>
        <w:t>2 HKLRD 981.</w:t>
      </w:r>
    </w:p>
    <w:p w14:paraId="6641135E" w14:textId="77777777" w:rsidR="003533DB" w:rsidRPr="00DE5108" w:rsidRDefault="003533DB" w:rsidP="003533DB">
      <w:pPr>
        <w:widowControl/>
        <w:adjustRightInd w:val="0"/>
        <w:snapToGrid w:val="0"/>
        <w:rPr>
          <w:rFonts w:ascii="Times New Roman" w:eastAsia="標楷體" w:hAnsi="Times New Roman" w:cs="Times New Roman"/>
          <w:kern w:val="0"/>
          <w:szCs w:val="24"/>
          <w:lang w:eastAsia="zh-HK"/>
        </w:rPr>
      </w:pPr>
    </w:p>
    <w:p w14:paraId="6990E54C" w14:textId="77777777" w:rsidR="00DE5108" w:rsidRPr="00B13716" w:rsidRDefault="00DE5108" w:rsidP="0022514B">
      <w:pPr>
        <w:adjustRightInd w:val="0"/>
        <w:snapToGrid w:val="0"/>
        <w:ind w:leftChars="638" w:left="2108" w:hangingChars="240" w:hanging="577"/>
        <w:rPr>
          <w:rFonts w:ascii="Times New Roman" w:eastAsia="標楷體" w:hAnsi="Times New Roman" w:cs="Times New Roman"/>
          <w:b/>
          <w:i/>
          <w:kern w:val="0"/>
          <w:szCs w:val="24"/>
          <w:lang w:eastAsia="zh-HK"/>
        </w:rPr>
      </w:pPr>
      <w:r w:rsidRPr="00B13716">
        <w:rPr>
          <w:rFonts w:ascii="Times New Roman" w:eastAsia="標楷體" w:hAnsi="Times New Roman" w:cs="Times New Roman"/>
          <w:b/>
          <w:i/>
          <w:kern w:val="0"/>
          <w:szCs w:val="24"/>
          <w:lang w:eastAsia="zh-HK"/>
        </w:rPr>
        <w:t>Board Decisions</w:t>
      </w:r>
    </w:p>
    <w:p w14:paraId="76B980E1" w14:textId="77777777" w:rsidR="003533DB" w:rsidRPr="00DE5108" w:rsidRDefault="003533DB" w:rsidP="003533DB">
      <w:pPr>
        <w:rPr>
          <w:rFonts w:ascii="Times New Roman" w:eastAsia="標楷體" w:hAnsi="Times New Roman" w:cs="Times New Roman"/>
          <w:kern w:val="0"/>
          <w:szCs w:val="24"/>
          <w:u w:val="single"/>
          <w:lang w:eastAsia="zh-HK"/>
        </w:rPr>
      </w:pPr>
    </w:p>
    <w:p w14:paraId="459223A3" w14:textId="77777777" w:rsidR="00DE5108" w:rsidRDefault="00DE5108" w:rsidP="007D6C41">
      <w:pPr>
        <w:widowControl/>
        <w:numPr>
          <w:ilvl w:val="0"/>
          <w:numId w:val="20"/>
        </w:numPr>
        <w:adjustRightInd w:val="0"/>
        <w:snapToGrid w:val="0"/>
        <w:ind w:leftChars="638" w:left="2107" w:hangingChars="240" w:hanging="576"/>
        <w:rPr>
          <w:rFonts w:ascii="Times New Roman" w:eastAsia="標楷體" w:hAnsi="Times New Roman" w:cs="Times New Roman"/>
          <w:kern w:val="0"/>
          <w:szCs w:val="24"/>
          <w:lang w:eastAsia="zh-HK"/>
        </w:rPr>
      </w:pPr>
      <w:r w:rsidRPr="00F33B18">
        <w:rPr>
          <w:rFonts w:ascii="Times New Roman" w:eastAsia="標楷體" w:hAnsi="Times New Roman" w:cs="Times New Roman"/>
          <w:kern w:val="0"/>
          <w:szCs w:val="24"/>
          <w:u w:val="single"/>
          <w:lang w:eastAsia="zh-HK"/>
        </w:rPr>
        <w:t>D46/00</w:t>
      </w:r>
      <w:r w:rsidRPr="00DE5108">
        <w:rPr>
          <w:rFonts w:ascii="Times New Roman" w:eastAsia="標楷體" w:hAnsi="Times New Roman" w:cs="Times New Roman"/>
          <w:kern w:val="0"/>
          <w:szCs w:val="24"/>
          <w:lang w:eastAsia="zh-HK"/>
        </w:rPr>
        <w:t>, IRBRD, vol.15, 504;</w:t>
      </w:r>
    </w:p>
    <w:p w14:paraId="126DED46" w14:textId="77777777" w:rsidR="003533DB" w:rsidRPr="00DE5108" w:rsidRDefault="003533DB" w:rsidP="003533DB">
      <w:pPr>
        <w:widowControl/>
        <w:ind w:left="720"/>
        <w:rPr>
          <w:rFonts w:ascii="Times New Roman" w:eastAsia="標楷體" w:hAnsi="Times New Roman" w:cs="Times New Roman"/>
          <w:kern w:val="0"/>
          <w:szCs w:val="24"/>
          <w:lang w:eastAsia="zh-HK"/>
        </w:rPr>
      </w:pPr>
    </w:p>
    <w:p w14:paraId="1E344DBB" w14:textId="77777777" w:rsidR="00DE5108" w:rsidRDefault="00DE5108" w:rsidP="007D6C41">
      <w:pPr>
        <w:widowControl/>
        <w:numPr>
          <w:ilvl w:val="0"/>
          <w:numId w:val="20"/>
        </w:numPr>
        <w:adjustRightInd w:val="0"/>
        <w:snapToGrid w:val="0"/>
        <w:ind w:leftChars="638" w:left="2107" w:hangingChars="240" w:hanging="576"/>
        <w:rPr>
          <w:rFonts w:ascii="Times New Roman" w:eastAsia="標楷體" w:hAnsi="Times New Roman" w:cs="Times New Roman"/>
          <w:kern w:val="0"/>
          <w:szCs w:val="24"/>
          <w:lang w:eastAsia="zh-HK"/>
        </w:rPr>
      </w:pPr>
      <w:r w:rsidRPr="00F33B18">
        <w:rPr>
          <w:rFonts w:ascii="Times New Roman" w:eastAsia="標楷體" w:hAnsi="Times New Roman" w:cs="Times New Roman"/>
          <w:kern w:val="0"/>
          <w:szCs w:val="24"/>
          <w:u w:val="single"/>
          <w:lang w:eastAsia="zh-HK"/>
        </w:rPr>
        <w:t>D142/01</w:t>
      </w:r>
      <w:r w:rsidRPr="00DE5108">
        <w:rPr>
          <w:rFonts w:ascii="Times New Roman" w:eastAsia="標楷體" w:hAnsi="Times New Roman" w:cs="Times New Roman"/>
          <w:kern w:val="0"/>
          <w:szCs w:val="24"/>
          <w:lang w:eastAsia="zh-HK"/>
        </w:rPr>
        <w:t>, IRBRD, vol. 17, 46;</w:t>
      </w:r>
    </w:p>
    <w:p w14:paraId="5796B45B" w14:textId="77777777" w:rsidR="003533DB" w:rsidRPr="00DE5108" w:rsidRDefault="003533DB" w:rsidP="003533DB">
      <w:pPr>
        <w:widowControl/>
        <w:adjustRightInd w:val="0"/>
        <w:snapToGrid w:val="0"/>
        <w:rPr>
          <w:rFonts w:ascii="Times New Roman" w:eastAsia="標楷體" w:hAnsi="Times New Roman" w:cs="Times New Roman"/>
          <w:kern w:val="0"/>
          <w:szCs w:val="24"/>
          <w:lang w:eastAsia="zh-HK"/>
        </w:rPr>
      </w:pPr>
    </w:p>
    <w:p w14:paraId="4B91F474" w14:textId="77777777" w:rsidR="00DE5108" w:rsidRDefault="00DE5108" w:rsidP="007D6C41">
      <w:pPr>
        <w:widowControl/>
        <w:numPr>
          <w:ilvl w:val="0"/>
          <w:numId w:val="20"/>
        </w:numPr>
        <w:adjustRightInd w:val="0"/>
        <w:snapToGrid w:val="0"/>
        <w:ind w:leftChars="638" w:left="2107" w:hangingChars="240" w:hanging="576"/>
        <w:rPr>
          <w:rFonts w:ascii="Times New Roman" w:eastAsia="標楷體" w:hAnsi="Times New Roman" w:cs="Times New Roman"/>
          <w:kern w:val="0"/>
          <w:szCs w:val="24"/>
          <w:lang w:eastAsia="zh-HK"/>
        </w:rPr>
      </w:pPr>
      <w:r w:rsidRPr="00F33B18">
        <w:rPr>
          <w:rFonts w:ascii="Times New Roman" w:eastAsia="標楷體" w:hAnsi="Times New Roman" w:cs="Times New Roman"/>
          <w:kern w:val="0"/>
          <w:szCs w:val="24"/>
          <w:u w:val="single"/>
          <w:lang w:eastAsia="zh-HK"/>
        </w:rPr>
        <w:t>D124/02</w:t>
      </w:r>
      <w:r w:rsidRPr="00DE5108">
        <w:rPr>
          <w:rFonts w:ascii="Times New Roman" w:eastAsia="標楷體" w:hAnsi="Times New Roman" w:cs="Times New Roman"/>
          <w:kern w:val="0"/>
          <w:szCs w:val="24"/>
          <w:lang w:eastAsia="zh-HK"/>
        </w:rPr>
        <w:t>, (2003-04) IRBRD, vol.18, 175;</w:t>
      </w:r>
    </w:p>
    <w:p w14:paraId="395BE779" w14:textId="77777777" w:rsidR="003533DB" w:rsidRPr="00DE5108" w:rsidRDefault="003533DB" w:rsidP="003533DB">
      <w:pPr>
        <w:widowControl/>
        <w:adjustRightInd w:val="0"/>
        <w:snapToGrid w:val="0"/>
        <w:rPr>
          <w:rFonts w:ascii="Times New Roman" w:eastAsia="標楷體" w:hAnsi="Times New Roman" w:cs="Times New Roman"/>
          <w:kern w:val="0"/>
          <w:szCs w:val="24"/>
          <w:lang w:eastAsia="zh-HK"/>
        </w:rPr>
      </w:pPr>
    </w:p>
    <w:p w14:paraId="15CBE4ED" w14:textId="77777777" w:rsidR="00DE5108" w:rsidRDefault="002E4923" w:rsidP="00023DE4">
      <w:pPr>
        <w:widowControl/>
        <w:adjustRightInd w:val="0"/>
        <w:snapToGrid w:val="0"/>
        <w:ind w:left="1560"/>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T</w:t>
      </w:r>
      <w:r w:rsidR="00DE5108" w:rsidRPr="00DE5108">
        <w:rPr>
          <w:rFonts w:ascii="Times New Roman" w:eastAsia="標楷體" w:hAnsi="Times New Roman" w:cs="Times New Roman"/>
          <w:kern w:val="0"/>
          <w:szCs w:val="24"/>
          <w:lang w:eastAsia="zh-HK"/>
        </w:rPr>
        <w:t>he Respondent submitted no legal authorities.</w:t>
      </w:r>
    </w:p>
    <w:p w14:paraId="4A1A1504" w14:textId="77777777" w:rsidR="003533DB" w:rsidRPr="00DE5108" w:rsidRDefault="003533DB" w:rsidP="003533DB">
      <w:pPr>
        <w:adjustRightInd w:val="0"/>
        <w:snapToGrid w:val="0"/>
        <w:rPr>
          <w:rFonts w:ascii="Times New Roman" w:eastAsia="標楷體" w:hAnsi="Times New Roman" w:cs="Times New Roman"/>
          <w:kern w:val="0"/>
          <w:szCs w:val="24"/>
          <w:lang w:eastAsia="zh-HK"/>
        </w:rPr>
      </w:pPr>
    </w:p>
    <w:p w14:paraId="65A507C7" w14:textId="77777777" w:rsidR="00DE5108" w:rsidRPr="003D742D" w:rsidRDefault="00DE5108" w:rsidP="005F377B">
      <w:pPr>
        <w:rPr>
          <w:rFonts w:ascii="Times New Roman" w:eastAsia="標楷體" w:hAnsi="Times New Roman" w:cs="Times New Roman"/>
          <w:b/>
          <w:bCs/>
          <w:kern w:val="0"/>
          <w:szCs w:val="24"/>
          <w:lang w:eastAsia="zh-HK"/>
        </w:rPr>
      </w:pPr>
      <w:r w:rsidRPr="003D742D">
        <w:rPr>
          <w:rFonts w:ascii="Times New Roman" w:eastAsia="標楷體" w:hAnsi="Times New Roman" w:cs="Times New Roman"/>
          <w:b/>
          <w:bCs/>
          <w:kern w:val="0"/>
          <w:szCs w:val="24"/>
          <w:lang w:eastAsia="zh-HK"/>
        </w:rPr>
        <w:t>The Applicable Legal Principles.</w:t>
      </w:r>
    </w:p>
    <w:p w14:paraId="07284885" w14:textId="77777777" w:rsidR="003533DB" w:rsidRPr="00DE5108" w:rsidRDefault="003533DB" w:rsidP="005F377B">
      <w:pPr>
        <w:rPr>
          <w:rFonts w:ascii="Times New Roman" w:eastAsia="標楷體" w:hAnsi="Times New Roman" w:cs="Times New Roman"/>
          <w:b/>
          <w:bCs/>
          <w:kern w:val="0"/>
          <w:szCs w:val="24"/>
          <w:u w:val="single"/>
          <w:lang w:eastAsia="zh-HK"/>
        </w:rPr>
      </w:pPr>
    </w:p>
    <w:p w14:paraId="2F72C705" w14:textId="77777777" w:rsidR="00DE5108" w:rsidRPr="003533DB"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scope of section 70A is restricted and it has been intended to have a narrow coverage. </w:t>
      </w:r>
      <w:r w:rsidRPr="00DE5108">
        <w:rPr>
          <w:rFonts w:ascii="Times New Roman" w:eastAsia="標楷體" w:hAnsi="Times New Roman" w:cs="Times New Roman"/>
          <w:iCs/>
          <w:kern w:val="0"/>
          <w:szCs w:val="24"/>
          <w:lang w:eastAsia="zh-HK"/>
        </w:rPr>
        <w:t>The scope is restricted by the need for an error in a return or an accompanying statement.</w:t>
      </w:r>
    </w:p>
    <w:p w14:paraId="6149E734" w14:textId="77777777" w:rsidR="003533DB" w:rsidRPr="00DE5108" w:rsidRDefault="003533DB" w:rsidP="003533DB">
      <w:pPr>
        <w:widowControl/>
        <w:ind w:left="360"/>
        <w:jc w:val="both"/>
        <w:rPr>
          <w:rFonts w:ascii="Times New Roman" w:eastAsia="標楷體" w:hAnsi="Times New Roman" w:cs="Times New Roman"/>
          <w:kern w:val="0"/>
          <w:szCs w:val="24"/>
          <w:lang w:eastAsia="zh-HK"/>
        </w:rPr>
      </w:pPr>
    </w:p>
    <w:p w14:paraId="6B378E4E" w14:textId="77777777" w:rsidR="00DE5108" w:rsidRDefault="00DE5108" w:rsidP="00913D8B">
      <w:pPr>
        <w:widowControl/>
        <w:numPr>
          <w:ilvl w:val="0"/>
          <w:numId w:val="21"/>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w:t>
      </w:r>
      <w:r w:rsidRPr="006140B3">
        <w:rPr>
          <w:rFonts w:ascii="Times New Roman" w:eastAsia="標楷體" w:hAnsi="Times New Roman" w:cs="Times New Roman"/>
          <w:kern w:val="0"/>
          <w:szCs w:val="24"/>
          <w:u w:val="single"/>
          <w:lang w:eastAsia="zh-HK"/>
        </w:rPr>
        <w:t>Moulin Global Eyecare Trading Ltd v CIR</w:t>
      </w:r>
      <w:r w:rsidRPr="00DE5108">
        <w:rPr>
          <w:rFonts w:ascii="Times New Roman" w:eastAsia="標楷體" w:hAnsi="Times New Roman" w:cs="Times New Roman"/>
          <w:kern w:val="0"/>
          <w:szCs w:val="24"/>
          <w:lang w:eastAsia="zh-HK"/>
        </w:rPr>
        <w:t xml:space="preserve"> (2014) 17 HKCFAR 218, the Court of Final Appeal said:</w:t>
      </w:r>
    </w:p>
    <w:p w14:paraId="4D5B2D10" w14:textId="77777777" w:rsidR="003533DB" w:rsidRPr="00DE5108" w:rsidRDefault="003533DB" w:rsidP="003533DB">
      <w:pPr>
        <w:widowControl/>
        <w:ind w:left="1268"/>
        <w:jc w:val="both"/>
        <w:rPr>
          <w:rFonts w:ascii="Times New Roman" w:eastAsia="標楷體" w:hAnsi="Times New Roman" w:cs="Times New Roman"/>
          <w:kern w:val="0"/>
          <w:szCs w:val="24"/>
          <w:lang w:eastAsia="zh-HK"/>
        </w:rPr>
      </w:pPr>
    </w:p>
    <w:p w14:paraId="3DDC99DA" w14:textId="77777777" w:rsidR="00DE5108" w:rsidRPr="00DE5108" w:rsidRDefault="00D264CC" w:rsidP="00FE0857">
      <w:pPr>
        <w:widowControl/>
        <w:ind w:left="2127" w:rightChars="217" w:right="521"/>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eastAsia="zh-HK"/>
        </w:rPr>
        <w:t>119. For any government, faced with ever-increasing financial responsibilities and obligations, it is of the highest importance to have a fair and efficient tax system which can be expected, year on year, to produce public revenue to a more or less predictable level.  Annual taxes should be levied so as to ensure prompt payment and so as to achieve finality within a reasonably short time …</w:t>
      </w:r>
      <w:r>
        <w:rPr>
          <w:rFonts w:ascii="Times New Roman" w:eastAsia="標楷體" w:hAnsi="Times New Roman" w:cs="Times New Roman"/>
          <w:i/>
          <w:kern w:val="0"/>
          <w:szCs w:val="24"/>
          <w:lang w:eastAsia="zh-HK"/>
        </w:rPr>
        <w:t>’</w:t>
      </w:r>
    </w:p>
    <w:p w14:paraId="53070E45" w14:textId="77777777" w:rsidR="00DE5108" w:rsidRPr="00DE5108" w:rsidRDefault="00DE5108" w:rsidP="005F377B">
      <w:pPr>
        <w:widowControl/>
        <w:ind w:left="1320"/>
        <w:jc w:val="both"/>
        <w:rPr>
          <w:rFonts w:ascii="Times New Roman" w:eastAsia="標楷體" w:hAnsi="Times New Roman" w:cs="Times New Roman"/>
          <w:kern w:val="0"/>
          <w:szCs w:val="24"/>
          <w:lang w:eastAsia="zh-HK"/>
        </w:rPr>
      </w:pPr>
    </w:p>
    <w:p w14:paraId="50BB513F" w14:textId="77777777" w:rsidR="00DE5108" w:rsidRPr="00DE5108" w:rsidRDefault="00D264CC" w:rsidP="00FE0857">
      <w:pPr>
        <w:widowControl/>
        <w:ind w:left="2127" w:rightChars="217" w:right="521"/>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eastAsia="zh-HK"/>
        </w:rPr>
        <w:t xml:space="preserve">126. … [S.70A’s] scope is restricted by the need for an error in a return or an accompanying statement, by the proviso for an error which was nevertheless </w:t>
      </w:r>
      <w:r w:rsidR="00700120">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eastAsia="zh-HK"/>
        </w:rPr>
        <w:t>the practice generally prevailing at the time</w:t>
      </w:r>
      <w:r w:rsidR="00700120">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eastAsia="zh-HK"/>
        </w:rPr>
        <w:t>, and by the six-year time limit, which is a reasonably generous one.  These restrictions represent the legislature’s striking of the balance between finality and fairness.</w:t>
      </w:r>
      <w:r>
        <w:rPr>
          <w:rFonts w:ascii="Times New Roman" w:eastAsia="標楷體" w:hAnsi="Times New Roman" w:cs="Times New Roman"/>
          <w:i/>
          <w:kern w:val="0"/>
          <w:szCs w:val="24"/>
          <w:lang w:eastAsia="zh-HK"/>
        </w:rPr>
        <w:t>’</w:t>
      </w:r>
    </w:p>
    <w:p w14:paraId="3D28B21B" w14:textId="77777777" w:rsidR="00DE5108" w:rsidRPr="00DE5108" w:rsidRDefault="00DE5108" w:rsidP="005F377B">
      <w:pPr>
        <w:widowControl/>
        <w:ind w:left="1320"/>
        <w:jc w:val="both"/>
        <w:rPr>
          <w:rFonts w:ascii="Times New Roman" w:eastAsia="標楷體" w:hAnsi="Times New Roman" w:cs="Times New Roman"/>
          <w:kern w:val="0"/>
          <w:szCs w:val="24"/>
          <w:lang w:eastAsia="zh-HK"/>
        </w:rPr>
      </w:pPr>
    </w:p>
    <w:p w14:paraId="5D4595F1" w14:textId="77777777" w:rsidR="00DE5108" w:rsidRDefault="00DE5108" w:rsidP="00881B00">
      <w:pPr>
        <w:widowControl/>
        <w:numPr>
          <w:ilvl w:val="0"/>
          <w:numId w:val="21"/>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w:t>
      </w:r>
      <w:r w:rsidRPr="00E00C26">
        <w:rPr>
          <w:rFonts w:ascii="Times New Roman" w:eastAsia="標楷體" w:hAnsi="Times New Roman" w:cs="Times New Roman"/>
          <w:kern w:val="0"/>
          <w:szCs w:val="24"/>
          <w:u w:val="single"/>
          <w:lang w:eastAsia="zh-HK"/>
        </w:rPr>
        <w:t>Good Mark Industrial Ltd v CIR</w:t>
      </w:r>
      <w:r w:rsidRPr="00DE5108">
        <w:rPr>
          <w:rFonts w:ascii="Times New Roman" w:eastAsia="標楷體" w:hAnsi="Times New Roman" w:cs="Times New Roman"/>
          <w:kern w:val="0"/>
          <w:szCs w:val="24"/>
          <w:lang w:eastAsia="zh-HK"/>
        </w:rPr>
        <w:t xml:space="preserve"> [2014] 2 HKLRD 981, it was held that:</w:t>
      </w:r>
    </w:p>
    <w:p w14:paraId="51961A1D" w14:textId="77777777" w:rsidR="003533DB" w:rsidRPr="00DE5108" w:rsidRDefault="003533DB" w:rsidP="003533DB">
      <w:pPr>
        <w:widowControl/>
        <w:ind w:left="1268"/>
        <w:jc w:val="both"/>
        <w:rPr>
          <w:rFonts w:ascii="Times New Roman" w:eastAsia="標楷體" w:hAnsi="Times New Roman" w:cs="Times New Roman"/>
          <w:kern w:val="0"/>
          <w:szCs w:val="24"/>
          <w:lang w:eastAsia="zh-HK"/>
        </w:rPr>
      </w:pPr>
    </w:p>
    <w:p w14:paraId="0674A308" w14:textId="77777777" w:rsidR="00DE5108" w:rsidRDefault="00D264CC" w:rsidP="00E00C26">
      <w:pPr>
        <w:widowControl/>
        <w:adjustRightInd w:val="0"/>
        <w:snapToGrid w:val="0"/>
        <w:ind w:left="2127" w:rightChars="217" w:right="521"/>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eastAsia="zh-HK"/>
        </w:rPr>
        <w:t>39. … s.70A(1) must have been intended to have a narrow coverage …</w:t>
      </w:r>
      <w:r>
        <w:rPr>
          <w:rFonts w:ascii="Times New Roman" w:eastAsia="標楷體" w:hAnsi="Times New Roman" w:cs="Times New Roman"/>
          <w:i/>
          <w:kern w:val="0"/>
          <w:szCs w:val="24"/>
          <w:lang w:eastAsia="zh-HK"/>
        </w:rPr>
        <w:t>’</w:t>
      </w:r>
    </w:p>
    <w:p w14:paraId="439F0AE0" w14:textId="77777777" w:rsidR="003533DB" w:rsidRPr="00DE5108" w:rsidRDefault="003533DB" w:rsidP="005F377B">
      <w:pPr>
        <w:widowControl/>
        <w:adjustRightInd w:val="0"/>
        <w:snapToGrid w:val="0"/>
        <w:ind w:left="1843" w:rightChars="217" w:right="521"/>
        <w:jc w:val="both"/>
        <w:rPr>
          <w:rFonts w:ascii="Times New Roman" w:eastAsia="標楷體" w:hAnsi="Times New Roman" w:cs="Times New Roman"/>
          <w:i/>
          <w:kern w:val="0"/>
          <w:szCs w:val="24"/>
          <w:lang w:eastAsia="zh-HK"/>
        </w:rPr>
      </w:pPr>
    </w:p>
    <w:p w14:paraId="47710A37" w14:textId="77777777" w:rsidR="00DE5108" w:rsidRDefault="00D264CC" w:rsidP="00E00C26">
      <w:pPr>
        <w:widowControl/>
        <w:tabs>
          <w:tab w:val="left" w:pos="1985"/>
        </w:tabs>
        <w:adjustRightInd w:val="0"/>
        <w:snapToGrid w:val="0"/>
        <w:ind w:left="2127" w:rightChars="217" w:right="521"/>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eastAsia="zh-HK"/>
        </w:rPr>
        <w:t xml:space="preserve">42. … s.70A(1) should be read in the context of a tax regime in which </w:t>
      </w:r>
      <w:r>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eastAsia="zh-HK"/>
        </w:rPr>
        <w:t>finality</w:t>
      </w:r>
      <w:r>
        <w:rPr>
          <w:rFonts w:ascii="Times New Roman" w:eastAsia="標楷體" w:hAnsi="Times New Roman" w:cs="Times New Roman"/>
          <w:i/>
          <w:kern w:val="0"/>
          <w:szCs w:val="24"/>
          <w:lang w:eastAsia="zh-HK"/>
        </w:rPr>
        <w:t>’</w:t>
      </w:r>
      <w:r w:rsidR="00DE5108" w:rsidRPr="00DE5108">
        <w:rPr>
          <w:rFonts w:ascii="Times New Roman" w:eastAsia="標楷體" w:hAnsi="Times New Roman" w:cs="Times New Roman"/>
          <w:i/>
          <w:kern w:val="0"/>
          <w:szCs w:val="24"/>
          <w:lang w:eastAsia="zh-HK"/>
        </w:rPr>
        <w:t xml:space="preserve"> is an important feature …</w:t>
      </w:r>
      <w:r>
        <w:rPr>
          <w:rFonts w:ascii="Times New Roman" w:eastAsia="標楷體" w:hAnsi="Times New Roman" w:cs="Times New Roman"/>
          <w:i/>
          <w:kern w:val="0"/>
          <w:szCs w:val="24"/>
          <w:lang w:eastAsia="zh-HK"/>
        </w:rPr>
        <w:t>’</w:t>
      </w:r>
    </w:p>
    <w:p w14:paraId="56A1CDD3" w14:textId="77777777" w:rsidR="003533DB" w:rsidRPr="00DE5108" w:rsidRDefault="003533DB" w:rsidP="005F377B">
      <w:pPr>
        <w:widowControl/>
        <w:tabs>
          <w:tab w:val="left" w:pos="1985"/>
        </w:tabs>
        <w:adjustRightInd w:val="0"/>
        <w:snapToGrid w:val="0"/>
        <w:ind w:left="1843" w:rightChars="217" w:right="521"/>
        <w:jc w:val="both"/>
        <w:rPr>
          <w:rFonts w:ascii="Times New Roman" w:eastAsia="標楷體" w:hAnsi="Times New Roman" w:cs="Times New Roman"/>
          <w:i/>
          <w:kern w:val="0"/>
          <w:szCs w:val="24"/>
          <w:lang w:eastAsia="zh-HK"/>
        </w:rPr>
      </w:pPr>
    </w:p>
    <w:p w14:paraId="1861FC6F"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Regarding the meaning of ‘error and omission’ in section 70A, Patrick Chan J (as he then was), in </w:t>
      </w:r>
      <w:r w:rsidRPr="00264362">
        <w:rPr>
          <w:rFonts w:ascii="Times New Roman" w:eastAsia="標楷體" w:hAnsi="Times New Roman" w:cs="Times New Roman"/>
          <w:kern w:val="0"/>
          <w:szCs w:val="24"/>
          <w:u w:val="single"/>
          <w:lang w:eastAsia="zh-HK"/>
        </w:rPr>
        <w:t>Extramoney Ltd v CIR</w:t>
      </w:r>
      <w:r w:rsidRPr="00DE5108">
        <w:rPr>
          <w:rFonts w:ascii="Times New Roman" w:eastAsia="標楷體" w:hAnsi="Times New Roman" w:cs="Times New Roman"/>
          <w:i/>
          <w:kern w:val="0"/>
          <w:szCs w:val="24"/>
          <w:lang w:eastAsia="zh-HK"/>
        </w:rPr>
        <w:t xml:space="preserve"> </w:t>
      </w:r>
      <w:r w:rsidRPr="00DE5108">
        <w:rPr>
          <w:rFonts w:ascii="Times New Roman" w:eastAsia="標楷體" w:hAnsi="Times New Roman" w:cs="Times New Roman"/>
          <w:kern w:val="0"/>
          <w:szCs w:val="24"/>
          <w:lang w:eastAsia="zh-HK"/>
        </w:rPr>
        <w:t>[1997] HKLRD 387, considered that:</w:t>
      </w:r>
    </w:p>
    <w:p w14:paraId="021DED91" w14:textId="77777777" w:rsidR="003533DB" w:rsidRPr="00DE5108" w:rsidRDefault="003533DB" w:rsidP="003533DB">
      <w:pPr>
        <w:widowControl/>
        <w:ind w:left="360"/>
        <w:jc w:val="both"/>
        <w:rPr>
          <w:rFonts w:ascii="Times New Roman" w:eastAsia="標楷體" w:hAnsi="Times New Roman" w:cs="Times New Roman"/>
          <w:kern w:val="0"/>
          <w:szCs w:val="24"/>
          <w:lang w:eastAsia="zh-HK"/>
        </w:rPr>
      </w:pPr>
    </w:p>
    <w:p w14:paraId="512F92D7" w14:textId="77777777" w:rsidR="00DE5108" w:rsidRDefault="00DE5108" w:rsidP="005F377B">
      <w:pPr>
        <w:widowControl/>
        <w:ind w:left="1531" w:rightChars="217" w:right="521" w:hangingChars="638" w:hanging="1531"/>
        <w:jc w:val="both"/>
        <w:rPr>
          <w:rFonts w:ascii="Times New Roman" w:eastAsia="標楷體" w:hAnsi="Times New Roman" w:cs="Times New Roman"/>
          <w:i/>
          <w:kern w:val="0"/>
          <w:szCs w:val="24"/>
          <w:lang w:eastAsia="zh-HK"/>
        </w:rPr>
      </w:pPr>
      <w:r w:rsidRPr="00DE5108">
        <w:rPr>
          <w:rFonts w:ascii="Times New Roman" w:eastAsia="標楷體" w:hAnsi="Times New Roman" w:cs="Times New Roman"/>
          <w:kern w:val="0"/>
          <w:szCs w:val="24"/>
          <w:lang w:eastAsia="zh-HK"/>
        </w:rPr>
        <w:tab/>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 xml:space="preserve"> … for the purpose of s.70A, the meaning of </w:t>
      </w:r>
      <w:r w:rsidR="00EE01E0">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error</w:t>
      </w:r>
      <w:r w:rsidR="00EE01E0">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 xml:space="preserve"> … is </w:t>
      </w:r>
      <w:r w:rsidR="00EE01E0">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something incorrectly done through ignorance or inadvertence; a mistake</w:t>
      </w:r>
      <w:r w:rsidR="00EE01E0">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 xml:space="preserve">.  I do not think that a deliberate act in the sense of a conscientious choice of one out of two or more courses which subsequently turns out to be less than advantageous or which does not give the desired effect as previously hoped for can be regarded as an error within s.70A. … if there is a change of opinion of the auditors or accountants in respect of the accounts, the first opinion cannot be regarded as an error or omission within the section.  Similarly, if there is a change of mind of the directors of the company in connection with how any part of the accounts should be made up, the previous decision will not be regarded as an error or omission.  Nor is it an error or omission if it is merely a difference in the treatment of certain items in the accounts by those preparing or approving the accounts.  If this were permitted, the director or officer of a company will be tempted at a later stage to try and </w:t>
      </w:r>
      <w:r w:rsidR="00EE01E0">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improve</w:t>
      </w:r>
      <w:r w:rsidR="00EE01E0">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 xml:space="preserve"> the company’s accounts or change his own decisions if this is to his advantage.  This would be contrary to the spirit of the [IRO] that there should be finality in taxation matters.</w:t>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 xml:space="preserve"> </w:t>
      </w:r>
    </w:p>
    <w:p w14:paraId="292120AB" w14:textId="77777777" w:rsidR="003533DB" w:rsidRPr="00DE5108" w:rsidRDefault="003533DB" w:rsidP="005F377B">
      <w:pPr>
        <w:widowControl/>
        <w:ind w:left="1531" w:rightChars="217" w:right="521" w:hangingChars="638" w:hanging="1531"/>
        <w:jc w:val="both"/>
        <w:rPr>
          <w:rFonts w:ascii="Times New Roman" w:eastAsia="標楷體" w:hAnsi="Times New Roman" w:cs="Times New Roman"/>
          <w:i/>
          <w:kern w:val="0"/>
          <w:szCs w:val="24"/>
          <w:lang w:eastAsia="zh-HK"/>
        </w:rPr>
      </w:pPr>
    </w:p>
    <w:p w14:paraId="76EF1370"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A change of mind by a taxpayer in connection with how any part of the accounts should be made up cannot be regarded as an error or omission in relation to the accounts previously submitted with the Inland Revenue Department. As per the Board’s decision in </w:t>
      </w:r>
      <w:r w:rsidRPr="009107C5">
        <w:rPr>
          <w:rFonts w:ascii="Times New Roman" w:eastAsia="標楷體" w:hAnsi="Times New Roman" w:cs="Times New Roman"/>
          <w:bCs/>
          <w:iCs/>
          <w:kern w:val="0"/>
          <w:szCs w:val="24"/>
          <w:u w:val="single"/>
          <w:lang w:eastAsia="zh-HK"/>
        </w:rPr>
        <w:t>D142/01</w:t>
      </w:r>
      <w:r w:rsidRPr="00DE5108">
        <w:rPr>
          <w:rFonts w:ascii="Times New Roman" w:eastAsia="標楷體" w:hAnsi="Times New Roman" w:cs="Times New Roman"/>
          <w:kern w:val="0"/>
          <w:szCs w:val="24"/>
          <w:lang w:eastAsia="zh-HK"/>
        </w:rPr>
        <w:t xml:space="preserve"> where it held:</w:t>
      </w:r>
    </w:p>
    <w:p w14:paraId="4CC9AF4A" w14:textId="77777777" w:rsidR="003533DB" w:rsidRPr="00DE5108" w:rsidRDefault="003533DB" w:rsidP="003533DB">
      <w:pPr>
        <w:widowControl/>
        <w:adjustRightInd w:val="0"/>
        <w:snapToGrid w:val="0"/>
        <w:ind w:left="360"/>
        <w:jc w:val="both"/>
        <w:rPr>
          <w:rFonts w:ascii="Times New Roman" w:eastAsia="標楷體" w:hAnsi="Times New Roman" w:cs="Times New Roman"/>
          <w:kern w:val="0"/>
          <w:szCs w:val="24"/>
          <w:lang w:eastAsia="zh-HK"/>
        </w:rPr>
      </w:pPr>
    </w:p>
    <w:p w14:paraId="7056909B" w14:textId="77777777" w:rsidR="00DE5108" w:rsidRDefault="00DE5108" w:rsidP="005F377B">
      <w:pPr>
        <w:widowControl/>
        <w:adjustRightInd w:val="0"/>
        <w:snapToGrid w:val="0"/>
        <w:ind w:left="1531" w:rightChars="217" w:right="521" w:hangingChars="638" w:hanging="1531"/>
        <w:jc w:val="both"/>
        <w:rPr>
          <w:rFonts w:ascii="Times New Roman" w:eastAsia="標楷體" w:hAnsi="Times New Roman" w:cs="Times New Roman"/>
          <w:i/>
          <w:kern w:val="0"/>
          <w:szCs w:val="24"/>
          <w:lang w:eastAsia="zh-HK"/>
        </w:rPr>
      </w:pPr>
      <w:r w:rsidRPr="00DE5108">
        <w:rPr>
          <w:rFonts w:ascii="Times New Roman" w:eastAsia="標楷體" w:hAnsi="Times New Roman" w:cs="Times New Roman"/>
          <w:i/>
          <w:kern w:val="0"/>
          <w:szCs w:val="24"/>
          <w:lang w:eastAsia="zh-HK"/>
        </w:rPr>
        <w:t xml:space="preserve">            </w:t>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 xml:space="preserve">19. … any </w:t>
      </w:r>
      <w:r w:rsidR="00EE01E0">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change of the mind of the Firm in connection with how any part of the accounts should be made up</w:t>
      </w:r>
      <w:r w:rsidR="00EE01E0">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 xml:space="preserve"> cannot be regarded as an error or omission in relation to the accounts previously submitted by the Firm to the Revenue.</w:t>
      </w:r>
      <w:r w:rsidR="00D264CC">
        <w:rPr>
          <w:rFonts w:ascii="Times New Roman" w:eastAsia="標楷體" w:hAnsi="Times New Roman" w:cs="Times New Roman"/>
          <w:i/>
          <w:kern w:val="0"/>
          <w:szCs w:val="24"/>
          <w:lang w:eastAsia="zh-HK"/>
        </w:rPr>
        <w:t>’</w:t>
      </w:r>
    </w:p>
    <w:p w14:paraId="43F68BA3" w14:textId="77777777" w:rsidR="003533DB" w:rsidRPr="00DE5108" w:rsidRDefault="003533DB" w:rsidP="005F377B">
      <w:pPr>
        <w:widowControl/>
        <w:adjustRightInd w:val="0"/>
        <w:snapToGrid w:val="0"/>
        <w:ind w:left="1531" w:rightChars="217" w:right="521" w:hangingChars="638" w:hanging="1531"/>
        <w:jc w:val="both"/>
        <w:rPr>
          <w:rFonts w:ascii="Times New Roman" w:eastAsia="標楷體" w:hAnsi="Times New Roman" w:cs="Times New Roman"/>
          <w:kern w:val="0"/>
          <w:szCs w:val="24"/>
          <w:lang w:eastAsia="zh-HK"/>
        </w:rPr>
      </w:pPr>
    </w:p>
    <w:p w14:paraId="6457B378" w14:textId="77777777" w:rsidR="00DE5108" w:rsidRDefault="00DE5108" w:rsidP="005F377B">
      <w:pPr>
        <w:widowControl/>
        <w:ind w:left="1526" w:rightChars="217" w:right="521" w:hanging="360"/>
        <w:jc w:val="both"/>
        <w:rPr>
          <w:rFonts w:ascii="Times New Roman" w:eastAsia="標楷體" w:hAnsi="Times New Roman" w:cs="Times New Roman"/>
          <w:i/>
          <w:kern w:val="0"/>
          <w:szCs w:val="24"/>
          <w:lang w:eastAsia="zh-HK"/>
        </w:rPr>
      </w:pPr>
      <w:r w:rsidRPr="00DE5108">
        <w:rPr>
          <w:rFonts w:ascii="Times New Roman" w:eastAsia="標楷體" w:hAnsi="Times New Roman" w:cs="Times New Roman"/>
          <w:i/>
          <w:kern w:val="0"/>
          <w:szCs w:val="24"/>
          <w:lang w:eastAsia="zh-HK"/>
        </w:rPr>
        <w:t xml:space="preserve">  </w:t>
      </w:r>
      <w:r w:rsidR="00D264CC">
        <w:rPr>
          <w:rFonts w:ascii="Times New Roman" w:eastAsia="標楷體" w:hAnsi="Times New Roman" w:cs="Times New Roman"/>
          <w:i/>
          <w:kern w:val="0"/>
          <w:szCs w:val="24"/>
          <w:lang w:eastAsia="zh-HK"/>
        </w:rPr>
        <w:t>‘</w:t>
      </w:r>
      <w:r w:rsidRPr="00DE5108">
        <w:rPr>
          <w:rFonts w:ascii="Times New Roman" w:eastAsia="標楷體" w:hAnsi="Times New Roman" w:cs="Times New Roman"/>
          <w:i/>
          <w:kern w:val="0"/>
          <w:szCs w:val="24"/>
          <w:lang w:eastAsia="zh-HK"/>
        </w:rPr>
        <w:t>21. The Firm made a decision on the basis of the factual   situation at the time.  The fact that a different view is now taken on the basis of hindsight does not mean that the original view was a ‘mistake’ or an ‘error’.</w:t>
      </w:r>
      <w:r w:rsidR="00D264CC">
        <w:rPr>
          <w:rFonts w:ascii="Times New Roman" w:eastAsia="標楷體" w:hAnsi="Times New Roman" w:cs="Times New Roman"/>
          <w:i/>
          <w:kern w:val="0"/>
          <w:szCs w:val="24"/>
          <w:lang w:eastAsia="zh-HK"/>
        </w:rPr>
        <w:t>’</w:t>
      </w:r>
    </w:p>
    <w:p w14:paraId="138CF8D5" w14:textId="77777777" w:rsidR="003533DB" w:rsidRPr="00DE5108" w:rsidRDefault="003533DB" w:rsidP="005F377B">
      <w:pPr>
        <w:widowControl/>
        <w:ind w:left="1526" w:rightChars="217" w:right="521" w:hanging="360"/>
        <w:jc w:val="both"/>
        <w:rPr>
          <w:rFonts w:ascii="Times New Roman" w:eastAsia="標楷體" w:hAnsi="Times New Roman" w:cs="Times New Roman"/>
          <w:i/>
          <w:kern w:val="0"/>
          <w:szCs w:val="24"/>
          <w:lang w:eastAsia="zh-HK"/>
        </w:rPr>
      </w:pPr>
    </w:p>
    <w:p w14:paraId="2232CEFC" w14:textId="77777777" w:rsidR="00DE5108" w:rsidRDefault="00DE5108" w:rsidP="0079253F">
      <w:pPr>
        <w:adjustRightInd w:val="0"/>
        <w:snapToGrid w:val="0"/>
        <w:ind w:leftChars="-300" w:hanging="72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      The Board in </w:t>
      </w:r>
      <w:r w:rsidRPr="00E70572">
        <w:rPr>
          <w:rFonts w:ascii="Times New Roman" w:eastAsia="標楷體" w:hAnsi="Times New Roman" w:cs="Times New Roman"/>
          <w:bCs/>
          <w:iCs/>
          <w:kern w:val="0"/>
          <w:szCs w:val="24"/>
          <w:u w:val="single"/>
          <w:lang w:eastAsia="zh-HK"/>
        </w:rPr>
        <w:t>D142/01</w:t>
      </w:r>
      <w:r w:rsidRPr="00DE5108">
        <w:rPr>
          <w:rFonts w:ascii="Times New Roman" w:eastAsia="標楷體" w:hAnsi="Times New Roman" w:cs="Times New Roman"/>
          <w:kern w:val="0"/>
          <w:szCs w:val="24"/>
          <w:lang w:eastAsia="zh-HK"/>
        </w:rPr>
        <w:t xml:space="preserve"> held that the Commissioner was correct in holding that there was no basis for re-opening the assessment under section 70A of the IRO and the appeal was dismissed.</w:t>
      </w:r>
      <w:r w:rsidRPr="00DE5108">
        <w:rPr>
          <w:rFonts w:ascii="Times New Roman" w:eastAsia="標楷體" w:hAnsi="Times New Roman" w:cs="Times New Roman"/>
          <w:i/>
          <w:kern w:val="0"/>
          <w:szCs w:val="24"/>
          <w:lang w:eastAsia="zh-HK"/>
        </w:rPr>
        <w:t xml:space="preserve">  </w:t>
      </w:r>
      <w:r w:rsidRPr="00DE5108">
        <w:rPr>
          <w:rFonts w:ascii="Times New Roman" w:eastAsia="標楷體" w:hAnsi="Times New Roman" w:cs="Times New Roman"/>
          <w:kern w:val="0"/>
          <w:szCs w:val="24"/>
          <w:lang w:eastAsia="zh-HK"/>
        </w:rPr>
        <w:t xml:space="preserve"> </w:t>
      </w:r>
    </w:p>
    <w:p w14:paraId="123B5797" w14:textId="77777777" w:rsidR="003533DB" w:rsidRPr="00DE5108" w:rsidRDefault="003533DB" w:rsidP="005F377B">
      <w:pPr>
        <w:adjustRightInd w:val="0"/>
        <w:snapToGrid w:val="0"/>
        <w:ind w:leftChars="-127" w:left="415" w:hanging="720"/>
        <w:jc w:val="both"/>
        <w:rPr>
          <w:rFonts w:ascii="Times New Roman" w:eastAsia="標楷體" w:hAnsi="Times New Roman" w:cs="Times New Roman"/>
          <w:kern w:val="0"/>
          <w:szCs w:val="24"/>
          <w:lang w:eastAsia="zh-HK"/>
        </w:rPr>
      </w:pPr>
    </w:p>
    <w:p w14:paraId="099BFE9F" w14:textId="77777777" w:rsidR="00DE5108" w:rsidRP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trust on others who made an alleged erroneous return on behalf of the taxpayer is not an error within the meaning of Section 70A of the IRO. In </w:t>
      </w:r>
      <w:r w:rsidRPr="00285A0D">
        <w:rPr>
          <w:rFonts w:ascii="Times New Roman" w:eastAsia="標楷體" w:hAnsi="Times New Roman" w:cs="Times New Roman"/>
          <w:bCs/>
          <w:iCs/>
          <w:kern w:val="0"/>
          <w:szCs w:val="24"/>
          <w:u w:val="single"/>
          <w:lang w:eastAsia="zh-HK"/>
        </w:rPr>
        <w:t>D46/00</w:t>
      </w:r>
      <w:r w:rsidRPr="00DE5108">
        <w:rPr>
          <w:rFonts w:ascii="Times New Roman" w:eastAsia="標楷體" w:hAnsi="Times New Roman" w:cs="Times New Roman"/>
          <w:kern w:val="0"/>
          <w:szCs w:val="24"/>
          <w:lang w:eastAsia="zh-HK"/>
        </w:rPr>
        <w:t xml:space="preserve">, </w:t>
      </w:r>
      <w:r w:rsidRPr="00DE5108">
        <w:rPr>
          <w:rFonts w:ascii="Times New Roman" w:eastAsia="標楷體" w:hAnsi="Times New Roman" w:cs="Times New Roman"/>
          <w:iCs/>
          <w:kern w:val="0"/>
          <w:szCs w:val="24"/>
          <w:lang w:eastAsia="zh-CN"/>
        </w:rPr>
        <w:t>the taxpayer submitted a profits tax return that showed a gain on disposal of property. The taxpayer was taxed based on this return. Later, the taxpayer alleged an error in offering the gain as a trading gain.  The director contended that he did not review the accounts in detail but simply trust the previous accounting manager and signed the accounts.  In dismissing the appeal, the Board found that</w:t>
      </w:r>
      <w:r w:rsidRPr="005F377B">
        <w:rPr>
          <w:rFonts w:ascii="Times New Roman" w:eastAsia="標楷體" w:hAnsi="Times New Roman" w:cs="Times New Roman"/>
          <w:iCs/>
          <w:kern w:val="0"/>
          <w:szCs w:val="24"/>
          <w:vertAlign w:val="superscript"/>
          <w:lang w:eastAsia="zh-CN"/>
        </w:rPr>
        <w:footnoteReference w:id="3"/>
      </w:r>
      <w:r w:rsidRPr="00DE5108">
        <w:rPr>
          <w:rFonts w:ascii="Times New Roman" w:eastAsia="標楷體" w:hAnsi="Times New Roman" w:cs="Times New Roman"/>
          <w:iCs/>
          <w:kern w:val="0"/>
          <w:szCs w:val="24"/>
          <w:lang w:eastAsia="zh-CN"/>
        </w:rPr>
        <w:t>:</w:t>
      </w:r>
    </w:p>
    <w:p w14:paraId="1A7C994F" w14:textId="77777777" w:rsidR="00DE5108" w:rsidRPr="00DE5108" w:rsidRDefault="00DE5108" w:rsidP="007C0541">
      <w:pPr>
        <w:adjustRightInd w:val="0"/>
        <w:snapToGrid w:val="0"/>
        <w:ind w:leftChars="638" w:left="2107" w:hangingChars="240" w:hanging="576"/>
        <w:jc w:val="both"/>
        <w:rPr>
          <w:rFonts w:ascii="Times New Roman" w:eastAsia="標楷體" w:hAnsi="Times New Roman" w:cs="Times New Roman"/>
          <w:iCs/>
          <w:kern w:val="0"/>
          <w:szCs w:val="24"/>
          <w:lang w:eastAsia="zh-CN"/>
        </w:rPr>
      </w:pPr>
    </w:p>
    <w:p w14:paraId="391239A0" w14:textId="77777777" w:rsidR="00DE5108" w:rsidRPr="003533DB" w:rsidRDefault="00DE5108" w:rsidP="007C0541">
      <w:pPr>
        <w:widowControl/>
        <w:numPr>
          <w:ilvl w:val="0"/>
          <w:numId w:val="39"/>
        </w:numPr>
        <w:adjustRightInd w:val="0"/>
        <w:snapToGrid w:val="0"/>
        <w:ind w:leftChars="638" w:left="2107" w:hangingChars="240" w:hanging="576"/>
        <w:jc w:val="both"/>
        <w:rPr>
          <w:rFonts w:ascii="Times New Roman" w:eastAsia="標楷體" w:hAnsi="Times New Roman" w:cs="Times New Roman"/>
          <w:kern w:val="0"/>
          <w:szCs w:val="24"/>
          <w:lang w:eastAsia="zh-CN"/>
        </w:rPr>
      </w:pPr>
      <w:r w:rsidRPr="00DE5108">
        <w:rPr>
          <w:rFonts w:ascii="Times New Roman" w:eastAsia="標楷體" w:hAnsi="Times New Roman" w:cs="Times New Roman"/>
          <w:iCs/>
          <w:kern w:val="0"/>
          <w:szCs w:val="24"/>
          <w:lang w:eastAsia="zh-CN"/>
        </w:rPr>
        <w:t>The accounts of the taxpayer have been properly prepared and the treatment of the gain on disposal of property as a trading gain was a deliberate act by the previous accounting manager, who prepared it and the first tax representative who audited it.  They knew what they were doing.</w:t>
      </w:r>
      <w:r w:rsidRPr="00DE5108">
        <w:rPr>
          <w:rFonts w:ascii="Times New Roman" w:eastAsia="標楷體" w:hAnsi="Times New Roman" w:cs="Times New Roman"/>
          <w:i/>
          <w:iCs/>
          <w:kern w:val="0"/>
          <w:szCs w:val="24"/>
          <w:lang w:eastAsia="zh-CN"/>
        </w:rPr>
        <w:t xml:space="preserve"> </w:t>
      </w:r>
    </w:p>
    <w:p w14:paraId="0B39855F" w14:textId="77777777" w:rsidR="003533DB" w:rsidRPr="00DE5108" w:rsidRDefault="003533DB" w:rsidP="003533DB">
      <w:pPr>
        <w:widowControl/>
        <w:adjustRightInd w:val="0"/>
        <w:snapToGrid w:val="0"/>
        <w:ind w:left="1642"/>
        <w:jc w:val="both"/>
        <w:rPr>
          <w:rFonts w:ascii="Times New Roman" w:eastAsia="標楷體" w:hAnsi="Times New Roman" w:cs="Times New Roman"/>
          <w:kern w:val="0"/>
          <w:szCs w:val="24"/>
          <w:lang w:eastAsia="zh-CN"/>
        </w:rPr>
      </w:pPr>
    </w:p>
    <w:p w14:paraId="38BE439C" w14:textId="77777777" w:rsidR="00DE5108" w:rsidRPr="00DE5108" w:rsidRDefault="00DE5108" w:rsidP="007C0541">
      <w:pPr>
        <w:widowControl/>
        <w:numPr>
          <w:ilvl w:val="0"/>
          <w:numId w:val="39"/>
        </w:numPr>
        <w:adjustRightInd w:val="0"/>
        <w:snapToGrid w:val="0"/>
        <w:ind w:leftChars="638" w:left="2107" w:hangingChars="240" w:hanging="576"/>
        <w:jc w:val="both"/>
        <w:rPr>
          <w:rFonts w:ascii="Times New Roman" w:eastAsia="標楷體" w:hAnsi="Times New Roman" w:cs="Times New Roman"/>
          <w:bCs/>
          <w:kern w:val="0"/>
          <w:szCs w:val="24"/>
          <w:lang w:eastAsia="zh-HK"/>
        </w:rPr>
      </w:pPr>
      <w:r w:rsidRPr="00DE5108">
        <w:rPr>
          <w:rFonts w:ascii="Times New Roman" w:eastAsia="標楷體" w:hAnsi="Times New Roman" w:cs="Times New Roman"/>
          <w:iCs/>
          <w:kern w:val="0"/>
          <w:szCs w:val="24"/>
          <w:lang w:eastAsia="zh-CN"/>
        </w:rPr>
        <w:t xml:space="preserve">Not understanding the tax implications of a certain manner of presentation of the accounts has no direct bearing on the error issue.  The taxpayer made the section 70A application as an after thought in an attempt to avoid payment of the Profits Tax. </w:t>
      </w:r>
    </w:p>
    <w:p w14:paraId="7634970D" w14:textId="77777777" w:rsidR="00DE5108" w:rsidRPr="00DE5108" w:rsidRDefault="00DE5108" w:rsidP="005F377B">
      <w:pPr>
        <w:ind w:left="1636"/>
        <w:jc w:val="both"/>
        <w:rPr>
          <w:rFonts w:ascii="Times New Roman" w:eastAsia="標楷體" w:hAnsi="Times New Roman" w:cs="Times New Roman"/>
          <w:bCs/>
          <w:kern w:val="0"/>
          <w:szCs w:val="24"/>
          <w:lang w:eastAsia="zh-HK"/>
        </w:rPr>
      </w:pPr>
    </w:p>
    <w:p w14:paraId="5A93D6B1" w14:textId="77777777" w:rsidR="00DE5108" w:rsidRPr="008C5D96" w:rsidRDefault="00DE5108" w:rsidP="005F377B">
      <w:pPr>
        <w:jc w:val="both"/>
        <w:rPr>
          <w:rFonts w:ascii="Times New Roman" w:eastAsia="標楷體" w:hAnsi="Times New Roman" w:cs="Times New Roman"/>
          <w:b/>
          <w:bCs/>
          <w:kern w:val="0"/>
          <w:szCs w:val="24"/>
          <w:lang w:eastAsia="zh-HK"/>
        </w:rPr>
      </w:pPr>
      <w:r w:rsidRPr="008C5D96">
        <w:rPr>
          <w:rFonts w:ascii="Times New Roman" w:eastAsia="標楷體" w:hAnsi="Times New Roman" w:cs="Times New Roman"/>
          <w:b/>
          <w:bCs/>
          <w:kern w:val="0"/>
          <w:szCs w:val="24"/>
          <w:lang w:eastAsia="zh-HK"/>
        </w:rPr>
        <w:t>Submission of the Appellant and the Respondent</w:t>
      </w:r>
    </w:p>
    <w:p w14:paraId="74A01FA3" w14:textId="77777777" w:rsidR="00DE5108" w:rsidRPr="00DE5108" w:rsidRDefault="00DE5108" w:rsidP="005F377B">
      <w:pPr>
        <w:jc w:val="both"/>
        <w:rPr>
          <w:rFonts w:ascii="Times New Roman" w:eastAsia="標楷體" w:hAnsi="Times New Roman" w:cs="Times New Roman"/>
          <w:b/>
          <w:bCs/>
          <w:kern w:val="0"/>
          <w:szCs w:val="24"/>
          <w:u w:val="single"/>
          <w:lang w:eastAsia="zh-HK"/>
        </w:rPr>
      </w:pPr>
    </w:p>
    <w:p w14:paraId="3DEA9A2A" w14:textId="77777777" w:rsidR="00DE5108" w:rsidRP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lang w:eastAsia="zh-HK"/>
        </w:rPr>
        <w:t>The Appellant filed a submission before the hearing for the Board’s consideration. The submission was served with the A1 Bundle which contained the documents relied by the Appellant. In respect of the appeal relating to the Company against the estimated assessments for the financial years from 2007/08 to 2011/2012, the Appellant or the Company also filed 2 supplemental submissions.</w:t>
      </w:r>
    </w:p>
    <w:p w14:paraId="6C29111A" w14:textId="77777777" w:rsidR="00DE5108" w:rsidRPr="00DE5108" w:rsidRDefault="00DE5108" w:rsidP="005F377B">
      <w:pPr>
        <w:widowControl/>
        <w:ind w:left="720"/>
        <w:jc w:val="both"/>
        <w:rPr>
          <w:rFonts w:ascii="Times New Roman" w:eastAsia="標楷體" w:hAnsi="Times New Roman" w:cs="Times New Roman"/>
          <w:b/>
          <w:bCs/>
          <w:kern w:val="0"/>
          <w:szCs w:val="24"/>
          <w:u w:val="single"/>
          <w:lang w:eastAsia="zh-HK"/>
        </w:rPr>
      </w:pPr>
    </w:p>
    <w:p w14:paraId="7E81F619" w14:textId="77777777" w:rsidR="00DE5108" w:rsidRP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lang w:eastAsia="zh-HK"/>
        </w:rPr>
        <w:t>The Respondent filed an Opening Submission and a Closing Submission with the Board for its consideration.</w:t>
      </w:r>
    </w:p>
    <w:p w14:paraId="5ACB0D66" w14:textId="77777777" w:rsidR="00DE5108" w:rsidRPr="00DE5108" w:rsidRDefault="00DE5108" w:rsidP="005F377B">
      <w:pPr>
        <w:widowControl/>
        <w:ind w:left="720"/>
        <w:jc w:val="both"/>
        <w:rPr>
          <w:rFonts w:ascii="Times New Roman" w:eastAsia="標楷體" w:hAnsi="Times New Roman" w:cs="Times New Roman"/>
          <w:kern w:val="0"/>
          <w:szCs w:val="24"/>
          <w:u w:val="single"/>
          <w:lang w:eastAsia="zh-HK"/>
        </w:rPr>
      </w:pPr>
    </w:p>
    <w:p w14:paraId="3ACDE6AF" w14:textId="77777777" w:rsidR="00DE5108" w:rsidRPr="00742845"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lang w:eastAsia="zh-HK"/>
        </w:rPr>
        <w:t>In deliberating its decision, the Board has amongst others duly and carefully considered all written submissions and the oral submission made by Mr</w:t>
      </w:r>
      <w:r w:rsidR="009F6DEF">
        <w:rPr>
          <w:rFonts w:ascii="Times New Roman" w:eastAsia="標楷體" w:hAnsi="Times New Roman" w:cs="Times New Roman"/>
          <w:kern w:val="0"/>
          <w:szCs w:val="24"/>
          <w:lang w:eastAsia="zh-HK"/>
        </w:rPr>
        <w:t xml:space="preserve"> B</w:t>
      </w:r>
      <w:r w:rsidRPr="00DE5108">
        <w:rPr>
          <w:rFonts w:ascii="Times New Roman" w:eastAsia="標楷體" w:hAnsi="Times New Roman" w:cs="Times New Roman"/>
          <w:kern w:val="0"/>
          <w:szCs w:val="24"/>
          <w:lang w:eastAsia="zh-HK"/>
        </w:rPr>
        <w:t xml:space="preserve"> at the hearing, the Respondent’s Opening and Closing Submission as well as the documents in the bundles for hearing. </w:t>
      </w:r>
    </w:p>
    <w:p w14:paraId="08179F3E" w14:textId="77777777" w:rsidR="00742845" w:rsidRPr="00DE5108" w:rsidRDefault="00742845" w:rsidP="00742845">
      <w:pPr>
        <w:widowControl/>
        <w:adjustRightInd w:val="0"/>
        <w:snapToGrid w:val="0"/>
        <w:jc w:val="both"/>
        <w:rPr>
          <w:rFonts w:ascii="Times New Roman" w:eastAsia="標楷體" w:hAnsi="Times New Roman" w:cs="Times New Roman"/>
          <w:kern w:val="0"/>
          <w:szCs w:val="24"/>
          <w:u w:val="single"/>
          <w:lang w:eastAsia="zh-HK"/>
        </w:rPr>
      </w:pPr>
    </w:p>
    <w:p w14:paraId="0D44D4EF" w14:textId="77777777" w:rsidR="00742845" w:rsidRPr="00051E75" w:rsidRDefault="00DE5108" w:rsidP="005F377B">
      <w:pPr>
        <w:jc w:val="both"/>
        <w:rPr>
          <w:rFonts w:ascii="Times New Roman" w:eastAsia="標楷體" w:hAnsi="Times New Roman" w:cs="Times New Roman"/>
          <w:b/>
          <w:bCs/>
          <w:kern w:val="0"/>
          <w:szCs w:val="24"/>
          <w:lang w:eastAsia="zh-HK"/>
        </w:rPr>
      </w:pPr>
      <w:r w:rsidRPr="00051E75">
        <w:rPr>
          <w:rFonts w:ascii="Times New Roman" w:eastAsia="標楷體" w:hAnsi="Times New Roman" w:cs="Times New Roman"/>
          <w:b/>
          <w:bCs/>
          <w:kern w:val="0"/>
          <w:szCs w:val="24"/>
          <w:lang w:eastAsia="zh-HK"/>
        </w:rPr>
        <w:t>Discussion and Analysis</w:t>
      </w:r>
    </w:p>
    <w:p w14:paraId="24A98C46" w14:textId="77777777" w:rsidR="00742845" w:rsidRPr="00DE5108" w:rsidRDefault="00742845" w:rsidP="005F377B">
      <w:pPr>
        <w:jc w:val="both"/>
        <w:rPr>
          <w:rFonts w:ascii="Times New Roman" w:eastAsia="標楷體" w:hAnsi="Times New Roman" w:cs="Times New Roman"/>
          <w:b/>
          <w:bCs/>
          <w:kern w:val="0"/>
          <w:szCs w:val="24"/>
          <w:u w:val="single"/>
          <w:lang w:eastAsia="zh-HK"/>
        </w:rPr>
      </w:pPr>
    </w:p>
    <w:p w14:paraId="17771CCB" w14:textId="77777777" w:rsidR="00DE5108" w:rsidRPr="00C15341" w:rsidRDefault="00DE5108" w:rsidP="005F377B">
      <w:pPr>
        <w:jc w:val="both"/>
        <w:rPr>
          <w:rFonts w:ascii="Times New Roman" w:eastAsia="標楷體" w:hAnsi="Times New Roman" w:cs="Times New Roman"/>
          <w:b/>
          <w:i/>
          <w:kern w:val="0"/>
          <w:szCs w:val="24"/>
          <w:lang w:eastAsia="zh-HK"/>
        </w:rPr>
      </w:pPr>
      <w:r w:rsidRPr="00C15341">
        <w:rPr>
          <w:rFonts w:ascii="Times New Roman" w:eastAsia="標楷體" w:hAnsi="Times New Roman" w:cs="Times New Roman"/>
          <w:b/>
          <w:i/>
          <w:kern w:val="0"/>
          <w:szCs w:val="24"/>
          <w:lang w:eastAsia="zh-HK"/>
        </w:rPr>
        <w:t>Did the Subject Assessments become final and conclusive?</w:t>
      </w:r>
    </w:p>
    <w:p w14:paraId="4F985689" w14:textId="77777777" w:rsidR="00742845" w:rsidRPr="00DE5108" w:rsidRDefault="00742845" w:rsidP="005F377B">
      <w:pPr>
        <w:jc w:val="both"/>
        <w:rPr>
          <w:rFonts w:ascii="Times New Roman" w:eastAsia="標楷體" w:hAnsi="Times New Roman" w:cs="Times New Roman"/>
          <w:kern w:val="0"/>
          <w:szCs w:val="24"/>
          <w:u w:val="single"/>
          <w:lang w:eastAsia="zh-HK"/>
        </w:rPr>
      </w:pPr>
    </w:p>
    <w:p w14:paraId="223CA7DA"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the course of giving evidence, the Appellant objected to the statement that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the Subject Assessments became final and conclusive in terms of section 70 of the IRO</w:t>
      </w:r>
      <w:r w:rsidR="00D264CC">
        <w:rPr>
          <w:rFonts w:ascii="Times New Roman" w:eastAsia="標楷體" w:hAnsi="Times New Roman" w:cs="Times New Roman"/>
          <w:kern w:val="0"/>
          <w:szCs w:val="24"/>
          <w:lang w:eastAsia="zh-HK"/>
        </w:rPr>
        <w:t>’</w:t>
      </w:r>
      <w:r w:rsidRPr="005F377B">
        <w:rPr>
          <w:rFonts w:ascii="Times New Roman" w:eastAsia="標楷體" w:hAnsi="Times New Roman" w:cs="Times New Roman"/>
          <w:kern w:val="0"/>
          <w:szCs w:val="24"/>
          <w:vertAlign w:val="superscript"/>
          <w:lang w:eastAsia="zh-HK"/>
        </w:rPr>
        <w:footnoteReference w:id="4"/>
      </w:r>
      <w:r w:rsidRPr="00DE5108">
        <w:rPr>
          <w:rFonts w:ascii="Times New Roman" w:eastAsia="標楷體" w:hAnsi="Times New Roman" w:cs="Times New Roman"/>
          <w:kern w:val="0"/>
          <w:szCs w:val="24"/>
          <w:lang w:eastAsia="zh-HK"/>
        </w:rPr>
        <w:t>. It necessitates us to see if the Subject Assessments became final and conclusive under section 70 of the IRO.</w:t>
      </w:r>
    </w:p>
    <w:p w14:paraId="7CE98A54"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266CAFF4"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wordings of section 70 of the IRO are plain and easy to understand. Section 70 of the IRO provides </w:t>
      </w:r>
      <w:r w:rsidRPr="00E20484">
        <w:rPr>
          <w:rFonts w:ascii="Times New Roman" w:eastAsia="標楷體" w:hAnsi="Times New Roman" w:cs="Times New Roman"/>
          <w:i/>
          <w:kern w:val="0"/>
          <w:szCs w:val="24"/>
          <w:lang w:eastAsia="zh-HK"/>
        </w:rPr>
        <w:t>inter alia</w:t>
      </w:r>
      <w:r w:rsidRPr="00DE5108">
        <w:rPr>
          <w:rFonts w:ascii="Times New Roman" w:eastAsia="標楷體" w:hAnsi="Times New Roman" w:cs="Times New Roman"/>
          <w:kern w:val="0"/>
          <w:szCs w:val="24"/>
          <w:lang w:eastAsia="zh-HK"/>
        </w:rPr>
        <w:t>:</w:t>
      </w:r>
    </w:p>
    <w:p w14:paraId="32A6EBCC"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48B0C7E0" w14:textId="77777777" w:rsidR="00DE5108" w:rsidRPr="00D87CB4" w:rsidRDefault="00DE5108" w:rsidP="00D87CB4">
      <w:pPr>
        <w:ind w:left="1560" w:hanging="87"/>
        <w:jc w:val="both"/>
        <w:rPr>
          <w:rFonts w:ascii="Times New Roman" w:eastAsia="標楷體" w:hAnsi="Times New Roman" w:cs="Times New Roman"/>
          <w:i/>
          <w:kern w:val="0"/>
          <w:szCs w:val="24"/>
          <w:lang w:eastAsia="zh-HK"/>
        </w:rPr>
      </w:pPr>
      <w:r w:rsidRPr="00DE5108">
        <w:rPr>
          <w:rFonts w:ascii="Times New Roman" w:eastAsia="標楷體" w:hAnsi="Times New Roman" w:cs="Times New Roman"/>
          <w:kern w:val="0"/>
          <w:szCs w:val="24"/>
          <w:lang w:eastAsia="zh-HK"/>
        </w:rPr>
        <w:t xml:space="preserve"> </w:t>
      </w:r>
      <w:r w:rsidR="00D264CC" w:rsidRPr="00D87CB4">
        <w:rPr>
          <w:rFonts w:ascii="Times New Roman" w:eastAsia="標楷體" w:hAnsi="Times New Roman" w:cs="Times New Roman"/>
          <w:i/>
          <w:kern w:val="0"/>
          <w:szCs w:val="24"/>
          <w:lang w:eastAsia="zh-HK"/>
        </w:rPr>
        <w:t>‘</w:t>
      </w:r>
      <w:r w:rsidRPr="00D87CB4">
        <w:rPr>
          <w:rFonts w:ascii="Times New Roman" w:eastAsia="標楷體" w:hAnsi="Times New Roman" w:cs="Times New Roman"/>
          <w:i/>
          <w:kern w:val="0"/>
          <w:szCs w:val="24"/>
          <w:lang w:eastAsia="zh-HK"/>
        </w:rPr>
        <w:t>Where no valid objection or appeal has been lodged within the time limited by this Part against an assessment…….., shall be final and conclusive for all purposes of the Ordinance as regards the amount of such assessable income or profits or net assessable value.</w:t>
      </w:r>
      <w:r w:rsidR="00D264CC" w:rsidRPr="00D87CB4">
        <w:rPr>
          <w:rFonts w:ascii="Times New Roman" w:eastAsia="標楷體" w:hAnsi="Times New Roman" w:cs="Times New Roman"/>
          <w:i/>
          <w:kern w:val="0"/>
          <w:szCs w:val="24"/>
          <w:lang w:eastAsia="zh-HK"/>
        </w:rPr>
        <w:t>’</w:t>
      </w:r>
    </w:p>
    <w:p w14:paraId="40F0C340" w14:textId="77777777" w:rsidR="00742845" w:rsidRPr="00DE5108" w:rsidRDefault="00742845" w:rsidP="005F377B">
      <w:pPr>
        <w:ind w:left="1080" w:hanging="720"/>
        <w:jc w:val="both"/>
        <w:rPr>
          <w:rFonts w:ascii="Times New Roman" w:eastAsia="標楷體" w:hAnsi="Times New Roman" w:cs="Times New Roman"/>
          <w:kern w:val="0"/>
          <w:szCs w:val="24"/>
          <w:lang w:eastAsia="zh-HK"/>
        </w:rPr>
      </w:pPr>
    </w:p>
    <w:p w14:paraId="6F7F5726"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Section 64, section 70 and section 70A belong to Part 11 of the IRO (</w:t>
      </w:r>
      <w:r w:rsidR="00BD794C">
        <w:rPr>
          <w:rFonts w:ascii="Times New Roman" w:eastAsia="標楷體" w:hAnsi="Times New Roman" w:cs="Times New Roman"/>
          <w:kern w:val="0"/>
          <w:szCs w:val="24"/>
          <w:lang w:eastAsia="zh-HK"/>
        </w:rPr>
        <w:t>ie</w:t>
      </w:r>
      <w:r w:rsidRPr="00DE5108">
        <w:rPr>
          <w:rFonts w:ascii="Times New Roman" w:eastAsia="標楷體" w:hAnsi="Times New Roman" w:cs="Times New Roman"/>
          <w:kern w:val="0"/>
          <w:szCs w:val="24"/>
          <w:lang w:eastAsia="zh-HK"/>
        </w:rPr>
        <w:t xml:space="preserve"> the same part). It follows that if the Appellant objected to the Subject Assessments, he had to do so within 1 month (as stipulated by section 64) after the respective dates of the notices of the Subject Assessments. </w:t>
      </w:r>
    </w:p>
    <w:p w14:paraId="033F3209"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2A6F4608"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Salary Tax Assessment for year 2011/12 was issued to the Appellant by the Respondent on 3 October 2012 while the Subject Assessments (other than the Salary Tax Assessment for year 2011/12) were issued earlier. The earliest response or objection to the Subject Assessments was made by the Appellant to the Respondent on 28 January 2013. Apparently, the objection was done after the time limited by section 64 of the IRO.</w:t>
      </w:r>
    </w:p>
    <w:p w14:paraId="09DE74AF"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362F048A"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made no allegation that he was prevented from giving notice of objection within the time limit because of his absence from Hong Kong, sickness or other reasonable cause. It follows that the Subject Assessments should become final and conclusive pursuant to section 70 of the IRO because the objection was lodged outside the 1-month period as stipulated by section 64 of the IRO. </w:t>
      </w:r>
    </w:p>
    <w:p w14:paraId="44CDE6FE"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2A237557" w14:textId="77777777" w:rsidR="00DE5108" w:rsidRPr="00BD794C" w:rsidRDefault="00DE5108" w:rsidP="005F377B">
      <w:pPr>
        <w:jc w:val="both"/>
        <w:rPr>
          <w:rFonts w:ascii="Times New Roman" w:eastAsia="標楷體" w:hAnsi="Times New Roman" w:cs="Times New Roman"/>
          <w:b/>
          <w:i/>
          <w:kern w:val="0"/>
          <w:szCs w:val="24"/>
          <w:lang w:eastAsia="zh-HK"/>
        </w:rPr>
      </w:pPr>
      <w:r w:rsidRPr="00BD794C">
        <w:rPr>
          <w:rFonts w:ascii="Times New Roman" w:eastAsia="標楷體" w:hAnsi="Times New Roman" w:cs="Times New Roman"/>
          <w:b/>
          <w:i/>
          <w:kern w:val="0"/>
          <w:szCs w:val="24"/>
          <w:lang w:eastAsia="zh-HK"/>
        </w:rPr>
        <w:t>What was the nature of the payment by the Company to the Appellant for the relevant financial years?</w:t>
      </w:r>
    </w:p>
    <w:p w14:paraId="2D5966FE" w14:textId="77777777" w:rsidR="00742845" w:rsidRPr="00DE5108" w:rsidRDefault="00742845" w:rsidP="005F377B">
      <w:pPr>
        <w:jc w:val="both"/>
        <w:rPr>
          <w:rFonts w:ascii="Times New Roman" w:eastAsia="標楷體" w:hAnsi="Times New Roman" w:cs="Times New Roman"/>
          <w:kern w:val="0"/>
          <w:szCs w:val="24"/>
          <w:lang w:eastAsia="zh-HK"/>
        </w:rPr>
      </w:pPr>
    </w:p>
    <w:p w14:paraId="59D0F6B0"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It is the Appellant’s contention (expressed through its Former Representative) that the Respondent should exercise the power under section 70A of the IRO to rectify the error and mistake and refund the tax paid </w:t>
      </w:r>
      <w:r w:rsidRPr="0016243D">
        <w:rPr>
          <w:rFonts w:ascii="Times New Roman" w:eastAsia="標楷體" w:hAnsi="Times New Roman" w:cs="Times New Roman"/>
          <w:i/>
          <w:kern w:val="0"/>
          <w:szCs w:val="24"/>
          <w:lang w:eastAsia="zh-HK"/>
        </w:rPr>
        <w:t>inter alia</w:t>
      </w:r>
      <w:r w:rsidRPr="00DE5108">
        <w:rPr>
          <w:rFonts w:ascii="Times New Roman" w:eastAsia="標楷體" w:hAnsi="Times New Roman" w:cs="Times New Roman"/>
          <w:kern w:val="0"/>
          <w:szCs w:val="24"/>
          <w:lang w:eastAsia="zh-HK"/>
        </w:rPr>
        <w:t xml:space="preserve"> on the following grounds: (a) the Appellant had no employment contract and is never employed by the Company; (b) the Appellant has never received monthly salary as a normal employee does. What he got was the drawing of profit from the Company at intervals when the Company generated such profits; (c) upon the erroneous advice by his previous tax representative, he reported these drawings as income in his Salaries Tax Return and taxed as such.</w:t>
      </w:r>
    </w:p>
    <w:p w14:paraId="4094A4AA"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217DE8B9"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Whether there exists an employer and an employee relationship, it does not depend only on whether there has a written employment contract between the Appellant and the Company. Such relationship, if any, could be inferred from the conducts of the parties and background of the case. </w:t>
      </w:r>
    </w:p>
    <w:p w14:paraId="7655C850"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53F28D5D"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claimed that the income he reported as deriving from the Company was not his income, but appropriation of profits. However, the Appellant (being one of the directors of the Company) and the other director (being a corporate director) did not recommend and declare payment of dividends to the shareholders for the years ended 31 December 2007 to 2011.</w:t>
      </w:r>
    </w:p>
    <w:p w14:paraId="1B25FCA2"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1B599025"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claimed that the cash received by him represented drawings from the Company, thus it should not be chargeable to Salaries Tax. Such claim, however, was not supported by the accounting records of the Company. In the Company’s ledger, all the cash and cheques drawn by the Appellant between 2007 to 2014 were recorded as his salary.</w:t>
      </w:r>
    </w:p>
    <w:p w14:paraId="55FBA53F" w14:textId="77777777" w:rsidR="00742845" w:rsidRPr="00DE5108" w:rsidRDefault="00742845" w:rsidP="0083474D">
      <w:pPr>
        <w:widowControl/>
        <w:jc w:val="both"/>
        <w:rPr>
          <w:rFonts w:ascii="Times New Roman" w:eastAsia="標楷體" w:hAnsi="Times New Roman" w:cs="Times New Roman"/>
          <w:kern w:val="0"/>
          <w:szCs w:val="24"/>
          <w:lang w:eastAsia="zh-HK"/>
        </w:rPr>
      </w:pPr>
    </w:p>
    <w:p w14:paraId="31FF3881"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the letter sent by the Appellant (in the capacity of the managing director of the Company) to the Respondent of 28 January 2013, the Company admitted that </w:t>
      </w:r>
    </w:p>
    <w:p w14:paraId="272785CE"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3244FA9E" w14:textId="77777777" w:rsidR="00DE5108" w:rsidRDefault="00D264CC" w:rsidP="00B30FE3">
      <w:pPr>
        <w:ind w:left="1560" w:hanging="11"/>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w:t>
      </w:r>
      <w:r w:rsidR="00DE5108" w:rsidRPr="00DE5108">
        <w:rPr>
          <w:rFonts w:ascii="Times New Roman" w:eastAsia="標楷體" w:hAnsi="Times New Roman" w:cs="Times New Roman"/>
          <w:i/>
          <w:iCs/>
          <w:kern w:val="0"/>
          <w:szCs w:val="24"/>
          <w:lang w:eastAsia="zh-HK"/>
        </w:rPr>
        <w:t>the Company used to pay the commission to the director at the year-end based on the annual performance. The Company’s profit used to be not significant while the salary tax was big when the performance is good. That is the only tax adjustment that he did it. Personal tax ratio is lower than that of profit tax by 1.5% point.</w:t>
      </w:r>
      <w:r>
        <w:rPr>
          <w:rFonts w:ascii="Times New Roman" w:eastAsia="標楷體" w:hAnsi="Times New Roman" w:cs="Times New Roman"/>
          <w:kern w:val="0"/>
          <w:szCs w:val="24"/>
          <w:lang w:eastAsia="zh-HK"/>
        </w:rPr>
        <w:t>’</w:t>
      </w:r>
      <w:r w:rsidR="00DE5108" w:rsidRPr="00DE5108">
        <w:rPr>
          <w:rFonts w:ascii="Times New Roman" w:eastAsia="標楷體" w:hAnsi="Times New Roman" w:cs="Times New Roman"/>
          <w:kern w:val="0"/>
          <w:szCs w:val="24"/>
          <w:lang w:eastAsia="zh-HK"/>
        </w:rPr>
        <w:t xml:space="preserve"> </w:t>
      </w:r>
    </w:p>
    <w:p w14:paraId="1B4F3D84" w14:textId="77777777" w:rsidR="00742845" w:rsidRPr="00DE5108" w:rsidRDefault="00742845" w:rsidP="005F377B">
      <w:pPr>
        <w:ind w:left="720" w:hanging="720"/>
        <w:jc w:val="both"/>
        <w:rPr>
          <w:rFonts w:ascii="Times New Roman" w:eastAsia="標楷體" w:hAnsi="Times New Roman" w:cs="Times New Roman"/>
          <w:kern w:val="0"/>
          <w:szCs w:val="24"/>
          <w:lang w:eastAsia="zh-HK"/>
        </w:rPr>
      </w:pPr>
    </w:p>
    <w:p w14:paraId="49F7BAAF"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Company’s audited financial statements for the years of 2007 to 2011 showed that director’s remunerations were charged to the Company in each financial year. In the employer’s returns filed by the Company for each of the financial years ended 31 March 2008 to 2012, the Company reported that income had accrued to the Appellant in the capacity of a director. The said returns were prepared and signed by the Appellant in the capacity of the Company’s director.</w:t>
      </w:r>
    </w:p>
    <w:p w14:paraId="3FC19B39"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016CB6C6"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also reported the same income in his personal tax return for the aforesaid years. Upon the enquiry by the assessor about the differences between the director’s remunerations reported in the audited financial statements and the employer’s returns filed for the Appellant, the Company said in its letter of 3 May 2016 that the difference was due to different cut-off dates and that there was no computation basis for the Appellant’s salary. At the end of the fiscal year, he made the rough assessment and </w:t>
      </w:r>
      <w:r w:rsidRPr="00DE5108">
        <w:rPr>
          <w:rFonts w:ascii="Times New Roman" w:eastAsia="標楷體" w:hAnsi="Times New Roman" w:cs="Times New Roman"/>
          <w:b/>
          <w:bCs/>
          <w:kern w:val="0"/>
          <w:szCs w:val="24"/>
          <w:lang w:eastAsia="zh-HK"/>
        </w:rPr>
        <w:t>adjusted the total salary</w:t>
      </w:r>
      <w:r w:rsidRPr="00DE5108">
        <w:rPr>
          <w:rFonts w:ascii="Times New Roman" w:eastAsia="標楷體" w:hAnsi="Times New Roman" w:cs="Times New Roman"/>
          <w:kern w:val="0"/>
          <w:szCs w:val="24"/>
          <w:lang w:eastAsia="zh-HK"/>
        </w:rPr>
        <w:t xml:space="preserve"> (emphasis added).</w:t>
      </w:r>
    </w:p>
    <w:p w14:paraId="42AC6DF8"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6C03AB18"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Appellant contended that income should be calculated on actual cash received pursuant to section 11D of the IRO. Since the amount of money he drew from the Company differed from his reported income, he argued that there was an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error</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in his tax return filed. In this regard, we agree with Ms Wong’s submission that the contention is misconceived. By virtue of the proviso to section 11D(a) of the IRO, any income credited and made available to the Appellant would be deemed to have been received by him and such income should form part of his income assessable to Salaries Tax.</w:t>
      </w:r>
    </w:p>
    <w:p w14:paraId="63C7A184"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7C8C3112"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her closing submission, </w:t>
      </w:r>
      <w:r w:rsidR="00210893">
        <w:rPr>
          <w:rFonts w:ascii="Times New Roman" w:eastAsia="標楷體" w:hAnsi="Times New Roman" w:cs="Times New Roman"/>
          <w:kern w:val="0"/>
          <w:szCs w:val="24"/>
          <w:lang w:eastAsia="zh-HK"/>
        </w:rPr>
        <w:t>Ms Wong</w:t>
      </w:r>
      <w:r w:rsidRPr="00DE5108">
        <w:rPr>
          <w:rFonts w:ascii="Times New Roman" w:eastAsia="標楷體" w:hAnsi="Times New Roman" w:cs="Times New Roman"/>
          <w:kern w:val="0"/>
          <w:szCs w:val="24"/>
          <w:lang w:eastAsia="zh-HK"/>
        </w:rPr>
        <w:t xml:space="preserve"> pointed out the following evidence to the Board for its consideration: -</w:t>
      </w:r>
    </w:p>
    <w:p w14:paraId="294383DD"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1E2686BC" w14:textId="77777777" w:rsidR="00DE5108" w:rsidRDefault="00DE5108" w:rsidP="002751BF">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the Applicant’s application for holdover of provisional tax, the Appellant stated that </w:t>
      </w:r>
      <w:r w:rsidRPr="00DE5108">
        <w:rPr>
          <w:rFonts w:ascii="Times New Roman" w:eastAsia="標楷體" w:hAnsi="Times New Roman" w:cs="Times New Roman"/>
          <w:b/>
          <w:bCs/>
          <w:kern w:val="0"/>
          <w:szCs w:val="24"/>
          <w:lang w:eastAsia="zh-HK"/>
        </w:rPr>
        <w:t>income of $1,800,000</w:t>
      </w:r>
      <w:r w:rsidRPr="00DE5108">
        <w:rPr>
          <w:rFonts w:ascii="Times New Roman" w:eastAsia="標楷體" w:hAnsi="Times New Roman" w:cs="Times New Roman"/>
          <w:kern w:val="0"/>
          <w:szCs w:val="24"/>
          <w:lang w:eastAsia="zh-HK"/>
        </w:rPr>
        <w:t xml:space="preserve"> (emphasis added) had been received by him from April to November 2009 and the </w:t>
      </w:r>
      <w:r w:rsidRPr="00DE5108">
        <w:rPr>
          <w:rFonts w:ascii="Times New Roman" w:eastAsia="標楷體" w:hAnsi="Times New Roman" w:cs="Times New Roman"/>
          <w:b/>
          <w:bCs/>
          <w:kern w:val="0"/>
          <w:szCs w:val="24"/>
          <w:lang w:eastAsia="zh-HK"/>
        </w:rPr>
        <w:t>estimated income</w:t>
      </w:r>
      <w:r w:rsidRPr="00DE5108">
        <w:rPr>
          <w:rFonts w:ascii="Times New Roman" w:eastAsia="標楷體" w:hAnsi="Times New Roman" w:cs="Times New Roman"/>
          <w:kern w:val="0"/>
          <w:szCs w:val="24"/>
          <w:lang w:eastAsia="zh-HK"/>
        </w:rPr>
        <w:t xml:space="preserve"> (emphasis added) to be received from December 2009 to March 2010 was $500,000.</w:t>
      </w:r>
    </w:p>
    <w:p w14:paraId="470B9EC8" w14:textId="77777777" w:rsidR="00742845" w:rsidRPr="00DE5108" w:rsidRDefault="00742845" w:rsidP="00742845">
      <w:pPr>
        <w:widowControl/>
        <w:adjustRightInd w:val="0"/>
        <w:snapToGrid w:val="0"/>
        <w:ind w:left="1268" w:right="29"/>
        <w:jc w:val="both"/>
        <w:rPr>
          <w:rFonts w:ascii="Times New Roman" w:eastAsia="標楷體" w:hAnsi="Times New Roman" w:cs="Times New Roman"/>
          <w:kern w:val="0"/>
          <w:szCs w:val="24"/>
          <w:lang w:eastAsia="zh-HK"/>
        </w:rPr>
      </w:pPr>
    </w:p>
    <w:p w14:paraId="23D7393F" w14:textId="77777777" w:rsidR="00DE5108" w:rsidRDefault="00DE5108" w:rsidP="00015945">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his letter concerning the value of residence assessed to tax, the Appellant stated that </w:t>
      </w:r>
      <w:r w:rsidRPr="00DE5108">
        <w:rPr>
          <w:rFonts w:ascii="Times New Roman" w:eastAsia="標楷體" w:hAnsi="Times New Roman" w:cs="Times New Roman"/>
          <w:b/>
          <w:bCs/>
          <w:kern w:val="0"/>
          <w:szCs w:val="24"/>
          <w:lang w:eastAsia="zh-HK"/>
        </w:rPr>
        <w:t>his total salary</w:t>
      </w:r>
      <w:r w:rsidRPr="00DE5108">
        <w:rPr>
          <w:rFonts w:ascii="Times New Roman" w:eastAsia="標楷體" w:hAnsi="Times New Roman" w:cs="Times New Roman"/>
          <w:kern w:val="0"/>
          <w:szCs w:val="24"/>
          <w:lang w:eastAsia="zh-HK"/>
        </w:rPr>
        <w:t xml:space="preserve"> </w:t>
      </w:r>
      <w:r w:rsidRPr="00DE5108">
        <w:rPr>
          <w:rFonts w:ascii="Times New Roman" w:eastAsia="標楷體" w:hAnsi="Times New Roman" w:cs="Times New Roman"/>
          <w:b/>
          <w:bCs/>
          <w:kern w:val="0"/>
          <w:szCs w:val="24"/>
          <w:lang w:eastAsia="zh-HK"/>
        </w:rPr>
        <w:t>was $600,000 and a special commission of $7,247,500 was made to him on 31 December 2008</w:t>
      </w:r>
      <w:r w:rsidRPr="00DE5108">
        <w:rPr>
          <w:rFonts w:ascii="Times New Roman" w:eastAsia="標楷體" w:hAnsi="Times New Roman" w:cs="Times New Roman"/>
          <w:kern w:val="0"/>
          <w:szCs w:val="24"/>
          <w:lang w:eastAsia="zh-HK"/>
        </w:rPr>
        <w:t xml:space="preserve">(emphasis added).  These figures matched with the income reported in the employer’s return and the tax return of </w:t>
      </w:r>
      <w:r w:rsidR="00440E35">
        <w:rPr>
          <w:rFonts w:ascii="Times New Roman" w:eastAsia="標楷體" w:hAnsi="Times New Roman" w:cs="Times New Roman"/>
          <w:kern w:val="0"/>
          <w:szCs w:val="24"/>
          <w:lang w:eastAsia="zh-HK"/>
        </w:rPr>
        <w:t xml:space="preserve">Mr B </w:t>
      </w:r>
      <w:r w:rsidRPr="00DE5108">
        <w:rPr>
          <w:rFonts w:ascii="Times New Roman" w:eastAsia="標楷體" w:hAnsi="Times New Roman" w:cs="Times New Roman"/>
          <w:kern w:val="0"/>
          <w:szCs w:val="24"/>
          <w:lang w:eastAsia="zh-HK"/>
        </w:rPr>
        <w:t xml:space="preserve">for the year 2008/09. </w:t>
      </w:r>
    </w:p>
    <w:p w14:paraId="12BBF085" w14:textId="77777777" w:rsidR="00742845" w:rsidRPr="00DE5108" w:rsidRDefault="00742845" w:rsidP="00742845">
      <w:pPr>
        <w:widowControl/>
        <w:adjustRightInd w:val="0"/>
        <w:snapToGrid w:val="0"/>
        <w:ind w:right="29"/>
        <w:jc w:val="both"/>
        <w:rPr>
          <w:rFonts w:ascii="Times New Roman" w:eastAsia="標楷體" w:hAnsi="Times New Roman" w:cs="Times New Roman"/>
          <w:kern w:val="0"/>
          <w:szCs w:val="24"/>
          <w:lang w:eastAsia="zh-HK"/>
        </w:rPr>
      </w:pPr>
    </w:p>
    <w:p w14:paraId="4F06CE7F" w14:textId="77777777" w:rsidR="00DE5108" w:rsidRDefault="00DE5108" w:rsidP="00015945">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its letter of 16 November 2012 to the Respondent regarding tax payment, the Company stated that although it had a great result over years, </w:t>
      </w:r>
      <w:r w:rsidRPr="00DE5108">
        <w:rPr>
          <w:rFonts w:ascii="Times New Roman" w:eastAsia="標楷體" w:hAnsi="Times New Roman" w:cs="Times New Roman"/>
          <w:b/>
          <w:bCs/>
          <w:kern w:val="0"/>
          <w:szCs w:val="24"/>
          <w:lang w:eastAsia="zh-HK"/>
        </w:rPr>
        <w:t>the profits had already been paid as the allowance on which personal income tax was paid accordingly</w:t>
      </w:r>
      <w:r w:rsidRPr="00DE5108">
        <w:rPr>
          <w:rFonts w:ascii="Times New Roman" w:eastAsia="標楷體" w:hAnsi="Times New Roman" w:cs="Times New Roman"/>
          <w:kern w:val="0"/>
          <w:szCs w:val="24"/>
          <w:lang w:eastAsia="zh-HK"/>
        </w:rPr>
        <w:t xml:space="preserve"> (emphasis added).</w:t>
      </w:r>
    </w:p>
    <w:p w14:paraId="532CB01C" w14:textId="77777777" w:rsidR="00742845" w:rsidRPr="00DE5108" w:rsidRDefault="00742845" w:rsidP="00742845">
      <w:pPr>
        <w:widowControl/>
        <w:adjustRightInd w:val="0"/>
        <w:snapToGrid w:val="0"/>
        <w:ind w:right="29"/>
        <w:jc w:val="both"/>
        <w:rPr>
          <w:rFonts w:ascii="Times New Roman" w:eastAsia="標楷體" w:hAnsi="Times New Roman" w:cs="Times New Roman"/>
          <w:kern w:val="0"/>
          <w:szCs w:val="24"/>
          <w:lang w:eastAsia="zh-HK"/>
        </w:rPr>
      </w:pPr>
    </w:p>
    <w:p w14:paraId="746CF112" w14:textId="77777777" w:rsidR="00DE5108" w:rsidRPr="00742845" w:rsidRDefault="00DE5108" w:rsidP="00015945">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its notice of objection, the Company, through the Former Representative, stated that the Appellant was its sole owner, and </w:t>
      </w:r>
      <w:r w:rsidRPr="00DE5108">
        <w:rPr>
          <w:rFonts w:ascii="Times New Roman" w:eastAsia="標楷體" w:hAnsi="Times New Roman" w:cs="Times New Roman"/>
          <w:b/>
          <w:bCs/>
          <w:kern w:val="0"/>
          <w:szCs w:val="24"/>
          <w:lang w:eastAsia="zh-HK"/>
        </w:rPr>
        <w:t xml:space="preserve">he derived all his earning from the Company, which had been mostly transferred to his personal income account and reported and taxed as his income </w:t>
      </w:r>
      <w:r w:rsidRPr="00DE5108">
        <w:rPr>
          <w:rFonts w:ascii="Times New Roman" w:eastAsia="標楷體" w:hAnsi="Times New Roman" w:cs="Times New Roman"/>
          <w:kern w:val="0"/>
          <w:szCs w:val="24"/>
          <w:lang w:eastAsia="zh-HK"/>
        </w:rPr>
        <w:t>(emphasis added)</w:t>
      </w:r>
      <w:r w:rsidRPr="00DE5108">
        <w:rPr>
          <w:rFonts w:ascii="Times New Roman" w:eastAsia="標楷體" w:hAnsi="Times New Roman" w:cs="Times New Roman"/>
          <w:i/>
          <w:kern w:val="0"/>
          <w:szCs w:val="24"/>
          <w:lang w:eastAsia="zh-HK"/>
        </w:rPr>
        <w:t>.</w:t>
      </w:r>
    </w:p>
    <w:p w14:paraId="126923A5" w14:textId="77777777" w:rsidR="00742845" w:rsidRPr="00DE5108" w:rsidRDefault="00742845" w:rsidP="00742845">
      <w:pPr>
        <w:widowControl/>
        <w:adjustRightInd w:val="0"/>
        <w:snapToGrid w:val="0"/>
        <w:ind w:right="29"/>
        <w:jc w:val="both"/>
        <w:rPr>
          <w:rFonts w:ascii="Times New Roman" w:eastAsia="標楷體" w:hAnsi="Times New Roman" w:cs="Times New Roman"/>
          <w:kern w:val="0"/>
          <w:szCs w:val="24"/>
          <w:lang w:eastAsia="zh-HK"/>
        </w:rPr>
      </w:pPr>
    </w:p>
    <w:p w14:paraId="66893E31" w14:textId="77777777" w:rsidR="00DE5108" w:rsidRDefault="00DE5108" w:rsidP="00015945">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iCs/>
          <w:kern w:val="0"/>
          <w:szCs w:val="24"/>
          <w:lang w:eastAsia="zh-HK"/>
        </w:rPr>
        <w:t xml:space="preserve">In </w:t>
      </w:r>
      <w:r w:rsidRPr="00DE5108">
        <w:rPr>
          <w:rFonts w:ascii="Times New Roman" w:eastAsia="標楷體" w:hAnsi="Times New Roman" w:cs="Times New Roman"/>
          <w:kern w:val="0"/>
          <w:szCs w:val="24"/>
          <w:lang w:eastAsia="zh-HK"/>
        </w:rPr>
        <w:t xml:space="preserve">the remittance statements of MPF for its employees, the Company reported that </w:t>
      </w:r>
      <w:r w:rsidR="00440E35">
        <w:rPr>
          <w:rFonts w:ascii="Times New Roman" w:eastAsia="標楷體" w:hAnsi="Times New Roman" w:cs="Times New Roman"/>
          <w:kern w:val="0"/>
          <w:szCs w:val="24"/>
          <w:lang w:eastAsia="zh-HK"/>
        </w:rPr>
        <w:t xml:space="preserve">Mr B </w:t>
      </w:r>
      <w:r w:rsidRPr="00DE5108">
        <w:rPr>
          <w:rFonts w:ascii="Times New Roman" w:eastAsia="標楷體" w:hAnsi="Times New Roman" w:cs="Times New Roman"/>
          <w:kern w:val="0"/>
          <w:szCs w:val="24"/>
          <w:lang w:eastAsia="zh-HK"/>
        </w:rPr>
        <w:t>had the relevant monthly income of $100,000.</w:t>
      </w:r>
    </w:p>
    <w:p w14:paraId="3A23C20E" w14:textId="77777777" w:rsidR="00742845" w:rsidRPr="00DE5108" w:rsidRDefault="00742845" w:rsidP="00742845">
      <w:pPr>
        <w:widowControl/>
        <w:adjustRightInd w:val="0"/>
        <w:snapToGrid w:val="0"/>
        <w:ind w:right="29"/>
        <w:jc w:val="both"/>
        <w:rPr>
          <w:rFonts w:ascii="Times New Roman" w:eastAsia="標楷體" w:hAnsi="Times New Roman" w:cs="Times New Roman"/>
          <w:kern w:val="0"/>
          <w:szCs w:val="24"/>
          <w:lang w:eastAsia="zh-HK"/>
        </w:rPr>
      </w:pPr>
    </w:p>
    <w:p w14:paraId="08D86E47" w14:textId="77777777" w:rsidR="00DE5108" w:rsidRDefault="00DE5108" w:rsidP="00015945">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the note of interview dated 8 March 2016, the Appellant said that his wife purchased a property in 2008 and the source of fund came from his salary derived from the Company. </w:t>
      </w:r>
    </w:p>
    <w:p w14:paraId="720B4F70" w14:textId="77777777" w:rsidR="00742845" w:rsidRPr="00DE5108" w:rsidRDefault="00742845" w:rsidP="00742845">
      <w:pPr>
        <w:widowControl/>
        <w:adjustRightInd w:val="0"/>
        <w:snapToGrid w:val="0"/>
        <w:ind w:right="29"/>
        <w:jc w:val="both"/>
        <w:rPr>
          <w:rFonts w:ascii="Times New Roman" w:eastAsia="標楷體" w:hAnsi="Times New Roman" w:cs="Times New Roman"/>
          <w:kern w:val="0"/>
          <w:szCs w:val="24"/>
          <w:lang w:eastAsia="zh-HK"/>
        </w:rPr>
      </w:pPr>
    </w:p>
    <w:p w14:paraId="36F37DFD" w14:textId="77777777" w:rsidR="00DE5108" w:rsidRDefault="00DE5108" w:rsidP="00015945">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In its letter requesting for re-assessment, the Company said (a) it used to pay commission to the director at the year-end based on its annual performance; (b) the Company’s profit used to be not significant while the salary tax was big when the performance is good; and (c) that is the only tax adjustment that the Appellant did it; and (d) personal tax ratio is lower than that of profit tax by 1.5% point.</w:t>
      </w:r>
    </w:p>
    <w:p w14:paraId="363527F4" w14:textId="77777777" w:rsidR="00742845" w:rsidRPr="00DE5108" w:rsidRDefault="00742845" w:rsidP="00742845">
      <w:pPr>
        <w:widowControl/>
        <w:adjustRightInd w:val="0"/>
        <w:snapToGrid w:val="0"/>
        <w:ind w:right="29"/>
        <w:jc w:val="both"/>
        <w:rPr>
          <w:rFonts w:ascii="Times New Roman" w:eastAsia="標楷體" w:hAnsi="Times New Roman" w:cs="Times New Roman"/>
          <w:kern w:val="0"/>
          <w:szCs w:val="24"/>
          <w:lang w:eastAsia="zh-HK"/>
        </w:rPr>
      </w:pPr>
    </w:p>
    <w:p w14:paraId="304A9BB3" w14:textId="77777777" w:rsidR="00DE5108" w:rsidRDefault="00DE5108" w:rsidP="00015945">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Had there been any shortfall (or excess) of the money paid, the Appellant might direct the Company to settle the differences by crediting or debiting (as the case may be) his current account with the Company. In fact, this is supported by the trial balance of the Company for the year ended 31 December 2011.</w:t>
      </w:r>
    </w:p>
    <w:p w14:paraId="3943F69F" w14:textId="77777777" w:rsidR="00742845" w:rsidRPr="00DE5108" w:rsidRDefault="00742845" w:rsidP="00742845">
      <w:pPr>
        <w:widowControl/>
        <w:adjustRightInd w:val="0"/>
        <w:snapToGrid w:val="0"/>
        <w:ind w:right="29"/>
        <w:jc w:val="both"/>
        <w:rPr>
          <w:rFonts w:ascii="Times New Roman" w:eastAsia="標楷體" w:hAnsi="Times New Roman" w:cs="Times New Roman"/>
          <w:kern w:val="0"/>
          <w:szCs w:val="24"/>
          <w:lang w:eastAsia="zh-HK"/>
        </w:rPr>
      </w:pPr>
    </w:p>
    <w:p w14:paraId="7F590E5F" w14:textId="77777777" w:rsidR="00DE5108" w:rsidRDefault="00DE5108" w:rsidP="00015945">
      <w:pPr>
        <w:widowControl/>
        <w:numPr>
          <w:ilvl w:val="0"/>
          <w:numId w:val="41"/>
        </w:numPr>
        <w:adjustRightInd w:val="0"/>
        <w:snapToGrid w:val="0"/>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Upon enquiry, the Company did not deny that the Sum had been charged as the Company expenses for the year 2008. By the Former Representative’s letter of 30 August 2018, it confirmed that the Sum was related to renovation and soft furnishing of the director’s quarter. </w:t>
      </w:r>
      <w:r w:rsidRPr="00DE5108">
        <w:rPr>
          <w:rFonts w:ascii="Times New Roman" w:eastAsia="標楷體" w:hAnsi="Times New Roman" w:cs="Times New Roman"/>
          <w:kern w:val="0"/>
          <w:szCs w:val="24"/>
          <w:u w:val="single"/>
          <w:lang w:eastAsia="zh-HK"/>
        </w:rPr>
        <w:t>This was regarded as staff benefit to the staff</w:t>
      </w:r>
      <w:r w:rsidRPr="00DE5108">
        <w:rPr>
          <w:rFonts w:ascii="Times New Roman" w:eastAsia="標楷體" w:hAnsi="Times New Roman" w:cs="Times New Roman"/>
          <w:kern w:val="0"/>
          <w:szCs w:val="24"/>
          <w:lang w:eastAsia="zh-HK"/>
        </w:rPr>
        <w:t xml:space="preserve"> (emphasis added) and was an allowable expense for tax purpose.</w:t>
      </w:r>
    </w:p>
    <w:p w14:paraId="68FEF3A3" w14:textId="2646146C" w:rsidR="002E43B2" w:rsidRPr="00DE5108" w:rsidRDefault="002E43B2" w:rsidP="00742845">
      <w:pPr>
        <w:widowControl/>
        <w:adjustRightInd w:val="0"/>
        <w:snapToGrid w:val="0"/>
        <w:ind w:right="29"/>
        <w:jc w:val="both"/>
        <w:rPr>
          <w:rFonts w:ascii="Times New Roman" w:eastAsia="標楷體" w:hAnsi="Times New Roman" w:cs="Times New Roman"/>
          <w:kern w:val="0"/>
          <w:szCs w:val="24"/>
          <w:lang w:eastAsia="zh-HK"/>
        </w:rPr>
      </w:pPr>
    </w:p>
    <w:p w14:paraId="2A62A8D2"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From the above, it is not difficult to see that for the financial years 2007/08 to 2011/12, the Appellant had an employer-employee relationship with the Company, of which he was the sole owner. Any benefit obtained by the Company would therefore go to the Appellant personally. By such relationship, he could appropriate the profits of the Company as his personal income so as to get the benefit of being taxed 1.5% point lower on the profits of the Company. Such arrangement had been confirmed by the Appellant’s explanations in the correspondence to the Respondent in the course of investigation or objection, the Company’s accounting treatments on payments to the Appellant, the Company’s employer’s return and the Appellant’s employee salary returns. </w:t>
      </w:r>
    </w:p>
    <w:p w14:paraId="25F33CFC"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7F7747F7"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To us, the above facts clearly demonstrate that both the Company and the Appellant purposely and intentionally had the employer and employee relationship for the relevant financial years for the purpose of obtaining tax benefit. They put their intention in action so as to achieve the purpose. They were conscious of what they did. They reported or attributed the profits of the Company as the Appellant’s salary or income from the Company in the relevant financial statements and tax returns in order to achieve their purpose of lowering down the tax liability on the profits of the Company. </w:t>
      </w:r>
    </w:p>
    <w:p w14:paraId="1E10C652"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0494E75F"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Now the Appellant argued that there was an error in the nature of payment to him by the Company in the relevant financial years. Had there been any error as alleged by the Appellant, we feel the Company should have taken steps to rectify the error by correcting its account entries in relation to such payment, its audited accounts of the relevant financial years, and/or the employer’s return made by the Company to the Inland Revenue Department for the relevant financial year.</w:t>
      </w:r>
    </w:p>
    <w:p w14:paraId="5F7CE819"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55E0F6F3"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Although the Appellant explained that the Company would take steps to rectify after this appeal is settled, the explanation has no persuasive force. It was an after-thought explanation to justify that it has not taken any steps to rectify the alleged errors. The Company and/or the Appellant could not explain its non-action to rectify the alleged errors on its part. Quite on the opposite, the explanation offered reinforces the fact that there was no error in the nature of payment to the Appellant by the Company.</w:t>
      </w:r>
    </w:p>
    <w:p w14:paraId="326EA963"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5A64FE06"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By reason of the aforesaid, we have no doubt that the payments made by the Company to the Appellant in each of the relevant financial years were by way of salary or income instead of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drawings</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as alleged. The Appellant derived or obtained income or salary from the Company in the capacity of being its director. </w:t>
      </w:r>
    </w:p>
    <w:p w14:paraId="6F721BD2"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07A239DC" w14:textId="77777777" w:rsidR="00742845" w:rsidRPr="00D076BB" w:rsidRDefault="00DE5108" w:rsidP="005F377B">
      <w:pPr>
        <w:jc w:val="both"/>
        <w:rPr>
          <w:rFonts w:ascii="Times New Roman" w:eastAsia="標楷體" w:hAnsi="Times New Roman" w:cs="Times New Roman"/>
          <w:b/>
          <w:i/>
          <w:kern w:val="0"/>
          <w:szCs w:val="24"/>
          <w:lang w:eastAsia="zh-HK"/>
        </w:rPr>
      </w:pPr>
      <w:r w:rsidRPr="00D076BB">
        <w:rPr>
          <w:rFonts w:ascii="Times New Roman" w:eastAsia="標楷體" w:hAnsi="Times New Roman" w:cs="Times New Roman"/>
          <w:b/>
          <w:i/>
          <w:kern w:val="0"/>
          <w:szCs w:val="24"/>
          <w:lang w:eastAsia="zh-HK"/>
        </w:rPr>
        <w:t xml:space="preserve">Was there an </w:t>
      </w:r>
      <w:r w:rsidR="00D264CC" w:rsidRPr="00D076BB">
        <w:rPr>
          <w:rFonts w:ascii="Times New Roman" w:eastAsia="標楷體" w:hAnsi="Times New Roman" w:cs="Times New Roman"/>
          <w:b/>
          <w:i/>
          <w:kern w:val="0"/>
          <w:szCs w:val="24"/>
          <w:lang w:eastAsia="zh-HK"/>
        </w:rPr>
        <w:t>‘</w:t>
      </w:r>
      <w:r w:rsidRPr="00D076BB">
        <w:rPr>
          <w:rFonts w:ascii="Times New Roman" w:eastAsia="標楷體" w:hAnsi="Times New Roman" w:cs="Times New Roman"/>
          <w:b/>
          <w:i/>
          <w:kern w:val="0"/>
          <w:szCs w:val="24"/>
          <w:lang w:eastAsia="zh-HK"/>
        </w:rPr>
        <w:t>error</w:t>
      </w:r>
      <w:r w:rsidR="00D264CC" w:rsidRPr="00D076BB">
        <w:rPr>
          <w:rFonts w:ascii="Times New Roman" w:eastAsia="標楷體" w:hAnsi="Times New Roman" w:cs="Times New Roman"/>
          <w:b/>
          <w:i/>
          <w:kern w:val="0"/>
          <w:szCs w:val="24"/>
          <w:lang w:eastAsia="zh-HK"/>
        </w:rPr>
        <w:t>’</w:t>
      </w:r>
      <w:r w:rsidRPr="00D076BB">
        <w:rPr>
          <w:rFonts w:ascii="Times New Roman" w:eastAsia="標楷體" w:hAnsi="Times New Roman" w:cs="Times New Roman"/>
          <w:b/>
          <w:i/>
          <w:kern w:val="0"/>
          <w:szCs w:val="24"/>
          <w:lang w:eastAsia="zh-HK"/>
        </w:rPr>
        <w:t xml:space="preserve"> within the meaning of 70A of the IRO?</w:t>
      </w:r>
    </w:p>
    <w:p w14:paraId="7592560E" w14:textId="77777777" w:rsidR="00742845" w:rsidRPr="00DE5108" w:rsidRDefault="00742845" w:rsidP="005F377B">
      <w:pPr>
        <w:jc w:val="both"/>
        <w:rPr>
          <w:rFonts w:ascii="Times New Roman" w:eastAsia="標楷體" w:hAnsi="Times New Roman" w:cs="Times New Roman"/>
          <w:kern w:val="0"/>
          <w:szCs w:val="24"/>
          <w:u w:val="single"/>
          <w:lang w:eastAsia="zh-HK"/>
        </w:rPr>
      </w:pPr>
    </w:p>
    <w:p w14:paraId="09FC4C94"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Given our findings stated in paragraphs 49 and 50 above, we do not feel that there was any error or omission in the Salaries Tax Returns made by the Appellant to the Inland Revenue Department for the relevant financial years. </w:t>
      </w:r>
    </w:p>
    <w:p w14:paraId="2F12760D"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7247919C"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said he was a foreigner and did not know about the local tax law. He counted on his tax adviser. His tax adviser advised since salaries tax rate is lower than profits tax rate and personal income tax is more obvious for visa purposes, it would be advantageous to report the profits under salaries tax and for simplicity, just to use the annual drawing as a basis to report as the salary income. The Representative alleged that the Appellant could not distinguish between remuneration and withdrawal of profits, and his behavior was something incorrectly done through ignorance or inadvertence, a mistake</w:t>
      </w:r>
      <w:r w:rsidRPr="005F377B">
        <w:rPr>
          <w:rFonts w:ascii="Times New Roman" w:eastAsia="標楷體" w:hAnsi="Times New Roman" w:cs="Times New Roman"/>
          <w:kern w:val="0"/>
          <w:szCs w:val="24"/>
          <w:vertAlign w:val="superscript"/>
          <w:lang w:eastAsia="zh-HK"/>
        </w:rPr>
        <w:footnoteReference w:id="5"/>
      </w:r>
      <w:r w:rsidRPr="00DE5108">
        <w:rPr>
          <w:rFonts w:ascii="Times New Roman" w:eastAsia="標楷體" w:hAnsi="Times New Roman" w:cs="Times New Roman"/>
          <w:kern w:val="0"/>
          <w:szCs w:val="24"/>
          <w:lang w:eastAsia="zh-HK"/>
        </w:rPr>
        <w:t xml:space="preserve">. </w:t>
      </w:r>
    </w:p>
    <w:p w14:paraId="18DE0A6C"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19429CC4"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It would appear that the Appellant tried to use his ignorance, inadvertence or mistake as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error(s)</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to re-open the case under section 70A of the IRO. We do not agree that there was any ignorance, inadvertence or mistake. The Appellant conscientiously did what he has been advised by his tax representative to get the advantage of a lower tax rate by appropriating the profits of the Company as his income. </w:t>
      </w:r>
    </w:p>
    <w:p w14:paraId="2B84C247"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1F1DE4AD"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said that he was advised to pay some tax in Hong Kong in order to strengthen the chance of renewing the visa to stay in Hong Kong when he applied for resident visa from the Immigration Department.</w:t>
      </w:r>
    </w:p>
    <w:p w14:paraId="58DA943E"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5475EEBB"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facts that (a) he made use of the advice of paying some personal tax in order to strengthen his chance of obtaining resident visa; and (b) he did cause the payment of salary by the Company to him could reinforce the fact that the Appellant intended to treat and did treat the payment from the Company as income in order to strengthen the chance of renewing the visa to stay in Hong Kong. </w:t>
      </w:r>
    </w:p>
    <w:p w14:paraId="4B545E77"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7EB8CF99"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We agree with </w:t>
      </w:r>
      <w:r w:rsidR="00210893">
        <w:rPr>
          <w:rFonts w:ascii="Times New Roman" w:eastAsia="標楷體" w:hAnsi="Times New Roman" w:cs="Times New Roman"/>
          <w:kern w:val="0"/>
          <w:szCs w:val="24"/>
          <w:lang w:eastAsia="zh-HK"/>
        </w:rPr>
        <w:t>Ms Wong</w:t>
      </w:r>
      <w:r w:rsidRPr="00DE5108">
        <w:rPr>
          <w:rFonts w:ascii="Times New Roman" w:eastAsia="標楷體" w:hAnsi="Times New Roman" w:cs="Times New Roman"/>
          <w:kern w:val="0"/>
          <w:szCs w:val="24"/>
          <w:lang w:eastAsia="zh-HK"/>
        </w:rPr>
        <w:t xml:space="preserve">’s submission that the alleged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error</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if any, was no more than a subsequent change of opinion. The change of opinion could not be regarded as an error within the meaning of section 70A following the decisions of </w:t>
      </w:r>
      <w:r w:rsidRPr="006041E4">
        <w:rPr>
          <w:rFonts w:ascii="Times New Roman" w:eastAsia="標楷體" w:hAnsi="Times New Roman" w:cs="Times New Roman"/>
          <w:bCs/>
          <w:iCs/>
          <w:kern w:val="0"/>
          <w:szCs w:val="24"/>
          <w:lang w:eastAsia="zh-HK"/>
        </w:rPr>
        <w:t>Extramoney</w:t>
      </w:r>
      <w:r w:rsidRPr="00DE5108">
        <w:rPr>
          <w:rFonts w:ascii="Times New Roman" w:eastAsia="標楷體" w:hAnsi="Times New Roman" w:cs="Times New Roman"/>
          <w:kern w:val="0"/>
          <w:szCs w:val="24"/>
          <w:lang w:eastAsia="zh-HK"/>
        </w:rPr>
        <w:t xml:space="preserve"> and </w:t>
      </w:r>
      <w:r w:rsidRPr="006041E4">
        <w:rPr>
          <w:rFonts w:ascii="Times New Roman" w:eastAsia="標楷體" w:hAnsi="Times New Roman" w:cs="Times New Roman"/>
          <w:bCs/>
          <w:iCs/>
          <w:kern w:val="0"/>
          <w:szCs w:val="24"/>
          <w:u w:val="single"/>
          <w:lang w:eastAsia="zh-HK"/>
        </w:rPr>
        <w:t>D142/01</w:t>
      </w:r>
      <w:r w:rsidRPr="00DE5108">
        <w:rPr>
          <w:rFonts w:ascii="Times New Roman" w:eastAsia="標楷體" w:hAnsi="Times New Roman" w:cs="Times New Roman"/>
          <w:kern w:val="0"/>
          <w:szCs w:val="24"/>
          <w:lang w:eastAsia="zh-HK"/>
        </w:rPr>
        <w:t xml:space="preserve">.  </w:t>
      </w:r>
    </w:p>
    <w:p w14:paraId="13010EA8"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2A9BF011" w14:textId="77777777" w:rsidR="00742845" w:rsidRPr="00ED7A96" w:rsidRDefault="00DE5108" w:rsidP="005F377B">
      <w:pPr>
        <w:jc w:val="both"/>
        <w:rPr>
          <w:rFonts w:ascii="Times New Roman" w:eastAsia="標楷體" w:hAnsi="Times New Roman" w:cs="Times New Roman"/>
          <w:b/>
          <w:i/>
          <w:kern w:val="0"/>
          <w:szCs w:val="24"/>
          <w:lang w:eastAsia="zh-HK"/>
        </w:rPr>
      </w:pPr>
      <w:r w:rsidRPr="00ED7A96">
        <w:rPr>
          <w:rFonts w:ascii="Times New Roman" w:eastAsia="標楷體" w:hAnsi="Times New Roman" w:cs="Times New Roman"/>
          <w:b/>
          <w:i/>
          <w:kern w:val="0"/>
          <w:szCs w:val="24"/>
          <w:lang w:eastAsia="zh-HK"/>
        </w:rPr>
        <w:t>Section 70A of the IRO, Can the Subject Assessment be re-opened thereunder?</w:t>
      </w:r>
    </w:p>
    <w:p w14:paraId="3B557605" w14:textId="77777777" w:rsidR="00742845" w:rsidRPr="00DE5108" w:rsidRDefault="00742845" w:rsidP="005F377B">
      <w:pPr>
        <w:jc w:val="both"/>
        <w:rPr>
          <w:rFonts w:ascii="Times New Roman" w:eastAsia="標楷體" w:hAnsi="Times New Roman" w:cs="Times New Roman"/>
          <w:kern w:val="0"/>
          <w:szCs w:val="24"/>
          <w:u w:val="single"/>
          <w:lang w:eastAsia="zh-HK"/>
        </w:rPr>
      </w:pPr>
    </w:p>
    <w:p w14:paraId="589D8059"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A taxpayer who wishes to invoke section 70A of the IRO must satisfy the following conditions stated therein:</w:t>
      </w:r>
    </w:p>
    <w:p w14:paraId="2D51AAB4"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310E8319" w14:textId="77777777" w:rsidR="00DE5108" w:rsidRDefault="00DE5108" w:rsidP="004440AA">
      <w:pPr>
        <w:widowControl/>
        <w:numPr>
          <w:ilvl w:val="0"/>
          <w:numId w:val="2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tax charged for that year of assessment is excessive; and</w:t>
      </w:r>
    </w:p>
    <w:p w14:paraId="14C82968" w14:textId="77777777" w:rsidR="00742845" w:rsidRPr="00DE5108" w:rsidRDefault="00742845" w:rsidP="00742845">
      <w:pPr>
        <w:widowControl/>
        <w:ind w:left="720"/>
        <w:jc w:val="both"/>
        <w:rPr>
          <w:rFonts w:ascii="Times New Roman" w:eastAsia="標楷體" w:hAnsi="Times New Roman" w:cs="Times New Roman"/>
          <w:kern w:val="0"/>
          <w:szCs w:val="24"/>
          <w:lang w:eastAsia="zh-HK"/>
        </w:rPr>
      </w:pPr>
    </w:p>
    <w:p w14:paraId="5DE92DA8" w14:textId="77777777" w:rsidR="00DE5108" w:rsidRDefault="00DE5108" w:rsidP="00A2080B">
      <w:pPr>
        <w:widowControl/>
        <w:numPr>
          <w:ilvl w:val="0"/>
          <w:numId w:val="24"/>
        </w:numPr>
        <w:ind w:leftChars="638" w:left="2107" w:hangingChars="240" w:hanging="576"/>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excessiveness is by reason of an error or omission in </w:t>
      </w:r>
      <w:r w:rsidRPr="00DE5108">
        <w:rPr>
          <w:rFonts w:ascii="Times New Roman" w:eastAsia="標楷體" w:hAnsi="Times New Roman" w:cs="Times New Roman"/>
          <w:b/>
          <w:bCs/>
          <w:kern w:val="0"/>
          <w:szCs w:val="24"/>
          <w:u w:val="single"/>
          <w:lang w:eastAsia="zh-HK"/>
        </w:rPr>
        <w:t>any return or statement</w:t>
      </w:r>
      <w:r w:rsidRPr="00DE5108">
        <w:rPr>
          <w:rFonts w:ascii="Times New Roman" w:eastAsia="標楷體" w:hAnsi="Times New Roman" w:cs="Times New Roman"/>
          <w:kern w:val="0"/>
          <w:szCs w:val="24"/>
          <w:lang w:eastAsia="zh-HK"/>
        </w:rPr>
        <w:t xml:space="preserve"> (emphasis added) submitted in respect thereof; or by reason of </w:t>
      </w:r>
      <w:r w:rsidRPr="00DE5108">
        <w:rPr>
          <w:rFonts w:ascii="Times New Roman" w:eastAsia="標楷體" w:hAnsi="Times New Roman" w:cs="Times New Roman"/>
          <w:b/>
          <w:bCs/>
          <w:kern w:val="0"/>
          <w:szCs w:val="24"/>
          <w:u w:val="single"/>
          <w:lang w:eastAsia="zh-HK"/>
        </w:rPr>
        <w:t xml:space="preserve">an arithmetical error or omission in the calculation of the amount of the assessable profits assessed or in the amount of the tax charged </w:t>
      </w:r>
      <w:r w:rsidRPr="00DE5108">
        <w:rPr>
          <w:rFonts w:ascii="Times New Roman" w:eastAsia="標楷體" w:hAnsi="Times New Roman" w:cs="Times New Roman"/>
          <w:kern w:val="0"/>
          <w:szCs w:val="24"/>
          <w:lang w:eastAsia="zh-HK"/>
        </w:rPr>
        <w:t xml:space="preserve">(emphasis added). </w:t>
      </w:r>
    </w:p>
    <w:p w14:paraId="55896CAF"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141B4992" w14:textId="77777777" w:rsidR="00DE5108" w:rsidRPr="00807975" w:rsidRDefault="00DE5108" w:rsidP="00120179">
      <w:pPr>
        <w:jc w:val="both"/>
        <w:rPr>
          <w:rFonts w:ascii="Times New Roman" w:eastAsia="標楷體" w:hAnsi="Times New Roman" w:cs="Times New Roman"/>
          <w:b/>
          <w:i/>
          <w:kern w:val="0"/>
          <w:szCs w:val="24"/>
          <w:lang w:eastAsia="zh-HK"/>
        </w:rPr>
      </w:pPr>
      <w:r w:rsidRPr="00807975">
        <w:rPr>
          <w:rFonts w:ascii="Times New Roman" w:eastAsia="標楷體" w:hAnsi="Times New Roman" w:cs="Times New Roman"/>
          <w:b/>
          <w:i/>
          <w:kern w:val="0"/>
          <w:szCs w:val="24"/>
          <w:lang w:eastAsia="zh-HK"/>
        </w:rPr>
        <w:t>Is the excessiveness by reason of an error or omission in any return or statement submitted in respect thereof?</w:t>
      </w:r>
    </w:p>
    <w:p w14:paraId="75E23144" w14:textId="77777777" w:rsidR="00742845" w:rsidRPr="00DE5108" w:rsidRDefault="00742845" w:rsidP="005F377B">
      <w:pPr>
        <w:ind w:left="360"/>
        <w:jc w:val="both"/>
        <w:rPr>
          <w:rFonts w:ascii="Times New Roman" w:eastAsia="標楷體" w:hAnsi="Times New Roman" w:cs="Times New Roman"/>
          <w:kern w:val="0"/>
          <w:szCs w:val="24"/>
          <w:u w:val="single"/>
          <w:lang w:eastAsia="zh-HK"/>
        </w:rPr>
      </w:pPr>
    </w:p>
    <w:p w14:paraId="0188E5A2" w14:textId="77777777" w:rsidR="00DE5108" w:rsidRPr="00742845"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lang w:eastAsia="zh-HK"/>
        </w:rPr>
        <w:t xml:space="preserve">Since we have decided that there is no error or omission in his Salaries Tax Returns filed for the relevant financial years, the tax charged for those financial years could not be excessive by reason of error or omission in the relevant salaries tax returns filed by the Appellant.    </w:t>
      </w:r>
    </w:p>
    <w:p w14:paraId="7BDE28ED" w14:textId="77777777" w:rsidR="00742845" w:rsidRPr="00DE5108" w:rsidRDefault="00742845" w:rsidP="00742845">
      <w:pPr>
        <w:widowControl/>
        <w:ind w:left="360"/>
        <w:jc w:val="both"/>
        <w:rPr>
          <w:rFonts w:ascii="Times New Roman" w:eastAsia="標楷體" w:hAnsi="Times New Roman" w:cs="Times New Roman"/>
          <w:kern w:val="0"/>
          <w:szCs w:val="24"/>
          <w:u w:val="single"/>
          <w:lang w:eastAsia="zh-HK"/>
        </w:rPr>
      </w:pPr>
    </w:p>
    <w:p w14:paraId="14D50B54" w14:textId="77777777" w:rsidR="00DE5108" w:rsidRPr="00807975" w:rsidRDefault="00DE5108" w:rsidP="0018359A">
      <w:pPr>
        <w:jc w:val="both"/>
        <w:rPr>
          <w:rFonts w:ascii="Times New Roman" w:eastAsia="標楷體" w:hAnsi="Times New Roman" w:cs="Times New Roman"/>
          <w:b/>
          <w:i/>
          <w:kern w:val="0"/>
          <w:szCs w:val="24"/>
          <w:lang w:eastAsia="zh-HK"/>
        </w:rPr>
      </w:pPr>
      <w:r w:rsidRPr="00807975">
        <w:rPr>
          <w:rFonts w:ascii="Times New Roman" w:eastAsia="標楷體" w:hAnsi="Times New Roman" w:cs="Times New Roman"/>
          <w:b/>
          <w:i/>
          <w:kern w:val="0"/>
          <w:szCs w:val="24"/>
          <w:lang w:eastAsia="zh-HK"/>
        </w:rPr>
        <w:t>Is the excessiveness by reason of an arithmetical error or omission in the calculation of the amount of the assessable profits assessed or in the amount of the tax charged?</w:t>
      </w:r>
    </w:p>
    <w:p w14:paraId="4C2064DD" w14:textId="77777777" w:rsidR="00742845" w:rsidRPr="00DE5108" w:rsidRDefault="00742845" w:rsidP="005F377B">
      <w:pPr>
        <w:ind w:left="360"/>
        <w:jc w:val="both"/>
        <w:rPr>
          <w:rFonts w:ascii="Times New Roman" w:eastAsia="標楷體" w:hAnsi="Times New Roman" w:cs="Times New Roman"/>
          <w:kern w:val="0"/>
          <w:szCs w:val="24"/>
          <w:u w:val="single"/>
          <w:lang w:eastAsia="zh-HK"/>
        </w:rPr>
      </w:pPr>
    </w:p>
    <w:p w14:paraId="11CA59D7"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It is not the Appellant’s case that there was an arithmetical error or omission in the calculation of the amount of the tax charged for a particular financial year based on the returns filed by him for that year. It follows that we are not required to make the arithmetical calculation to see if there was any error or omission in this regard which caused excessiveness.</w:t>
      </w:r>
    </w:p>
    <w:p w14:paraId="1AE541A2"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6813A3FD"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Since the Appellant made no complain in this regard, it is our conclusion that the Subject Assessments could not be re-opened under section 70A of the IRO which became final and conclusive under section 70 of the IRO. </w:t>
      </w:r>
    </w:p>
    <w:p w14:paraId="54870D55"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5C174959" w14:textId="77777777" w:rsidR="00742845" w:rsidRPr="007C187D" w:rsidRDefault="00DE5108" w:rsidP="005F377B">
      <w:pPr>
        <w:jc w:val="both"/>
        <w:rPr>
          <w:rFonts w:ascii="Times New Roman" w:eastAsia="標楷體" w:hAnsi="Times New Roman" w:cs="Times New Roman"/>
          <w:b/>
          <w:i/>
          <w:kern w:val="0"/>
          <w:szCs w:val="24"/>
          <w:lang w:eastAsia="zh-HK"/>
        </w:rPr>
      </w:pPr>
      <w:r w:rsidRPr="007C187D">
        <w:rPr>
          <w:rFonts w:ascii="Times New Roman" w:eastAsia="標楷體" w:hAnsi="Times New Roman" w:cs="Times New Roman"/>
          <w:b/>
          <w:i/>
          <w:kern w:val="0"/>
          <w:szCs w:val="24"/>
          <w:lang w:eastAsia="zh-HK"/>
        </w:rPr>
        <w:t>Additional Salaries Tax Assessment for the year of assessment 2008/09 (</w:t>
      </w:r>
      <w:r w:rsidR="00D264CC" w:rsidRPr="007C187D">
        <w:rPr>
          <w:rFonts w:ascii="Times New Roman" w:eastAsia="標楷體" w:hAnsi="Times New Roman" w:cs="Times New Roman"/>
          <w:b/>
          <w:i/>
          <w:kern w:val="0"/>
          <w:szCs w:val="24"/>
          <w:lang w:eastAsia="zh-HK"/>
        </w:rPr>
        <w:t>‘</w:t>
      </w:r>
      <w:r w:rsidRPr="007C187D">
        <w:rPr>
          <w:rFonts w:ascii="Times New Roman" w:eastAsia="標楷體" w:hAnsi="Times New Roman" w:cs="Times New Roman"/>
          <w:b/>
          <w:bCs/>
          <w:i/>
          <w:kern w:val="0"/>
          <w:szCs w:val="24"/>
          <w:lang w:eastAsia="zh-HK"/>
        </w:rPr>
        <w:t>Additional Salaries Tax Assessment</w:t>
      </w:r>
      <w:r w:rsidR="00D264CC" w:rsidRPr="007C187D">
        <w:rPr>
          <w:rFonts w:ascii="Times New Roman" w:eastAsia="標楷體" w:hAnsi="Times New Roman" w:cs="Times New Roman"/>
          <w:b/>
          <w:i/>
          <w:kern w:val="0"/>
          <w:szCs w:val="24"/>
          <w:lang w:eastAsia="zh-HK"/>
        </w:rPr>
        <w:t>’</w:t>
      </w:r>
      <w:r w:rsidRPr="007C187D">
        <w:rPr>
          <w:rFonts w:ascii="Times New Roman" w:eastAsia="標楷體" w:hAnsi="Times New Roman" w:cs="Times New Roman"/>
          <w:b/>
          <w:i/>
          <w:kern w:val="0"/>
          <w:szCs w:val="24"/>
          <w:lang w:eastAsia="zh-HK"/>
        </w:rPr>
        <w:t>)</w:t>
      </w:r>
    </w:p>
    <w:p w14:paraId="0465C283" w14:textId="77777777" w:rsidR="00742845" w:rsidRPr="00DE5108" w:rsidRDefault="00742845" w:rsidP="005F377B">
      <w:pPr>
        <w:jc w:val="both"/>
        <w:rPr>
          <w:rFonts w:ascii="Times New Roman" w:eastAsia="標楷體" w:hAnsi="Times New Roman" w:cs="Times New Roman"/>
          <w:kern w:val="0"/>
          <w:szCs w:val="24"/>
          <w:lang w:eastAsia="zh-HK"/>
        </w:rPr>
      </w:pPr>
    </w:p>
    <w:p w14:paraId="4EE3D3A3"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The Appellant appealed against the Additional Salaries Tax Assessment. However, there was no specific ground in this regard stated in his Statement of Grounds of Appeal. For the purpose of discussion, we treat it that the Appellant relied on the general ground that the income referred to should be his drawings from the Company, to which we have already rejected. The Former Representative in response to the Respondent’s enquiry did mention that the Sum (being the amount of $941,832.60) was related to renovation and soft furnishing of the director’s quarters, which is a staff benefit.</w:t>
      </w:r>
    </w:p>
    <w:p w14:paraId="153AE8F6"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1007E98E"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It is a common ground and a fact</w:t>
      </w:r>
      <w:r w:rsidRPr="005F377B">
        <w:rPr>
          <w:rFonts w:ascii="Times New Roman" w:eastAsia="標楷體" w:hAnsi="Times New Roman" w:cs="Times New Roman"/>
          <w:kern w:val="0"/>
          <w:szCs w:val="24"/>
          <w:vertAlign w:val="superscript"/>
          <w:lang w:eastAsia="zh-HK"/>
        </w:rPr>
        <w:footnoteReference w:id="6"/>
      </w:r>
      <w:r w:rsidRPr="00DE5108">
        <w:rPr>
          <w:rFonts w:ascii="Times New Roman" w:eastAsia="標楷體" w:hAnsi="Times New Roman" w:cs="Times New Roman"/>
          <w:kern w:val="0"/>
          <w:szCs w:val="24"/>
          <w:lang w:eastAsia="zh-HK"/>
        </w:rPr>
        <w:t xml:space="preserve"> found by the Board that the Company paid the Sum representing the decoration expenses and professional fee in respect of a property purchased in 2008 by the Appellant’s wife. Details of the Sum is rendered below:</w:t>
      </w:r>
    </w:p>
    <w:p w14:paraId="47938416" w14:textId="77777777" w:rsidR="00742845" w:rsidRPr="00DE5108" w:rsidRDefault="00742845" w:rsidP="00742845">
      <w:pPr>
        <w:widowControl/>
        <w:jc w:val="both"/>
        <w:rPr>
          <w:rFonts w:ascii="Times New Roman" w:eastAsia="標楷體" w:hAnsi="Times New Roman" w:cs="Times New Roman"/>
          <w:kern w:val="0"/>
          <w:szCs w:val="24"/>
          <w:lang w:eastAsia="zh-HK"/>
        </w:rPr>
      </w:pPr>
    </w:p>
    <w:tbl>
      <w:tblPr>
        <w:tblW w:w="817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19"/>
        <w:gridCol w:w="1701"/>
        <w:gridCol w:w="236"/>
        <w:gridCol w:w="1701"/>
      </w:tblGrid>
      <w:tr w:rsidR="00CF2C5E" w:rsidRPr="00DE5108" w14:paraId="2A96AE3D" w14:textId="77777777" w:rsidTr="008D4A39">
        <w:tc>
          <w:tcPr>
            <w:tcW w:w="1417" w:type="dxa"/>
            <w:tcBorders>
              <w:top w:val="nil"/>
              <w:left w:val="nil"/>
              <w:bottom w:val="nil"/>
              <w:right w:val="nil"/>
            </w:tcBorders>
            <w:shd w:val="clear" w:color="auto" w:fill="auto"/>
          </w:tcPr>
          <w:p w14:paraId="013F150A" w14:textId="77777777" w:rsidR="00CF2C5E" w:rsidRPr="003523D1" w:rsidRDefault="00CF2C5E" w:rsidP="005F377B">
            <w:pPr>
              <w:adjustRightInd w:val="0"/>
              <w:snapToGrid w:val="0"/>
              <w:jc w:val="both"/>
              <w:rPr>
                <w:rFonts w:ascii="Times New Roman" w:eastAsia="標楷體" w:hAnsi="Times New Roman" w:cs="Times New Roman"/>
                <w:bCs/>
                <w:kern w:val="0"/>
                <w:szCs w:val="24"/>
                <w:u w:val="single"/>
                <w:lang w:eastAsia="zh-HK"/>
              </w:rPr>
            </w:pPr>
            <w:r w:rsidRPr="003523D1">
              <w:rPr>
                <w:rFonts w:ascii="Times New Roman" w:eastAsia="標楷體" w:hAnsi="Times New Roman" w:cs="Times New Roman"/>
                <w:bCs/>
                <w:kern w:val="0"/>
                <w:szCs w:val="24"/>
                <w:u w:val="single"/>
                <w:lang w:eastAsia="zh-HK"/>
              </w:rPr>
              <w:t>Date</w:t>
            </w:r>
          </w:p>
        </w:tc>
        <w:tc>
          <w:tcPr>
            <w:tcW w:w="3119" w:type="dxa"/>
            <w:tcBorders>
              <w:top w:val="nil"/>
              <w:left w:val="nil"/>
              <w:bottom w:val="nil"/>
              <w:right w:val="nil"/>
            </w:tcBorders>
            <w:shd w:val="clear" w:color="auto" w:fill="auto"/>
          </w:tcPr>
          <w:p w14:paraId="6C16DA53" w14:textId="77777777" w:rsidR="00CF2C5E" w:rsidRPr="003523D1" w:rsidRDefault="00CF2C5E" w:rsidP="005F377B">
            <w:pPr>
              <w:adjustRightInd w:val="0"/>
              <w:snapToGrid w:val="0"/>
              <w:jc w:val="both"/>
              <w:rPr>
                <w:rFonts w:ascii="Times New Roman" w:eastAsia="標楷體" w:hAnsi="Times New Roman" w:cs="Times New Roman"/>
                <w:bCs/>
                <w:kern w:val="0"/>
                <w:szCs w:val="24"/>
                <w:u w:val="single"/>
                <w:lang w:eastAsia="zh-HK"/>
              </w:rPr>
            </w:pPr>
            <w:r w:rsidRPr="003523D1">
              <w:rPr>
                <w:rFonts w:ascii="Times New Roman" w:eastAsia="標楷體" w:hAnsi="Times New Roman" w:cs="Times New Roman"/>
                <w:bCs/>
                <w:kern w:val="0"/>
                <w:szCs w:val="24"/>
                <w:u w:val="single"/>
                <w:lang w:eastAsia="zh-HK"/>
              </w:rPr>
              <w:t>Description</w:t>
            </w:r>
          </w:p>
        </w:tc>
        <w:tc>
          <w:tcPr>
            <w:tcW w:w="1701" w:type="dxa"/>
            <w:tcBorders>
              <w:top w:val="nil"/>
              <w:left w:val="nil"/>
              <w:bottom w:val="nil"/>
              <w:right w:val="nil"/>
            </w:tcBorders>
            <w:shd w:val="clear" w:color="auto" w:fill="auto"/>
          </w:tcPr>
          <w:p w14:paraId="43C29D1C" w14:textId="77777777" w:rsidR="00CF2C5E" w:rsidRPr="003523D1" w:rsidRDefault="00CF2C5E" w:rsidP="00072216">
            <w:pPr>
              <w:adjustRightInd w:val="0"/>
              <w:snapToGrid w:val="0"/>
              <w:jc w:val="center"/>
              <w:rPr>
                <w:rFonts w:ascii="Times New Roman" w:eastAsia="標楷體" w:hAnsi="Times New Roman" w:cs="Times New Roman"/>
                <w:bCs/>
                <w:kern w:val="0"/>
                <w:szCs w:val="24"/>
                <w:u w:val="single"/>
                <w:lang w:eastAsia="zh-HK"/>
              </w:rPr>
            </w:pPr>
            <w:r w:rsidRPr="003523D1">
              <w:rPr>
                <w:rFonts w:ascii="Times New Roman" w:eastAsia="標楷體" w:hAnsi="Times New Roman" w:cs="Times New Roman"/>
                <w:bCs/>
                <w:kern w:val="0"/>
                <w:szCs w:val="24"/>
                <w:u w:val="single"/>
                <w:lang w:eastAsia="zh-HK"/>
              </w:rPr>
              <w:t>Amount</w:t>
            </w:r>
          </w:p>
        </w:tc>
        <w:tc>
          <w:tcPr>
            <w:tcW w:w="236" w:type="dxa"/>
            <w:tcBorders>
              <w:top w:val="nil"/>
              <w:left w:val="nil"/>
              <w:bottom w:val="nil"/>
              <w:right w:val="nil"/>
            </w:tcBorders>
          </w:tcPr>
          <w:p w14:paraId="1C122366" w14:textId="77777777" w:rsidR="00CF2C5E" w:rsidRPr="003523D1" w:rsidRDefault="00CF2C5E" w:rsidP="00072216">
            <w:pPr>
              <w:adjustRightInd w:val="0"/>
              <w:snapToGrid w:val="0"/>
              <w:jc w:val="center"/>
              <w:rPr>
                <w:rFonts w:ascii="Times New Roman" w:eastAsia="標楷體" w:hAnsi="Times New Roman" w:cs="Times New Roman"/>
                <w:bCs/>
                <w:kern w:val="0"/>
                <w:szCs w:val="24"/>
                <w:u w:val="single"/>
                <w:lang w:eastAsia="zh-HK"/>
              </w:rPr>
            </w:pPr>
          </w:p>
        </w:tc>
        <w:tc>
          <w:tcPr>
            <w:tcW w:w="1701" w:type="dxa"/>
            <w:tcBorders>
              <w:top w:val="nil"/>
              <w:left w:val="nil"/>
              <w:bottom w:val="nil"/>
              <w:right w:val="nil"/>
            </w:tcBorders>
            <w:shd w:val="clear" w:color="auto" w:fill="auto"/>
          </w:tcPr>
          <w:p w14:paraId="7EE4CCED" w14:textId="77777777" w:rsidR="006F290C" w:rsidRPr="003523D1" w:rsidRDefault="00CF2C5E" w:rsidP="006F290C">
            <w:pPr>
              <w:adjustRightInd w:val="0"/>
              <w:snapToGrid w:val="0"/>
              <w:jc w:val="center"/>
              <w:rPr>
                <w:rFonts w:ascii="Times New Roman" w:eastAsia="標楷體" w:hAnsi="Times New Roman" w:cs="Times New Roman"/>
                <w:bCs/>
                <w:kern w:val="0"/>
                <w:szCs w:val="24"/>
                <w:u w:val="single"/>
                <w:lang w:eastAsia="zh-HK"/>
              </w:rPr>
            </w:pPr>
            <w:r w:rsidRPr="003523D1">
              <w:rPr>
                <w:rFonts w:ascii="Times New Roman" w:eastAsia="標楷體" w:hAnsi="Times New Roman" w:cs="Times New Roman"/>
                <w:bCs/>
                <w:kern w:val="0"/>
                <w:szCs w:val="24"/>
                <w:u w:val="single"/>
                <w:lang w:eastAsia="zh-HK"/>
              </w:rPr>
              <w:t>Amount</w:t>
            </w:r>
          </w:p>
        </w:tc>
      </w:tr>
      <w:tr w:rsidR="00CF2C5E" w:rsidRPr="00DE5108" w14:paraId="10421F67" w14:textId="77777777" w:rsidTr="008D4A39">
        <w:tc>
          <w:tcPr>
            <w:tcW w:w="1417" w:type="dxa"/>
            <w:tcBorders>
              <w:top w:val="nil"/>
              <w:left w:val="nil"/>
              <w:bottom w:val="nil"/>
              <w:right w:val="nil"/>
            </w:tcBorders>
            <w:shd w:val="clear" w:color="auto" w:fill="auto"/>
          </w:tcPr>
          <w:p w14:paraId="71A723A9"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341011DE"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678A34B5" w14:textId="77777777" w:rsidR="00CF2C5E" w:rsidRPr="00DE5108" w:rsidRDefault="00CF2C5E" w:rsidP="005F377B">
            <w:pPr>
              <w:adjustRightInd w:val="0"/>
              <w:snapToGrid w:val="0"/>
              <w:jc w:val="center"/>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c>
          <w:tcPr>
            <w:tcW w:w="236" w:type="dxa"/>
            <w:tcBorders>
              <w:top w:val="nil"/>
              <w:left w:val="nil"/>
              <w:bottom w:val="nil"/>
              <w:right w:val="nil"/>
            </w:tcBorders>
          </w:tcPr>
          <w:p w14:paraId="3C14F366" w14:textId="77777777" w:rsidR="00CF2C5E" w:rsidRPr="00DE5108" w:rsidRDefault="00CF2C5E" w:rsidP="005F377B">
            <w:pPr>
              <w:adjustRightInd w:val="0"/>
              <w:snapToGrid w:val="0"/>
              <w:jc w:val="center"/>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0ACA5C43" w14:textId="77777777" w:rsidR="00CF2C5E" w:rsidRPr="00DE5108" w:rsidRDefault="00CF2C5E" w:rsidP="005F377B">
            <w:pPr>
              <w:adjustRightInd w:val="0"/>
              <w:snapToGrid w:val="0"/>
              <w:jc w:val="center"/>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w:t>
            </w:r>
          </w:p>
        </w:tc>
      </w:tr>
      <w:tr w:rsidR="00CF2C5E" w:rsidRPr="00DE5108" w14:paraId="7593982F" w14:textId="77777777" w:rsidTr="008D4A39">
        <w:tc>
          <w:tcPr>
            <w:tcW w:w="1417" w:type="dxa"/>
            <w:tcBorders>
              <w:top w:val="nil"/>
              <w:left w:val="nil"/>
              <w:bottom w:val="nil"/>
              <w:right w:val="nil"/>
            </w:tcBorders>
            <w:shd w:val="clear" w:color="auto" w:fill="auto"/>
          </w:tcPr>
          <w:p w14:paraId="53BB7A93"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5A5A302B" w14:textId="77777777" w:rsidR="00CF2C5E" w:rsidRPr="00DE5108" w:rsidRDefault="00CF2C5E" w:rsidP="001F324E">
            <w:pPr>
              <w:adjustRightInd w:val="0"/>
              <w:snapToGrid w:val="0"/>
              <w:jc w:val="both"/>
              <w:rPr>
                <w:rFonts w:ascii="Times New Roman" w:eastAsia="標楷體" w:hAnsi="Times New Roman" w:cs="Times New Roman"/>
                <w:kern w:val="0"/>
                <w:szCs w:val="24"/>
                <w:u w:val="single"/>
                <w:lang w:eastAsia="zh-HK"/>
              </w:rPr>
            </w:pPr>
            <w:r>
              <w:rPr>
                <w:rFonts w:ascii="Times New Roman" w:eastAsia="標楷體" w:hAnsi="Times New Roman" w:cs="Times New Roman"/>
                <w:kern w:val="0"/>
                <w:szCs w:val="24"/>
                <w:u w:val="single"/>
                <w:lang w:eastAsia="zh-HK"/>
              </w:rPr>
              <w:t>Company F</w:t>
            </w:r>
          </w:p>
        </w:tc>
        <w:tc>
          <w:tcPr>
            <w:tcW w:w="1701" w:type="dxa"/>
            <w:tcBorders>
              <w:top w:val="nil"/>
              <w:left w:val="nil"/>
              <w:bottom w:val="nil"/>
              <w:right w:val="nil"/>
            </w:tcBorders>
            <w:shd w:val="clear" w:color="auto" w:fill="auto"/>
          </w:tcPr>
          <w:p w14:paraId="50F6C87F"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236" w:type="dxa"/>
            <w:tcBorders>
              <w:top w:val="nil"/>
              <w:left w:val="nil"/>
              <w:bottom w:val="nil"/>
              <w:right w:val="nil"/>
            </w:tcBorders>
          </w:tcPr>
          <w:p w14:paraId="2676990A"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2ED9D380"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4F1074C1" w14:textId="77777777" w:rsidTr="008D4A39">
        <w:tc>
          <w:tcPr>
            <w:tcW w:w="1417" w:type="dxa"/>
            <w:tcBorders>
              <w:top w:val="nil"/>
              <w:left w:val="nil"/>
              <w:bottom w:val="nil"/>
              <w:right w:val="nil"/>
            </w:tcBorders>
            <w:shd w:val="clear" w:color="auto" w:fill="auto"/>
          </w:tcPr>
          <w:p w14:paraId="3A42363D"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30</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7</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3119" w:type="dxa"/>
            <w:tcBorders>
              <w:top w:val="nil"/>
              <w:left w:val="nil"/>
              <w:bottom w:val="nil"/>
              <w:right w:val="nil"/>
            </w:tcBorders>
            <w:shd w:val="clear" w:color="auto" w:fill="auto"/>
          </w:tcPr>
          <w:p w14:paraId="1927A30C"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Apportionment account</w:t>
            </w:r>
          </w:p>
          <w:p w14:paraId="20A6B184"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Professional charges</w:t>
            </w:r>
          </w:p>
          <w:p w14:paraId="35F4EA99"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Disbursements</w:t>
            </w:r>
          </w:p>
        </w:tc>
        <w:tc>
          <w:tcPr>
            <w:tcW w:w="1701" w:type="dxa"/>
            <w:tcBorders>
              <w:top w:val="nil"/>
              <w:left w:val="nil"/>
              <w:bottom w:val="nil"/>
              <w:right w:val="nil"/>
            </w:tcBorders>
            <w:shd w:val="clear" w:color="auto" w:fill="auto"/>
          </w:tcPr>
          <w:p w14:paraId="0FD8BAAA"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662.60</w:t>
            </w:r>
          </w:p>
          <w:p w14:paraId="087DBF63"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15,500.00</w:t>
            </w:r>
          </w:p>
          <w:p w14:paraId="5B23F235"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429,630.00</w:t>
            </w:r>
          </w:p>
          <w:p w14:paraId="0D0FD2C5"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p>
        </w:tc>
        <w:tc>
          <w:tcPr>
            <w:tcW w:w="236" w:type="dxa"/>
            <w:tcBorders>
              <w:top w:val="nil"/>
              <w:left w:val="nil"/>
              <w:bottom w:val="nil"/>
              <w:right w:val="nil"/>
            </w:tcBorders>
          </w:tcPr>
          <w:p w14:paraId="3315782E"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59B0416B"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p w14:paraId="59CA955D"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p w14:paraId="4BD0F56A"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445,792.60</w:t>
            </w:r>
          </w:p>
          <w:p w14:paraId="2A63BB2D" w14:textId="77777777" w:rsidR="00CF2C5E" w:rsidRPr="00DE5108" w:rsidRDefault="00CF2C5E" w:rsidP="005F377B">
            <w:pPr>
              <w:adjustRightInd w:val="0"/>
              <w:snapToGrid w:val="0"/>
              <w:ind w:right="440"/>
              <w:jc w:val="right"/>
              <w:rPr>
                <w:rFonts w:ascii="Times New Roman" w:eastAsia="標楷體" w:hAnsi="Times New Roman" w:cs="Times New Roman"/>
                <w:kern w:val="0"/>
                <w:szCs w:val="24"/>
                <w:lang w:eastAsia="zh-HK"/>
              </w:rPr>
            </w:pPr>
          </w:p>
        </w:tc>
      </w:tr>
      <w:tr w:rsidR="00CF2C5E" w:rsidRPr="00DE5108" w14:paraId="64D369DE" w14:textId="77777777" w:rsidTr="008D4A39">
        <w:tc>
          <w:tcPr>
            <w:tcW w:w="1417" w:type="dxa"/>
            <w:tcBorders>
              <w:top w:val="nil"/>
              <w:left w:val="nil"/>
              <w:bottom w:val="nil"/>
              <w:right w:val="nil"/>
            </w:tcBorders>
            <w:shd w:val="clear" w:color="auto" w:fill="auto"/>
          </w:tcPr>
          <w:p w14:paraId="455BEDEC"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72C36075"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4C584DA8"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236" w:type="dxa"/>
            <w:tcBorders>
              <w:top w:val="nil"/>
              <w:left w:val="nil"/>
              <w:bottom w:val="nil"/>
              <w:right w:val="nil"/>
            </w:tcBorders>
          </w:tcPr>
          <w:p w14:paraId="72A80842"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3351D133"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5DEBE156" w14:textId="77777777" w:rsidTr="008D4A39">
        <w:tc>
          <w:tcPr>
            <w:tcW w:w="1417" w:type="dxa"/>
            <w:tcBorders>
              <w:top w:val="nil"/>
              <w:left w:val="nil"/>
              <w:bottom w:val="nil"/>
              <w:right w:val="nil"/>
            </w:tcBorders>
            <w:shd w:val="clear" w:color="auto" w:fill="auto"/>
          </w:tcPr>
          <w:p w14:paraId="1D914969"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69B9F9DD" w14:textId="77777777" w:rsidR="00CF2C5E" w:rsidRPr="00DE5108" w:rsidRDefault="00CF2C5E" w:rsidP="001F324E">
            <w:pPr>
              <w:adjustRightInd w:val="0"/>
              <w:snapToGrid w:val="0"/>
              <w:jc w:val="both"/>
              <w:rPr>
                <w:rFonts w:ascii="Times New Roman" w:eastAsia="標楷體" w:hAnsi="Times New Roman" w:cs="Times New Roman"/>
                <w:kern w:val="0"/>
                <w:szCs w:val="24"/>
                <w:u w:val="single"/>
                <w:lang w:eastAsia="zh-HK"/>
              </w:rPr>
            </w:pPr>
            <w:r>
              <w:rPr>
                <w:rFonts w:ascii="Times New Roman" w:eastAsia="標楷體" w:hAnsi="Times New Roman" w:cs="Times New Roman"/>
                <w:kern w:val="0"/>
                <w:szCs w:val="24"/>
                <w:u w:val="single"/>
                <w:lang w:eastAsia="zh-HK"/>
              </w:rPr>
              <w:t>Company G</w:t>
            </w:r>
          </w:p>
        </w:tc>
        <w:tc>
          <w:tcPr>
            <w:tcW w:w="1701" w:type="dxa"/>
            <w:tcBorders>
              <w:top w:val="nil"/>
              <w:left w:val="nil"/>
              <w:bottom w:val="nil"/>
              <w:right w:val="nil"/>
            </w:tcBorders>
            <w:shd w:val="clear" w:color="auto" w:fill="auto"/>
          </w:tcPr>
          <w:p w14:paraId="1EB38062"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236" w:type="dxa"/>
            <w:tcBorders>
              <w:top w:val="nil"/>
              <w:left w:val="nil"/>
              <w:bottom w:val="nil"/>
              <w:right w:val="nil"/>
            </w:tcBorders>
          </w:tcPr>
          <w:p w14:paraId="6750F50F"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27D628E7"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5C8DE37B" w14:textId="77777777" w:rsidTr="008D4A39">
        <w:tc>
          <w:tcPr>
            <w:tcW w:w="1417" w:type="dxa"/>
            <w:tcBorders>
              <w:top w:val="nil"/>
              <w:left w:val="nil"/>
              <w:bottom w:val="nil"/>
              <w:right w:val="nil"/>
            </w:tcBorders>
            <w:shd w:val="clear" w:color="auto" w:fill="auto"/>
          </w:tcPr>
          <w:p w14:paraId="3D307BA8"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13</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9</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3119" w:type="dxa"/>
            <w:tcBorders>
              <w:top w:val="nil"/>
              <w:left w:val="nil"/>
              <w:bottom w:val="nil"/>
              <w:right w:val="nil"/>
            </w:tcBorders>
            <w:shd w:val="clear" w:color="auto" w:fill="auto"/>
          </w:tcPr>
          <w:p w14:paraId="0804A697" w14:textId="77777777" w:rsidR="00CF2C5E" w:rsidRPr="00DE5108" w:rsidRDefault="00CF2C5E" w:rsidP="00E96540">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Deposit paid on 6</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9</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1701" w:type="dxa"/>
            <w:tcBorders>
              <w:top w:val="nil"/>
              <w:left w:val="nil"/>
              <w:bottom w:val="nil"/>
              <w:right w:val="nil"/>
            </w:tcBorders>
            <w:shd w:val="clear" w:color="auto" w:fill="auto"/>
          </w:tcPr>
          <w:p w14:paraId="35779811"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68,000.00</w:t>
            </w:r>
          </w:p>
        </w:tc>
        <w:tc>
          <w:tcPr>
            <w:tcW w:w="236" w:type="dxa"/>
            <w:tcBorders>
              <w:top w:val="nil"/>
              <w:left w:val="nil"/>
              <w:bottom w:val="nil"/>
              <w:right w:val="nil"/>
            </w:tcBorders>
          </w:tcPr>
          <w:p w14:paraId="48119A45"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66581797"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47B1A30C" w14:textId="77777777" w:rsidTr="008D4A39">
        <w:tc>
          <w:tcPr>
            <w:tcW w:w="1417" w:type="dxa"/>
            <w:tcBorders>
              <w:top w:val="nil"/>
              <w:left w:val="nil"/>
              <w:bottom w:val="nil"/>
              <w:right w:val="nil"/>
            </w:tcBorders>
            <w:shd w:val="clear" w:color="auto" w:fill="auto"/>
          </w:tcPr>
          <w:p w14:paraId="4A5CC78A"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28</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11</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3119" w:type="dxa"/>
            <w:tcBorders>
              <w:top w:val="nil"/>
              <w:left w:val="nil"/>
              <w:bottom w:val="nil"/>
              <w:right w:val="nil"/>
            </w:tcBorders>
            <w:shd w:val="clear" w:color="auto" w:fill="auto"/>
          </w:tcPr>
          <w:p w14:paraId="645FDB83"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Second payment</w:t>
            </w:r>
          </w:p>
        </w:tc>
        <w:tc>
          <w:tcPr>
            <w:tcW w:w="1701" w:type="dxa"/>
            <w:tcBorders>
              <w:top w:val="nil"/>
              <w:left w:val="nil"/>
              <w:bottom w:val="nil"/>
              <w:right w:val="nil"/>
            </w:tcBorders>
            <w:shd w:val="clear" w:color="auto" w:fill="auto"/>
          </w:tcPr>
          <w:p w14:paraId="4C751D63"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66,710.00</w:t>
            </w:r>
          </w:p>
        </w:tc>
        <w:tc>
          <w:tcPr>
            <w:tcW w:w="236" w:type="dxa"/>
            <w:tcBorders>
              <w:top w:val="nil"/>
              <w:left w:val="nil"/>
              <w:bottom w:val="nil"/>
              <w:right w:val="nil"/>
            </w:tcBorders>
          </w:tcPr>
          <w:p w14:paraId="43F52EEA"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30159995"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34EBB08A" w14:textId="77777777" w:rsidTr="008D4A39">
        <w:tc>
          <w:tcPr>
            <w:tcW w:w="1417" w:type="dxa"/>
            <w:tcBorders>
              <w:top w:val="nil"/>
              <w:left w:val="nil"/>
              <w:bottom w:val="nil"/>
              <w:right w:val="nil"/>
            </w:tcBorders>
            <w:shd w:val="clear" w:color="auto" w:fill="auto"/>
          </w:tcPr>
          <w:p w14:paraId="04C8ECDD"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20</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12</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3119" w:type="dxa"/>
            <w:tcBorders>
              <w:top w:val="nil"/>
              <w:left w:val="nil"/>
              <w:bottom w:val="nil"/>
              <w:right w:val="nil"/>
            </w:tcBorders>
            <w:shd w:val="clear" w:color="auto" w:fill="auto"/>
          </w:tcPr>
          <w:p w14:paraId="2B33842C"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Final payment</w:t>
            </w:r>
          </w:p>
        </w:tc>
        <w:tc>
          <w:tcPr>
            <w:tcW w:w="1701" w:type="dxa"/>
            <w:tcBorders>
              <w:top w:val="nil"/>
              <w:left w:val="nil"/>
              <w:bottom w:val="nil"/>
              <w:right w:val="nil"/>
            </w:tcBorders>
            <w:shd w:val="clear" w:color="auto" w:fill="auto"/>
          </w:tcPr>
          <w:p w14:paraId="72625410"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14,800.00</w:t>
            </w:r>
          </w:p>
        </w:tc>
        <w:tc>
          <w:tcPr>
            <w:tcW w:w="236" w:type="dxa"/>
            <w:tcBorders>
              <w:top w:val="nil"/>
              <w:left w:val="nil"/>
              <w:bottom w:val="nil"/>
              <w:right w:val="nil"/>
            </w:tcBorders>
          </w:tcPr>
          <w:p w14:paraId="413FDFFA"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4A803E87"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149,510.00</w:t>
            </w:r>
          </w:p>
        </w:tc>
      </w:tr>
      <w:tr w:rsidR="00CF2C5E" w:rsidRPr="00DE5108" w14:paraId="4683B4F4" w14:textId="77777777" w:rsidTr="008D4A39">
        <w:tc>
          <w:tcPr>
            <w:tcW w:w="1417" w:type="dxa"/>
            <w:tcBorders>
              <w:top w:val="nil"/>
              <w:left w:val="nil"/>
              <w:bottom w:val="nil"/>
              <w:right w:val="nil"/>
            </w:tcBorders>
            <w:shd w:val="clear" w:color="auto" w:fill="auto"/>
          </w:tcPr>
          <w:p w14:paraId="50E05C66"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4A458CB8"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69345C9D"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p>
        </w:tc>
        <w:tc>
          <w:tcPr>
            <w:tcW w:w="236" w:type="dxa"/>
            <w:tcBorders>
              <w:top w:val="nil"/>
              <w:left w:val="nil"/>
              <w:bottom w:val="nil"/>
              <w:right w:val="nil"/>
            </w:tcBorders>
          </w:tcPr>
          <w:p w14:paraId="18D1D0D9"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4445D831"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73F530A8" w14:textId="77777777" w:rsidTr="008D4A39">
        <w:tc>
          <w:tcPr>
            <w:tcW w:w="1417" w:type="dxa"/>
            <w:tcBorders>
              <w:top w:val="nil"/>
              <w:left w:val="nil"/>
              <w:bottom w:val="nil"/>
              <w:right w:val="nil"/>
            </w:tcBorders>
            <w:shd w:val="clear" w:color="auto" w:fill="auto"/>
          </w:tcPr>
          <w:p w14:paraId="45C1D6B9"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38574821" w14:textId="77777777" w:rsidR="00CF2C5E" w:rsidRPr="00DE5108" w:rsidRDefault="00CF2C5E" w:rsidP="001F324E">
            <w:pPr>
              <w:adjustRightInd w:val="0"/>
              <w:snapToGrid w:val="0"/>
              <w:jc w:val="both"/>
              <w:rPr>
                <w:rFonts w:ascii="Times New Roman" w:eastAsia="標楷體" w:hAnsi="Times New Roman" w:cs="Times New Roman"/>
                <w:kern w:val="0"/>
                <w:szCs w:val="24"/>
                <w:u w:val="single"/>
                <w:lang w:eastAsia="zh-HK"/>
              </w:rPr>
            </w:pPr>
            <w:r>
              <w:rPr>
                <w:rFonts w:ascii="Times New Roman" w:eastAsia="標楷體" w:hAnsi="Times New Roman" w:cs="Times New Roman"/>
                <w:kern w:val="0"/>
                <w:szCs w:val="24"/>
                <w:u w:val="single"/>
                <w:lang w:eastAsia="zh-HK"/>
              </w:rPr>
              <w:t>Company H</w:t>
            </w:r>
          </w:p>
        </w:tc>
        <w:tc>
          <w:tcPr>
            <w:tcW w:w="1701" w:type="dxa"/>
            <w:tcBorders>
              <w:top w:val="nil"/>
              <w:left w:val="nil"/>
              <w:bottom w:val="nil"/>
              <w:right w:val="nil"/>
            </w:tcBorders>
            <w:shd w:val="clear" w:color="auto" w:fill="auto"/>
          </w:tcPr>
          <w:p w14:paraId="0776FA6D"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p>
        </w:tc>
        <w:tc>
          <w:tcPr>
            <w:tcW w:w="236" w:type="dxa"/>
            <w:tcBorders>
              <w:top w:val="nil"/>
              <w:left w:val="nil"/>
              <w:bottom w:val="nil"/>
              <w:right w:val="nil"/>
            </w:tcBorders>
          </w:tcPr>
          <w:p w14:paraId="7A71D24E"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7B9DE8B4"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207733AC" w14:textId="77777777" w:rsidTr="008D4A39">
        <w:tc>
          <w:tcPr>
            <w:tcW w:w="1417" w:type="dxa"/>
            <w:tcBorders>
              <w:top w:val="nil"/>
              <w:left w:val="nil"/>
              <w:bottom w:val="nil"/>
              <w:right w:val="nil"/>
            </w:tcBorders>
            <w:shd w:val="clear" w:color="auto" w:fill="auto"/>
          </w:tcPr>
          <w:p w14:paraId="20589332"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9</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3119" w:type="dxa"/>
            <w:tcBorders>
              <w:top w:val="nil"/>
              <w:left w:val="nil"/>
              <w:bottom w:val="nil"/>
              <w:right w:val="nil"/>
            </w:tcBorders>
            <w:shd w:val="clear" w:color="auto" w:fill="auto"/>
          </w:tcPr>
          <w:p w14:paraId="0113A9E1"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First payment</w:t>
            </w:r>
          </w:p>
        </w:tc>
        <w:tc>
          <w:tcPr>
            <w:tcW w:w="1701" w:type="dxa"/>
            <w:tcBorders>
              <w:top w:val="nil"/>
              <w:left w:val="nil"/>
              <w:bottom w:val="nil"/>
              <w:right w:val="nil"/>
            </w:tcBorders>
            <w:shd w:val="clear" w:color="auto" w:fill="auto"/>
          </w:tcPr>
          <w:p w14:paraId="6A68BF81"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120,000.00</w:t>
            </w:r>
          </w:p>
        </w:tc>
        <w:tc>
          <w:tcPr>
            <w:tcW w:w="236" w:type="dxa"/>
            <w:tcBorders>
              <w:top w:val="nil"/>
              <w:left w:val="nil"/>
              <w:bottom w:val="nil"/>
              <w:right w:val="nil"/>
            </w:tcBorders>
          </w:tcPr>
          <w:p w14:paraId="4F879C7E"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208B70E8"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5976A27D" w14:textId="77777777" w:rsidTr="008D4A39">
        <w:tc>
          <w:tcPr>
            <w:tcW w:w="1417" w:type="dxa"/>
            <w:tcBorders>
              <w:top w:val="nil"/>
              <w:left w:val="nil"/>
              <w:bottom w:val="nil"/>
              <w:right w:val="nil"/>
            </w:tcBorders>
            <w:shd w:val="clear" w:color="auto" w:fill="auto"/>
          </w:tcPr>
          <w:p w14:paraId="18061A97"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13</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11</w:t>
            </w:r>
            <w:r>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2008</w:t>
            </w:r>
          </w:p>
        </w:tc>
        <w:tc>
          <w:tcPr>
            <w:tcW w:w="3119" w:type="dxa"/>
            <w:tcBorders>
              <w:top w:val="nil"/>
              <w:left w:val="nil"/>
              <w:bottom w:val="nil"/>
              <w:right w:val="nil"/>
            </w:tcBorders>
            <w:shd w:val="clear" w:color="auto" w:fill="auto"/>
          </w:tcPr>
          <w:p w14:paraId="3D36C2CF"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Second payment</w:t>
            </w:r>
          </w:p>
        </w:tc>
        <w:tc>
          <w:tcPr>
            <w:tcW w:w="1701" w:type="dxa"/>
            <w:tcBorders>
              <w:top w:val="nil"/>
              <w:left w:val="nil"/>
              <w:bottom w:val="nil"/>
              <w:right w:val="nil"/>
            </w:tcBorders>
            <w:shd w:val="clear" w:color="auto" w:fill="auto"/>
          </w:tcPr>
          <w:p w14:paraId="78DC62A0"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205,000.00</w:t>
            </w:r>
          </w:p>
        </w:tc>
        <w:tc>
          <w:tcPr>
            <w:tcW w:w="236" w:type="dxa"/>
            <w:tcBorders>
              <w:top w:val="nil"/>
              <w:left w:val="nil"/>
              <w:bottom w:val="nil"/>
              <w:right w:val="nil"/>
            </w:tcBorders>
          </w:tcPr>
          <w:p w14:paraId="39C095C0"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2C3DC9E2"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5F875555" w14:textId="77777777" w:rsidTr="008D4A39">
        <w:tc>
          <w:tcPr>
            <w:tcW w:w="1417" w:type="dxa"/>
            <w:tcBorders>
              <w:top w:val="nil"/>
              <w:left w:val="nil"/>
              <w:bottom w:val="nil"/>
              <w:right w:val="nil"/>
            </w:tcBorders>
            <w:shd w:val="clear" w:color="auto" w:fill="auto"/>
          </w:tcPr>
          <w:p w14:paraId="374488E0"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5B43CFB1"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Items bought</w:t>
            </w:r>
          </w:p>
        </w:tc>
        <w:tc>
          <w:tcPr>
            <w:tcW w:w="1701" w:type="dxa"/>
            <w:tcBorders>
              <w:top w:val="nil"/>
              <w:left w:val="nil"/>
              <w:bottom w:val="nil"/>
              <w:right w:val="nil"/>
            </w:tcBorders>
            <w:shd w:val="clear" w:color="auto" w:fill="auto"/>
          </w:tcPr>
          <w:p w14:paraId="53839CBB"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21,530.00</w:t>
            </w:r>
          </w:p>
        </w:tc>
        <w:tc>
          <w:tcPr>
            <w:tcW w:w="236" w:type="dxa"/>
            <w:tcBorders>
              <w:top w:val="nil"/>
              <w:left w:val="nil"/>
              <w:bottom w:val="nil"/>
              <w:right w:val="nil"/>
            </w:tcBorders>
          </w:tcPr>
          <w:p w14:paraId="7B208D31"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p>
        </w:tc>
        <w:tc>
          <w:tcPr>
            <w:tcW w:w="1701" w:type="dxa"/>
            <w:tcBorders>
              <w:top w:val="nil"/>
              <w:left w:val="nil"/>
              <w:bottom w:val="nil"/>
              <w:right w:val="nil"/>
            </w:tcBorders>
            <w:shd w:val="clear" w:color="auto" w:fill="auto"/>
          </w:tcPr>
          <w:p w14:paraId="2AD59A25"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r w:rsidRPr="00DE5108">
              <w:rPr>
                <w:rFonts w:ascii="Times New Roman" w:eastAsia="標楷體" w:hAnsi="Times New Roman" w:cs="Times New Roman"/>
                <w:kern w:val="0"/>
                <w:szCs w:val="24"/>
                <w:u w:val="single"/>
                <w:lang w:eastAsia="zh-HK"/>
              </w:rPr>
              <w:t>346,530.00</w:t>
            </w:r>
          </w:p>
        </w:tc>
      </w:tr>
      <w:tr w:rsidR="00CF2C5E" w:rsidRPr="00DE5108" w14:paraId="2F418A43" w14:textId="77777777" w:rsidTr="008D4A39">
        <w:tc>
          <w:tcPr>
            <w:tcW w:w="1417" w:type="dxa"/>
            <w:tcBorders>
              <w:top w:val="nil"/>
              <w:left w:val="nil"/>
              <w:bottom w:val="nil"/>
              <w:right w:val="nil"/>
            </w:tcBorders>
            <w:shd w:val="clear" w:color="auto" w:fill="auto"/>
          </w:tcPr>
          <w:p w14:paraId="65E17A30"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16197B40"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6A9A0ABB"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p>
        </w:tc>
        <w:tc>
          <w:tcPr>
            <w:tcW w:w="236" w:type="dxa"/>
            <w:tcBorders>
              <w:top w:val="nil"/>
              <w:left w:val="nil"/>
              <w:bottom w:val="nil"/>
              <w:right w:val="nil"/>
            </w:tcBorders>
          </w:tcPr>
          <w:p w14:paraId="329AA8E3"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c>
          <w:tcPr>
            <w:tcW w:w="1701" w:type="dxa"/>
            <w:tcBorders>
              <w:top w:val="nil"/>
              <w:left w:val="nil"/>
              <w:bottom w:val="nil"/>
              <w:right w:val="nil"/>
            </w:tcBorders>
            <w:shd w:val="clear" w:color="auto" w:fill="auto"/>
          </w:tcPr>
          <w:p w14:paraId="724DD717" w14:textId="77777777" w:rsidR="00CF2C5E" w:rsidRPr="00DE5108" w:rsidRDefault="00CF2C5E" w:rsidP="005F377B">
            <w:pPr>
              <w:adjustRightInd w:val="0"/>
              <w:snapToGrid w:val="0"/>
              <w:jc w:val="right"/>
              <w:rPr>
                <w:rFonts w:ascii="Times New Roman" w:eastAsia="標楷體" w:hAnsi="Times New Roman" w:cs="Times New Roman"/>
                <w:kern w:val="0"/>
                <w:szCs w:val="24"/>
                <w:lang w:eastAsia="zh-HK"/>
              </w:rPr>
            </w:pPr>
          </w:p>
        </w:tc>
      </w:tr>
      <w:tr w:rsidR="00CF2C5E" w:rsidRPr="00DE5108" w14:paraId="612DB254" w14:textId="77777777" w:rsidTr="008D4A39">
        <w:tc>
          <w:tcPr>
            <w:tcW w:w="1417" w:type="dxa"/>
            <w:tcBorders>
              <w:top w:val="nil"/>
              <w:left w:val="nil"/>
              <w:bottom w:val="nil"/>
              <w:right w:val="nil"/>
            </w:tcBorders>
            <w:shd w:val="clear" w:color="auto" w:fill="auto"/>
          </w:tcPr>
          <w:p w14:paraId="0061FE64"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p>
        </w:tc>
        <w:tc>
          <w:tcPr>
            <w:tcW w:w="3119" w:type="dxa"/>
            <w:tcBorders>
              <w:top w:val="nil"/>
              <w:left w:val="nil"/>
              <w:bottom w:val="nil"/>
              <w:right w:val="nil"/>
            </w:tcBorders>
            <w:shd w:val="clear" w:color="auto" w:fill="auto"/>
          </w:tcPr>
          <w:p w14:paraId="4A68F1D5" w14:textId="77777777" w:rsidR="00CF2C5E" w:rsidRPr="00DE5108" w:rsidRDefault="00CF2C5E" w:rsidP="005F377B">
            <w:pPr>
              <w:adjustRightInd w:val="0"/>
              <w:snapToGrid w:val="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Total: (the Sum)</w:t>
            </w:r>
          </w:p>
        </w:tc>
        <w:tc>
          <w:tcPr>
            <w:tcW w:w="1701" w:type="dxa"/>
            <w:tcBorders>
              <w:top w:val="nil"/>
              <w:left w:val="nil"/>
              <w:bottom w:val="nil"/>
              <w:right w:val="nil"/>
            </w:tcBorders>
            <w:shd w:val="clear" w:color="auto" w:fill="auto"/>
          </w:tcPr>
          <w:p w14:paraId="3712585D" w14:textId="77777777" w:rsidR="00CF2C5E" w:rsidRPr="00DE5108" w:rsidRDefault="00CF2C5E" w:rsidP="005F377B">
            <w:pPr>
              <w:adjustRightInd w:val="0"/>
              <w:snapToGrid w:val="0"/>
              <w:jc w:val="right"/>
              <w:rPr>
                <w:rFonts w:ascii="Times New Roman" w:eastAsia="標楷體" w:hAnsi="Times New Roman" w:cs="Times New Roman"/>
                <w:kern w:val="0"/>
                <w:szCs w:val="24"/>
                <w:u w:val="single"/>
                <w:lang w:eastAsia="zh-HK"/>
              </w:rPr>
            </w:pPr>
          </w:p>
        </w:tc>
        <w:tc>
          <w:tcPr>
            <w:tcW w:w="236" w:type="dxa"/>
            <w:tcBorders>
              <w:top w:val="nil"/>
              <w:left w:val="nil"/>
              <w:bottom w:val="nil"/>
              <w:right w:val="nil"/>
            </w:tcBorders>
          </w:tcPr>
          <w:p w14:paraId="55D4C3CC" w14:textId="77777777" w:rsidR="00CF2C5E" w:rsidRPr="00DE5108" w:rsidRDefault="00CF2C5E" w:rsidP="005F377B">
            <w:pPr>
              <w:adjustRightInd w:val="0"/>
              <w:snapToGrid w:val="0"/>
              <w:jc w:val="right"/>
              <w:rPr>
                <w:rFonts w:ascii="Times New Roman" w:eastAsia="標楷體" w:hAnsi="Times New Roman" w:cs="Times New Roman"/>
                <w:kern w:val="0"/>
                <w:szCs w:val="24"/>
                <w:u w:val="double"/>
                <w:lang w:eastAsia="zh-HK"/>
              </w:rPr>
            </w:pPr>
          </w:p>
        </w:tc>
        <w:tc>
          <w:tcPr>
            <w:tcW w:w="1701" w:type="dxa"/>
            <w:tcBorders>
              <w:top w:val="nil"/>
              <w:left w:val="nil"/>
              <w:bottom w:val="nil"/>
              <w:right w:val="nil"/>
            </w:tcBorders>
            <w:shd w:val="clear" w:color="auto" w:fill="auto"/>
          </w:tcPr>
          <w:p w14:paraId="5E68450B" w14:textId="77777777" w:rsidR="00CF2C5E" w:rsidRPr="00DE5108" w:rsidRDefault="00CF2C5E" w:rsidP="005F377B">
            <w:pPr>
              <w:adjustRightInd w:val="0"/>
              <w:snapToGrid w:val="0"/>
              <w:jc w:val="right"/>
              <w:rPr>
                <w:rFonts w:ascii="Times New Roman" w:eastAsia="標楷體" w:hAnsi="Times New Roman" w:cs="Times New Roman"/>
                <w:kern w:val="0"/>
                <w:szCs w:val="24"/>
                <w:u w:val="double"/>
                <w:lang w:eastAsia="zh-HK"/>
              </w:rPr>
            </w:pPr>
            <w:r w:rsidRPr="00DE5108">
              <w:rPr>
                <w:rFonts w:ascii="Times New Roman" w:eastAsia="標楷體" w:hAnsi="Times New Roman" w:cs="Times New Roman"/>
                <w:kern w:val="0"/>
                <w:szCs w:val="24"/>
                <w:u w:val="double"/>
                <w:lang w:eastAsia="zh-HK"/>
              </w:rPr>
              <w:t>941,832.60</w:t>
            </w:r>
          </w:p>
        </w:tc>
      </w:tr>
    </w:tbl>
    <w:p w14:paraId="311F199B" w14:textId="77777777" w:rsidR="00DE5108" w:rsidRPr="00DE5108" w:rsidRDefault="00DE5108" w:rsidP="005F377B">
      <w:pPr>
        <w:jc w:val="both"/>
        <w:rPr>
          <w:rFonts w:ascii="Times New Roman" w:eastAsia="標楷體" w:hAnsi="Times New Roman" w:cs="Times New Roman"/>
          <w:kern w:val="0"/>
          <w:szCs w:val="24"/>
          <w:lang w:eastAsia="zh-HK"/>
        </w:rPr>
      </w:pPr>
    </w:p>
    <w:p w14:paraId="11262807"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Section 9(1)(a) of the IRO provides </w:t>
      </w:r>
      <w:r w:rsidRPr="0016243D">
        <w:rPr>
          <w:rFonts w:ascii="Times New Roman" w:eastAsia="標楷體" w:hAnsi="Times New Roman" w:cs="Times New Roman"/>
          <w:i/>
          <w:kern w:val="0"/>
          <w:szCs w:val="24"/>
          <w:lang w:eastAsia="zh-HK"/>
        </w:rPr>
        <w:t>inter alia</w:t>
      </w:r>
      <w:r w:rsidRPr="00DE5108">
        <w:rPr>
          <w:rFonts w:ascii="Times New Roman" w:eastAsia="標楷體" w:hAnsi="Times New Roman" w:cs="Times New Roman"/>
          <w:kern w:val="0"/>
          <w:szCs w:val="24"/>
          <w:lang w:eastAsia="zh-HK"/>
        </w:rPr>
        <w:t xml:space="preserve"> </w:t>
      </w:r>
      <w:r w:rsidR="00D264CC" w:rsidRPr="006C2283">
        <w:rPr>
          <w:rFonts w:ascii="Times New Roman" w:eastAsia="標楷體" w:hAnsi="Times New Roman" w:cs="Times New Roman"/>
          <w:i/>
          <w:kern w:val="0"/>
          <w:szCs w:val="24"/>
          <w:lang w:eastAsia="zh-HK"/>
        </w:rPr>
        <w:t>‘</w:t>
      </w:r>
      <w:r w:rsidRPr="006C2283">
        <w:rPr>
          <w:rFonts w:ascii="Times New Roman" w:eastAsia="標楷體" w:hAnsi="Times New Roman" w:cs="Times New Roman"/>
          <w:i/>
          <w:kern w:val="0"/>
          <w:szCs w:val="24"/>
          <w:lang w:eastAsia="zh-HK"/>
        </w:rPr>
        <w:t>income from any office or employment includes – (a) any wages, salary, leave pay, fee, commission, bonus, gratuity, perquisite, or allowance, whether derived from the employer or others, except …..</w:t>
      </w:r>
      <w:r w:rsidR="00D264CC" w:rsidRPr="006C2283">
        <w:rPr>
          <w:rFonts w:ascii="Times New Roman" w:eastAsia="標楷體" w:hAnsi="Times New Roman" w:cs="Times New Roman"/>
          <w:i/>
          <w:kern w:val="0"/>
          <w:szCs w:val="24"/>
          <w:lang w:eastAsia="zh-HK"/>
        </w:rPr>
        <w:t>’</w:t>
      </w:r>
      <w:r w:rsidRPr="00DE5108">
        <w:rPr>
          <w:rFonts w:ascii="Times New Roman" w:eastAsia="標楷體" w:hAnsi="Times New Roman" w:cs="Times New Roman"/>
          <w:kern w:val="0"/>
          <w:szCs w:val="24"/>
          <w:lang w:eastAsia="zh-HK"/>
        </w:rPr>
        <w:t xml:space="preserve">.  </w:t>
      </w:r>
    </w:p>
    <w:p w14:paraId="7FDA4A6A" w14:textId="77777777" w:rsidR="00742845" w:rsidRPr="00DE5108" w:rsidRDefault="00742845" w:rsidP="00742845">
      <w:pPr>
        <w:widowControl/>
        <w:ind w:left="360"/>
        <w:jc w:val="both"/>
        <w:rPr>
          <w:rFonts w:ascii="Times New Roman" w:eastAsia="標楷體" w:hAnsi="Times New Roman" w:cs="Times New Roman"/>
          <w:kern w:val="0"/>
          <w:szCs w:val="24"/>
          <w:lang w:eastAsia="zh-HK"/>
        </w:rPr>
      </w:pPr>
    </w:p>
    <w:p w14:paraId="7465B559"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Since it is the Appellant’s stance that the Sum represented the staff benefit to the Appellant, the Sum, being a perquisite, should be included as part of the Appellant’s income chargeable to Salaries Tax under section 9(1)(a).</w:t>
      </w:r>
    </w:p>
    <w:p w14:paraId="7CEB0673" w14:textId="77777777" w:rsidR="00742845" w:rsidRPr="00DE5108" w:rsidRDefault="00742845" w:rsidP="00742845">
      <w:pPr>
        <w:widowControl/>
        <w:jc w:val="both"/>
        <w:rPr>
          <w:rFonts w:ascii="Times New Roman" w:eastAsia="標楷體" w:hAnsi="Times New Roman" w:cs="Times New Roman"/>
          <w:kern w:val="0"/>
          <w:szCs w:val="24"/>
          <w:lang w:eastAsia="zh-HK"/>
        </w:rPr>
      </w:pPr>
    </w:p>
    <w:p w14:paraId="5F635200" w14:textId="77777777" w:rsidR="00DE5108" w:rsidRPr="00621E1A" w:rsidRDefault="00DE5108" w:rsidP="005F377B">
      <w:pPr>
        <w:jc w:val="both"/>
        <w:rPr>
          <w:rFonts w:ascii="Times New Roman" w:eastAsia="標楷體" w:hAnsi="Times New Roman" w:cs="Times New Roman"/>
          <w:b/>
          <w:bCs/>
          <w:kern w:val="0"/>
          <w:szCs w:val="24"/>
          <w:lang w:eastAsia="zh-HK"/>
        </w:rPr>
      </w:pPr>
      <w:r w:rsidRPr="00621E1A">
        <w:rPr>
          <w:rFonts w:ascii="Times New Roman" w:eastAsia="標楷體" w:hAnsi="Times New Roman" w:cs="Times New Roman"/>
          <w:b/>
          <w:bCs/>
          <w:kern w:val="0"/>
          <w:szCs w:val="24"/>
          <w:lang w:eastAsia="zh-HK"/>
        </w:rPr>
        <w:t>Disposition</w:t>
      </w:r>
    </w:p>
    <w:p w14:paraId="004DBD52" w14:textId="77777777" w:rsidR="00CB4AD2" w:rsidRPr="00DE5108" w:rsidRDefault="00CB4AD2" w:rsidP="005F377B">
      <w:pPr>
        <w:jc w:val="both"/>
        <w:rPr>
          <w:rFonts w:ascii="Times New Roman" w:eastAsia="標楷體" w:hAnsi="Times New Roman" w:cs="Times New Roman"/>
          <w:b/>
          <w:bCs/>
          <w:kern w:val="0"/>
          <w:szCs w:val="24"/>
          <w:u w:val="single"/>
          <w:lang w:eastAsia="zh-HK"/>
        </w:rPr>
      </w:pPr>
    </w:p>
    <w:p w14:paraId="416494CF"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By reason of the aforesaid, it is our conclusion that the Appellant failed to discharge the burden of proof that (a) the Subject Assessments could be re-opened pursuant to section 70A of the IRO; and (b) the Subject Assessments and the Additional Salaries Tax Assessment were excessive. Given our finding, the Subject Assessments and Assessor’s refusal to correct the Subject Assessments under section 70A of the IRO are confirmed. The Additional Salaries Tax Assessment as revised in Fact (15) of the Determination is hereby confirmed. </w:t>
      </w:r>
    </w:p>
    <w:p w14:paraId="4AAD8E82" w14:textId="77777777" w:rsidR="00CB4AD2" w:rsidRPr="00DE5108" w:rsidRDefault="00CB4AD2" w:rsidP="00CB4AD2">
      <w:pPr>
        <w:widowControl/>
        <w:ind w:left="360"/>
        <w:jc w:val="both"/>
        <w:rPr>
          <w:rFonts w:ascii="Times New Roman" w:eastAsia="標楷體" w:hAnsi="Times New Roman" w:cs="Times New Roman"/>
          <w:kern w:val="0"/>
          <w:szCs w:val="24"/>
          <w:lang w:eastAsia="zh-HK"/>
        </w:rPr>
      </w:pPr>
    </w:p>
    <w:p w14:paraId="7F40FA1F" w14:textId="77777777" w:rsidR="00DE5108" w:rsidRPr="00947380" w:rsidRDefault="00DE5108" w:rsidP="005F377B">
      <w:pPr>
        <w:jc w:val="both"/>
        <w:rPr>
          <w:rFonts w:ascii="Times New Roman" w:eastAsia="標楷體" w:hAnsi="Times New Roman" w:cs="Times New Roman"/>
          <w:b/>
          <w:kern w:val="0"/>
          <w:szCs w:val="24"/>
          <w:lang w:eastAsia="zh-HK"/>
        </w:rPr>
      </w:pPr>
      <w:r w:rsidRPr="00947380">
        <w:rPr>
          <w:rFonts w:ascii="Times New Roman" w:eastAsia="標楷體" w:hAnsi="Times New Roman" w:cs="Times New Roman"/>
          <w:b/>
          <w:kern w:val="0"/>
          <w:szCs w:val="24"/>
          <w:lang w:eastAsia="zh-HK"/>
        </w:rPr>
        <w:t>Costs</w:t>
      </w:r>
    </w:p>
    <w:p w14:paraId="7AC882DA" w14:textId="77777777" w:rsidR="00CB4AD2" w:rsidRPr="00DE5108" w:rsidRDefault="00CB4AD2" w:rsidP="005F377B">
      <w:pPr>
        <w:jc w:val="both"/>
        <w:rPr>
          <w:rFonts w:ascii="Times New Roman" w:eastAsia="標楷體" w:hAnsi="Times New Roman" w:cs="Times New Roman"/>
          <w:kern w:val="0"/>
          <w:szCs w:val="24"/>
          <w:lang w:eastAsia="zh-HK"/>
        </w:rPr>
      </w:pPr>
    </w:p>
    <w:p w14:paraId="7950CE51"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Under section 68(9) and Part 1 of Schedule 5 of the IRO, if the Appellant fails in its appeal, the Board may order the Appellant to pay as costs of the Board a sum not exceeding the amount of HK$25,000.</w:t>
      </w:r>
    </w:p>
    <w:p w14:paraId="2C07F3A3" w14:textId="77777777" w:rsidR="00CB4AD2" w:rsidRPr="00DE5108" w:rsidRDefault="00CB4AD2" w:rsidP="00CB4AD2">
      <w:pPr>
        <w:widowControl/>
        <w:jc w:val="both"/>
        <w:rPr>
          <w:rFonts w:ascii="Times New Roman" w:eastAsia="標楷體" w:hAnsi="Times New Roman" w:cs="Times New Roman"/>
          <w:kern w:val="0"/>
          <w:szCs w:val="24"/>
          <w:lang w:eastAsia="zh-HK"/>
        </w:rPr>
      </w:pPr>
    </w:p>
    <w:p w14:paraId="481A7195"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As discussed and analyzed in the above, the provisions of section 70 and section 70A of the IRO are simple and easy to understand. Further, the Appellant had all along been advised by professional tax advisers. The Appellant should have known that Subject Assessments became final and conclusive after it failed to lodge any objection within one month from their respective dates of issuance. The Appellant should know that there was no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error</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in the Subject Assessments under section 70A of the IRO given his treatments of the payments made by the Company to him as his income or salary for the relevant financial years.</w:t>
      </w:r>
    </w:p>
    <w:p w14:paraId="398431E7" w14:textId="77777777" w:rsidR="00CB4AD2" w:rsidRPr="00DE5108" w:rsidRDefault="00CB4AD2" w:rsidP="00CB4AD2">
      <w:pPr>
        <w:widowControl/>
        <w:jc w:val="both"/>
        <w:rPr>
          <w:rFonts w:ascii="Times New Roman" w:eastAsia="標楷體" w:hAnsi="Times New Roman" w:cs="Times New Roman"/>
          <w:kern w:val="0"/>
          <w:szCs w:val="24"/>
          <w:lang w:eastAsia="zh-HK"/>
        </w:rPr>
      </w:pPr>
    </w:p>
    <w:p w14:paraId="1F7B3D6B"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Regarding the Additional Salaries Tax Assessment, there is no ground of appeal advanced. If there was one, it was no more than to confirm that the Sum was a staff benefit or perquisite. It contradicted his stance that he was not an employee of the Company and all payments made to him were by way of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drawings</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w:t>
      </w:r>
    </w:p>
    <w:p w14:paraId="55EFE4D2" w14:textId="77777777" w:rsidR="00CB4AD2" w:rsidRPr="00DE5108" w:rsidRDefault="00CB4AD2" w:rsidP="00CB4AD2">
      <w:pPr>
        <w:widowControl/>
        <w:jc w:val="both"/>
        <w:rPr>
          <w:rFonts w:ascii="Times New Roman" w:eastAsia="標楷體" w:hAnsi="Times New Roman" w:cs="Times New Roman"/>
          <w:kern w:val="0"/>
          <w:szCs w:val="24"/>
          <w:lang w:eastAsia="zh-HK"/>
        </w:rPr>
      </w:pPr>
    </w:p>
    <w:p w14:paraId="6F2A39E8"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Some of the submissions made by Mr</w:t>
      </w:r>
      <w:r w:rsidR="009F6DEF">
        <w:rPr>
          <w:rFonts w:ascii="Times New Roman" w:eastAsia="標楷體" w:hAnsi="Times New Roman" w:cs="Times New Roman"/>
          <w:kern w:val="0"/>
          <w:szCs w:val="24"/>
          <w:lang w:eastAsia="zh-HK"/>
        </w:rPr>
        <w:t xml:space="preserve"> B</w:t>
      </w:r>
      <w:r w:rsidRPr="00DE5108">
        <w:rPr>
          <w:rFonts w:ascii="Times New Roman" w:eastAsia="標楷體" w:hAnsi="Times New Roman" w:cs="Times New Roman"/>
          <w:kern w:val="0"/>
          <w:szCs w:val="24"/>
          <w:lang w:eastAsia="zh-HK"/>
        </w:rPr>
        <w:t xml:space="preserve"> were bare or mere allegations without support of evidences. The Appellant alleged that sometime in August 2013 he and his tax adviser had a meeting with </w:t>
      </w:r>
      <w:r w:rsidR="0019208E">
        <w:rPr>
          <w:rFonts w:ascii="Times New Roman" w:eastAsia="標楷體" w:hAnsi="Times New Roman" w:cs="Times New Roman"/>
          <w:kern w:val="0"/>
          <w:szCs w:val="24"/>
          <w:lang w:eastAsia="zh-HK"/>
        </w:rPr>
        <w:t>Mr Cheung</w:t>
      </w:r>
      <w:r w:rsidRPr="00DE5108">
        <w:rPr>
          <w:rFonts w:ascii="Times New Roman" w:eastAsia="標楷體" w:hAnsi="Times New Roman" w:cs="Times New Roman"/>
          <w:kern w:val="0"/>
          <w:szCs w:val="24"/>
          <w:lang w:eastAsia="zh-HK"/>
        </w:rPr>
        <w:t xml:space="preserve"> of the Inland Revenue Department. After going through the correspondence, </w:t>
      </w:r>
      <w:r w:rsidR="0019208E">
        <w:rPr>
          <w:rFonts w:ascii="Times New Roman" w:eastAsia="標楷體" w:hAnsi="Times New Roman" w:cs="Times New Roman"/>
          <w:kern w:val="0"/>
          <w:szCs w:val="24"/>
          <w:lang w:eastAsia="zh-HK"/>
        </w:rPr>
        <w:t>Mr Cheung</w:t>
      </w:r>
      <w:r w:rsidRPr="00DE5108">
        <w:rPr>
          <w:rFonts w:ascii="Times New Roman" w:eastAsia="標楷體" w:hAnsi="Times New Roman" w:cs="Times New Roman"/>
          <w:kern w:val="0"/>
          <w:szCs w:val="24"/>
          <w:lang w:eastAsia="zh-HK"/>
        </w:rPr>
        <w:t xml:space="preserve"> was quite sympathetic towards his situation and suggested that they should try to make a claim of 70A in salaries tax as the facts and circumstances favored such application. Apart from his mere allegation, there was no other evidence to support such claim. In normal case, if there was a meeting, there should be minutes of the meeting confirmed by the parties. In the absence of any minute to confirm such </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suggestion</w:t>
      </w:r>
      <w:r w:rsidR="00D264CC">
        <w:rPr>
          <w:rFonts w:ascii="Times New Roman" w:eastAsia="標楷體" w:hAnsi="Times New Roman" w:cs="Times New Roman"/>
          <w:kern w:val="0"/>
          <w:szCs w:val="24"/>
          <w:lang w:eastAsia="zh-HK"/>
        </w:rPr>
        <w:t>’</w:t>
      </w:r>
      <w:r w:rsidRPr="00DE5108">
        <w:rPr>
          <w:rFonts w:ascii="Times New Roman" w:eastAsia="標楷體" w:hAnsi="Times New Roman" w:cs="Times New Roman"/>
          <w:kern w:val="0"/>
          <w:szCs w:val="24"/>
          <w:lang w:eastAsia="zh-HK"/>
        </w:rPr>
        <w:t xml:space="preserve">, we do not accept that there was such a suggestion made by </w:t>
      </w:r>
      <w:r w:rsidR="0019208E">
        <w:rPr>
          <w:rFonts w:ascii="Times New Roman" w:eastAsia="標楷體" w:hAnsi="Times New Roman" w:cs="Times New Roman"/>
          <w:kern w:val="0"/>
          <w:szCs w:val="24"/>
          <w:lang w:eastAsia="zh-HK"/>
        </w:rPr>
        <w:t>Mr Cheung</w:t>
      </w:r>
      <w:r w:rsidRPr="00DE5108">
        <w:rPr>
          <w:rFonts w:ascii="Times New Roman" w:eastAsia="標楷體" w:hAnsi="Times New Roman" w:cs="Times New Roman"/>
          <w:kern w:val="0"/>
          <w:szCs w:val="24"/>
          <w:lang w:eastAsia="zh-HK"/>
        </w:rPr>
        <w:t xml:space="preserve">. </w:t>
      </w:r>
    </w:p>
    <w:p w14:paraId="41FC6F85" w14:textId="77777777" w:rsidR="00CB4AD2" w:rsidRPr="00DE5108" w:rsidRDefault="00CB4AD2" w:rsidP="00CB4AD2">
      <w:pPr>
        <w:widowControl/>
        <w:jc w:val="both"/>
        <w:rPr>
          <w:rFonts w:ascii="Times New Roman" w:eastAsia="標楷體" w:hAnsi="Times New Roman" w:cs="Times New Roman"/>
          <w:kern w:val="0"/>
          <w:szCs w:val="24"/>
          <w:lang w:eastAsia="zh-HK"/>
        </w:rPr>
      </w:pPr>
    </w:p>
    <w:p w14:paraId="0C4F0D13"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It does not matter whether there was such a suggestion or not as there was no binding effect on a suggestion even if there was one. In any event, the Appellant did initiate the objection and the appeal procedures as suggested by </w:t>
      </w:r>
      <w:r w:rsidR="0019208E">
        <w:rPr>
          <w:rFonts w:ascii="Times New Roman" w:eastAsia="標楷體" w:hAnsi="Times New Roman" w:cs="Times New Roman"/>
          <w:kern w:val="0"/>
          <w:szCs w:val="24"/>
          <w:lang w:eastAsia="zh-HK"/>
        </w:rPr>
        <w:t>Mr Cheung</w:t>
      </w:r>
      <w:r w:rsidRPr="00DE5108">
        <w:rPr>
          <w:rFonts w:ascii="Times New Roman" w:eastAsia="標楷體" w:hAnsi="Times New Roman" w:cs="Times New Roman"/>
          <w:kern w:val="0"/>
          <w:szCs w:val="24"/>
          <w:lang w:eastAsia="zh-HK"/>
        </w:rPr>
        <w:t xml:space="preserve"> if there was such a suggestion. </w:t>
      </w:r>
    </w:p>
    <w:p w14:paraId="4FB53784" w14:textId="77777777" w:rsidR="00CB4AD2" w:rsidRPr="00DE5108" w:rsidRDefault="00CB4AD2" w:rsidP="00CB4AD2">
      <w:pPr>
        <w:widowControl/>
        <w:jc w:val="both"/>
        <w:rPr>
          <w:rFonts w:ascii="Times New Roman" w:eastAsia="標楷體" w:hAnsi="Times New Roman" w:cs="Times New Roman"/>
          <w:kern w:val="0"/>
          <w:szCs w:val="24"/>
          <w:lang w:eastAsia="zh-HK"/>
        </w:rPr>
      </w:pPr>
    </w:p>
    <w:p w14:paraId="761FA3D5"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The aggregate tax payable on the Subject Assessments and the Additional Salaries Tax Assessment amounted to more than 1.5 million Hong Kong dollar. The tax benefit involved was therefore quite substantial. It follows that it is a great temptation for the Appellant to take this appeal even though his case is weak or unarguable. In our view, there is no reasonable prospect of success in the appeal which should have been known to the Appellant. </w:t>
      </w:r>
    </w:p>
    <w:p w14:paraId="36DD1D43" w14:textId="77777777" w:rsidR="00CB4AD2" w:rsidRPr="00DE5108" w:rsidRDefault="00CB4AD2" w:rsidP="00CB4AD2">
      <w:pPr>
        <w:widowControl/>
        <w:jc w:val="both"/>
        <w:rPr>
          <w:rFonts w:ascii="Times New Roman" w:eastAsia="標楷體" w:hAnsi="Times New Roman" w:cs="Times New Roman"/>
          <w:kern w:val="0"/>
          <w:szCs w:val="24"/>
          <w:lang w:eastAsia="zh-HK"/>
        </w:rPr>
      </w:pPr>
    </w:p>
    <w:p w14:paraId="5BB868FB"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Substantial amount of public fund is incurred to deal with the appeal. We do not see why the public fund has to bear the costs of the Board in dealing with an unmeritorious appeal. </w:t>
      </w:r>
    </w:p>
    <w:p w14:paraId="4CA056A0" w14:textId="77777777" w:rsidR="00CB4AD2" w:rsidRPr="00DE5108" w:rsidRDefault="00CB4AD2" w:rsidP="00CB4AD2">
      <w:pPr>
        <w:widowControl/>
        <w:jc w:val="both"/>
        <w:rPr>
          <w:rFonts w:ascii="Times New Roman" w:eastAsia="標楷體" w:hAnsi="Times New Roman" w:cs="Times New Roman"/>
          <w:kern w:val="0"/>
          <w:szCs w:val="24"/>
          <w:lang w:eastAsia="zh-HK"/>
        </w:rPr>
      </w:pPr>
    </w:p>
    <w:p w14:paraId="3E28121D" w14:textId="77777777" w:rsidR="00DE5108"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kern w:val="0"/>
          <w:szCs w:val="24"/>
          <w:lang w:eastAsia="zh-HK"/>
        </w:rPr>
      </w:pPr>
      <w:r w:rsidRPr="00DE5108">
        <w:rPr>
          <w:rFonts w:ascii="Times New Roman" w:eastAsia="標楷體" w:hAnsi="Times New Roman" w:cs="Times New Roman"/>
          <w:kern w:val="0"/>
          <w:szCs w:val="24"/>
          <w:lang w:eastAsia="zh-HK"/>
        </w:rPr>
        <w:t xml:space="preserve">In the circumstances, the Board feels it right to order and herein orders the Appellant to pay a sum of HK$10,000 as costs of the Board which shall be added to the tax charged and recovered therewith pursuant to section 68(9) of the Ordinance. </w:t>
      </w:r>
    </w:p>
    <w:p w14:paraId="224BC225" w14:textId="77777777" w:rsidR="00CB4AD2" w:rsidRPr="00DE5108" w:rsidRDefault="00CB4AD2" w:rsidP="00CB4AD2">
      <w:pPr>
        <w:widowControl/>
        <w:jc w:val="both"/>
        <w:rPr>
          <w:rFonts w:ascii="Times New Roman" w:eastAsia="標楷體" w:hAnsi="Times New Roman" w:cs="Times New Roman"/>
          <w:kern w:val="0"/>
          <w:szCs w:val="24"/>
          <w:lang w:eastAsia="zh-HK"/>
        </w:rPr>
      </w:pPr>
    </w:p>
    <w:p w14:paraId="4F63D697" w14:textId="77777777" w:rsidR="00DE5108" w:rsidRPr="005F377B" w:rsidRDefault="00DE5108" w:rsidP="00A61805">
      <w:pPr>
        <w:numPr>
          <w:ilvl w:val="0"/>
          <w:numId w:val="6"/>
        </w:numPr>
        <w:overflowPunct w:val="0"/>
        <w:autoSpaceDE w:val="0"/>
        <w:autoSpaceDN w:val="0"/>
        <w:adjustRightInd w:val="0"/>
        <w:snapToGrid w:val="0"/>
        <w:ind w:left="0" w:firstLine="0"/>
        <w:jc w:val="both"/>
        <w:rPr>
          <w:rFonts w:ascii="Times New Roman" w:eastAsia="標楷體" w:hAnsi="Times New Roman" w:cs="Times New Roman"/>
          <w:szCs w:val="24"/>
          <w:lang w:eastAsia="zh-HK"/>
        </w:rPr>
      </w:pPr>
      <w:r w:rsidRPr="005F377B">
        <w:rPr>
          <w:rFonts w:ascii="Times New Roman" w:eastAsia="標楷體" w:hAnsi="Times New Roman" w:cs="Times New Roman"/>
          <w:szCs w:val="24"/>
          <w:lang w:eastAsia="zh-HK"/>
        </w:rPr>
        <w:t xml:space="preserve">Lastly, we wish to record herein our thanks to </w:t>
      </w:r>
      <w:r w:rsidR="00210893">
        <w:rPr>
          <w:rFonts w:ascii="Times New Roman" w:eastAsia="標楷體" w:hAnsi="Times New Roman" w:cs="Times New Roman"/>
          <w:szCs w:val="24"/>
          <w:lang w:eastAsia="zh-HK"/>
        </w:rPr>
        <w:t>Ms Wong</w:t>
      </w:r>
      <w:r w:rsidRPr="005F377B">
        <w:rPr>
          <w:rFonts w:ascii="Times New Roman" w:eastAsia="標楷體" w:hAnsi="Times New Roman" w:cs="Times New Roman"/>
          <w:szCs w:val="24"/>
          <w:lang w:eastAsia="zh-HK"/>
        </w:rPr>
        <w:t xml:space="preserve"> of the Respondent for her submissions, analysis of accounting records and kind assistance to the Board on this appeal.</w:t>
      </w:r>
    </w:p>
    <w:sectPr w:rsidR="00DE5108" w:rsidRPr="005F377B"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09D0B" w14:textId="77777777" w:rsidR="00CF6B06" w:rsidRDefault="00CF6B06" w:rsidP="00CA6261">
      <w:r>
        <w:separator/>
      </w:r>
    </w:p>
  </w:endnote>
  <w:endnote w:type="continuationSeparator" w:id="0">
    <w:p w14:paraId="52AD6EB4" w14:textId="77777777" w:rsidR="00CF6B06" w:rsidRDefault="00CF6B06"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3983" w14:textId="6E72EA15"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DA4E71">
      <w:rPr>
        <w:rFonts w:ascii="Times New Roman" w:hAnsi="Times New Roman" w:cs="Times New Roman"/>
        <w:noProof/>
      </w:rPr>
      <w:t>21</w:t>
    </w:r>
    <w:r w:rsidRPr="00CA6261">
      <w:rPr>
        <w:rFonts w:ascii="Times New Roman" w:hAnsi="Times New Roman" w:cs="Times New Roman"/>
      </w:rPr>
      <w:fldChar w:fldCharType="end"/>
    </w:r>
  </w:p>
  <w:p w14:paraId="2CFF4483" w14:textId="77777777" w:rsidR="00CA6261" w:rsidRDefault="00CA6261" w:rsidP="00CA6261">
    <w:pPr>
      <w:pStyle w:val="a5"/>
      <w:tabs>
        <w:tab w:val="center" w:pos="4395"/>
        <w:tab w:val="right" w:pos="8647"/>
      </w:tabs>
      <w:rPr>
        <w:rFonts w:ascii="Times New Roman" w:hAnsi="Times New Roman" w:cs="Times New Roman"/>
        <w:sz w:val="6"/>
        <w:szCs w:val="6"/>
      </w:rPr>
    </w:pPr>
  </w:p>
  <w:p w14:paraId="57F41B0C" w14:textId="77777777" w:rsidR="00CA6261" w:rsidRDefault="00CA6261" w:rsidP="00CA6261">
    <w:pPr>
      <w:pStyle w:val="a5"/>
      <w:tabs>
        <w:tab w:val="center" w:pos="4395"/>
        <w:tab w:val="right" w:pos="8647"/>
      </w:tabs>
      <w:rPr>
        <w:rFonts w:ascii="Times New Roman" w:hAnsi="Times New Roman" w:cs="Times New Roman"/>
        <w:sz w:val="6"/>
        <w:szCs w:val="6"/>
      </w:rPr>
    </w:pPr>
  </w:p>
  <w:p w14:paraId="4ABE83CF" w14:textId="77777777" w:rsidR="00CA6261" w:rsidRPr="00CA6261" w:rsidRDefault="00CA6261" w:rsidP="00CA6261">
    <w:pPr>
      <w:pStyle w:val="a5"/>
      <w:tabs>
        <w:tab w:val="center" w:pos="4395"/>
        <w:tab w:val="right" w:pos="8647"/>
      </w:tabs>
      <w:rPr>
        <w:rFonts w:ascii="Times New Roman" w:hAnsi="Times New Roman" w:cs="Times New Roman"/>
        <w:sz w:val="6"/>
        <w:szCs w:val="6"/>
      </w:rPr>
    </w:pPr>
  </w:p>
  <w:p w14:paraId="09D37DFC" w14:textId="3440379B"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w:t>
    </w:r>
    <w:r w:rsidRPr="00882107">
      <w:rPr>
        <w:rFonts w:ascii="Times New Roman" w:eastAsia="DengXian" w:hAnsi="Times New Roman" w:cs="Times New Roman"/>
      </w:rPr>
      <w:t xml:space="preserve">te: </w:t>
    </w:r>
    <w:r w:rsidR="005F5EB2">
      <w:rPr>
        <w:rFonts w:ascii="Times New Roman" w:eastAsia="DengXian" w:hAnsi="Times New Roman" w:cs="Times New Roman"/>
      </w:rPr>
      <w:t>September</w:t>
    </w:r>
    <w:r w:rsidRPr="00882107">
      <w:rPr>
        <w:rFonts w:ascii="Times New Roman" w:eastAsia="DengXian" w:hAnsi="Times New Roman" w:cs="Times New Roman"/>
      </w:rPr>
      <w:t xml:space="preserve"> 20</w:t>
    </w:r>
    <w:r w:rsidR="00BA0126" w:rsidRPr="00882107">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F9E3" w14:textId="77777777" w:rsidR="00CF6B06" w:rsidRDefault="00CF6B06" w:rsidP="00CA6261">
      <w:r>
        <w:separator/>
      </w:r>
    </w:p>
  </w:footnote>
  <w:footnote w:type="continuationSeparator" w:id="0">
    <w:p w14:paraId="24349B72" w14:textId="77777777" w:rsidR="00CF6B06" w:rsidRDefault="00CF6B06" w:rsidP="00CA6261">
      <w:r>
        <w:continuationSeparator/>
      </w:r>
    </w:p>
  </w:footnote>
  <w:footnote w:id="1">
    <w:p w14:paraId="5B5D8F4A" w14:textId="77777777" w:rsidR="00106DF9" w:rsidRPr="00106DF9" w:rsidRDefault="00106DF9" w:rsidP="008B3A92">
      <w:pPr>
        <w:pStyle w:val="a8"/>
        <w:overflowPunct w:val="0"/>
        <w:autoSpaceDE w:val="0"/>
        <w:autoSpaceDN w:val="0"/>
        <w:ind w:rightChars="-83" w:right="-199"/>
      </w:pPr>
      <w:r>
        <w:rPr>
          <w:rStyle w:val="aa"/>
        </w:rPr>
        <w:footnoteRef/>
      </w:r>
      <w:r>
        <w:t xml:space="preserve"> </w:t>
      </w:r>
      <w:r w:rsidRPr="00920758">
        <w:t>(Note) Due to the Company failed to file tax returns for financial years 2007/08 to 2011/12 and the Assessor was of the opinion that the Company was chargeable with tax, the Assessor issued estimated assessments pursuant to section 59(3) of the Inland Revenue Ordinance to the Company.</w:t>
      </w:r>
    </w:p>
  </w:footnote>
  <w:footnote w:id="2">
    <w:p w14:paraId="2F4EDFFA" w14:textId="77777777" w:rsidR="00DE5108" w:rsidRPr="00E11593" w:rsidRDefault="00DE5108" w:rsidP="00DE5108">
      <w:pPr>
        <w:pStyle w:val="a8"/>
        <w:adjustRightInd w:val="0"/>
      </w:pPr>
      <w:r w:rsidRPr="00E11593">
        <w:rPr>
          <w:rStyle w:val="aa"/>
        </w:rPr>
        <w:footnoteRef/>
      </w:r>
      <w:r w:rsidRPr="00E11593">
        <w:t xml:space="preserve"> The amount specified in Part 1 of Schedule 5 of the IRO is HK$25,000.</w:t>
      </w:r>
    </w:p>
  </w:footnote>
  <w:footnote w:id="3">
    <w:p w14:paraId="7FF34857" w14:textId="77777777" w:rsidR="00DE5108" w:rsidRPr="00E11593" w:rsidRDefault="00DE5108" w:rsidP="00DE5108">
      <w:pPr>
        <w:pStyle w:val="a8"/>
      </w:pPr>
      <w:r w:rsidRPr="00E11593">
        <w:rPr>
          <w:rStyle w:val="aa"/>
        </w:rPr>
        <w:footnoteRef/>
      </w:r>
      <w:r w:rsidRPr="00E11593">
        <w:t xml:space="preserve"> Paragraph 55 of the Decision.</w:t>
      </w:r>
    </w:p>
  </w:footnote>
  <w:footnote w:id="4">
    <w:p w14:paraId="332B3F98" w14:textId="77777777" w:rsidR="00DE5108" w:rsidRPr="00E11593" w:rsidRDefault="00DE5108" w:rsidP="00DE5108">
      <w:pPr>
        <w:pStyle w:val="a8"/>
      </w:pPr>
      <w:r w:rsidRPr="00E11593">
        <w:rPr>
          <w:rStyle w:val="aa"/>
        </w:rPr>
        <w:footnoteRef/>
      </w:r>
      <w:r w:rsidRPr="00E11593">
        <w:t xml:space="preserve"> Paragraph 21(b) of this Decision.</w:t>
      </w:r>
    </w:p>
  </w:footnote>
  <w:footnote w:id="5">
    <w:p w14:paraId="1D338C27" w14:textId="77777777" w:rsidR="00DE5108" w:rsidRPr="00E11593" w:rsidRDefault="00DE5108" w:rsidP="00DE5108">
      <w:pPr>
        <w:pStyle w:val="a8"/>
      </w:pPr>
      <w:r w:rsidRPr="00E11593">
        <w:rPr>
          <w:rStyle w:val="aa"/>
        </w:rPr>
        <w:footnoteRef/>
      </w:r>
      <w:r w:rsidRPr="00E11593">
        <w:t xml:space="preserve"> Paragraph 11(e) of this Decision.</w:t>
      </w:r>
    </w:p>
  </w:footnote>
  <w:footnote w:id="6">
    <w:p w14:paraId="5D947727" w14:textId="77777777" w:rsidR="00DE5108" w:rsidRDefault="00DE5108" w:rsidP="00DE5108">
      <w:pPr>
        <w:pStyle w:val="a8"/>
        <w:adjustRightInd w:val="0"/>
      </w:pPr>
      <w:r w:rsidRPr="00E11593">
        <w:rPr>
          <w:rStyle w:val="aa"/>
        </w:rPr>
        <w:footnoteRef/>
      </w:r>
      <w:r w:rsidRPr="00E11593">
        <w:t xml:space="preserve"> Paragraph 8(f) of this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0916" w14:textId="77777777"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w:t>
    </w:r>
    <w:r w:rsidRPr="00882107">
      <w:rPr>
        <w:rFonts w:ascii="Times New Roman" w:eastAsia="細明體" w:hAnsi="Times New Roman" w:cs="Times New Roman"/>
        <w:szCs w:val="20"/>
        <w:lang w:val="en-GB"/>
      </w:rPr>
      <w:t>20</w:t>
    </w:r>
    <w:r w:rsidR="00882107" w:rsidRPr="00882107">
      <w:rPr>
        <w:rFonts w:ascii="Times New Roman" w:eastAsia="細明體" w:hAnsi="Times New Roman" w:cs="Times New Roman"/>
        <w:szCs w:val="20"/>
        <w:lang w:val="en-GB"/>
      </w:rPr>
      <w:t>23-24</w:t>
    </w:r>
    <w:r w:rsidRPr="00882107">
      <w:rPr>
        <w:rFonts w:ascii="Times New Roman" w:eastAsia="細明體" w:hAnsi="Times New Roman" w:cs="Times New Roman"/>
        <w:szCs w:val="20"/>
        <w:lang w:val="en-GB"/>
      </w:rPr>
      <w:t xml:space="preserve">) VOLUME </w:t>
    </w:r>
    <w:r w:rsidR="00882107" w:rsidRPr="00882107">
      <w:rPr>
        <w:rFonts w:ascii="Times New Roman" w:eastAsia="細明體" w:hAnsi="Times New Roman" w:cs="Times New Roman"/>
        <w:szCs w:val="20"/>
        <w:lang w:val="en-GB" w:eastAsia="zh-HK"/>
      </w:rPr>
      <w:t xml:space="preserve">38 </w:t>
    </w:r>
    <w:r w:rsidRPr="00882107">
      <w:rPr>
        <w:rFonts w:ascii="Times New Roman" w:eastAsia="細明體" w:hAnsi="Times New Roman" w:cs="Times New Roman"/>
        <w:szCs w:val="20"/>
        <w:lang w:val="en-GB"/>
      </w:rPr>
      <w:t>I</w:t>
    </w:r>
    <w:r w:rsidRPr="00CA6261">
      <w:rPr>
        <w:rFonts w:ascii="Times New Roman" w:eastAsia="細明體" w:hAnsi="Times New Roman" w:cs="Times New Roman"/>
        <w:szCs w:val="20"/>
        <w:lang w:val="en-GB"/>
      </w:rPr>
      <w:t>NLAND REVENUE BOARD OF REVIEW DECISIONS</w:t>
    </w:r>
  </w:p>
  <w:p w14:paraId="5354807C" w14:textId="77777777"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5D0"/>
    <w:multiLevelType w:val="hybridMultilevel"/>
    <w:tmpl w:val="819CDE3E"/>
    <w:lvl w:ilvl="0" w:tplc="E0469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2C6D"/>
    <w:multiLevelType w:val="hybridMultilevel"/>
    <w:tmpl w:val="3A321D68"/>
    <w:lvl w:ilvl="0" w:tplc="8FD6AAAC">
      <w:start w:val="2"/>
      <w:numFmt w:val="lowerLetter"/>
      <w:lvlText w:val="(%1)"/>
      <w:lvlJc w:val="left"/>
      <w:pPr>
        <w:ind w:left="132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B796E"/>
    <w:multiLevelType w:val="hybridMultilevel"/>
    <w:tmpl w:val="7276B08E"/>
    <w:lvl w:ilvl="0" w:tplc="7396D826">
      <w:start w:val="1"/>
      <w:numFmt w:val="lowerLetter"/>
      <w:lvlText w:val="(%1)"/>
      <w:lvlJc w:val="left"/>
      <w:pPr>
        <w:ind w:left="1200" w:hanging="360"/>
      </w:pPr>
      <w:rPr>
        <w:rFonts w:hint="default"/>
        <w:sz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B89377B"/>
    <w:multiLevelType w:val="hybridMultilevel"/>
    <w:tmpl w:val="FE385CA6"/>
    <w:lvl w:ilvl="0" w:tplc="A5E490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A12E4"/>
    <w:multiLevelType w:val="hybridMultilevel"/>
    <w:tmpl w:val="82383330"/>
    <w:lvl w:ilvl="0" w:tplc="C71C1762">
      <w:start w:val="1"/>
      <w:numFmt w:val="lowerLetter"/>
      <w:lvlText w:val="(%1)"/>
      <w:lvlJc w:val="left"/>
      <w:pPr>
        <w:ind w:left="2413" w:hanging="57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15:restartNumberingAfterBreak="0">
    <w:nsid w:val="12E04739"/>
    <w:multiLevelType w:val="hybridMultilevel"/>
    <w:tmpl w:val="31E6CF74"/>
    <w:lvl w:ilvl="0" w:tplc="8B8CE22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F79F1"/>
    <w:multiLevelType w:val="hybridMultilevel"/>
    <w:tmpl w:val="9E28CBF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EA859C2"/>
    <w:multiLevelType w:val="hybridMultilevel"/>
    <w:tmpl w:val="09185D30"/>
    <w:lvl w:ilvl="0" w:tplc="35428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93361"/>
    <w:multiLevelType w:val="hybridMultilevel"/>
    <w:tmpl w:val="7FEE3C00"/>
    <w:lvl w:ilvl="0" w:tplc="443ACDD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B65568"/>
    <w:multiLevelType w:val="hybridMultilevel"/>
    <w:tmpl w:val="668A4966"/>
    <w:lvl w:ilvl="0" w:tplc="4EEE8486">
      <w:start w:val="1"/>
      <w:numFmt w:val="lowerLetter"/>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1" w15:restartNumberingAfterBreak="0">
    <w:nsid w:val="23DF5693"/>
    <w:multiLevelType w:val="hybridMultilevel"/>
    <w:tmpl w:val="47DE8536"/>
    <w:lvl w:ilvl="0" w:tplc="924255C2">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976E5C"/>
    <w:multiLevelType w:val="hybridMultilevel"/>
    <w:tmpl w:val="329C0926"/>
    <w:lvl w:ilvl="0" w:tplc="A64087C0">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E42148"/>
    <w:multiLevelType w:val="hybridMultilevel"/>
    <w:tmpl w:val="97DAEB60"/>
    <w:lvl w:ilvl="0" w:tplc="CEB2FC74">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4D0EC6"/>
    <w:multiLevelType w:val="hybridMultilevel"/>
    <w:tmpl w:val="A998A100"/>
    <w:lvl w:ilvl="0" w:tplc="69E02F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B2F1B"/>
    <w:multiLevelType w:val="hybridMultilevel"/>
    <w:tmpl w:val="701C82C6"/>
    <w:lvl w:ilvl="0" w:tplc="8DFEE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16C04"/>
    <w:multiLevelType w:val="hybridMultilevel"/>
    <w:tmpl w:val="EF6A74D4"/>
    <w:lvl w:ilvl="0" w:tplc="D0B8B8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 w15:restartNumberingAfterBreak="0">
    <w:nsid w:val="37C530C3"/>
    <w:multiLevelType w:val="hybridMultilevel"/>
    <w:tmpl w:val="F0267964"/>
    <w:lvl w:ilvl="0" w:tplc="FC6AF5A8">
      <w:start w:val="1"/>
      <w:numFmt w:val="decimal"/>
      <w:lvlText w:val="%1."/>
      <w:lvlJc w:val="left"/>
      <w:pPr>
        <w:tabs>
          <w:tab w:val="num" w:pos="720"/>
        </w:tabs>
        <w:ind w:left="720" w:hanging="720"/>
      </w:pPr>
      <w:rPr>
        <w:rFonts w:hint="eastAsia"/>
      </w:rPr>
    </w:lvl>
    <w:lvl w:ilvl="1" w:tplc="886AB5B6">
      <w:start w:val="1"/>
      <w:numFmt w:val="decimal"/>
      <w:lvlText w:val="(%2)"/>
      <w:lvlJc w:val="left"/>
      <w:pPr>
        <w:tabs>
          <w:tab w:val="num" w:pos="1200"/>
        </w:tabs>
        <w:ind w:left="1200" w:hanging="720"/>
      </w:pPr>
      <w:rPr>
        <w:rFonts w:hint="eastAsia"/>
      </w:rPr>
    </w:lvl>
    <w:lvl w:ilvl="2" w:tplc="E50A2E7C">
      <w:start w:val="1"/>
      <w:numFmt w:val="lowerLetter"/>
      <w:lvlText w:val="(%3)"/>
      <w:lvlJc w:val="left"/>
      <w:pPr>
        <w:tabs>
          <w:tab w:val="num" w:pos="1320"/>
        </w:tabs>
        <w:ind w:left="1320" w:hanging="360"/>
      </w:pPr>
      <w:rPr>
        <w:rFonts w:hint="eastAsia"/>
      </w:rPr>
    </w:lvl>
    <w:lvl w:ilvl="3" w:tplc="92C04D64">
      <w:start w:val="1"/>
      <w:numFmt w:val="decimal"/>
      <w:lvlText w:val="%4."/>
      <w:lvlJc w:val="left"/>
      <w:pPr>
        <w:tabs>
          <w:tab w:val="num" w:pos="1920"/>
        </w:tabs>
        <w:ind w:left="192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8D923D3"/>
    <w:multiLevelType w:val="hybridMultilevel"/>
    <w:tmpl w:val="0ACC9978"/>
    <w:lvl w:ilvl="0" w:tplc="AF5276AC">
      <w:start w:val="1"/>
      <w:numFmt w:val="lowerLetter"/>
      <w:lvlText w:val="(%1)"/>
      <w:lvlJc w:val="left"/>
      <w:pPr>
        <w:ind w:left="1065" w:hanging="360"/>
      </w:pPr>
      <w:rPr>
        <w:rFonts w:hint="default"/>
      </w:rPr>
    </w:lvl>
    <w:lvl w:ilvl="1" w:tplc="04090019">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0" w15:restartNumberingAfterBreak="0">
    <w:nsid w:val="3CD318A7"/>
    <w:multiLevelType w:val="hybridMultilevel"/>
    <w:tmpl w:val="2D36BC2A"/>
    <w:lvl w:ilvl="0" w:tplc="DEDC348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F486B0C"/>
    <w:multiLevelType w:val="hybridMultilevel"/>
    <w:tmpl w:val="28E67966"/>
    <w:lvl w:ilvl="0" w:tplc="67604AC0">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A771A"/>
    <w:multiLevelType w:val="hybridMultilevel"/>
    <w:tmpl w:val="C6CAE0E4"/>
    <w:lvl w:ilvl="0" w:tplc="A03A6302">
      <w:start w:val="1"/>
      <w:numFmt w:val="lowerLetter"/>
      <w:lvlText w:val="(%1)"/>
      <w:lvlJc w:val="left"/>
      <w:pPr>
        <w:ind w:left="2205" w:hanging="360"/>
      </w:pPr>
      <w:rPr>
        <w:rFonts w:hint="default"/>
      </w:rPr>
    </w:lvl>
    <w:lvl w:ilvl="1" w:tplc="04090019" w:tentative="1">
      <w:start w:val="1"/>
      <w:numFmt w:val="ideographTraditional"/>
      <w:lvlText w:val="%2、"/>
      <w:lvlJc w:val="left"/>
      <w:pPr>
        <w:ind w:left="2805" w:hanging="480"/>
      </w:pPr>
    </w:lvl>
    <w:lvl w:ilvl="2" w:tplc="0409001B" w:tentative="1">
      <w:start w:val="1"/>
      <w:numFmt w:val="lowerRoman"/>
      <w:lvlText w:val="%3."/>
      <w:lvlJc w:val="right"/>
      <w:pPr>
        <w:ind w:left="3285" w:hanging="480"/>
      </w:pPr>
    </w:lvl>
    <w:lvl w:ilvl="3" w:tplc="0409000F" w:tentative="1">
      <w:start w:val="1"/>
      <w:numFmt w:val="decimal"/>
      <w:lvlText w:val="%4."/>
      <w:lvlJc w:val="left"/>
      <w:pPr>
        <w:ind w:left="3765" w:hanging="480"/>
      </w:pPr>
    </w:lvl>
    <w:lvl w:ilvl="4" w:tplc="04090019" w:tentative="1">
      <w:start w:val="1"/>
      <w:numFmt w:val="ideographTraditional"/>
      <w:lvlText w:val="%5、"/>
      <w:lvlJc w:val="left"/>
      <w:pPr>
        <w:ind w:left="4245" w:hanging="480"/>
      </w:pPr>
    </w:lvl>
    <w:lvl w:ilvl="5" w:tplc="0409001B" w:tentative="1">
      <w:start w:val="1"/>
      <w:numFmt w:val="lowerRoman"/>
      <w:lvlText w:val="%6."/>
      <w:lvlJc w:val="right"/>
      <w:pPr>
        <w:ind w:left="4725" w:hanging="480"/>
      </w:pPr>
    </w:lvl>
    <w:lvl w:ilvl="6" w:tplc="0409000F" w:tentative="1">
      <w:start w:val="1"/>
      <w:numFmt w:val="decimal"/>
      <w:lvlText w:val="%7."/>
      <w:lvlJc w:val="left"/>
      <w:pPr>
        <w:ind w:left="5205" w:hanging="480"/>
      </w:pPr>
    </w:lvl>
    <w:lvl w:ilvl="7" w:tplc="04090019" w:tentative="1">
      <w:start w:val="1"/>
      <w:numFmt w:val="ideographTraditional"/>
      <w:lvlText w:val="%8、"/>
      <w:lvlJc w:val="left"/>
      <w:pPr>
        <w:ind w:left="5685" w:hanging="480"/>
      </w:pPr>
    </w:lvl>
    <w:lvl w:ilvl="8" w:tplc="0409001B" w:tentative="1">
      <w:start w:val="1"/>
      <w:numFmt w:val="lowerRoman"/>
      <w:lvlText w:val="%9."/>
      <w:lvlJc w:val="right"/>
      <w:pPr>
        <w:ind w:left="6165" w:hanging="480"/>
      </w:pPr>
    </w:lvl>
  </w:abstractNum>
  <w:abstractNum w:abstractNumId="23" w15:restartNumberingAfterBreak="0">
    <w:nsid w:val="4427410D"/>
    <w:multiLevelType w:val="hybridMultilevel"/>
    <w:tmpl w:val="DC6C9CF2"/>
    <w:lvl w:ilvl="0" w:tplc="7396D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72A5F"/>
    <w:multiLevelType w:val="hybridMultilevel"/>
    <w:tmpl w:val="38081DCE"/>
    <w:lvl w:ilvl="0" w:tplc="53625C2A">
      <w:start w:val="1"/>
      <w:numFmt w:val="lowerLetter"/>
      <w:lvlText w:val="(%1)"/>
      <w:lvlJc w:val="left"/>
      <w:pPr>
        <w:ind w:left="1410" w:hanging="705"/>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15:restartNumberingAfterBreak="0">
    <w:nsid w:val="4A711CB3"/>
    <w:multiLevelType w:val="hybridMultilevel"/>
    <w:tmpl w:val="D0865E90"/>
    <w:lvl w:ilvl="0" w:tplc="562665C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4A9C0813"/>
    <w:multiLevelType w:val="hybridMultilevel"/>
    <w:tmpl w:val="568C90B4"/>
    <w:lvl w:ilvl="0" w:tplc="508452BC">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6A560E"/>
    <w:multiLevelType w:val="hybridMultilevel"/>
    <w:tmpl w:val="9E9C6850"/>
    <w:lvl w:ilvl="0" w:tplc="F528B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9" w15:restartNumberingAfterBreak="0">
    <w:nsid w:val="51020760"/>
    <w:multiLevelType w:val="hybridMultilevel"/>
    <w:tmpl w:val="11E28352"/>
    <w:lvl w:ilvl="0" w:tplc="7DBE4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1E211E0"/>
    <w:multiLevelType w:val="hybridMultilevel"/>
    <w:tmpl w:val="27E87B30"/>
    <w:lvl w:ilvl="0" w:tplc="6EA2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23AB3"/>
    <w:multiLevelType w:val="hybridMultilevel"/>
    <w:tmpl w:val="63008B08"/>
    <w:lvl w:ilvl="0" w:tplc="3D06900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97AB6"/>
    <w:multiLevelType w:val="hybridMultilevel"/>
    <w:tmpl w:val="A2F87F44"/>
    <w:lvl w:ilvl="0" w:tplc="9C5E4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75D0B"/>
    <w:multiLevelType w:val="hybridMultilevel"/>
    <w:tmpl w:val="22E64952"/>
    <w:lvl w:ilvl="0" w:tplc="B9687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173EC"/>
    <w:multiLevelType w:val="hybridMultilevel"/>
    <w:tmpl w:val="3D7C2592"/>
    <w:lvl w:ilvl="0" w:tplc="9528B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7"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AC3583"/>
    <w:multiLevelType w:val="hybridMultilevel"/>
    <w:tmpl w:val="6E12125E"/>
    <w:lvl w:ilvl="0" w:tplc="B65EC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F91587"/>
    <w:multiLevelType w:val="hybridMultilevel"/>
    <w:tmpl w:val="41E45AE8"/>
    <w:lvl w:ilvl="0" w:tplc="6720C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A13DC3"/>
    <w:multiLevelType w:val="hybridMultilevel"/>
    <w:tmpl w:val="218EB398"/>
    <w:lvl w:ilvl="0" w:tplc="97E01072">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1" w15:restartNumberingAfterBreak="0">
    <w:nsid w:val="6F3F0356"/>
    <w:multiLevelType w:val="hybridMultilevel"/>
    <w:tmpl w:val="10E43724"/>
    <w:lvl w:ilvl="0" w:tplc="2AFA10E2">
      <w:start w:val="1"/>
      <w:numFmt w:val="lowerLetter"/>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022264F"/>
    <w:multiLevelType w:val="hybridMultilevel"/>
    <w:tmpl w:val="89DAD1BC"/>
    <w:lvl w:ilvl="0" w:tplc="7D6E59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24E44"/>
    <w:multiLevelType w:val="hybridMultilevel"/>
    <w:tmpl w:val="16CA8F7C"/>
    <w:lvl w:ilvl="0" w:tplc="B1EC23E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64F73"/>
    <w:multiLevelType w:val="hybridMultilevel"/>
    <w:tmpl w:val="79B44F8E"/>
    <w:lvl w:ilvl="0" w:tplc="21448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566C0"/>
    <w:multiLevelType w:val="hybridMultilevel"/>
    <w:tmpl w:val="0ACC9978"/>
    <w:lvl w:ilvl="0" w:tplc="FFFFFFFF">
      <w:start w:val="1"/>
      <w:numFmt w:val="lowerLetter"/>
      <w:lvlText w:val="(%1)"/>
      <w:lvlJc w:val="left"/>
      <w:pPr>
        <w:ind w:left="1065" w:hanging="360"/>
      </w:pPr>
      <w:rPr>
        <w:rFonts w:hint="default"/>
      </w:rPr>
    </w:lvl>
    <w:lvl w:ilvl="1" w:tplc="FFFFFFFF">
      <w:start w:val="1"/>
      <w:numFmt w:val="ideographTraditional"/>
      <w:lvlText w:val="%2、"/>
      <w:lvlJc w:val="left"/>
      <w:pPr>
        <w:ind w:left="1665" w:hanging="480"/>
      </w:pPr>
    </w:lvl>
    <w:lvl w:ilvl="2" w:tplc="FFFFFFFF" w:tentative="1">
      <w:start w:val="1"/>
      <w:numFmt w:val="lowerRoman"/>
      <w:lvlText w:val="%3."/>
      <w:lvlJc w:val="right"/>
      <w:pPr>
        <w:ind w:left="2145" w:hanging="480"/>
      </w:pPr>
    </w:lvl>
    <w:lvl w:ilvl="3" w:tplc="FFFFFFFF" w:tentative="1">
      <w:start w:val="1"/>
      <w:numFmt w:val="decimal"/>
      <w:lvlText w:val="%4."/>
      <w:lvlJc w:val="left"/>
      <w:pPr>
        <w:ind w:left="2625" w:hanging="480"/>
      </w:pPr>
    </w:lvl>
    <w:lvl w:ilvl="4" w:tplc="FFFFFFFF" w:tentative="1">
      <w:start w:val="1"/>
      <w:numFmt w:val="ideographTraditional"/>
      <w:lvlText w:val="%5、"/>
      <w:lvlJc w:val="left"/>
      <w:pPr>
        <w:ind w:left="3105" w:hanging="480"/>
      </w:pPr>
    </w:lvl>
    <w:lvl w:ilvl="5" w:tplc="FFFFFFFF" w:tentative="1">
      <w:start w:val="1"/>
      <w:numFmt w:val="lowerRoman"/>
      <w:lvlText w:val="%6."/>
      <w:lvlJc w:val="right"/>
      <w:pPr>
        <w:ind w:left="3585" w:hanging="480"/>
      </w:pPr>
    </w:lvl>
    <w:lvl w:ilvl="6" w:tplc="FFFFFFFF" w:tentative="1">
      <w:start w:val="1"/>
      <w:numFmt w:val="decimal"/>
      <w:lvlText w:val="%7."/>
      <w:lvlJc w:val="left"/>
      <w:pPr>
        <w:ind w:left="4065" w:hanging="480"/>
      </w:pPr>
    </w:lvl>
    <w:lvl w:ilvl="7" w:tplc="FFFFFFFF" w:tentative="1">
      <w:start w:val="1"/>
      <w:numFmt w:val="ideographTraditional"/>
      <w:lvlText w:val="%8、"/>
      <w:lvlJc w:val="left"/>
      <w:pPr>
        <w:ind w:left="4545" w:hanging="480"/>
      </w:pPr>
    </w:lvl>
    <w:lvl w:ilvl="8" w:tplc="FFFFFFFF" w:tentative="1">
      <w:start w:val="1"/>
      <w:numFmt w:val="lowerRoman"/>
      <w:lvlText w:val="%9."/>
      <w:lvlJc w:val="right"/>
      <w:pPr>
        <w:ind w:left="5025" w:hanging="480"/>
      </w:pPr>
    </w:lvl>
  </w:abstractNum>
  <w:num w:numId="1">
    <w:abstractNumId w:val="6"/>
  </w:num>
  <w:num w:numId="2">
    <w:abstractNumId w:val="17"/>
  </w:num>
  <w:num w:numId="3">
    <w:abstractNumId w:val="28"/>
  </w:num>
  <w:num w:numId="4">
    <w:abstractNumId w:val="36"/>
  </w:num>
  <w:num w:numId="5">
    <w:abstractNumId w:val="37"/>
  </w:num>
  <w:num w:numId="6">
    <w:abstractNumId w:val="9"/>
  </w:num>
  <w:num w:numId="7">
    <w:abstractNumId w:val="42"/>
  </w:num>
  <w:num w:numId="8">
    <w:abstractNumId w:val="26"/>
  </w:num>
  <w:num w:numId="9">
    <w:abstractNumId w:val="12"/>
  </w:num>
  <w:num w:numId="10">
    <w:abstractNumId w:val="29"/>
  </w:num>
  <w:num w:numId="11">
    <w:abstractNumId w:val="32"/>
  </w:num>
  <w:num w:numId="12">
    <w:abstractNumId w:val="43"/>
  </w:num>
  <w:num w:numId="13">
    <w:abstractNumId w:val="44"/>
  </w:num>
  <w:num w:numId="14">
    <w:abstractNumId w:val="23"/>
  </w:num>
  <w:num w:numId="15">
    <w:abstractNumId w:val="11"/>
  </w:num>
  <w:num w:numId="16">
    <w:abstractNumId w:val="5"/>
  </w:num>
  <w:num w:numId="17">
    <w:abstractNumId w:val="8"/>
  </w:num>
  <w:num w:numId="18">
    <w:abstractNumId w:val="34"/>
  </w:num>
  <w:num w:numId="19">
    <w:abstractNumId w:val="35"/>
  </w:num>
  <w:num w:numId="20">
    <w:abstractNumId w:val="15"/>
  </w:num>
  <w:num w:numId="21">
    <w:abstractNumId w:val="41"/>
  </w:num>
  <w:num w:numId="22">
    <w:abstractNumId w:val="22"/>
  </w:num>
  <w:num w:numId="23">
    <w:abstractNumId w:val="1"/>
  </w:num>
  <w:num w:numId="24">
    <w:abstractNumId w:val="14"/>
  </w:num>
  <w:num w:numId="25">
    <w:abstractNumId w:val="38"/>
  </w:num>
  <w:num w:numId="26">
    <w:abstractNumId w:val="40"/>
  </w:num>
  <w:num w:numId="27">
    <w:abstractNumId w:val="21"/>
  </w:num>
  <w:num w:numId="28">
    <w:abstractNumId w:val="18"/>
  </w:num>
  <w:num w:numId="29">
    <w:abstractNumId w:val="39"/>
  </w:num>
  <w:num w:numId="30">
    <w:abstractNumId w:val="10"/>
  </w:num>
  <w:num w:numId="31">
    <w:abstractNumId w:val="33"/>
  </w:num>
  <w:num w:numId="32">
    <w:abstractNumId w:val="27"/>
  </w:num>
  <w:num w:numId="33">
    <w:abstractNumId w:val="24"/>
  </w:num>
  <w:num w:numId="34">
    <w:abstractNumId w:val="16"/>
  </w:num>
  <w:num w:numId="35">
    <w:abstractNumId w:val="31"/>
  </w:num>
  <w:num w:numId="36">
    <w:abstractNumId w:val="4"/>
  </w:num>
  <w:num w:numId="37">
    <w:abstractNumId w:val="25"/>
  </w:num>
  <w:num w:numId="38">
    <w:abstractNumId w:val="3"/>
  </w:num>
  <w:num w:numId="39">
    <w:abstractNumId w:val="20"/>
  </w:num>
  <w:num w:numId="40">
    <w:abstractNumId w:val="0"/>
  </w:num>
  <w:num w:numId="41">
    <w:abstractNumId w:val="19"/>
  </w:num>
  <w:num w:numId="42">
    <w:abstractNumId w:val="45"/>
  </w:num>
  <w:num w:numId="43">
    <w:abstractNumId w:val="7"/>
  </w:num>
  <w:num w:numId="44">
    <w:abstractNumId w:val="2"/>
  </w:num>
  <w:num w:numId="45">
    <w:abstractNumId w:val="1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readOnly" w:formatting="1" w:enforcement="1" w:cryptProviderType="rsaAES" w:cryptAlgorithmClass="hash" w:cryptAlgorithmType="typeAny" w:cryptAlgorithmSid="14" w:cryptSpinCount="100000" w:hash="NE1UiyhMRF8A5JRFl4LZ5Z+7PUrtJI2CECqETOy/HwVTiQ7Rcf6Bl7qY24/Jzr3qFfEGu7hgojkDfXuYRO3pHQ==" w:salt="qKSwzT+w5cFcrtY9KJZEig=="/>
  <w:defaultTabStop w:val="153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3CF2"/>
    <w:rsid w:val="0000528D"/>
    <w:rsid w:val="00012D74"/>
    <w:rsid w:val="00015945"/>
    <w:rsid w:val="00023DE4"/>
    <w:rsid w:val="00023E67"/>
    <w:rsid w:val="00042AD4"/>
    <w:rsid w:val="000519AC"/>
    <w:rsid w:val="00051E75"/>
    <w:rsid w:val="00052027"/>
    <w:rsid w:val="00052B4D"/>
    <w:rsid w:val="00064056"/>
    <w:rsid w:val="000660F7"/>
    <w:rsid w:val="00072216"/>
    <w:rsid w:val="000726B1"/>
    <w:rsid w:val="00083C41"/>
    <w:rsid w:val="000A237A"/>
    <w:rsid w:val="000C3AC2"/>
    <w:rsid w:val="000C504B"/>
    <w:rsid w:val="000D1767"/>
    <w:rsid w:val="000D3C17"/>
    <w:rsid w:val="000E15C3"/>
    <w:rsid w:val="000E3887"/>
    <w:rsid w:val="000E4CDD"/>
    <w:rsid w:val="000E50FA"/>
    <w:rsid w:val="000F631E"/>
    <w:rsid w:val="00100857"/>
    <w:rsid w:val="00103BA5"/>
    <w:rsid w:val="001067BE"/>
    <w:rsid w:val="00106DF9"/>
    <w:rsid w:val="00112244"/>
    <w:rsid w:val="001124BB"/>
    <w:rsid w:val="00113531"/>
    <w:rsid w:val="00120179"/>
    <w:rsid w:val="00127328"/>
    <w:rsid w:val="00131CE2"/>
    <w:rsid w:val="00132548"/>
    <w:rsid w:val="00141D6F"/>
    <w:rsid w:val="00151443"/>
    <w:rsid w:val="001516D2"/>
    <w:rsid w:val="0016243D"/>
    <w:rsid w:val="00165741"/>
    <w:rsid w:val="0016646F"/>
    <w:rsid w:val="00172598"/>
    <w:rsid w:val="001834AF"/>
    <w:rsid w:val="0018359A"/>
    <w:rsid w:val="0019000A"/>
    <w:rsid w:val="0019208E"/>
    <w:rsid w:val="001922E6"/>
    <w:rsid w:val="00193EC1"/>
    <w:rsid w:val="00195F16"/>
    <w:rsid w:val="00197A1F"/>
    <w:rsid w:val="001B1FCD"/>
    <w:rsid w:val="001B2DB5"/>
    <w:rsid w:val="001B3781"/>
    <w:rsid w:val="001B3F7F"/>
    <w:rsid w:val="001B714D"/>
    <w:rsid w:val="001C0694"/>
    <w:rsid w:val="001E5FA9"/>
    <w:rsid w:val="001E6C41"/>
    <w:rsid w:val="001E7CA2"/>
    <w:rsid w:val="001F324E"/>
    <w:rsid w:val="001F4484"/>
    <w:rsid w:val="001F6E71"/>
    <w:rsid w:val="001F70FB"/>
    <w:rsid w:val="00201CD0"/>
    <w:rsid w:val="002028D2"/>
    <w:rsid w:val="002074CB"/>
    <w:rsid w:val="00210893"/>
    <w:rsid w:val="0022514B"/>
    <w:rsid w:val="00243627"/>
    <w:rsid w:val="002551B6"/>
    <w:rsid w:val="00264362"/>
    <w:rsid w:val="00267262"/>
    <w:rsid w:val="00273A75"/>
    <w:rsid w:val="002751BF"/>
    <w:rsid w:val="002759B9"/>
    <w:rsid w:val="00285A0D"/>
    <w:rsid w:val="002900E6"/>
    <w:rsid w:val="00291858"/>
    <w:rsid w:val="002918C1"/>
    <w:rsid w:val="00293501"/>
    <w:rsid w:val="002A0500"/>
    <w:rsid w:val="002B6674"/>
    <w:rsid w:val="002C0C4B"/>
    <w:rsid w:val="002C43EB"/>
    <w:rsid w:val="002D476C"/>
    <w:rsid w:val="002E21E4"/>
    <w:rsid w:val="002E43B2"/>
    <w:rsid w:val="002E4923"/>
    <w:rsid w:val="002E6DCF"/>
    <w:rsid w:val="002F0CEC"/>
    <w:rsid w:val="002F3239"/>
    <w:rsid w:val="0032383F"/>
    <w:rsid w:val="003269B2"/>
    <w:rsid w:val="003276FF"/>
    <w:rsid w:val="00345AAD"/>
    <w:rsid w:val="00345B6A"/>
    <w:rsid w:val="003523D1"/>
    <w:rsid w:val="003533DB"/>
    <w:rsid w:val="00362257"/>
    <w:rsid w:val="00363218"/>
    <w:rsid w:val="0036758B"/>
    <w:rsid w:val="00367CB2"/>
    <w:rsid w:val="003703E1"/>
    <w:rsid w:val="0037262C"/>
    <w:rsid w:val="00387CAC"/>
    <w:rsid w:val="003A3223"/>
    <w:rsid w:val="003B2F11"/>
    <w:rsid w:val="003B6A24"/>
    <w:rsid w:val="003C432A"/>
    <w:rsid w:val="003D0D1A"/>
    <w:rsid w:val="003D1ACC"/>
    <w:rsid w:val="003D5292"/>
    <w:rsid w:val="003D6095"/>
    <w:rsid w:val="003D742D"/>
    <w:rsid w:val="003D750F"/>
    <w:rsid w:val="003D7677"/>
    <w:rsid w:val="003F4246"/>
    <w:rsid w:val="00411911"/>
    <w:rsid w:val="00415EAE"/>
    <w:rsid w:val="00433C6B"/>
    <w:rsid w:val="00440E35"/>
    <w:rsid w:val="004440AA"/>
    <w:rsid w:val="004530E0"/>
    <w:rsid w:val="0045378D"/>
    <w:rsid w:val="004632EA"/>
    <w:rsid w:val="0046643F"/>
    <w:rsid w:val="00467FF2"/>
    <w:rsid w:val="00475170"/>
    <w:rsid w:val="0047518F"/>
    <w:rsid w:val="004A0692"/>
    <w:rsid w:val="004A1108"/>
    <w:rsid w:val="004A756B"/>
    <w:rsid w:val="004C08FD"/>
    <w:rsid w:val="004C10BF"/>
    <w:rsid w:val="004C195E"/>
    <w:rsid w:val="004D2C1B"/>
    <w:rsid w:val="004D4098"/>
    <w:rsid w:val="004E6585"/>
    <w:rsid w:val="004F5303"/>
    <w:rsid w:val="0052040C"/>
    <w:rsid w:val="005301E4"/>
    <w:rsid w:val="005331A1"/>
    <w:rsid w:val="00537163"/>
    <w:rsid w:val="00543C66"/>
    <w:rsid w:val="005452E1"/>
    <w:rsid w:val="00547EC1"/>
    <w:rsid w:val="00565E54"/>
    <w:rsid w:val="00575319"/>
    <w:rsid w:val="00576B3A"/>
    <w:rsid w:val="005805E4"/>
    <w:rsid w:val="005A71A8"/>
    <w:rsid w:val="005A7A7D"/>
    <w:rsid w:val="005C50F6"/>
    <w:rsid w:val="005D27AA"/>
    <w:rsid w:val="005E08D6"/>
    <w:rsid w:val="005E103F"/>
    <w:rsid w:val="005E21C7"/>
    <w:rsid w:val="005F0673"/>
    <w:rsid w:val="005F377B"/>
    <w:rsid w:val="005F5EB2"/>
    <w:rsid w:val="006041E4"/>
    <w:rsid w:val="0060610B"/>
    <w:rsid w:val="006140B3"/>
    <w:rsid w:val="0061655B"/>
    <w:rsid w:val="00621E1A"/>
    <w:rsid w:val="00626338"/>
    <w:rsid w:val="00634A2E"/>
    <w:rsid w:val="006372FC"/>
    <w:rsid w:val="0064023C"/>
    <w:rsid w:val="006452BC"/>
    <w:rsid w:val="00650024"/>
    <w:rsid w:val="00654AE1"/>
    <w:rsid w:val="00655E2B"/>
    <w:rsid w:val="00656ED1"/>
    <w:rsid w:val="00664658"/>
    <w:rsid w:val="00664DBB"/>
    <w:rsid w:val="00667582"/>
    <w:rsid w:val="00672B38"/>
    <w:rsid w:val="00674C01"/>
    <w:rsid w:val="00693A51"/>
    <w:rsid w:val="00694D41"/>
    <w:rsid w:val="006B345A"/>
    <w:rsid w:val="006B4455"/>
    <w:rsid w:val="006B7038"/>
    <w:rsid w:val="006C2283"/>
    <w:rsid w:val="006C4964"/>
    <w:rsid w:val="006C61AC"/>
    <w:rsid w:val="006C6786"/>
    <w:rsid w:val="006D08A5"/>
    <w:rsid w:val="006D1CD3"/>
    <w:rsid w:val="006D2A0C"/>
    <w:rsid w:val="006D4C22"/>
    <w:rsid w:val="006D5FEC"/>
    <w:rsid w:val="006D7393"/>
    <w:rsid w:val="006D7D64"/>
    <w:rsid w:val="006E09A5"/>
    <w:rsid w:val="006E6DFC"/>
    <w:rsid w:val="006F290C"/>
    <w:rsid w:val="006F47FA"/>
    <w:rsid w:val="00700120"/>
    <w:rsid w:val="00701ED2"/>
    <w:rsid w:val="00701F56"/>
    <w:rsid w:val="00713D9B"/>
    <w:rsid w:val="00722568"/>
    <w:rsid w:val="00722E18"/>
    <w:rsid w:val="00730030"/>
    <w:rsid w:val="007368CC"/>
    <w:rsid w:val="00742845"/>
    <w:rsid w:val="00760AD4"/>
    <w:rsid w:val="00763799"/>
    <w:rsid w:val="00775172"/>
    <w:rsid w:val="0077676F"/>
    <w:rsid w:val="00777F1E"/>
    <w:rsid w:val="00784F1D"/>
    <w:rsid w:val="0079253F"/>
    <w:rsid w:val="007977C8"/>
    <w:rsid w:val="007A2740"/>
    <w:rsid w:val="007B56DD"/>
    <w:rsid w:val="007C0541"/>
    <w:rsid w:val="007C187D"/>
    <w:rsid w:val="007C48C8"/>
    <w:rsid w:val="007C75DC"/>
    <w:rsid w:val="007D5A08"/>
    <w:rsid w:val="007D6C41"/>
    <w:rsid w:val="007E4825"/>
    <w:rsid w:val="00807975"/>
    <w:rsid w:val="00807CE3"/>
    <w:rsid w:val="00817B01"/>
    <w:rsid w:val="00823C10"/>
    <w:rsid w:val="0083055E"/>
    <w:rsid w:val="0083474D"/>
    <w:rsid w:val="00836A17"/>
    <w:rsid w:val="00855F43"/>
    <w:rsid w:val="00861269"/>
    <w:rsid w:val="00871EF5"/>
    <w:rsid w:val="008749FF"/>
    <w:rsid w:val="008764EC"/>
    <w:rsid w:val="00877FD2"/>
    <w:rsid w:val="00881B00"/>
    <w:rsid w:val="00882107"/>
    <w:rsid w:val="008829A3"/>
    <w:rsid w:val="008833AA"/>
    <w:rsid w:val="00884EE1"/>
    <w:rsid w:val="008B3A92"/>
    <w:rsid w:val="008B7032"/>
    <w:rsid w:val="008B73BF"/>
    <w:rsid w:val="008C5D96"/>
    <w:rsid w:val="008C63AD"/>
    <w:rsid w:val="008C747D"/>
    <w:rsid w:val="008D4A39"/>
    <w:rsid w:val="008D4D86"/>
    <w:rsid w:val="008D5454"/>
    <w:rsid w:val="008E299B"/>
    <w:rsid w:val="009107C5"/>
    <w:rsid w:val="00913558"/>
    <w:rsid w:val="00913D8B"/>
    <w:rsid w:val="00914DDF"/>
    <w:rsid w:val="00920A7E"/>
    <w:rsid w:val="00925C55"/>
    <w:rsid w:val="0093510F"/>
    <w:rsid w:val="00940D94"/>
    <w:rsid w:val="00942E52"/>
    <w:rsid w:val="00946523"/>
    <w:rsid w:val="00947380"/>
    <w:rsid w:val="00947948"/>
    <w:rsid w:val="009515FD"/>
    <w:rsid w:val="009524A8"/>
    <w:rsid w:val="00952F9D"/>
    <w:rsid w:val="00961319"/>
    <w:rsid w:val="00975EE1"/>
    <w:rsid w:val="00977262"/>
    <w:rsid w:val="0098199E"/>
    <w:rsid w:val="00982545"/>
    <w:rsid w:val="00984DB5"/>
    <w:rsid w:val="00990DD6"/>
    <w:rsid w:val="0099557C"/>
    <w:rsid w:val="009B068A"/>
    <w:rsid w:val="009B30C7"/>
    <w:rsid w:val="009B33CF"/>
    <w:rsid w:val="009B77CE"/>
    <w:rsid w:val="009D4159"/>
    <w:rsid w:val="009E26AF"/>
    <w:rsid w:val="009F6DEF"/>
    <w:rsid w:val="00A07CBF"/>
    <w:rsid w:val="00A1062A"/>
    <w:rsid w:val="00A11BA0"/>
    <w:rsid w:val="00A2080B"/>
    <w:rsid w:val="00A21005"/>
    <w:rsid w:val="00A24D43"/>
    <w:rsid w:val="00A448CA"/>
    <w:rsid w:val="00A61805"/>
    <w:rsid w:val="00A64722"/>
    <w:rsid w:val="00A65F9A"/>
    <w:rsid w:val="00A74B10"/>
    <w:rsid w:val="00A85568"/>
    <w:rsid w:val="00A94738"/>
    <w:rsid w:val="00AA2B04"/>
    <w:rsid w:val="00AB08FC"/>
    <w:rsid w:val="00AB5D34"/>
    <w:rsid w:val="00AC3FB9"/>
    <w:rsid w:val="00AC66B1"/>
    <w:rsid w:val="00AC7B7E"/>
    <w:rsid w:val="00AD5F72"/>
    <w:rsid w:val="00AE0298"/>
    <w:rsid w:val="00AE2EE5"/>
    <w:rsid w:val="00AE3178"/>
    <w:rsid w:val="00AE347F"/>
    <w:rsid w:val="00AF051A"/>
    <w:rsid w:val="00AF3AE2"/>
    <w:rsid w:val="00AF5A57"/>
    <w:rsid w:val="00B05258"/>
    <w:rsid w:val="00B0710D"/>
    <w:rsid w:val="00B12D73"/>
    <w:rsid w:val="00B13716"/>
    <w:rsid w:val="00B20274"/>
    <w:rsid w:val="00B30FE3"/>
    <w:rsid w:val="00B40717"/>
    <w:rsid w:val="00B51049"/>
    <w:rsid w:val="00B51103"/>
    <w:rsid w:val="00B524F5"/>
    <w:rsid w:val="00B65B9E"/>
    <w:rsid w:val="00B856A4"/>
    <w:rsid w:val="00B86A68"/>
    <w:rsid w:val="00B953A3"/>
    <w:rsid w:val="00BA0126"/>
    <w:rsid w:val="00BA42B1"/>
    <w:rsid w:val="00BB3711"/>
    <w:rsid w:val="00BB4096"/>
    <w:rsid w:val="00BB5146"/>
    <w:rsid w:val="00BC0F2A"/>
    <w:rsid w:val="00BC5791"/>
    <w:rsid w:val="00BD0AC8"/>
    <w:rsid w:val="00BD24C1"/>
    <w:rsid w:val="00BD794C"/>
    <w:rsid w:val="00BE17C0"/>
    <w:rsid w:val="00BE3273"/>
    <w:rsid w:val="00BF437D"/>
    <w:rsid w:val="00BF575D"/>
    <w:rsid w:val="00C027A5"/>
    <w:rsid w:val="00C02C47"/>
    <w:rsid w:val="00C12325"/>
    <w:rsid w:val="00C15341"/>
    <w:rsid w:val="00C462B9"/>
    <w:rsid w:val="00C5132E"/>
    <w:rsid w:val="00C543B0"/>
    <w:rsid w:val="00C5684D"/>
    <w:rsid w:val="00C57471"/>
    <w:rsid w:val="00C649A4"/>
    <w:rsid w:val="00C66FE7"/>
    <w:rsid w:val="00C72174"/>
    <w:rsid w:val="00C821E4"/>
    <w:rsid w:val="00C82AD9"/>
    <w:rsid w:val="00C83711"/>
    <w:rsid w:val="00CA6261"/>
    <w:rsid w:val="00CB4AD2"/>
    <w:rsid w:val="00CC42D4"/>
    <w:rsid w:val="00CD438A"/>
    <w:rsid w:val="00CE1C11"/>
    <w:rsid w:val="00CE3CD1"/>
    <w:rsid w:val="00CF2C5E"/>
    <w:rsid w:val="00CF6B06"/>
    <w:rsid w:val="00D02F89"/>
    <w:rsid w:val="00D076BB"/>
    <w:rsid w:val="00D200A2"/>
    <w:rsid w:val="00D264CC"/>
    <w:rsid w:val="00D34D09"/>
    <w:rsid w:val="00D440F0"/>
    <w:rsid w:val="00D52589"/>
    <w:rsid w:val="00D6191C"/>
    <w:rsid w:val="00D61F4B"/>
    <w:rsid w:val="00D64FE7"/>
    <w:rsid w:val="00D6633C"/>
    <w:rsid w:val="00D7034A"/>
    <w:rsid w:val="00D81896"/>
    <w:rsid w:val="00D827DB"/>
    <w:rsid w:val="00D87CB4"/>
    <w:rsid w:val="00D87F57"/>
    <w:rsid w:val="00D9436A"/>
    <w:rsid w:val="00D95B53"/>
    <w:rsid w:val="00DA2CB3"/>
    <w:rsid w:val="00DA4E71"/>
    <w:rsid w:val="00DA6183"/>
    <w:rsid w:val="00DB2D76"/>
    <w:rsid w:val="00DB6227"/>
    <w:rsid w:val="00DC5093"/>
    <w:rsid w:val="00DC5F7B"/>
    <w:rsid w:val="00DC5FFF"/>
    <w:rsid w:val="00DE5108"/>
    <w:rsid w:val="00DE7469"/>
    <w:rsid w:val="00DF0D3D"/>
    <w:rsid w:val="00DF261C"/>
    <w:rsid w:val="00DF6C73"/>
    <w:rsid w:val="00E00C26"/>
    <w:rsid w:val="00E06119"/>
    <w:rsid w:val="00E10C1E"/>
    <w:rsid w:val="00E11E1D"/>
    <w:rsid w:val="00E20484"/>
    <w:rsid w:val="00E31AE5"/>
    <w:rsid w:val="00E32B54"/>
    <w:rsid w:val="00E60E21"/>
    <w:rsid w:val="00E6674D"/>
    <w:rsid w:val="00E70572"/>
    <w:rsid w:val="00E7625C"/>
    <w:rsid w:val="00E85BB5"/>
    <w:rsid w:val="00E8724B"/>
    <w:rsid w:val="00E93B31"/>
    <w:rsid w:val="00E94874"/>
    <w:rsid w:val="00E96540"/>
    <w:rsid w:val="00EA356C"/>
    <w:rsid w:val="00EA5933"/>
    <w:rsid w:val="00EB5B56"/>
    <w:rsid w:val="00EC4E78"/>
    <w:rsid w:val="00EC7FE4"/>
    <w:rsid w:val="00ED7A96"/>
    <w:rsid w:val="00EE01E0"/>
    <w:rsid w:val="00EE1DF6"/>
    <w:rsid w:val="00EE2183"/>
    <w:rsid w:val="00F006C5"/>
    <w:rsid w:val="00F059C5"/>
    <w:rsid w:val="00F06D78"/>
    <w:rsid w:val="00F07174"/>
    <w:rsid w:val="00F11962"/>
    <w:rsid w:val="00F12EA2"/>
    <w:rsid w:val="00F20A54"/>
    <w:rsid w:val="00F33B18"/>
    <w:rsid w:val="00F34CD9"/>
    <w:rsid w:val="00F36C4F"/>
    <w:rsid w:val="00F43C17"/>
    <w:rsid w:val="00F44512"/>
    <w:rsid w:val="00F57EA4"/>
    <w:rsid w:val="00F62125"/>
    <w:rsid w:val="00F6296C"/>
    <w:rsid w:val="00F643B0"/>
    <w:rsid w:val="00F714CC"/>
    <w:rsid w:val="00F76946"/>
    <w:rsid w:val="00F81B21"/>
    <w:rsid w:val="00F81DDB"/>
    <w:rsid w:val="00F934F7"/>
    <w:rsid w:val="00FC3439"/>
    <w:rsid w:val="00FD0C90"/>
    <w:rsid w:val="00FD2165"/>
    <w:rsid w:val="00FD66C1"/>
    <w:rsid w:val="00FE0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D9E16"/>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DE5108"/>
    <w:pPr>
      <w:keepNext/>
      <w:ind w:left="6480"/>
      <w:outlineLvl w:val="0"/>
    </w:pPr>
    <w:rPr>
      <w:rFonts w:ascii="Times New Roman" w:eastAsia="新細明體" w:hAnsi="Times New Roman" w:cs="Times New Roman"/>
      <w:szCs w:val="24"/>
      <w:u w:val="single"/>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rsid w:val="00DE5108"/>
    <w:rPr>
      <w:rFonts w:ascii="Times New Roman" w:eastAsia="新細明體" w:hAnsi="Times New Roman" w:cs="Times New Roman"/>
      <w:szCs w:val="24"/>
      <w:u w:val="single"/>
    </w:rPr>
  </w:style>
  <w:style w:type="numbering" w:customStyle="1" w:styleId="11">
    <w:name w:val="無清單1"/>
    <w:next w:val="a2"/>
    <w:uiPriority w:val="99"/>
    <w:semiHidden/>
    <w:unhideWhenUsed/>
    <w:rsid w:val="00DE5108"/>
  </w:style>
  <w:style w:type="table" w:styleId="ad">
    <w:name w:val="Table Grid"/>
    <w:basedOn w:val="a1"/>
    <w:uiPriority w:val="59"/>
    <w:rsid w:val="00DE510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引文1"/>
    <w:basedOn w:val="a"/>
    <w:link w:val="quoteChar"/>
    <w:rsid w:val="00DE5108"/>
    <w:pPr>
      <w:widowControl/>
      <w:spacing w:before="120" w:after="240"/>
      <w:ind w:left="1440" w:right="720"/>
    </w:pPr>
    <w:rPr>
      <w:rFonts w:ascii="Times New Roman" w:eastAsia="新細明體" w:hAnsi="Times New Roman" w:cs="Times New Roman"/>
      <w:kern w:val="0"/>
      <w:sz w:val="28"/>
      <w:szCs w:val="20"/>
    </w:rPr>
  </w:style>
  <w:style w:type="character" w:customStyle="1" w:styleId="quoteChar">
    <w:name w:val="quote Char"/>
    <w:link w:val="12"/>
    <w:rsid w:val="00DE5108"/>
    <w:rPr>
      <w:rFonts w:ascii="Times New Roman" w:eastAsia="新細明體" w:hAnsi="Times New Roman" w:cs="Times New Roman"/>
      <w:kern w:val="0"/>
      <w:sz w:val="28"/>
      <w:szCs w:val="20"/>
    </w:rPr>
  </w:style>
  <w:style w:type="paragraph" w:customStyle="1" w:styleId="Points">
    <w:name w:val="Points"/>
    <w:basedOn w:val="a"/>
    <w:rsid w:val="00DE5108"/>
    <w:pPr>
      <w:widowControl/>
      <w:spacing w:after="120" w:line="360" w:lineRule="auto"/>
      <w:ind w:left="1440" w:hanging="720"/>
    </w:pPr>
    <w:rPr>
      <w:rFonts w:ascii="新細明體" w:eastAsia="新細明體" w:hAnsi="新細明體" w:cs="Times New Roman"/>
      <w:kern w:val="0"/>
      <w:sz w:val="28"/>
      <w:szCs w:val="28"/>
      <w:lang w:val="en-GB" w:eastAsia="en-US"/>
    </w:rPr>
  </w:style>
  <w:style w:type="paragraph" w:styleId="2">
    <w:name w:val="List 2"/>
    <w:basedOn w:val="a"/>
    <w:semiHidden/>
    <w:rsid w:val="00DE5108"/>
    <w:pPr>
      <w:ind w:left="960" w:hanging="480"/>
    </w:pPr>
    <w:rPr>
      <w:rFonts w:ascii="Times New Roman" w:eastAsia="新細明體" w:hAnsi="Times New Roman" w:cs="Times New Roman"/>
      <w:szCs w:val="24"/>
    </w:rPr>
  </w:style>
  <w:style w:type="table" w:customStyle="1" w:styleId="TableGrid1">
    <w:name w:val="Table Grid1"/>
    <w:basedOn w:val="a1"/>
    <w:next w:val="ad"/>
    <w:uiPriority w:val="59"/>
    <w:rsid w:val="00DE510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DE510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引文1"/>
    <w:basedOn w:val="a"/>
    <w:rsid w:val="00DE5108"/>
    <w:pPr>
      <w:widowControl/>
      <w:spacing w:before="120" w:after="240"/>
      <w:ind w:left="1440" w:right="720"/>
    </w:pPr>
    <w:rPr>
      <w:rFonts w:ascii="Times New Roman" w:eastAsia="新細明體" w:hAnsi="Times New Roman" w:cs="Times New Roman"/>
      <w:kern w:val="0"/>
      <w:sz w:val="28"/>
      <w:szCs w:val="20"/>
    </w:rPr>
  </w:style>
  <w:style w:type="paragraph" w:customStyle="1" w:styleId="Default">
    <w:name w:val="Default"/>
    <w:rsid w:val="00DE5108"/>
    <w:pPr>
      <w:widowControl w:val="0"/>
      <w:autoSpaceDE w:val="0"/>
      <w:autoSpaceDN w:val="0"/>
      <w:adjustRightInd w:val="0"/>
    </w:pPr>
    <w:rPr>
      <w:rFonts w:ascii="Times New Roman" w:eastAsia="新細明體" w:hAnsi="Times New Roman" w:cs="Times New Roman"/>
      <w:color w:val="000000"/>
      <w:kern w:val="0"/>
      <w:szCs w:val="24"/>
    </w:rPr>
  </w:style>
  <w:style w:type="paragraph" w:styleId="ae">
    <w:name w:val="Body Text Indent"/>
    <w:basedOn w:val="a"/>
    <w:link w:val="af"/>
    <w:semiHidden/>
    <w:rsid w:val="00DE5108"/>
    <w:pPr>
      <w:tabs>
        <w:tab w:val="left" w:pos="720"/>
      </w:tabs>
      <w:ind w:left="720" w:hanging="720"/>
      <w:jc w:val="both"/>
    </w:pPr>
    <w:rPr>
      <w:rFonts w:ascii="Times New Roman" w:eastAsia="新細明體" w:hAnsi="Times New Roman" w:cs="Times New Roman"/>
      <w:szCs w:val="24"/>
    </w:rPr>
  </w:style>
  <w:style w:type="character" w:customStyle="1" w:styleId="af">
    <w:name w:val="本文縮排 字元"/>
    <w:basedOn w:val="a0"/>
    <w:link w:val="ae"/>
    <w:semiHidden/>
    <w:rsid w:val="00DE5108"/>
    <w:rPr>
      <w:rFonts w:ascii="Times New Roman" w:eastAsia="新細明體" w:hAnsi="Times New Roman" w:cs="Times New Roman"/>
      <w:szCs w:val="24"/>
    </w:rPr>
  </w:style>
  <w:style w:type="paragraph" w:styleId="af0">
    <w:name w:val="annotation text"/>
    <w:basedOn w:val="a"/>
    <w:link w:val="af1"/>
    <w:semiHidden/>
    <w:rsid w:val="00DE5108"/>
    <w:rPr>
      <w:rFonts w:ascii="Times New Roman" w:eastAsia="新細明體" w:hAnsi="Times New Roman" w:cs="Times New Roman"/>
      <w:szCs w:val="24"/>
      <w:lang w:val="en-GB"/>
    </w:rPr>
  </w:style>
  <w:style w:type="character" w:customStyle="1" w:styleId="af1">
    <w:name w:val="註解文字 字元"/>
    <w:basedOn w:val="a0"/>
    <w:link w:val="af0"/>
    <w:semiHidden/>
    <w:rsid w:val="00DE5108"/>
    <w:rPr>
      <w:rFonts w:ascii="Times New Roman" w:eastAsia="新細明體" w:hAnsi="Times New Roman" w:cs="Times New Roman"/>
      <w:szCs w:val="24"/>
      <w:lang w:val="en-GB"/>
    </w:rPr>
  </w:style>
  <w:style w:type="paragraph" w:styleId="af2">
    <w:name w:val="Balloon Text"/>
    <w:basedOn w:val="a"/>
    <w:link w:val="af3"/>
    <w:uiPriority w:val="99"/>
    <w:semiHidden/>
    <w:unhideWhenUsed/>
    <w:rsid w:val="00DE5108"/>
    <w:pPr>
      <w:widowControl/>
    </w:pPr>
    <w:rPr>
      <w:rFonts w:ascii="Calibri Light" w:eastAsia="新細明體" w:hAnsi="Calibri Light" w:cs="Times New Roman"/>
      <w:kern w:val="0"/>
      <w:sz w:val="18"/>
      <w:szCs w:val="18"/>
      <w:lang w:eastAsia="zh-CN"/>
    </w:rPr>
  </w:style>
  <w:style w:type="character" w:customStyle="1" w:styleId="af3">
    <w:name w:val="註解方塊文字 字元"/>
    <w:basedOn w:val="a0"/>
    <w:link w:val="af2"/>
    <w:uiPriority w:val="99"/>
    <w:semiHidden/>
    <w:rsid w:val="00DE5108"/>
    <w:rPr>
      <w:rFonts w:ascii="Calibri Light" w:eastAsia="新細明體" w:hAnsi="Calibri Light" w:cs="Times New Roman"/>
      <w:kern w:val="0"/>
      <w:sz w:val="18"/>
      <w:szCs w:val="18"/>
      <w:lang w:eastAsia="zh-CN"/>
    </w:rPr>
  </w:style>
  <w:style w:type="character" w:styleId="af4">
    <w:name w:val="annotation reference"/>
    <w:uiPriority w:val="99"/>
    <w:semiHidden/>
    <w:unhideWhenUsed/>
    <w:rsid w:val="00DE5108"/>
    <w:rPr>
      <w:sz w:val="16"/>
      <w:szCs w:val="16"/>
    </w:rPr>
  </w:style>
  <w:style w:type="paragraph" w:styleId="af5">
    <w:name w:val="Revision"/>
    <w:hidden/>
    <w:uiPriority w:val="99"/>
    <w:semiHidden/>
    <w:rsid w:val="00DE5108"/>
    <w:rPr>
      <w:rFonts w:ascii="Calibri" w:eastAsia="新細明體" w:hAnsi="Calibri" w:cs="Times New Roman"/>
      <w:kern w:val="0"/>
      <w:sz w:val="22"/>
      <w:lang w:eastAsia="zh-CN"/>
    </w:rPr>
  </w:style>
  <w:style w:type="paragraph" w:styleId="af6">
    <w:name w:val="annotation subject"/>
    <w:basedOn w:val="af0"/>
    <w:next w:val="af0"/>
    <w:link w:val="af7"/>
    <w:uiPriority w:val="99"/>
    <w:semiHidden/>
    <w:unhideWhenUsed/>
    <w:rsid w:val="00BC0F2A"/>
    <w:rPr>
      <w:rFonts w:asciiTheme="minorHAnsi" w:eastAsiaTheme="minorEastAsia" w:hAnsiTheme="minorHAnsi" w:cstheme="minorBidi"/>
      <w:b/>
      <w:bCs/>
      <w:szCs w:val="22"/>
      <w:lang w:val="en-US"/>
    </w:rPr>
  </w:style>
  <w:style w:type="character" w:customStyle="1" w:styleId="af7">
    <w:name w:val="註解主旨 字元"/>
    <w:basedOn w:val="af1"/>
    <w:link w:val="af6"/>
    <w:uiPriority w:val="99"/>
    <w:semiHidden/>
    <w:rsid w:val="00BC0F2A"/>
    <w:rPr>
      <w:rFonts w:ascii="Times New Roman" w:eastAsia="新細明體" w:hAnsi="Times New Roman" w:cs="Times New Roman"/>
      <w:b/>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9BFF4-D09D-42D1-A583-380AD879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1</TotalTime>
  <Pages>28</Pages>
  <Words>9525</Words>
  <Characters>54296</Characters>
  <Application>Microsoft Office Word</Application>
  <DocSecurity>8</DocSecurity>
  <Lines>452</Lines>
  <Paragraphs>127</Paragraphs>
  <ScaleCrop>false</ScaleCrop>
  <Company>HKSARG</Company>
  <LinksUpToDate>false</LinksUpToDate>
  <CharactersWithSpaces>63694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4</cp:revision>
  <cp:lastPrinted>2024-09-26T05:11:00Z</cp:lastPrinted>
  <dcterms:created xsi:type="dcterms:W3CDTF">2024-09-30T05:34:00Z</dcterms:created>
  <dcterms:modified xsi:type="dcterms:W3CDTF">2024-09-30T06:39:00Z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