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C2" w:rsidRPr="00485403" w:rsidRDefault="00B94AC2" w:rsidP="00B94AC2">
      <w:pPr>
        <w:pStyle w:val="ae"/>
        <w:tabs>
          <w:tab w:val="left" w:pos="1276"/>
        </w:tabs>
        <w:ind w:rightChars="-29" w:right="-70"/>
        <w:rPr>
          <w:rFonts w:ascii="Times New Roman" w:eastAsia="華康楷書體W5" w:hAnsi="Times New Roman"/>
          <w:szCs w:val="24"/>
        </w:rPr>
      </w:pPr>
      <w:bookmarkStart w:id="0" w:name="_GoBack"/>
      <w:bookmarkEnd w:id="0"/>
      <w:r w:rsidRPr="00485403">
        <w:rPr>
          <w:rFonts w:ascii="Times New Roman" w:eastAsia="華康楷書體W5" w:hAnsi="Times New Roman"/>
          <w:szCs w:val="24"/>
        </w:rPr>
        <w:t>Case No. D19</w:t>
      </w:r>
      <w:r w:rsidRPr="00485403">
        <w:rPr>
          <w:rFonts w:ascii="Times New Roman" w:eastAsia="華康楷書體W5" w:hAnsi="Times New Roman"/>
          <w:szCs w:val="24"/>
          <w:lang w:eastAsia="zh-HK"/>
        </w:rPr>
        <w:t>/2</w:t>
      </w:r>
      <w:r w:rsidRPr="00485403">
        <w:rPr>
          <w:rFonts w:ascii="Times New Roman" w:eastAsia="華康楷書體W5" w:hAnsi="Times New Roman"/>
          <w:szCs w:val="24"/>
        </w:rPr>
        <w:t>2</w:t>
      </w: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3174BA" w:rsidRPr="00485403" w:rsidRDefault="003174BA"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3174BA" w:rsidRPr="00485403" w:rsidRDefault="003174BA"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3174BA" w:rsidRPr="00485403" w:rsidRDefault="003174BA"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r w:rsidRPr="00485403">
        <w:rPr>
          <w:rFonts w:ascii="Times New Roman" w:eastAsia="華康楷書體W5" w:hAnsi="Times New Roman" w:cs="Times New Roman"/>
          <w:b/>
          <w:szCs w:val="24"/>
        </w:rPr>
        <w:t>Profits tax</w:t>
      </w:r>
      <w:r w:rsidRPr="00485403">
        <w:rPr>
          <w:rFonts w:ascii="Times New Roman" w:eastAsia="華康楷書體W5" w:hAnsi="Times New Roman" w:cs="Times New Roman"/>
          <w:szCs w:val="24"/>
        </w:rPr>
        <w:t xml:space="preserve"> – whether or not the </w:t>
      </w:r>
      <w:r w:rsidRPr="00485403">
        <w:rPr>
          <w:rFonts w:ascii="Times New Roman" w:eastAsia="華康楷書體W5" w:hAnsi="Times New Roman" w:cs="Times New Roman"/>
          <w:szCs w:val="24"/>
          <w:lang w:eastAsia="zh-HK"/>
        </w:rPr>
        <w:t xml:space="preserve">Appellant’s profits derived from the disposal of the property was trading profits </w:t>
      </w:r>
      <w:r w:rsidRPr="00485403">
        <w:rPr>
          <w:rFonts w:ascii="Times New Roman" w:eastAsia="華康楷書體W5" w:hAnsi="Times New Roman" w:cs="Times New Roman"/>
          <w:szCs w:val="24"/>
        </w:rPr>
        <w:t xml:space="preserve">– </w:t>
      </w:r>
      <w:r w:rsidRPr="00485403">
        <w:rPr>
          <w:rFonts w:ascii="Times New Roman" w:eastAsia="華康楷書體W5" w:hAnsi="Times New Roman" w:cs="Times New Roman"/>
          <w:szCs w:val="24"/>
          <w:lang w:eastAsia="zh-HK"/>
        </w:rPr>
        <w:t xml:space="preserve">section 68(4) of the Inland Revenue Ordinance </w:t>
      </w:r>
      <w:r w:rsidRPr="00485403">
        <w:rPr>
          <w:rFonts w:ascii="Times New Roman" w:eastAsia="華康楷書體W5" w:hAnsi="Times New Roman" w:cs="Times New Roman"/>
          <w:szCs w:val="24"/>
        </w:rPr>
        <w:t xml:space="preserve">– </w:t>
      </w:r>
      <w:r w:rsidRPr="00485403">
        <w:rPr>
          <w:rFonts w:ascii="Times New Roman" w:eastAsia="華康楷書體W5" w:hAnsi="Times New Roman" w:cs="Times New Roman"/>
          <w:szCs w:val="24"/>
          <w:lang w:eastAsia="zh-HK"/>
        </w:rPr>
        <w:t xml:space="preserve">the onus of proving that the profits tax assessment is excessive or incorrect is on the Appellant </w:t>
      </w:r>
      <w:r w:rsidRPr="00485403">
        <w:rPr>
          <w:rFonts w:ascii="Times New Roman" w:eastAsia="華康楷書體W5" w:hAnsi="Times New Roman" w:cs="Times New Roman"/>
          <w:szCs w:val="24"/>
        </w:rPr>
        <w:t xml:space="preserve">– </w:t>
      </w:r>
      <w:r w:rsidRPr="00485403">
        <w:rPr>
          <w:rFonts w:ascii="Times New Roman" w:hAnsi="Times New Roman" w:cs="Times New Roman"/>
          <w:szCs w:val="24"/>
        </w:rPr>
        <w:t xml:space="preserve">short period of ownership supports the inference that the Property was acquired for trading </w:t>
      </w:r>
      <w:r w:rsidRPr="00485403">
        <w:rPr>
          <w:rFonts w:ascii="Times New Roman" w:eastAsia="華康楷書體W5" w:hAnsi="Times New Roman" w:cs="Times New Roman"/>
          <w:szCs w:val="24"/>
        </w:rPr>
        <w:t>–</w:t>
      </w:r>
      <w:r w:rsidRPr="00485403">
        <w:rPr>
          <w:rFonts w:ascii="Times New Roman" w:hAnsi="Times New Roman" w:cs="Times New Roman"/>
          <w:szCs w:val="24"/>
        </w:rPr>
        <w:t xml:space="preserve"> badges of trade</w:t>
      </w:r>
      <w:r w:rsidRPr="00485403">
        <w:rPr>
          <w:rFonts w:ascii="Times New Roman" w:eastAsia="華康楷書體W5" w:hAnsi="Times New Roman" w:cs="Times New Roman"/>
          <w:szCs w:val="24"/>
        </w:rPr>
        <w:t xml:space="preserve"> </w:t>
      </w:r>
      <w:r w:rsidRPr="00485403">
        <w:rPr>
          <w:rFonts w:ascii="Times New Roman" w:eastAsia="華康楷書體W5" w:hAnsi="Times New Roman" w:cs="Times New Roman"/>
          <w:szCs w:val="24"/>
          <w:lang w:eastAsia="zh-HK"/>
        </w:rPr>
        <w:t xml:space="preserve">  </w:t>
      </w:r>
      <w:r w:rsidRPr="00485403">
        <w:rPr>
          <w:rFonts w:ascii="Times New Roman" w:eastAsia="華康楷書體W5" w:hAnsi="Times New Roman" w:cs="Times New Roman"/>
          <w:szCs w:val="24"/>
        </w:rPr>
        <w:t xml:space="preserve">   </w:t>
      </w: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szCs w:val="24"/>
        </w:rPr>
      </w:pPr>
    </w:p>
    <w:p w:rsidR="00B94AC2" w:rsidRPr="00485403" w:rsidRDefault="00B94AC2" w:rsidP="00B94AC2">
      <w:pPr>
        <w:tabs>
          <w:tab w:val="left" w:pos="0"/>
          <w:tab w:val="left" w:pos="1276"/>
        </w:tabs>
        <w:overflowPunct w:val="0"/>
        <w:autoSpaceDE w:val="0"/>
        <w:autoSpaceDN w:val="0"/>
        <w:ind w:rightChars="-29" w:right="-70"/>
        <w:jc w:val="both"/>
        <w:rPr>
          <w:rFonts w:ascii="Times New Roman" w:eastAsia="華康楷書體W5" w:hAnsi="Times New Roman" w:cs="Times New Roman"/>
          <w:szCs w:val="24"/>
        </w:rPr>
      </w:pPr>
      <w:r w:rsidRPr="00485403">
        <w:rPr>
          <w:rFonts w:ascii="Times New Roman" w:eastAsia="華康楷書體W5" w:hAnsi="Times New Roman" w:cs="Times New Roman"/>
          <w:szCs w:val="24"/>
        </w:rPr>
        <w:t>Panel: Maurice Joseph Chan (chairm</w:t>
      </w:r>
      <w:r w:rsidRPr="00485403">
        <w:rPr>
          <w:rFonts w:ascii="Times New Roman" w:eastAsia="華康楷書體W5" w:hAnsi="Times New Roman" w:cs="Times New Roman"/>
          <w:szCs w:val="24"/>
          <w:lang w:eastAsia="zh-HK"/>
        </w:rPr>
        <w:t>an</w:t>
      </w:r>
      <w:r w:rsidRPr="00485403">
        <w:rPr>
          <w:rFonts w:ascii="Times New Roman" w:eastAsia="華康楷書體W5" w:hAnsi="Times New Roman" w:cs="Times New Roman"/>
          <w:szCs w:val="24"/>
        </w:rPr>
        <w:t>), Chan Kin Pun and</w:t>
      </w:r>
      <w:r w:rsidRPr="00485403">
        <w:rPr>
          <w:rFonts w:ascii="Times New Roman" w:hAnsi="Times New Roman" w:cs="Times New Roman"/>
        </w:rPr>
        <w:t xml:space="preserve"> </w:t>
      </w:r>
      <w:r w:rsidRPr="00485403">
        <w:rPr>
          <w:rFonts w:ascii="Times New Roman" w:eastAsia="華康楷書體W5" w:hAnsi="Times New Roman" w:cs="Times New Roman"/>
          <w:szCs w:val="24"/>
        </w:rPr>
        <w:t xml:space="preserve">Hui Lap </w:t>
      </w:r>
      <w:proofErr w:type="spellStart"/>
      <w:r w:rsidRPr="00485403">
        <w:rPr>
          <w:rFonts w:ascii="Times New Roman" w:eastAsia="華康楷書體W5" w:hAnsi="Times New Roman" w:cs="Times New Roman"/>
          <w:szCs w:val="24"/>
        </w:rPr>
        <w:t>Tak</w:t>
      </w:r>
      <w:proofErr w:type="spellEnd"/>
      <w:r w:rsidRPr="00485403">
        <w:rPr>
          <w:rFonts w:ascii="Times New Roman" w:eastAsia="華康楷書體W5" w:hAnsi="Times New Roman" w:cs="Times New Roman"/>
          <w:szCs w:val="24"/>
        </w:rPr>
        <w:t>.</w:t>
      </w:r>
    </w:p>
    <w:p w:rsidR="00B94AC2" w:rsidRPr="00485403" w:rsidRDefault="00B94AC2" w:rsidP="00B94AC2">
      <w:pPr>
        <w:tabs>
          <w:tab w:val="left" w:pos="0"/>
          <w:tab w:val="left" w:pos="1276"/>
        </w:tabs>
        <w:overflowPunct w:val="0"/>
        <w:autoSpaceDE w:val="0"/>
        <w:autoSpaceDN w:val="0"/>
        <w:ind w:rightChars="-29" w:right="-70"/>
        <w:jc w:val="both"/>
        <w:rPr>
          <w:rFonts w:ascii="Times New Roman" w:eastAsia="華康楷書體W5" w:hAnsi="Times New Roman" w:cs="Times New Roman"/>
          <w:szCs w:val="24"/>
        </w:rPr>
      </w:pP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485403">
        <w:rPr>
          <w:rFonts w:ascii="Times New Roman" w:eastAsia="華康楷書體W5" w:hAnsi="Times New Roman" w:cs="Times New Roman"/>
          <w:szCs w:val="24"/>
        </w:rPr>
        <w:t>Date of hearing:</w:t>
      </w:r>
      <w:r w:rsidRPr="00485403">
        <w:rPr>
          <w:rFonts w:ascii="Times New Roman" w:eastAsia="華康楷書體W5" w:hAnsi="Times New Roman" w:cs="Times New Roman"/>
          <w:szCs w:val="24"/>
          <w:lang w:eastAsia="zh-HK"/>
        </w:rPr>
        <w:t xml:space="preserve"> 1 December 2020.</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rPr>
      </w:pPr>
      <w:r w:rsidRPr="00485403">
        <w:rPr>
          <w:rFonts w:ascii="Times New Roman" w:eastAsia="華康楷書體W5" w:hAnsi="Times New Roman" w:cs="Times New Roman"/>
          <w:szCs w:val="24"/>
        </w:rPr>
        <w:t xml:space="preserve">Date of decision: </w:t>
      </w:r>
      <w:r w:rsidRPr="00485403">
        <w:rPr>
          <w:rFonts w:ascii="Times New Roman" w:hAnsi="Times New Roman" w:cs="Times New Roman"/>
          <w:szCs w:val="24"/>
          <w:lang w:eastAsia="zh-HK"/>
        </w:rPr>
        <w:t>29 November 2022.</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3174BA" w:rsidRPr="00485403" w:rsidRDefault="003174BA"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overflowPunct w:val="0"/>
        <w:autoSpaceDE w:val="0"/>
        <w:autoSpaceDN w:val="0"/>
        <w:ind w:firstLine="1080"/>
        <w:jc w:val="both"/>
        <w:rPr>
          <w:rFonts w:ascii="Times New Roman" w:eastAsia="華康楷書體W5" w:hAnsi="Times New Roman" w:cs="Times New Roman"/>
          <w:szCs w:val="24"/>
          <w:lang w:eastAsia="zh-HK"/>
        </w:rPr>
      </w:pPr>
      <w:r w:rsidRPr="00485403">
        <w:rPr>
          <w:rFonts w:ascii="Times New Roman" w:hAnsi="Times New Roman" w:cs="Times New Roman"/>
          <w:szCs w:val="24"/>
        </w:rPr>
        <w:t xml:space="preserve">The Appellants entered into the preliminary sale and purchase agreement to acquire the Property on 8 October 2012, and the Property was assigned to them on 26 October 2012.  On 21 January 2013, the Appellants entered into the preliminary sale and purchase agreement to sell the Property on 21 January 2013, and the Property was assigned to the purchaser on 8 April 2013. </w:t>
      </w:r>
      <w:r w:rsidRPr="00485403">
        <w:rPr>
          <w:rFonts w:ascii="Times New Roman" w:eastAsia="華康楷書體W5" w:hAnsi="Times New Roman" w:cs="Times New Roman"/>
          <w:szCs w:val="24"/>
          <w:lang w:eastAsia="zh-HK"/>
        </w:rPr>
        <w:t xml:space="preserve">The Assessor was of the view that the gain on the disposal of the property was revenue in nature and should be chargeable to profits tax. The Assessor raised the Appellant profits tax assessment. The Appellant </w:t>
      </w:r>
      <w:r w:rsidRPr="00485403">
        <w:rPr>
          <w:rFonts w:ascii="Times New Roman" w:hAnsi="Times New Roman" w:cs="Times New Roman"/>
          <w:szCs w:val="24"/>
        </w:rPr>
        <w:t>repeatedly stated that the property was acquired by the Appellants for the purpose of earning rental income. The reason for selling the Property was only that they found the costs of maintaining or leasing out the Property was so high that it was out of their expectation. The Appellants had attempted to lease the Property, but it was unsuccessful, and hence they had no choice but to sell the Property.</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overflowPunct w:val="0"/>
        <w:autoSpaceDE w:val="0"/>
        <w:autoSpaceDN w:val="0"/>
        <w:ind w:firstLine="1080"/>
        <w:jc w:val="both"/>
        <w:rPr>
          <w:rFonts w:ascii="Times New Roman" w:eastAsia="華康楷書體W5" w:hAnsi="Times New Roman" w:cs="Times New Roman"/>
          <w:szCs w:val="24"/>
          <w:lang w:eastAsia="zh-HK"/>
        </w:rPr>
      </w:pPr>
      <w:r w:rsidRPr="00485403">
        <w:rPr>
          <w:rFonts w:ascii="Times New Roman" w:eastAsia="華康楷書體W5" w:hAnsi="Times New Roman" w:cs="Times New Roman"/>
          <w:szCs w:val="24"/>
          <w:lang w:eastAsia="zh-HK"/>
        </w:rPr>
        <w:t xml:space="preserve">The issue of this appeal is whether the Appellant’s profits derived from the disposal of the property was trading profits, and hence chargeable to profits tax.  </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overflowPunct w:val="0"/>
        <w:autoSpaceDE w:val="0"/>
        <w:autoSpaceDN w:val="0"/>
        <w:ind w:firstLine="1080"/>
        <w:jc w:val="both"/>
        <w:rPr>
          <w:rFonts w:ascii="Times New Roman" w:eastAsia="華康楷書體W5" w:hAnsi="Times New Roman" w:cs="Times New Roman"/>
          <w:b/>
          <w:szCs w:val="24"/>
          <w:lang w:eastAsia="zh-HK"/>
        </w:rPr>
      </w:pPr>
      <w:r w:rsidRPr="00485403">
        <w:rPr>
          <w:rFonts w:ascii="Times New Roman" w:eastAsia="華康楷書體W5" w:hAnsi="Times New Roman" w:cs="Times New Roman"/>
          <w:b/>
          <w:szCs w:val="24"/>
          <w:lang w:eastAsia="zh-HK"/>
        </w:rPr>
        <w:t xml:space="preserve">Held: </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pStyle w:val="ac"/>
        <w:numPr>
          <w:ilvl w:val="0"/>
          <w:numId w:val="17"/>
        </w:numPr>
        <w:overflowPunct w:val="0"/>
        <w:autoSpaceDE w:val="0"/>
        <w:autoSpaceDN w:val="0"/>
        <w:ind w:leftChars="450" w:left="1560" w:hangingChars="200" w:hanging="480"/>
        <w:jc w:val="both"/>
        <w:rPr>
          <w:rFonts w:ascii="Times New Roman" w:hAnsi="Times New Roman" w:cs="Times New Roman"/>
          <w:szCs w:val="24"/>
        </w:rPr>
      </w:pPr>
      <w:r w:rsidRPr="00485403">
        <w:rPr>
          <w:rFonts w:ascii="Times New Roman" w:eastAsia="華康楷書體W5" w:hAnsi="Times New Roman" w:cs="Times New Roman"/>
          <w:szCs w:val="24"/>
          <w:lang w:eastAsia="zh-HK"/>
        </w:rPr>
        <w:t xml:space="preserve">Pursuant to section 68(4) of the Inland Revenue Ordinance, the onus of proving that the profits tax assessment is excessive or incorrect is on the Appellant. </w:t>
      </w:r>
      <w:r w:rsidRPr="00485403">
        <w:rPr>
          <w:rFonts w:ascii="Times New Roman" w:hAnsi="Times New Roman" w:cs="Times New Roman"/>
          <w:szCs w:val="24"/>
        </w:rPr>
        <w:t xml:space="preserve">Hence, to succeed in the appeal, the Appellants must show to the Board’s satisfaction, by way of credible and accepted evidence, that the Property was a capital asset.  </w:t>
      </w:r>
    </w:p>
    <w:p w:rsidR="00B94AC2" w:rsidRPr="00485403" w:rsidRDefault="00B94AC2" w:rsidP="00B94AC2">
      <w:pPr>
        <w:pStyle w:val="ac"/>
        <w:overflowPunct w:val="0"/>
        <w:autoSpaceDE w:val="0"/>
        <w:autoSpaceDN w:val="0"/>
        <w:ind w:firstLine="480"/>
        <w:jc w:val="both"/>
        <w:rPr>
          <w:rFonts w:ascii="Times New Roman" w:hAnsi="Times New Roman" w:cs="Times New Roman"/>
          <w:szCs w:val="24"/>
        </w:rPr>
      </w:pPr>
    </w:p>
    <w:p w:rsidR="00B94AC2" w:rsidRPr="00485403" w:rsidRDefault="00B94AC2" w:rsidP="00B94AC2">
      <w:pPr>
        <w:pStyle w:val="ac"/>
        <w:numPr>
          <w:ilvl w:val="0"/>
          <w:numId w:val="17"/>
        </w:numPr>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sidRPr="00485403">
        <w:rPr>
          <w:rFonts w:ascii="Times New Roman" w:hAnsi="Times New Roman" w:cs="Times New Roman"/>
          <w:szCs w:val="24"/>
        </w:rPr>
        <w:t xml:space="preserve">The Board considers that such short period of ownership supports the inference that the Property was acquired for trading. The disposal of the Property within such short period of time was also contrary to the contention of the Appellants that they acquired the Property for long-term investment.  The Appellants also failed to provide any credible (oral or documentary) evidence to support that their stated intention was genuinely </w:t>
      </w:r>
      <w:r w:rsidRPr="00485403">
        <w:rPr>
          <w:rFonts w:ascii="Times New Roman" w:hAnsi="Times New Roman" w:cs="Times New Roman"/>
          <w:szCs w:val="24"/>
        </w:rPr>
        <w:lastRenderedPageBreak/>
        <w:t>held.</w:t>
      </w:r>
    </w:p>
    <w:p w:rsidR="00B94AC2" w:rsidRPr="00485403" w:rsidRDefault="00B94AC2" w:rsidP="00B94AC2">
      <w:pPr>
        <w:pStyle w:val="ac"/>
        <w:rPr>
          <w:rFonts w:ascii="Times New Roman" w:eastAsia="華康楷書體W5" w:hAnsi="Times New Roman" w:cs="Times New Roman"/>
          <w:szCs w:val="24"/>
          <w:lang w:eastAsia="zh-HK"/>
        </w:rPr>
      </w:pPr>
    </w:p>
    <w:p w:rsidR="00B94AC2" w:rsidRPr="00485403" w:rsidRDefault="00B94AC2" w:rsidP="00B94AC2">
      <w:pPr>
        <w:pStyle w:val="ac"/>
        <w:numPr>
          <w:ilvl w:val="0"/>
          <w:numId w:val="17"/>
        </w:numPr>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sidRPr="00485403">
        <w:rPr>
          <w:rFonts w:ascii="Times New Roman" w:hAnsi="Times New Roman" w:cs="Times New Roman"/>
          <w:szCs w:val="24"/>
        </w:rPr>
        <w:t>Upon a holistic consideration of the circumstances of the case, and particularly in light of the commonly known badges of trade, we find as a fact that the Appellants had acquired the Property for trading purpose rather than for investment purposes (</w:t>
      </w:r>
      <w:r w:rsidRPr="00485403">
        <w:rPr>
          <w:rFonts w:ascii="Times New Roman" w:eastAsia="新細明體" w:hAnsi="Times New Roman" w:cs="Times New Roman"/>
          <w:szCs w:val="24"/>
          <w:u w:val="single"/>
        </w:rPr>
        <w:t xml:space="preserve">Lee Yee </w:t>
      </w:r>
      <w:proofErr w:type="spellStart"/>
      <w:r w:rsidRPr="00485403">
        <w:rPr>
          <w:rFonts w:ascii="Times New Roman" w:eastAsia="新細明體" w:hAnsi="Times New Roman" w:cs="Times New Roman"/>
          <w:szCs w:val="24"/>
          <w:u w:val="single"/>
        </w:rPr>
        <w:t>Shing</w:t>
      </w:r>
      <w:proofErr w:type="spellEnd"/>
      <w:r w:rsidRPr="00485403">
        <w:rPr>
          <w:rFonts w:ascii="Times New Roman" w:eastAsia="新細明體" w:hAnsi="Times New Roman" w:cs="Times New Roman"/>
          <w:szCs w:val="24"/>
          <w:u w:val="single"/>
        </w:rPr>
        <w:t xml:space="preserve"> v Commissioner of Inland Revenue</w:t>
      </w:r>
      <w:r w:rsidRPr="00485403">
        <w:rPr>
          <w:rFonts w:ascii="Times New Roman" w:eastAsia="新細明體" w:hAnsi="Times New Roman" w:cs="Times New Roman"/>
          <w:szCs w:val="24"/>
        </w:rPr>
        <w:t xml:space="preserve"> (2008) 11 HKCFAR 6 followed)</w:t>
      </w:r>
      <w:r w:rsidRPr="00485403">
        <w:rPr>
          <w:rFonts w:ascii="Times New Roman" w:hAnsi="Times New Roman" w:cs="Times New Roman"/>
          <w:szCs w:val="24"/>
        </w:rPr>
        <w:t xml:space="preserve">. </w:t>
      </w:r>
    </w:p>
    <w:p w:rsidR="00B94AC2" w:rsidRPr="00485403" w:rsidRDefault="00B94AC2" w:rsidP="00B94AC2">
      <w:pPr>
        <w:pStyle w:val="ac"/>
        <w:rPr>
          <w:rFonts w:ascii="Times New Roman" w:hAnsi="Times New Roman" w:cs="Times New Roman"/>
          <w:szCs w:val="24"/>
        </w:rPr>
      </w:pPr>
    </w:p>
    <w:p w:rsidR="00B94AC2" w:rsidRPr="00485403" w:rsidRDefault="00B94AC2" w:rsidP="00B94AC2">
      <w:pPr>
        <w:pStyle w:val="ac"/>
        <w:numPr>
          <w:ilvl w:val="0"/>
          <w:numId w:val="17"/>
        </w:numPr>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sidRPr="00485403">
        <w:rPr>
          <w:rFonts w:ascii="Times New Roman" w:hAnsi="Times New Roman" w:cs="Times New Roman"/>
          <w:szCs w:val="24"/>
        </w:rPr>
        <w:t xml:space="preserve">Further or alternatively, we find that the Appellants have failed to discharge their burden of proof under section 68(4) of the Ordinance to show that the Property was acquired for </w:t>
      </w:r>
      <w:proofErr w:type="spellStart"/>
      <w:r w:rsidRPr="00485403">
        <w:rPr>
          <w:rFonts w:ascii="Times New Roman" w:hAnsi="Times New Roman" w:cs="Times New Roman"/>
          <w:szCs w:val="24"/>
        </w:rPr>
        <w:t>non trading</w:t>
      </w:r>
      <w:proofErr w:type="spellEnd"/>
      <w:r w:rsidRPr="00485403">
        <w:rPr>
          <w:rFonts w:ascii="Times New Roman" w:hAnsi="Times New Roman" w:cs="Times New Roman"/>
          <w:szCs w:val="24"/>
        </w:rPr>
        <w:t xml:space="preserve"> purposes. For all the above reasons, we make a finding of fact that in all likelihood, that the Property was acquired as a capital asset for short term trading rather than for long term investment purposes.</w:t>
      </w: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tabs>
          <w:tab w:val="left" w:pos="840"/>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b/>
          <w:szCs w:val="24"/>
          <w:lang w:eastAsia="zh-HK"/>
        </w:rPr>
      </w:pPr>
      <w:r w:rsidRPr="00485403">
        <w:rPr>
          <w:rFonts w:ascii="Times New Roman" w:eastAsia="華康楷書體W5" w:hAnsi="Times New Roman" w:cs="Times New Roman"/>
          <w:b/>
          <w:szCs w:val="24"/>
          <w:lang w:eastAsia="zh-HK"/>
        </w:rPr>
        <w:t>Appeal dismissed.</w:t>
      </w: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tabs>
          <w:tab w:val="left" w:pos="1276"/>
        </w:tabs>
        <w:overflowPunct w:val="0"/>
        <w:autoSpaceDE w:val="0"/>
        <w:autoSpaceDN w:val="0"/>
        <w:ind w:left="1620" w:rightChars="-29" w:right="-70" w:hanging="1620"/>
        <w:jc w:val="both"/>
        <w:rPr>
          <w:rFonts w:ascii="Times New Roman" w:eastAsia="新細明體" w:hAnsi="Times New Roman" w:cs="Times New Roman"/>
          <w:color w:val="000000"/>
          <w:szCs w:val="24"/>
        </w:rPr>
      </w:pPr>
      <w:r w:rsidRPr="00485403">
        <w:rPr>
          <w:rFonts w:ascii="Times New Roman" w:eastAsia="新細明體" w:hAnsi="Times New Roman" w:cs="Times New Roman"/>
          <w:color w:val="000000"/>
          <w:szCs w:val="24"/>
        </w:rPr>
        <w:t>Cases referred to:</w:t>
      </w: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color w:val="FF0000"/>
          <w:szCs w:val="24"/>
          <w:lang w:eastAsia="zh-HK"/>
        </w:rPr>
      </w:pPr>
    </w:p>
    <w:p w:rsidR="00B94AC2" w:rsidRPr="00485403" w:rsidRDefault="00B94AC2" w:rsidP="00B94AC2">
      <w:pPr>
        <w:overflowPunct w:val="0"/>
        <w:autoSpaceDE w:val="0"/>
        <w:autoSpaceDN w:val="0"/>
        <w:ind w:leftChars="355" w:left="1212" w:hangingChars="150" w:hanging="360"/>
        <w:jc w:val="both"/>
        <w:rPr>
          <w:rFonts w:ascii="Times New Roman" w:eastAsia="華康楷書體W5" w:hAnsi="Times New Roman" w:cs="Times New Roman"/>
          <w:szCs w:val="24"/>
          <w:lang w:val="en" w:eastAsia="zh-HK"/>
        </w:rPr>
      </w:pPr>
      <w:r w:rsidRPr="00485403">
        <w:rPr>
          <w:rFonts w:ascii="Times New Roman" w:eastAsia="華康楷書體W5" w:hAnsi="Times New Roman" w:cs="Times New Roman"/>
          <w:szCs w:val="24"/>
          <w:lang w:val="en" w:eastAsia="zh-HK"/>
        </w:rPr>
        <w:t>Lionel Simmons Properties Limited (in liquidation) and others v Commissioners of Inland Revenue [1980] 2 All ER 798</w:t>
      </w:r>
    </w:p>
    <w:p w:rsidR="00B94AC2" w:rsidRPr="00485403" w:rsidRDefault="00B94AC2" w:rsidP="003174BA">
      <w:pPr>
        <w:overflowPunct w:val="0"/>
        <w:autoSpaceDE w:val="0"/>
        <w:autoSpaceDN w:val="0"/>
        <w:ind w:left="360" w:hangingChars="150" w:hanging="360"/>
        <w:jc w:val="both"/>
        <w:rPr>
          <w:rFonts w:ascii="Times New Roman" w:eastAsia="華康楷書體W5" w:hAnsi="Times New Roman" w:cs="Times New Roman"/>
          <w:szCs w:val="24"/>
          <w:lang w:val="en" w:eastAsia="zh-HK"/>
        </w:rPr>
      </w:pPr>
      <w:r w:rsidRPr="00485403">
        <w:rPr>
          <w:rFonts w:ascii="Times New Roman" w:eastAsia="華康楷書體W5" w:hAnsi="Times New Roman" w:cs="Times New Roman"/>
          <w:szCs w:val="24"/>
          <w:lang w:val="en" w:eastAsia="zh-HK"/>
        </w:rPr>
        <w:tab/>
      </w:r>
      <w:r w:rsidR="003174BA" w:rsidRPr="00485403">
        <w:rPr>
          <w:rFonts w:ascii="Times New Roman" w:eastAsia="華康楷書體W5" w:hAnsi="Times New Roman" w:cs="Times New Roman"/>
          <w:szCs w:val="24"/>
          <w:lang w:val="en" w:eastAsia="zh-HK"/>
        </w:rPr>
        <w:tab/>
      </w:r>
      <w:r w:rsidRPr="00485403">
        <w:rPr>
          <w:rFonts w:ascii="Times New Roman" w:eastAsia="華康楷書體W5" w:hAnsi="Times New Roman" w:cs="Times New Roman"/>
          <w:szCs w:val="24"/>
          <w:lang w:val="en" w:eastAsia="zh-HK"/>
        </w:rPr>
        <w:t>All Best Wishes Limited v Commissioner of Inland Revenue (1992) 3 HKTC 750</w:t>
      </w:r>
    </w:p>
    <w:p w:rsidR="00B94AC2" w:rsidRPr="00485403" w:rsidRDefault="00B94AC2" w:rsidP="003174BA">
      <w:pPr>
        <w:overflowPunct w:val="0"/>
        <w:autoSpaceDE w:val="0"/>
        <w:autoSpaceDN w:val="0"/>
        <w:ind w:left="360" w:hangingChars="150" w:hanging="360"/>
        <w:jc w:val="both"/>
        <w:rPr>
          <w:rFonts w:ascii="Times New Roman" w:eastAsia="新細明體" w:hAnsi="Times New Roman" w:cs="Times New Roman"/>
          <w:szCs w:val="24"/>
        </w:rPr>
      </w:pPr>
      <w:r w:rsidRPr="00485403">
        <w:rPr>
          <w:rFonts w:ascii="Times New Roman" w:eastAsia="華康楷書體W5" w:hAnsi="Times New Roman" w:cs="Times New Roman"/>
          <w:szCs w:val="24"/>
          <w:lang w:eastAsia="zh-HK"/>
        </w:rPr>
        <w:tab/>
      </w:r>
      <w:r w:rsidR="003174BA" w:rsidRPr="00485403">
        <w:rPr>
          <w:rFonts w:ascii="Times New Roman" w:eastAsia="華康楷書體W5" w:hAnsi="Times New Roman" w:cs="Times New Roman"/>
          <w:szCs w:val="24"/>
          <w:lang w:eastAsia="zh-HK"/>
        </w:rPr>
        <w:tab/>
      </w:r>
      <w:proofErr w:type="spellStart"/>
      <w:r w:rsidRPr="00485403">
        <w:rPr>
          <w:rFonts w:ascii="Times New Roman" w:eastAsia="新細明體" w:hAnsi="Times New Roman" w:cs="Times New Roman"/>
          <w:szCs w:val="24"/>
        </w:rPr>
        <w:t>Marson</w:t>
      </w:r>
      <w:proofErr w:type="spellEnd"/>
      <w:r w:rsidRPr="00485403">
        <w:rPr>
          <w:rFonts w:ascii="Times New Roman" w:eastAsia="新細明體" w:hAnsi="Times New Roman" w:cs="Times New Roman"/>
          <w:szCs w:val="24"/>
        </w:rPr>
        <w:t xml:space="preserve"> (Inspector of Taxes) v Morton and </w:t>
      </w:r>
      <w:proofErr w:type="gramStart"/>
      <w:r w:rsidRPr="00485403">
        <w:rPr>
          <w:rFonts w:ascii="Times New Roman" w:eastAsia="新細明體" w:hAnsi="Times New Roman" w:cs="Times New Roman"/>
          <w:szCs w:val="24"/>
        </w:rPr>
        <w:t>Others</w:t>
      </w:r>
      <w:proofErr w:type="gramEnd"/>
      <w:r w:rsidRPr="00485403">
        <w:rPr>
          <w:rFonts w:ascii="Times New Roman" w:eastAsia="新細明體" w:hAnsi="Times New Roman" w:cs="Times New Roman"/>
          <w:szCs w:val="24"/>
        </w:rPr>
        <w:t xml:space="preserve"> [1986] 1 WLR 1343</w:t>
      </w:r>
    </w:p>
    <w:p w:rsidR="00B94AC2" w:rsidRPr="00485403" w:rsidRDefault="00B94AC2" w:rsidP="003174BA">
      <w:pPr>
        <w:overflowPunct w:val="0"/>
        <w:autoSpaceDE w:val="0"/>
        <w:autoSpaceDN w:val="0"/>
        <w:ind w:left="360" w:hangingChars="150" w:hanging="360"/>
        <w:jc w:val="both"/>
        <w:rPr>
          <w:rFonts w:ascii="Times New Roman" w:eastAsia="華康楷書體W5" w:hAnsi="Times New Roman" w:cs="Times New Roman"/>
          <w:szCs w:val="24"/>
          <w:lang w:eastAsia="zh-HK"/>
        </w:rPr>
      </w:pPr>
      <w:r w:rsidRPr="00485403">
        <w:rPr>
          <w:rFonts w:ascii="Times New Roman" w:eastAsia="新細明體" w:hAnsi="Times New Roman" w:cs="Times New Roman"/>
          <w:szCs w:val="24"/>
        </w:rPr>
        <w:tab/>
      </w:r>
      <w:r w:rsidR="003174BA" w:rsidRPr="00485403">
        <w:rPr>
          <w:rFonts w:ascii="Times New Roman" w:eastAsia="新細明體" w:hAnsi="Times New Roman" w:cs="Times New Roman"/>
          <w:szCs w:val="24"/>
        </w:rPr>
        <w:tab/>
      </w:r>
      <w:r w:rsidRPr="00485403">
        <w:rPr>
          <w:rFonts w:ascii="Times New Roman" w:eastAsia="新細明體" w:hAnsi="Times New Roman" w:cs="Times New Roman"/>
          <w:szCs w:val="24"/>
        </w:rPr>
        <w:t xml:space="preserve">Lee Yee </w:t>
      </w:r>
      <w:proofErr w:type="spellStart"/>
      <w:r w:rsidRPr="00485403">
        <w:rPr>
          <w:rFonts w:ascii="Times New Roman" w:eastAsia="新細明體" w:hAnsi="Times New Roman" w:cs="Times New Roman"/>
          <w:szCs w:val="24"/>
        </w:rPr>
        <w:t>Shing</w:t>
      </w:r>
      <w:proofErr w:type="spellEnd"/>
      <w:r w:rsidRPr="00485403">
        <w:rPr>
          <w:rFonts w:ascii="Times New Roman" w:eastAsia="新細明體" w:hAnsi="Times New Roman" w:cs="Times New Roman"/>
          <w:szCs w:val="24"/>
        </w:rPr>
        <w:t xml:space="preserve"> v Commissioner of Inland Revenue (2008) 11 HKCFAR 6</w:t>
      </w:r>
    </w:p>
    <w:p w:rsidR="00B94AC2" w:rsidRPr="00485403" w:rsidRDefault="00B94AC2" w:rsidP="003174BA">
      <w:pPr>
        <w:overflowPunct w:val="0"/>
        <w:autoSpaceDE w:val="0"/>
        <w:autoSpaceDN w:val="0"/>
        <w:ind w:left="360" w:hangingChars="150" w:hanging="360"/>
        <w:jc w:val="both"/>
        <w:rPr>
          <w:rFonts w:ascii="Times New Roman" w:eastAsia="新細明體" w:hAnsi="Times New Roman" w:cs="Times New Roman"/>
          <w:szCs w:val="24"/>
        </w:rPr>
      </w:pPr>
      <w:r w:rsidRPr="00485403">
        <w:rPr>
          <w:rFonts w:ascii="Times New Roman" w:eastAsia="華康楷書體W5" w:hAnsi="Times New Roman" w:cs="Times New Roman"/>
          <w:szCs w:val="24"/>
          <w:lang w:eastAsia="zh-HK"/>
        </w:rPr>
        <w:tab/>
      </w:r>
      <w:r w:rsidR="003174BA" w:rsidRPr="00485403">
        <w:rPr>
          <w:rFonts w:ascii="Times New Roman" w:eastAsia="華康楷書體W5" w:hAnsi="Times New Roman" w:cs="Times New Roman"/>
          <w:szCs w:val="24"/>
          <w:lang w:eastAsia="zh-HK"/>
        </w:rPr>
        <w:tab/>
      </w:r>
      <w:r w:rsidRPr="00485403">
        <w:rPr>
          <w:rFonts w:ascii="Times New Roman" w:eastAsia="新細明體" w:hAnsi="Times New Roman" w:cs="Times New Roman"/>
          <w:szCs w:val="24"/>
        </w:rPr>
        <w:t>Commissioner of Inland Revenue v Crown Brilliance Ltd [2016] 3 HKC 140</w:t>
      </w:r>
    </w:p>
    <w:p w:rsidR="00B94AC2" w:rsidRPr="00485403" w:rsidRDefault="00B94AC2" w:rsidP="003174BA">
      <w:pPr>
        <w:overflowPunct w:val="0"/>
        <w:autoSpaceDE w:val="0"/>
        <w:autoSpaceDN w:val="0"/>
        <w:ind w:leftChars="355" w:left="1212" w:hangingChars="150" w:hanging="360"/>
        <w:jc w:val="both"/>
        <w:rPr>
          <w:rFonts w:ascii="Times New Roman" w:eastAsia="新細明體" w:hAnsi="Times New Roman" w:cs="Times New Roman"/>
          <w:szCs w:val="24"/>
        </w:rPr>
      </w:pPr>
      <w:r w:rsidRPr="00485403">
        <w:rPr>
          <w:rFonts w:ascii="Times New Roman" w:eastAsia="新細明體" w:hAnsi="Times New Roman" w:cs="Times New Roman"/>
          <w:szCs w:val="24"/>
        </w:rPr>
        <w:t>Real Estate Investments (NT) Ltd v Commissioner of Inland Revenue (2008) 11 HKCFAR 433</w:t>
      </w:r>
    </w:p>
    <w:p w:rsidR="00B94AC2" w:rsidRPr="00485403" w:rsidRDefault="00B94AC2" w:rsidP="00B94AC2">
      <w:pPr>
        <w:tabs>
          <w:tab w:val="left" w:pos="630"/>
        </w:tabs>
        <w:overflowPunct w:val="0"/>
        <w:autoSpaceDE w:val="0"/>
        <w:autoSpaceDN w:val="0"/>
        <w:ind w:rightChars="-29" w:right="-70"/>
        <w:jc w:val="both"/>
        <w:rPr>
          <w:rFonts w:ascii="Times New Roman" w:eastAsia="華康楷書體W5" w:hAnsi="Times New Roman" w:cs="Times New Roman"/>
          <w:szCs w:val="24"/>
          <w:lang w:eastAsia="zh-HK"/>
        </w:rPr>
      </w:pPr>
    </w:p>
    <w:p w:rsidR="00B94AC2" w:rsidRPr="00485403" w:rsidRDefault="00B94AC2" w:rsidP="00B94AC2">
      <w:pPr>
        <w:tabs>
          <w:tab w:val="left" w:pos="1276"/>
        </w:tabs>
        <w:overflowPunct w:val="0"/>
        <w:autoSpaceDE w:val="0"/>
        <w:autoSpaceDN w:val="0"/>
        <w:ind w:rightChars="-29" w:right="-70"/>
        <w:jc w:val="both"/>
        <w:rPr>
          <w:rFonts w:ascii="Times New Roman" w:eastAsia="華康楷書體W5" w:hAnsi="Times New Roman" w:cs="Times New Roman"/>
          <w:szCs w:val="24"/>
          <w:lang w:eastAsia="zh-HK"/>
        </w:rPr>
      </w:pPr>
      <w:r w:rsidRPr="00485403">
        <w:rPr>
          <w:rFonts w:ascii="Times New Roman" w:eastAsia="華康楷書體W5" w:hAnsi="Times New Roman" w:cs="Times New Roman"/>
          <w:szCs w:val="24"/>
          <w:lang w:eastAsia="zh-HK"/>
        </w:rPr>
        <w:t>Marco Wong, CPA of World Smart Accounting Services Limited, for the Appellants.</w:t>
      </w:r>
    </w:p>
    <w:p w:rsidR="00B94AC2" w:rsidRPr="00485403" w:rsidRDefault="00B94AC2" w:rsidP="00B94AC2">
      <w:pPr>
        <w:tabs>
          <w:tab w:val="left" w:pos="1276"/>
        </w:tabs>
        <w:overflowPunct w:val="0"/>
        <w:autoSpaceDE w:val="0"/>
        <w:autoSpaceDN w:val="0"/>
        <w:ind w:left="390" w:rightChars="-29" w:right="-70" w:hangingChars="150" w:hanging="390"/>
        <w:jc w:val="both"/>
        <w:rPr>
          <w:rFonts w:ascii="Times New Roman" w:eastAsia="華康楷書體W5" w:hAnsi="Times New Roman" w:cs="Times New Roman"/>
          <w:szCs w:val="24"/>
          <w:lang w:eastAsia="zh-HK"/>
        </w:rPr>
      </w:pPr>
      <w:r w:rsidRPr="00485403">
        <w:rPr>
          <w:rFonts w:ascii="Times New Roman" w:hAnsi="Times New Roman" w:cs="Times New Roman"/>
          <w:sz w:val="26"/>
          <w:szCs w:val="26"/>
          <w:lang w:eastAsia="zh-HK"/>
        </w:rPr>
        <w:t xml:space="preserve">Chan </w:t>
      </w:r>
      <w:proofErr w:type="spellStart"/>
      <w:r w:rsidRPr="00485403">
        <w:rPr>
          <w:rFonts w:ascii="Times New Roman" w:hAnsi="Times New Roman" w:cs="Times New Roman"/>
          <w:sz w:val="26"/>
          <w:szCs w:val="26"/>
          <w:lang w:eastAsia="zh-HK"/>
        </w:rPr>
        <w:t>Wai</w:t>
      </w:r>
      <w:proofErr w:type="spellEnd"/>
      <w:r w:rsidRPr="00485403">
        <w:rPr>
          <w:rFonts w:ascii="Times New Roman" w:hAnsi="Times New Roman" w:cs="Times New Roman"/>
          <w:sz w:val="26"/>
          <w:szCs w:val="26"/>
          <w:lang w:eastAsia="zh-HK"/>
        </w:rPr>
        <w:t xml:space="preserve"> Lin</w:t>
      </w:r>
      <w:r w:rsidRPr="00485403">
        <w:rPr>
          <w:rFonts w:ascii="Times New Roman" w:eastAsia="華康楷書體W5" w:hAnsi="Times New Roman" w:cs="Times New Roman"/>
          <w:szCs w:val="24"/>
          <w:lang w:eastAsia="zh-HK"/>
        </w:rPr>
        <w:t xml:space="preserve">, Lai Ming Yee and </w:t>
      </w:r>
      <w:r w:rsidRPr="00485403">
        <w:rPr>
          <w:rFonts w:ascii="Times New Roman" w:hAnsi="Times New Roman" w:cs="Times New Roman"/>
          <w:sz w:val="26"/>
          <w:szCs w:val="26"/>
        </w:rPr>
        <w:t>Yun Rita,</w:t>
      </w:r>
      <w:r w:rsidRPr="00485403">
        <w:rPr>
          <w:rFonts w:ascii="Times New Roman" w:eastAsia="華康楷書體W5" w:hAnsi="Times New Roman" w:cs="Times New Roman"/>
          <w:szCs w:val="24"/>
          <w:lang w:eastAsia="zh-HK"/>
        </w:rPr>
        <w:t xml:space="preserve"> for the Commissioner of Inland Revenue.</w:t>
      </w:r>
    </w:p>
    <w:p w:rsidR="00B94AC2" w:rsidRPr="00485403" w:rsidRDefault="00B94AC2" w:rsidP="00844E04">
      <w:pPr>
        <w:overflowPunct w:val="0"/>
        <w:autoSpaceDE w:val="0"/>
        <w:autoSpaceDN w:val="0"/>
        <w:jc w:val="both"/>
        <w:rPr>
          <w:rFonts w:ascii="Times New Roman" w:eastAsia="新細明體" w:hAnsi="Times New Roman" w:cs="Times New Roman"/>
          <w:b/>
          <w:szCs w:val="24"/>
        </w:rPr>
      </w:pPr>
    </w:p>
    <w:p w:rsidR="00B94AC2" w:rsidRPr="00485403" w:rsidRDefault="00B94AC2" w:rsidP="00844E04">
      <w:pPr>
        <w:overflowPunct w:val="0"/>
        <w:autoSpaceDE w:val="0"/>
        <w:autoSpaceDN w:val="0"/>
        <w:jc w:val="both"/>
        <w:rPr>
          <w:rFonts w:ascii="Times New Roman" w:eastAsia="新細明體" w:hAnsi="Times New Roman" w:cs="Times New Roman"/>
          <w:b/>
          <w:szCs w:val="24"/>
        </w:rPr>
      </w:pPr>
    </w:p>
    <w:p w:rsidR="00823FD6" w:rsidRPr="00485403" w:rsidRDefault="00823FD6" w:rsidP="00844E04">
      <w:pPr>
        <w:overflowPunct w:val="0"/>
        <w:autoSpaceDE w:val="0"/>
        <w:autoSpaceDN w:val="0"/>
        <w:jc w:val="both"/>
        <w:rPr>
          <w:rFonts w:ascii="Times New Roman" w:eastAsia="新細明體" w:hAnsi="Times New Roman" w:cs="Times New Roman"/>
          <w:b/>
          <w:szCs w:val="24"/>
        </w:rPr>
      </w:pPr>
      <w:r w:rsidRPr="00485403">
        <w:rPr>
          <w:rFonts w:ascii="Times New Roman" w:eastAsia="新細明體" w:hAnsi="Times New Roman" w:cs="Times New Roman"/>
          <w:b/>
          <w:szCs w:val="24"/>
        </w:rPr>
        <w:t>Decision:</w:t>
      </w:r>
    </w:p>
    <w:p w:rsidR="000664F1" w:rsidRPr="00485403" w:rsidRDefault="000664F1" w:rsidP="00844E04">
      <w:pPr>
        <w:overflowPunct w:val="0"/>
        <w:autoSpaceDE w:val="0"/>
        <w:autoSpaceDN w:val="0"/>
        <w:jc w:val="both"/>
        <w:rPr>
          <w:rFonts w:ascii="Times New Roman" w:eastAsia="新細明體" w:hAnsi="Times New Roman" w:cs="Times New Roman"/>
          <w:b/>
          <w:szCs w:val="24"/>
        </w:rPr>
      </w:pPr>
    </w:p>
    <w:p w:rsidR="000664F1" w:rsidRPr="00485403" w:rsidRDefault="000664F1" w:rsidP="00844E04">
      <w:pPr>
        <w:overflowPunct w:val="0"/>
        <w:autoSpaceDE w:val="0"/>
        <w:autoSpaceDN w:val="0"/>
        <w:jc w:val="both"/>
        <w:rPr>
          <w:rFonts w:ascii="Times New Roman" w:eastAsia="新細明體" w:hAnsi="Times New Roman" w:cs="Times New Roman"/>
          <w:b/>
          <w:szCs w:val="24"/>
        </w:rPr>
      </w:pPr>
    </w:p>
    <w:p w:rsidR="00823FD6" w:rsidRPr="00485403" w:rsidRDefault="00823FD6" w:rsidP="00844E04">
      <w:pPr>
        <w:pStyle w:val="ac"/>
        <w:overflowPunct w:val="0"/>
        <w:autoSpaceDE w:val="0"/>
        <w:autoSpaceDN w:val="0"/>
        <w:ind w:leftChars="0" w:left="0"/>
        <w:jc w:val="both"/>
        <w:rPr>
          <w:rFonts w:ascii="Times New Roman" w:hAnsi="Times New Roman" w:cs="Times New Roman"/>
          <w:b/>
          <w:szCs w:val="24"/>
        </w:rPr>
      </w:pPr>
      <w:r w:rsidRPr="00485403">
        <w:rPr>
          <w:rFonts w:ascii="Times New Roman" w:hAnsi="Times New Roman" w:cs="Times New Roman"/>
          <w:b/>
          <w:szCs w:val="24"/>
        </w:rPr>
        <w:t>Background</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This is an appeal against the determination of the Deputy Commissioner of Inland Revenue dated 12 August 2020 </w:t>
      </w:r>
      <w:r w:rsidRPr="00485403">
        <w:rPr>
          <w:rFonts w:ascii="Times New Roman" w:hAnsi="Times New Roman" w:cs="Times New Roman"/>
          <w:b/>
          <w:bCs/>
          <w:szCs w:val="24"/>
        </w:rPr>
        <w:t>(‘the Determination’)</w:t>
      </w:r>
      <w:r w:rsidRPr="00485403">
        <w:rPr>
          <w:rFonts w:ascii="Times New Roman" w:hAnsi="Times New Roman" w:cs="Times New Roman"/>
          <w:szCs w:val="24"/>
        </w:rPr>
        <w:t xml:space="preserve">.  The Determination confirmed the Profits Tax Assessment for the year of assessment 2013/14 raised on the Appellants.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Marco WONG </w:t>
      </w:r>
      <w:r w:rsidRPr="00485403">
        <w:rPr>
          <w:rFonts w:ascii="Times New Roman" w:hAnsi="Times New Roman" w:cs="Times New Roman"/>
          <w:b/>
          <w:szCs w:val="24"/>
        </w:rPr>
        <w:t>(‘</w:t>
      </w:r>
      <w:proofErr w:type="spellStart"/>
      <w:r w:rsidRPr="00485403">
        <w:rPr>
          <w:rFonts w:ascii="Times New Roman" w:hAnsi="Times New Roman" w:cs="Times New Roman"/>
          <w:b/>
          <w:szCs w:val="24"/>
        </w:rPr>
        <w:t>Mr</w:t>
      </w:r>
      <w:proofErr w:type="spellEnd"/>
      <w:r w:rsidRPr="00485403">
        <w:rPr>
          <w:rFonts w:ascii="Times New Roman" w:hAnsi="Times New Roman" w:cs="Times New Roman"/>
          <w:b/>
          <w:szCs w:val="24"/>
        </w:rPr>
        <w:t xml:space="preserve"> WONG’)</w:t>
      </w:r>
      <w:r w:rsidRPr="00485403">
        <w:rPr>
          <w:rFonts w:ascii="Times New Roman" w:hAnsi="Times New Roman" w:cs="Times New Roman"/>
          <w:szCs w:val="24"/>
        </w:rPr>
        <w:t xml:space="preserve">, a certified public accountant of World Smart Accounting Services Limited (‘the Representative’), and Ms. </w:t>
      </w:r>
      <w:r w:rsidR="00AD10AB" w:rsidRPr="00485403">
        <w:rPr>
          <w:rFonts w:ascii="Times New Roman" w:hAnsi="Times New Roman" w:cs="Times New Roman"/>
          <w:szCs w:val="24"/>
        </w:rPr>
        <w:t>K</w:t>
      </w:r>
      <w:r w:rsidRPr="00485403">
        <w:rPr>
          <w:rFonts w:ascii="Times New Roman" w:hAnsi="Times New Roman" w:cs="Times New Roman"/>
          <w:szCs w:val="24"/>
        </w:rPr>
        <w:t xml:space="preserve">, being the </w:t>
      </w:r>
      <w:r w:rsidR="00AD10AB" w:rsidRPr="00485403">
        <w:rPr>
          <w:rFonts w:ascii="Times New Roman" w:hAnsi="Times New Roman" w:cs="Times New Roman"/>
          <w:szCs w:val="24"/>
        </w:rPr>
        <w:t>family member</w:t>
      </w:r>
      <w:r w:rsidRPr="00485403">
        <w:rPr>
          <w:rFonts w:ascii="Times New Roman" w:hAnsi="Times New Roman" w:cs="Times New Roman"/>
          <w:szCs w:val="24"/>
        </w:rPr>
        <w:t xml:space="preserve"> of </w:t>
      </w: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t>
      </w:r>
      <w:proofErr w:type="gramStart"/>
      <w:r w:rsidR="00D035D0" w:rsidRPr="00485403">
        <w:rPr>
          <w:rFonts w:ascii="Times New Roman" w:hAnsi="Times New Roman" w:cs="Times New Roman"/>
          <w:szCs w:val="24"/>
        </w:rPr>
        <w:t>A</w:t>
      </w:r>
      <w:proofErr w:type="gramEnd"/>
      <w:r w:rsidRPr="00485403">
        <w:rPr>
          <w:rFonts w:ascii="Times New Roman" w:hAnsi="Times New Roman" w:cs="Times New Roman"/>
          <w:szCs w:val="24"/>
        </w:rPr>
        <w:t xml:space="preserve">, one of the Appellants, appeared for the Appellants.  </w:t>
      </w: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WONG g</w:t>
      </w:r>
      <w:r w:rsidR="00CC7F6C" w:rsidRPr="00485403">
        <w:rPr>
          <w:rFonts w:ascii="Times New Roman" w:hAnsi="Times New Roman" w:cs="Times New Roman"/>
          <w:szCs w:val="24"/>
        </w:rPr>
        <w:t xml:space="preserve">ave the oral submission, and </w:t>
      </w:r>
      <w:proofErr w:type="spellStart"/>
      <w:r w:rsidR="00CC7F6C"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gave the oral evidence.   </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lastRenderedPageBreak/>
        <w:t>Facts</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With reference to the facts as agreed by the Appellants and other documents made available to us, we find the following facts relevant to this case: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By a preliminary sale and purchase agreement dated 8 October 2012, Mr. </w:t>
      </w:r>
      <w:r w:rsidR="00D035D0" w:rsidRPr="00485403">
        <w:rPr>
          <w:rFonts w:ascii="Times New Roman" w:hAnsi="Times New Roman" w:cs="Times New Roman"/>
          <w:szCs w:val="24"/>
        </w:rPr>
        <w:t>B</w:t>
      </w:r>
      <w:r w:rsidRPr="00485403">
        <w:rPr>
          <w:rFonts w:ascii="Times New Roman" w:hAnsi="Times New Roman" w:cs="Times New Roman"/>
          <w:szCs w:val="24"/>
        </w:rPr>
        <w:t xml:space="preserve"> purchased Office </w:t>
      </w:r>
      <w:proofErr w:type="gramStart"/>
      <w:r w:rsidRPr="00485403">
        <w:rPr>
          <w:rFonts w:ascii="Times New Roman" w:hAnsi="Times New Roman" w:cs="Times New Roman"/>
          <w:szCs w:val="24"/>
        </w:rPr>
        <w:t>A</w:t>
      </w:r>
      <w:proofErr w:type="gramEnd"/>
      <w:r w:rsidRPr="00485403">
        <w:rPr>
          <w:rFonts w:ascii="Times New Roman" w:hAnsi="Times New Roman" w:cs="Times New Roman"/>
          <w:szCs w:val="24"/>
        </w:rPr>
        <w:t xml:space="preserve">, </w:t>
      </w:r>
      <w:r w:rsidR="00D035D0" w:rsidRPr="00485403">
        <w:rPr>
          <w:rFonts w:ascii="Times New Roman" w:hAnsi="Times New Roman" w:cs="Times New Roman"/>
          <w:szCs w:val="24"/>
        </w:rPr>
        <w:t>Address C</w:t>
      </w:r>
      <w:r w:rsidRPr="00485403">
        <w:rPr>
          <w:rFonts w:ascii="Times New Roman" w:hAnsi="Times New Roman" w:cs="Times New Roman"/>
          <w:szCs w:val="24"/>
        </w:rPr>
        <w:t xml:space="preserve"> </w:t>
      </w:r>
      <w:r w:rsidRPr="00485403">
        <w:rPr>
          <w:rFonts w:ascii="Times New Roman" w:hAnsi="Times New Roman" w:cs="Times New Roman"/>
          <w:b/>
          <w:bCs/>
          <w:szCs w:val="24"/>
        </w:rPr>
        <w:t>(‘the Property’)</w:t>
      </w:r>
      <w:r w:rsidRPr="00485403">
        <w:rPr>
          <w:rFonts w:ascii="Times New Roman" w:hAnsi="Times New Roman" w:cs="Times New Roman"/>
          <w:szCs w:val="24"/>
        </w:rPr>
        <w:t xml:space="preserve"> at a price of $9,030,000.  The Property was assigned to the Appellants and purchase was completed on 26 October 2012.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By a provisional agreement for sale and purchase dated 21 January 2013, the Appellants sold the Property at a price of $10,800,000.  The purchase was completed on 8 April 2013. </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In response to the Assessor’s enquiries, the Appellants provided, among other things, the following information concerning the purchase and sale of the Property:</w:t>
      </w:r>
    </w:p>
    <w:p w:rsidR="00823FD6" w:rsidRPr="00485403" w:rsidRDefault="00823FD6" w:rsidP="00844E04">
      <w:pPr>
        <w:pStyle w:val="ac"/>
        <w:overflowPunct w:val="0"/>
        <w:autoSpaceDE w:val="0"/>
        <w:autoSpaceDN w:val="0"/>
        <w:jc w:val="both"/>
        <w:rPr>
          <w:rFonts w:ascii="Times New Roman" w:hAnsi="Times New Roman" w:cs="Times New Roman"/>
          <w:szCs w:val="24"/>
        </w:rPr>
      </w:pPr>
    </w:p>
    <w:tbl>
      <w:tblPr>
        <w:tblStyle w:val="a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3128"/>
        <w:gridCol w:w="763"/>
        <w:gridCol w:w="2790"/>
      </w:tblGrid>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roofErr w:type="spellStart"/>
            <w:r w:rsidRPr="00485403">
              <w:rPr>
                <w:rFonts w:ascii="Times New Roman" w:hAnsi="Times New Roman" w:cs="Times New Roman"/>
                <w:sz w:val="24"/>
                <w:szCs w:val="24"/>
              </w:rPr>
              <w:t>i</w:t>
            </w:r>
            <w:proofErr w:type="spellEnd"/>
            <w:r w:rsidRPr="00485403">
              <w:rPr>
                <w:rFonts w:ascii="Times New Roman" w:hAnsi="Times New Roman" w:cs="Times New Roman"/>
                <w:sz w:val="24"/>
                <w:szCs w:val="24"/>
              </w:rPr>
              <w:t>)</w:t>
            </w: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Intended or actual usage of the Property</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Letting</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(ii)</w:t>
            </w: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Reason for selling the Property</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52826">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The Appellants could not let out the Property several months after purchase and decided to dispose of the Property to reduce expenses on monthly mortgage interests and management fees.</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(iii)</w:t>
            </w: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Calculation of profits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Gross profits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1,770,000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Less: Expenses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Legal fee on purchase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25,000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Stamp duty</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338,625</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leftChars="300" w:left="720"/>
              <w:jc w:val="both"/>
              <w:rPr>
                <w:rFonts w:ascii="Times New Roman" w:hAnsi="Times New Roman" w:cs="Times New Roman"/>
                <w:sz w:val="24"/>
                <w:szCs w:val="24"/>
              </w:rPr>
            </w:pPr>
            <w:r w:rsidRPr="00485403">
              <w:rPr>
                <w:rFonts w:ascii="Times New Roman" w:hAnsi="Times New Roman" w:cs="Times New Roman"/>
                <w:sz w:val="24"/>
                <w:szCs w:val="24"/>
              </w:rPr>
              <w:t>Agency fee on purchase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35,000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Bank interest expense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51,410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Legal fees on sale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25,000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Agency fee on sale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90,000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Bank charges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91,300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leftChars="300" w:left="720"/>
              <w:jc w:val="both"/>
              <w:rPr>
                <w:rFonts w:ascii="Times New Roman" w:hAnsi="Times New Roman" w:cs="Times New Roman"/>
                <w:sz w:val="24"/>
                <w:szCs w:val="24"/>
              </w:rPr>
            </w:pPr>
            <w:r w:rsidRPr="00485403">
              <w:rPr>
                <w:rFonts w:ascii="Times New Roman" w:hAnsi="Times New Roman" w:cs="Times New Roman"/>
                <w:sz w:val="24"/>
                <w:szCs w:val="24"/>
              </w:rPr>
              <w:t xml:space="preserve">Building management </w:t>
            </w:r>
            <w:r w:rsidRPr="00485403">
              <w:rPr>
                <w:rFonts w:ascii="Times New Roman" w:hAnsi="Times New Roman" w:cs="Times New Roman"/>
                <w:sz w:val="24"/>
                <w:szCs w:val="24"/>
              </w:rPr>
              <w:lastRenderedPageBreak/>
              <w:t>fees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lastRenderedPageBreak/>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12,890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F63514">
            <w:pPr>
              <w:pStyle w:val="ac"/>
              <w:overflowPunct w:val="0"/>
              <w:autoSpaceDE w:val="0"/>
              <w:autoSpaceDN w:val="0"/>
              <w:ind w:firstLineChars="100" w:firstLine="240"/>
              <w:jc w:val="both"/>
              <w:rPr>
                <w:rFonts w:ascii="Times New Roman" w:hAnsi="Times New Roman" w:cs="Times New Roman"/>
                <w:sz w:val="24"/>
                <w:szCs w:val="24"/>
              </w:rPr>
            </w:pPr>
            <w:r w:rsidRPr="00485403">
              <w:rPr>
                <w:rFonts w:ascii="Times New Roman" w:hAnsi="Times New Roman" w:cs="Times New Roman"/>
                <w:sz w:val="24"/>
                <w:szCs w:val="24"/>
              </w:rPr>
              <w:t>Insurance</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u w:val="single"/>
              </w:rPr>
            </w:pPr>
            <w:r w:rsidRPr="00485403">
              <w:rPr>
                <w:rFonts w:ascii="Times New Roman" w:hAnsi="Times New Roman" w:cs="Times New Roman"/>
                <w:sz w:val="24"/>
                <w:szCs w:val="24"/>
                <w:u w:val="single"/>
              </w:rPr>
              <w:t>9,030</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Total expenses</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678,255</w:t>
            </w: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0664F1">
        <w:tc>
          <w:tcPr>
            <w:tcW w:w="7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8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Net profit</w:t>
            </w:r>
          </w:p>
        </w:tc>
        <w:tc>
          <w:tcPr>
            <w:tcW w:w="763"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r w:rsidRPr="00485403">
              <w:rPr>
                <w:rFonts w:ascii="Times New Roman" w:hAnsi="Times New Roman" w:cs="Times New Roman"/>
                <w:sz w:val="24"/>
                <w:szCs w:val="24"/>
              </w:rPr>
              <w:t>:</w:t>
            </w:r>
          </w:p>
        </w:tc>
        <w:tc>
          <w:tcPr>
            <w:tcW w:w="292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u w:val="double"/>
              </w:rPr>
            </w:pPr>
            <w:r w:rsidRPr="00485403">
              <w:rPr>
                <w:rFonts w:ascii="Times New Roman" w:hAnsi="Times New Roman" w:cs="Times New Roman"/>
                <w:sz w:val="24"/>
                <w:szCs w:val="24"/>
                <w:u w:val="double"/>
              </w:rPr>
              <w:t>1,091,745</w:t>
            </w:r>
          </w:p>
        </w:tc>
      </w:tr>
    </w:tbl>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The Assessor was of the view that the gain on the disposal of the Property was revenue in nature and should be chargeable to Profits Tax.  He raised on the Appellants the following Profits Tax assessment for the year of assessment 2013/14:</w:t>
      </w:r>
    </w:p>
    <w:p w:rsidR="00823FD6" w:rsidRPr="00485403" w:rsidRDefault="00823FD6" w:rsidP="00844E04">
      <w:pPr>
        <w:pStyle w:val="ac"/>
        <w:overflowPunct w:val="0"/>
        <w:autoSpaceDE w:val="0"/>
        <w:autoSpaceDN w:val="0"/>
        <w:jc w:val="both"/>
        <w:rPr>
          <w:rFonts w:ascii="Times New Roman" w:hAnsi="Times New Roman" w:cs="Times New Roman"/>
          <w:szCs w:val="24"/>
        </w:rPr>
      </w:pPr>
    </w:p>
    <w:tbl>
      <w:tblPr>
        <w:tblStyle w:val="a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260"/>
        <w:gridCol w:w="567"/>
        <w:gridCol w:w="2484"/>
      </w:tblGrid>
      <w:tr w:rsidR="00823FD6" w:rsidRPr="00485403" w:rsidTr="00817369">
        <w:tc>
          <w:tcPr>
            <w:tcW w:w="1281"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60"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5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484" w:type="dxa"/>
          </w:tcPr>
          <w:p w:rsidR="00823FD6" w:rsidRPr="00485403" w:rsidRDefault="00823FD6" w:rsidP="00817369">
            <w:pPr>
              <w:pStyle w:val="ac"/>
              <w:overflowPunct w:val="0"/>
              <w:autoSpaceDE w:val="0"/>
              <w:autoSpaceDN w:val="0"/>
              <w:ind w:firstLineChars="49" w:firstLine="118"/>
              <w:jc w:val="both"/>
              <w:rPr>
                <w:rFonts w:ascii="Times New Roman" w:hAnsi="Times New Roman" w:cs="Times New Roman"/>
                <w:sz w:val="24"/>
                <w:szCs w:val="24"/>
              </w:rPr>
            </w:pPr>
            <w:r w:rsidRPr="00485403">
              <w:rPr>
                <w:rFonts w:ascii="Times New Roman" w:hAnsi="Times New Roman" w:cs="Times New Roman"/>
                <w:sz w:val="24"/>
                <w:szCs w:val="24"/>
              </w:rPr>
              <w:t>$</w:t>
            </w:r>
          </w:p>
        </w:tc>
      </w:tr>
      <w:tr w:rsidR="00823FD6" w:rsidRPr="00485403" w:rsidTr="00817369">
        <w:tc>
          <w:tcPr>
            <w:tcW w:w="1281"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60" w:type="dxa"/>
          </w:tcPr>
          <w:p w:rsidR="00823FD6" w:rsidRPr="00485403" w:rsidRDefault="00823FD6" w:rsidP="00817369">
            <w:pPr>
              <w:overflowPunct w:val="0"/>
              <w:autoSpaceDE w:val="0"/>
              <w:autoSpaceDN w:val="0"/>
              <w:ind w:firstLineChars="250" w:firstLine="600"/>
              <w:jc w:val="both"/>
              <w:rPr>
                <w:rFonts w:ascii="Times New Roman" w:hAnsi="Times New Roman" w:cs="Times New Roman"/>
                <w:sz w:val="24"/>
                <w:szCs w:val="24"/>
              </w:rPr>
            </w:pPr>
            <w:r w:rsidRPr="00485403">
              <w:rPr>
                <w:rFonts w:ascii="Times New Roman" w:hAnsi="Times New Roman" w:cs="Times New Roman"/>
                <w:sz w:val="24"/>
                <w:szCs w:val="24"/>
              </w:rPr>
              <w:t>Assessable Profits</w:t>
            </w:r>
          </w:p>
        </w:tc>
        <w:tc>
          <w:tcPr>
            <w:tcW w:w="5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484" w:type="dxa"/>
          </w:tcPr>
          <w:p w:rsidR="00823FD6" w:rsidRPr="00485403" w:rsidRDefault="00823FD6" w:rsidP="00817369">
            <w:pPr>
              <w:pStyle w:val="ac"/>
              <w:overflowPunct w:val="0"/>
              <w:autoSpaceDE w:val="0"/>
              <w:autoSpaceDN w:val="0"/>
              <w:ind w:firstLineChars="49" w:firstLine="118"/>
              <w:jc w:val="both"/>
              <w:rPr>
                <w:rFonts w:ascii="Times New Roman" w:hAnsi="Times New Roman" w:cs="Times New Roman"/>
                <w:sz w:val="24"/>
                <w:szCs w:val="24"/>
                <w:u w:val="double"/>
              </w:rPr>
            </w:pPr>
            <w:r w:rsidRPr="00485403">
              <w:rPr>
                <w:rFonts w:ascii="Times New Roman" w:hAnsi="Times New Roman" w:cs="Times New Roman"/>
                <w:sz w:val="24"/>
                <w:szCs w:val="24"/>
                <w:u w:val="double"/>
              </w:rPr>
              <w:t>1,091,745</w:t>
            </w:r>
          </w:p>
        </w:tc>
      </w:tr>
      <w:tr w:rsidR="00823FD6" w:rsidRPr="00485403" w:rsidTr="00817369">
        <w:tc>
          <w:tcPr>
            <w:tcW w:w="1281"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60" w:type="dxa"/>
          </w:tcPr>
          <w:p w:rsidR="00823FD6" w:rsidRPr="00485403" w:rsidRDefault="00823FD6" w:rsidP="00817369">
            <w:pPr>
              <w:pStyle w:val="ac"/>
              <w:overflowPunct w:val="0"/>
              <w:autoSpaceDE w:val="0"/>
              <w:autoSpaceDN w:val="0"/>
              <w:ind w:leftChars="300" w:left="720"/>
              <w:jc w:val="both"/>
              <w:rPr>
                <w:rFonts w:ascii="Times New Roman" w:hAnsi="Times New Roman" w:cs="Times New Roman"/>
                <w:sz w:val="24"/>
                <w:szCs w:val="24"/>
              </w:rPr>
            </w:pPr>
          </w:p>
        </w:tc>
        <w:tc>
          <w:tcPr>
            <w:tcW w:w="5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484"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r>
      <w:tr w:rsidR="00823FD6" w:rsidRPr="00485403" w:rsidTr="00817369">
        <w:tc>
          <w:tcPr>
            <w:tcW w:w="1281"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3260" w:type="dxa"/>
          </w:tcPr>
          <w:p w:rsidR="00823FD6" w:rsidRPr="00485403" w:rsidRDefault="00823FD6" w:rsidP="00817369">
            <w:pPr>
              <w:overflowPunct w:val="0"/>
              <w:autoSpaceDE w:val="0"/>
              <w:autoSpaceDN w:val="0"/>
              <w:ind w:firstLineChars="250" w:firstLine="600"/>
              <w:jc w:val="both"/>
              <w:rPr>
                <w:rFonts w:ascii="Times New Roman" w:hAnsi="Times New Roman" w:cs="Times New Roman"/>
                <w:sz w:val="24"/>
                <w:szCs w:val="24"/>
              </w:rPr>
            </w:pPr>
            <w:r w:rsidRPr="00485403">
              <w:rPr>
                <w:rFonts w:ascii="Times New Roman" w:hAnsi="Times New Roman" w:cs="Times New Roman"/>
                <w:sz w:val="24"/>
                <w:szCs w:val="24"/>
              </w:rPr>
              <w:t>Tax Payable thereon</w:t>
            </w:r>
          </w:p>
        </w:tc>
        <w:tc>
          <w:tcPr>
            <w:tcW w:w="567" w:type="dxa"/>
          </w:tcPr>
          <w:p w:rsidR="00823FD6" w:rsidRPr="00485403" w:rsidRDefault="00823FD6" w:rsidP="00844E04">
            <w:pPr>
              <w:pStyle w:val="ac"/>
              <w:overflowPunct w:val="0"/>
              <w:autoSpaceDE w:val="0"/>
              <w:autoSpaceDN w:val="0"/>
              <w:jc w:val="both"/>
              <w:rPr>
                <w:rFonts w:ascii="Times New Roman" w:hAnsi="Times New Roman" w:cs="Times New Roman"/>
                <w:sz w:val="24"/>
                <w:szCs w:val="24"/>
              </w:rPr>
            </w:pPr>
          </w:p>
        </w:tc>
        <w:tc>
          <w:tcPr>
            <w:tcW w:w="2484" w:type="dxa"/>
          </w:tcPr>
          <w:p w:rsidR="00823FD6" w:rsidRPr="00485403" w:rsidRDefault="00823FD6" w:rsidP="00817369">
            <w:pPr>
              <w:pStyle w:val="ac"/>
              <w:overflowPunct w:val="0"/>
              <w:autoSpaceDE w:val="0"/>
              <w:autoSpaceDN w:val="0"/>
              <w:ind w:firstLineChars="49" w:firstLine="118"/>
              <w:jc w:val="both"/>
              <w:rPr>
                <w:rFonts w:ascii="Times New Roman" w:hAnsi="Times New Roman" w:cs="Times New Roman"/>
                <w:sz w:val="24"/>
                <w:szCs w:val="24"/>
                <w:u w:val="double"/>
              </w:rPr>
            </w:pPr>
            <w:r w:rsidRPr="00485403">
              <w:rPr>
                <w:rFonts w:ascii="Times New Roman" w:hAnsi="Times New Roman" w:cs="Times New Roman"/>
                <w:sz w:val="24"/>
                <w:szCs w:val="24"/>
                <w:u w:val="double"/>
              </w:rPr>
              <w:t>153,761</w:t>
            </w:r>
          </w:p>
        </w:tc>
      </w:tr>
    </w:tbl>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World Smart Accounting Services Limited, on behalf of the Appellants, objected to the above Profits Tax assessment on the ground that the assessment was excessive.  In response to the Assessor’s enquiries, the Appellants replied as follows:</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The intention for the purchase of the Property was for letting and earning rental income on a long-term basis (and therefore not for trading in the short term);</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50% of the purchase price was financed by the Appellants’ personal savings.  The remaining balance of $4,515,000 was financed by a secured bank loan from </w:t>
      </w:r>
      <w:r w:rsidR="00130E92" w:rsidRPr="00485403">
        <w:rPr>
          <w:rFonts w:ascii="Times New Roman" w:hAnsi="Times New Roman" w:cs="Times New Roman"/>
          <w:szCs w:val="24"/>
        </w:rPr>
        <w:t>Bank D</w:t>
      </w:r>
      <w:r w:rsidRPr="00485403">
        <w:rPr>
          <w:rFonts w:ascii="Times New Roman" w:hAnsi="Times New Roman" w:cs="Times New Roman"/>
          <w:szCs w:val="24"/>
        </w:rPr>
        <w:t xml:space="preserve"> repayable by 240 monthly instalments of $24,479 each.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purchased the Property as an investment because: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9"/>
        </w:numPr>
        <w:overflowPunct w:val="0"/>
        <w:autoSpaceDE w:val="0"/>
        <w:autoSpaceDN w:val="0"/>
        <w:ind w:leftChars="1118" w:left="3259"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amount for investing the Property were close to their budget.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9"/>
        </w:numPr>
        <w:overflowPunct w:val="0"/>
        <w:autoSpaceDE w:val="0"/>
        <w:autoSpaceDN w:val="0"/>
        <w:ind w:leftChars="1118" w:left="3259" w:hangingChars="240" w:hanging="576"/>
        <w:jc w:val="both"/>
        <w:rPr>
          <w:rFonts w:ascii="Times New Roman" w:hAnsi="Times New Roman" w:cs="Times New Roman"/>
          <w:szCs w:val="24"/>
        </w:rPr>
      </w:pPr>
      <w:r w:rsidRPr="00485403">
        <w:rPr>
          <w:rFonts w:ascii="Times New Roman" w:hAnsi="Times New Roman" w:cs="Times New Roman"/>
          <w:szCs w:val="24"/>
        </w:rPr>
        <w:t xml:space="preserve">The Property was newly constructed and the interior design of the lobby and other public area were attractive.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9"/>
        </w:numPr>
        <w:overflowPunct w:val="0"/>
        <w:autoSpaceDE w:val="0"/>
        <w:autoSpaceDN w:val="0"/>
        <w:ind w:leftChars="1118" w:left="3259"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expected the Property had a higher rate of return than other properties in </w:t>
      </w:r>
      <w:r w:rsidR="00E403CB" w:rsidRPr="00485403">
        <w:rPr>
          <w:rFonts w:ascii="Times New Roman" w:hAnsi="Times New Roman" w:cs="Times New Roman"/>
          <w:szCs w:val="24"/>
        </w:rPr>
        <w:t>District E</w:t>
      </w:r>
      <w:r w:rsidRPr="00485403">
        <w:rPr>
          <w:rFonts w:ascii="Times New Roman" w:hAnsi="Times New Roman" w:cs="Times New Roman"/>
          <w:szCs w:val="24"/>
        </w:rPr>
        <w:t xml:space="preserve">.  It was asserted that the average rate of return for commercial properties in </w:t>
      </w:r>
      <w:r w:rsidR="00130E92" w:rsidRPr="00485403">
        <w:rPr>
          <w:rFonts w:ascii="Times New Roman" w:hAnsi="Times New Roman" w:cs="Times New Roman"/>
          <w:szCs w:val="24"/>
        </w:rPr>
        <w:t xml:space="preserve">District </w:t>
      </w:r>
      <w:r w:rsidR="00E403CB" w:rsidRPr="00485403">
        <w:rPr>
          <w:rFonts w:ascii="Times New Roman" w:hAnsi="Times New Roman" w:cs="Times New Roman"/>
          <w:szCs w:val="24"/>
        </w:rPr>
        <w:t>F</w:t>
      </w:r>
      <w:r w:rsidRPr="00485403">
        <w:rPr>
          <w:rFonts w:ascii="Times New Roman" w:hAnsi="Times New Roman" w:cs="Times New Roman"/>
          <w:szCs w:val="24"/>
        </w:rPr>
        <w:t xml:space="preserve"> was about $20 to $23 per square whereas in other areas of </w:t>
      </w:r>
      <w:r w:rsidR="00E403CB" w:rsidRPr="00485403">
        <w:rPr>
          <w:rFonts w:ascii="Times New Roman" w:hAnsi="Times New Roman" w:cs="Times New Roman"/>
          <w:szCs w:val="24"/>
        </w:rPr>
        <w:t>District E</w:t>
      </w:r>
      <w:r w:rsidRPr="00485403">
        <w:rPr>
          <w:rFonts w:ascii="Times New Roman" w:hAnsi="Times New Roman" w:cs="Times New Roman"/>
          <w:szCs w:val="24"/>
        </w:rPr>
        <w:t xml:space="preserve"> was about $16 to $18 per square feet.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9"/>
        </w:numPr>
        <w:overflowPunct w:val="0"/>
        <w:autoSpaceDE w:val="0"/>
        <w:autoSpaceDN w:val="0"/>
        <w:ind w:leftChars="1118" w:left="3259"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expected the demand for commercial </w:t>
      </w:r>
      <w:r w:rsidRPr="00485403">
        <w:rPr>
          <w:rFonts w:ascii="Times New Roman" w:hAnsi="Times New Roman" w:cs="Times New Roman"/>
          <w:szCs w:val="24"/>
        </w:rPr>
        <w:lastRenderedPageBreak/>
        <w:t xml:space="preserve">units in </w:t>
      </w:r>
      <w:r w:rsidR="00E403CB" w:rsidRPr="00485403">
        <w:rPr>
          <w:rFonts w:ascii="Times New Roman" w:hAnsi="Times New Roman" w:cs="Times New Roman"/>
          <w:szCs w:val="24"/>
        </w:rPr>
        <w:t>District E</w:t>
      </w:r>
      <w:r w:rsidRPr="00485403">
        <w:rPr>
          <w:rFonts w:ascii="Times New Roman" w:hAnsi="Times New Roman" w:cs="Times New Roman"/>
          <w:szCs w:val="24"/>
        </w:rPr>
        <w:t xml:space="preserve"> would be increased as there were news that the government was going to develop the area.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actively searched for potential tenants through estate agents, which include at least </w:t>
      </w:r>
      <w:r w:rsidR="00E403CB" w:rsidRPr="00485403">
        <w:rPr>
          <w:rFonts w:ascii="Times New Roman" w:hAnsi="Times New Roman" w:cs="Times New Roman"/>
          <w:szCs w:val="24"/>
        </w:rPr>
        <w:t>Agency G</w:t>
      </w:r>
      <w:r w:rsidRPr="00485403">
        <w:rPr>
          <w:rFonts w:ascii="Times New Roman" w:hAnsi="Times New Roman" w:cs="Times New Roman"/>
          <w:szCs w:val="24"/>
        </w:rPr>
        <w:t xml:space="preserve"> and </w:t>
      </w:r>
      <w:r w:rsidR="00E403CB" w:rsidRPr="00485403">
        <w:rPr>
          <w:rFonts w:ascii="Times New Roman" w:hAnsi="Times New Roman" w:cs="Times New Roman"/>
          <w:szCs w:val="24"/>
        </w:rPr>
        <w:t>Agency H</w:t>
      </w:r>
      <w:r w:rsidRPr="00485403">
        <w:rPr>
          <w:rFonts w:ascii="Times New Roman" w:hAnsi="Times New Roman" w:cs="Times New Roman"/>
          <w:szCs w:val="24"/>
        </w:rPr>
        <w:t xml:space="preserve">, and by placing free advertisement on websites of estate agents.  The asking monthly rent was $23 per square feet and later reduced to $20 per square feet.  Moreover, Mr. NG had also been approached by </w:t>
      </w:r>
      <w:r w:rsidR="00E403CB" w:rsidRPr="00485403">
        <w:rPr>
          <w:rFonts w:ascii="Times New Roman" w:hAnsi="Times New Roman" w:cs="Times New Roman"/>
          <w:szCs w:val="24"/>
        </w:rPr>
        <w:t>Agency J</w:t>
      </w:r>
      <w:r w:rsidRPr="00485403">
        <w:rPr>
          <w:rFonts w:ascii="Times New Roman" w:hAnsi="Times New Roman" w:cs="Times New Roman"/>
          <w:szCs w:val="24"/>
        </w:rPr>
        <w:t xml:space="preserve"> since around early November 2012 for the possible lease or disposal of the Property.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expected that the rental income of the Property would be sufficient to cover the monthly instalments payment.  Since the Appellants were unable to let out the Property, they financed the monthly instalments payment personally.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put the Property for sale in early January 2013.  The Property was disposed of through </w:t>
      </w:r>
      <w:r w:rsidR="00324837" w:rsidRPr="00485403">
        <w:rPr>
          <w:rFonts w:ascii="Times New Roman" w:hAnsi="Times New Roman" w:cs="Times New Roman"/>
          <w:szCs w:val="24"/>
        </w:rPr>
        <w:t>Agency G</w:t>
      </w:r>
      <w:r w:rsidRPr="00485403">
        <w:rPr>
          <w:rFonts w:ascii="Times New Roman" w:hAnsi="Times New Roman" w:cs="Times New Roman"/>
          <w:szCs w:val="24"/>
        </w:rPr>
        <w:t xml:space="preserve"> on 21 January 2013.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8"/>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disposed of the Property because they were unable to let out the Property.  The Appellants’ only source of income was their salaries.  It was a burden for them to pay about $28,000 each month for the monthly instalments payment and the management fee without any rental income.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7"/>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To support its objection, the Appellants furnished, among other things, a copy of an exclusive agency authorization letter dated 19 October 2012 entered into between Mr. </w:t>
      </w:r>
      <w:r w:rsidR="00290006" w:rsidRPr="00485403">
        <w:rPr>
          <w:rFonts w:ascii="Times New Roman" w:hAnsi="Times New Roman" w:cs="Times New Roman"/>
          <w:szCs w:val="24"/>
        </w:rPr>
        <w:t>A</w:t>
      </w:r>
      <w:r w:rsidRPr="00485403">
        <w:rPr>
          <w:rFonts w:ascii="Times New Roman" w:hAnsi="Times New Roman" w:cs="Times New Roman"/>
          <w:szCs w:val="24"/>
        </w:rPr>
        <w:t xml:space="preserve"> and </w:t>
      </w:r>
      <w:r w:rsidR="008170FF" w:rsidRPr="00485403">
        <w:rPr>
          <w:rFonts w:ascii="Times New Roman" w:hAnsi="Times New Roman" w:cs="Times New Roman"/>
          <w:szCs w:val="24"/>
        </w:rPr>
        <w:t>Agency H</w:t>
      </w:r>
      <w:r w:rsidRPr="00485403">
        <w:rPr>
          <w:rFonts w:ascii="Times New Roman" w:hAnsi="Times New Roman" w:cs="Times New Roman"/>
          <w:szCs w:val="24"/>
        </w:rPr>
        <w:t xml:space="preserve">.  Mr. </w:t>
      </w:r>
      <w:r w:rsidR="00290006" w:rsidRPr="00485403">
        <w:rPr>
          <w:rFonts w:ascii="Times New Roman" w:hAnsi="Times New Roman" w:cs="Times New Roman"/>
          <w:szCs w:val="24"/>
        </w:rPr>
        <w:t>A</w:t>
      </w:r>
      <w:r w:rsidRPr="00485403">
        <w:rPr>
          <w:rFonts w:ascii="Times New Roman" w:hAnsi="Times New Roman" w:cs="Times New Roman"/>
          <w:szCs w:val="24"/>
        </w:rPr>
        <w:t xml:space="preserve"> claims that he appointed </w:t>
      </w:r>
      <w:r w:rsidR="00290006" w:rsidRPr="00485403">
        <w:rPr>
          <w:rFonts w:ascii="Times New Roman" w:hAnsi="Times New Roman" w:cs="Times New Roman"/>
          <w:szCs w:val="24"/>
        </w:rPr>
        <w:t xml:space="preserve">Agency </w:t>
      </w:r>
      <w:proofErr w:type="spellStart"/>
      <w:r w:rsidR="00290006" w:rsidRPr="00485403">
        <w:rPr>
          <w:rFonts w:ascii="Times New Roman" w:hAnsi="Times New Roman" w:cs="Times New Roman"/>
          <w:szCs w:val="24"/>
        </w:rPr>
        <w:t>H</w:t>
      </w:r>
      <w:r w:rsidRPr="00485403">
        <w:rPr>
          <w:rFonts w:ascii="Times New Roman" w:hAnsi="Times New Roman" w:cs="Times New Roman"/>
          <w:szCs w:val="24"/>
        </w:rPr>
        <w:t xml:space="preserve"> as</w:t>
      </w:r>
      <w:proofErr w:type="spellEnd"/>
      <w:r w:rsidRPr="00485403">
        <w:rPr>
          <w:rFonts w:ascii="Times New Roman" w:hAnsi="Times New Roman" w:cs="Times New Roman"/>
          <w:szCs w:val="24"/>
        </w:rPr>
        <w:t xml:space="preserve"> the exclusive agent for the period from 19 October 2012 to 31 March 2013 to let out the Property at a monthly rent of $30,000.  </w:t>
      </w:r>
    </w:p>
    <w:p w:rsidR="00485403" w:rsidRPr="00485403" w:rsidRDefault="00485403" w:rsidP="00485403">
      <w:pPr>
        <w:pStyle w:val="ac"/>
        <w:overflowPunct w:val="0"/>
        <w:autoSpaceDE w:val="0"/>
        <w:autoSpaceDN w:val="0"/>
        <w:ind w:leftChars="0" w:left="2107"/>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The issue of this appeal</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issue of this appeal is whether the Appellants' profit derived from the disposal of the Property was trading profits, and hence chargeable to Profits Tax.  </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The law</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We agree with the Respondent’s submission and find that the following provisions of the Inland Revenue Ordinance apply to this appeal:</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0"/>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Section 14 provides:</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878" w:left="2683" w:hangingChars="240" w:hanging="576"/>
        <w:jc w:val="both"/>
        <w:rPr>
          <w:rFonts w:ascii="Times New Roman" w:hAnsi="Times New Roman" w:cs="Times New Roman"/>
          <w:i/>
          <w:szCs w:val="24"/>
        </w:rPr>
      </w:pPr>
      <w:r w:rsidRPr="00485403">
        <w:rPr>
          <w:rFonts w:ascii="Times New Roman" w:hAnsi="Times New Roman" w:cs="Times New Roman"/>
          <w:i/>
          <w:szCs w:val="24"/>
        </w:rPr>
        <w:t xml:space="preserve">‘(1) </w:t>
      </w:r>
      <w:r w:rsidRPr="00485403">
        <w:rPr>
          <w:rFonts w:ascii="Times New Roman" w:hAnsi="Times New Roman" w:cs="Times New Roman"/>
          <w:i/>
          <w:szCs w:val="24"/>
        </w:rPr>
        <w:tab/>
        <w:t xml:space="preserve">Subject to the provisions of this Ordinance, profits tax shall be charged for each year of assessment at the standard rate on </w:t>
      </w:r>
      <w:r w:rsidRPr="00485403">
        <w:rPr>
          <w:rFonts w:ascii="Times New Roman" w:hAnsi="Times New Roman" w:cs="Times New Roman"/>
          <w:i/>
          <w:szCs w:val="24"/>
        </w:rPr>
        <w:lastRenderedPageBreak/>
        <w:t>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0"/>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Section 2(1) defines ‘</w:t>
      </w:r>
      <w:r w:rsidRPr="00485403">
        <w:rPr>
          <w:rFonts w:ascii="Times New Roman" w:hAnsi="Times New Roman" w:cs="Times New Roman"/>
          <w:i/>
          <w:szCs w:val="24"/>
        </w:rPr>
        <w:t>trade</w:t>
      </w:r>
      <w:r w:rsidRPr="00485403">
        <w:rPr>
          <w:rFonts w:ascii="Times New Roman" w:hAnsi="Times New Roman" w:cs="Times New Roman"/>
          <w:szCs w:val="24"/>
        </w:rPr>
        <w:t>’ to include ‘</w:t>
      </w:r>
      <w:r w:rsidRPr="00485403">
        <w:rPr>
          <w:rFonts w:ascii="Times New Roman" w:hAnsi="Times New Roman" w:cs="Times New Roman"/>
          <w:i/>
          <w:szCs w:val="24"/>
        </w:rPr>
        <w:t>every trade and manufacture, and every adventure and concern in the nature of trade</w:t>
      </w:r>
      <w:r w:rsidRPr="00485403">
        <w:rPr>
          <w:rFonts w:ascii="Times New Roman" w:hAnsi="Times New Roman" w:cs="Times New Roman"/>
          <w:szCs w:val="24"/>
        </w:rPr>
        <w:t xml:space="preserve">’.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0"/>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Section 68(4) provides:</w:t>
      </w:r>
    </w:p>
    <w:p w:rsidR="00823FD6" w:rsidRPr="00485403" w:rsidRDefault="00823FD6" w:rsidP="00844E04">
      <w:pPr>
        <w:overflowPunct w:val="0"/>
        <w:autoSpaceDE w:val="0"/>
        <w:autoSpaceDN w:val="0"/>
        <w:ind w:left="300" w:firstLine="420"/>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878" w:left="2126" w:hangingChars="8" w:hanging="19"/>
        <w:jc w:val="both"/>
        <w:rPr>
          <w:rFonts w:ascii="Times New Roman" w:hAnsi="Times New Roman" w:cs="Times New Roman"/>
          <w:szCs w:val="24"/>
        </w:rPr>
      </w:pPr>
      <w:r w:rsidRPr="00485403">
        <w:rPr>
          <w:rFonts w:ascii="Times New Roman" w:hAnsi="Times New Roman" w:cs="Times New Roman"/>
          <w:szCs w:val="24"/>
        </w:rPr>
        <w:t>‘</w:t>
      </w:r>
      <w:r w:rsidRPr="00485403">
        <w:rPr>
          <w:rFonts w:ascii="Times New Roman" w:hAnsi="Times New Roman" w:cs="Times New Roman"/>
          <w:i/>
          <w:szCs w:val="24"/>
        </w:rPr>
        <w:t>The onus of proving that the assessment appealed against is excessive or incorrect shall be on the appellant.</w:t>
      </w:r>
      <w:r w:rsidRPr="00485403">
        <w:rPr>
          <w:rFonts w:ascii="Times New Roman" w:hAnsi="Times New Roman" w:cs="Times New Roman"/>
          <w:szCs w:val="24"/>
        </w:rPr>
        <w:t>’</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We also agree with the Respondent's application of the legal principles from the following cases and their application to this appeal.</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u w:val="single"/>
        </w:rPr>
        <w:t>Lionel Simmons Properties Limited (in liquidation) and others v Commissioners of Inland Revenue</w:t>
      </w:r>
      <w:r w:rsidRPr="00485403">
        <w:rPr>
          <w:rFonts w:ascii="Times New Roman" w:hAnsi="Times New Roman" w:cs="Times New Roman"/>
          <w:szCs w:val="24"/>
        </w:rPr>
        <w:t xml:space="preserve"> [1980] 2 All ER 798;</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u w:val="single"/>
        </w:rPr>
        <w:t>All Best Wishes Limited v Commissioner of Inland Revenue</w:t>
      </w:r>
      <w:r w:rsidRPr="00485403">
        <w:rPr>
          <w:rFonts w:ascii="Times New Roman" w:hAnsi="Times New Roman" w:cs="Times New Roman"/>
          <w:szCs w:val="24"/>
        </w:rPr>
        <w:t xml:space="preserve"> (1992) 3 HKTC 750;</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rPr>
      </w:pPr>
      <w:proofErr w:type="spellStart"/>
      <w:r w:rsidRPr="00485403">
        <w:rPr>
          <w:rFonts w:ascii="Times New Roman" w:hAnsi="Times New Roman" w:cs="Times New Roman"/>
          <w:szCs w:val="24"/>
          <w:u w:val="single"/>
        </w:rPr>
        <w:t>Marson</w:t>
      </w:r>
      <w:proofErr w:type="spellEnd"/>
      <w:r w:rsidRPr="00485403">
        <w:rPr>
          <w:rFonts w:ascii="Times New Roman" w:hAnsi="Times New Roman" w:cs="Times New Roman"/>
          <w:szCs w:val="24"/>
          <w:u w:val="single"/>
        </w:rPr>
        <w:t xml:space="preserve"> (Inspector of Taxes) v Morton and Others</w:t>
      </w:r>
      <w:r w:rsidRPr="00485403">
        <w:rPr>
          <w:rFonts w:ascii="Times New Roman" w:hAnsi="Times New Roman" w:cs="Times New Roman"/>
          <w:szCs w:val="24"/>
        </w:rPr>
        <w:t xml:space="preserve"> [1986] 1 WLR 1343;</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u w:val="single"/>
        </w:rPr>
        <w:t xml:space="preserve">Lee Yee </w:t>
      </w:r>
      <w:proofErr w:type="spellStart"/>
      <w:r w:rsidRPr="00485403">
        <w:rPr>
          <w:rFonts w:ascii="Times New Roman" w:hAnsi="Times New Roman" w:cs="Times New Roman"/>
          <w:szCs w:val="24"/>
          <w:u w:val="single"/>
        </w:rPr>
        <w:t>Shing</w:t>
      </w:r>
      <w:proofErr w:type="spellEnd"/>
      <w:r w:rsidRPr="00485403">
        <w:rPr>
          <w:rFonts w:ascii="Times New Roman" w:hAnsi="Times New Roman" w:cs="Times New Roman"/>
          <w:szCs w:val="24"/>
          <w:u w:val="single"/>
        </w:rPr>
        <w:t xml:space="preserve"> v Commissioner of Inland Revenue</w:t>
      </w:r>
      <w:r w:rsidRPr="00485403">
        <w:rPr>
          <w:rFonts w:ascii="Times New Roman" w:hAnsi="Times New Roman" w:cs="Times New Roman"/>
          <w:szCs w:val="24"/>
        </w:rPr>
        <w:t xml:space="preserve"> (2008) 11 HKCFAR 6;</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u w:val="single"/>
        </w:rPr>
        <w:t>Commissioner of Inland Revenue v Crown Brilliance Ltd</w:t>
      </w:r>
      <w:r w:rsidRPr="00485403">
        <w:rPr>
          <w:rFonts w:ascii="Times New Roman" w:hAnsi="Times New Roman" w:cs="Times New Roman"/>
          <w:szCs w:val="24"/>
        </w:rPr>
        <w:t xml:space="preserve"> [2016] 3 HKC 140; and</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p>
    <w:p w:rsidR="00823FD6" w:rsidRPr="00485403" w:rsidRDefault="00823FD6" w:rsidP="00844E04">
      <w:pPr>
        <w:pStyle w:val="ac"/>
        <w:numPr>
          <w:ilvl w:val="0"/>
          <w:numId w:val="11"/>
        </w:num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u w:val="single"/>
        </w:rPr>
        <w:t>Real Estate Investments (NT) Ltd v Commissioner of Inland Revenue</w:t>
      </w:r>
      <w:r w:rsidRPr="00485403">
        <w:rPr>
          <w:rFonts w:ascii="Times New Roman" w:hAnsi="Times New Roman" w:cs="Times New Roman"/>
          <w:szCs w:val="24"/>
        </w:rPr>
        <w:t xml:space="preserve"> (2008) 11 HKCFAR 433.  </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According to </w:t>
      </w:r>
      <w:r w:rsidRPr="00485403">
        <w:rPr>
          <w:rFonts w:ascii="Times New Roman" w:hAnsi="Times New Roman" w:cs="Times New Roman"/>
          <w:szCs w:val="24"/>
          <w:u w:val="single"/>
        </w:rPr>
        <w:t>Simmons</w:t>
      </w:r>
      <w:r w:rsidRPr="00485403">
        <w:rPr>
          <w:rFonts w:ascii="Times New Roman" w:hAnsi="Times New Roman" w:cs="Times New Roman"/>
          <w:szCs w:val="24"/>
        </w:rPr>
        <w:t>, ‘</w:t>
      </w:r>
      <w:r w:rsidRPr="00485403">
        <w:rPr>
          <w:rFonts w:ascii="Times New Roman" w:hAnsi="Times New Roman" w:cs="Times New Roman"/>
          <w:i/>
          <w:szCs w:val="24"/>
        </w:rPr>
        <w:t>trading requires an intention to trade; normally the question to be asked is whether this intention existed at the time of the acquisition of the asset.  Was it acquired with the intention of disposing of it at a profit, or was it acquired as a permanent investment?</w:t>
      </w:r>
      <w:r w:rsidRPr="00485403">
        <w:rPr>
          <w:rFonts w:ascii="Times New Roman" w:hAnsi="Times New Roman" w:cs="Times New Roman"/>
          <w:szCs w:val="24"/>
        </w:rPr>
        <w:t>’</w:t>
      </w:r>
      <w:r w:rsidRPr="00485403">
        <w:rPr>
          <w:rFonts w:ascii="Times New Roman" w:hAnsi="Times New Roman" w:cs="Times New Roman"/>
          <w:i/>
          <w:szCs w:val="24"/>
        </w:rPr>
        <w:t xml:space="preserve"> </w:t>
      </w:r>
      <w:r w:rsidRPr="00485403">
        <w:rPr>
          <w:rFonts w:ascii="Times New Roman" w:hAnsi="Times New Roman" w:cs="Times New Roman"/>
          <w:szCs w:val="24"/>
        </w:rPr>
        <w:t>(</w:t>
      </w:r>
      <w:proofErr w:type="gramStart"/>
      <w:r w:rsidRPr="00485403">
        <w:rPr>
          <w:rFonts w:ascii="Times New Roman" w:hAnsi="Times New Roman" w:cs="Times New Roman"/>
          <w:szCs w:val="24"/>
        </w:rPr>
        <w:t>per</w:t>
      </w:r>
      <w:proofErr w:type="gramEnd"/>
      <w:r w:rsidRPr="00485403">
        <w:rPr>
          <w:rFonts w:ascii="Times New Roman" w:hAnsi="Times New Roman" w:cs="Times New Roman"/>
          <w:szCs w:val="24"/>
        </w:rPr>
        <w:t xml:space="preserve"> Lord Wilberforce at page 800).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Mortimer J in </w:t>
      </w:r>
      <w:r w:rsidRPr="00485403">
        <w:rPr>
          <w:rFonts w:ascii="Times New Roman" w:hAnsi="Times New Roman" w:cs="Times New Roman"/>
          <w:szCs w:val="24"/>
          <w:u w:val="single"/>
        </w:rPr>
        <w:t>All Best Wishes</w:t>
      </w:r>
      <w:r w:rsidRPr="00485403">
        <w:rPr>
          <w:rFonts w:ascii="Times New Roman" w:hAnsi="Times New Roman" w:cs="Times New Roman"/>
          <w:szCs w:val="24"/>
        </w:rPr>
        <w:t xml:space="preserve"> at page 771 stated:</w:t>
      </w:r>
    </w:p>
    <w:p w:rsidR="00823FD6" w:rsidRPr="00485403" w:rsidRDefault="00823FD6" w:rsidP="00844E04">
      <w:pPr>
        <w:overflowPunct w:val="0"/>
        <w:autoSpaceDE w:val="0"/>
        <w:autoSpaceDN w:val="0"/>
        <w:ind w:left="360"/>
        <w:jc w:val="both"/>
        <w:rPr>
          <w:rFonts w:ascii="Times New Roman" w:hAnsi="Times New Roman" w:cs="Times New Roman"/>
          <w:szCs w:val="24"/>
        </w:rPr>
      </w:pPr>
    </w:p>
    <w:p w:rsidR="00823FD6" w:rsidRPr="00485403" w:rsidRDefault="00823FD6" w:rsidP="00844E04">
      <w:pPr>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w:t>
      </w:r>
      <w:r w:rsidRPr="00485403">
        <w:rPr>
          <w:rFonts w:ascii="Times New Roman" w:hAnsi="Times New Roman" w:cs="Times New Roman"/>
          <w:i/>
          <w:szCs w:val="24"/>
        </w:rPr>
        <w:t xml:space="preserve">The intention of the taxpayer, at the time of acquisition, and at the time when he is holding the asset is undoubtedly of very great weight. And if the intention is on the evidence, genuinely held, realistic and realizable, and if all the circumstances show that at the time of the acquisition of the asset, the taxpayer was investing in it, then I agree. But as it is a question of fact, </w:t>
      </w:r>
      <w:r w:rsidRPr="00485403">
        <w:rPr>
          <w:rFonts w:ascii="Times New Roman" w:hAnsi="Times New Roman" w:cs="Times New Roman"/>
          <w:i/>
          <w:szCs w:val="24"/>
        </w:rPr>
        <w:lastRenderedPageBreak/>
        <w:t>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485403">
        <w:rPr>
          <w:rFonts w:ascii="Times New Roman" w:hAnsi="Times New Roman" w:cs="Times New Roman"/>
          <w:szCs w:val="24"/>
        </w:rPr>
        <w:t>’</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Sir Nicolas Browne-Wilkinson VC summarized the relevant principles in </w:t>
      </w:r>
      <w:proofErr w:type="spellStart"/>
      <w:r w:rsidRPr="00485403">
        <w:rPr>
          <w:rFonts w:ascii="Times New Roman" w:hAnsi="Times New Roman" w:cs="Times New Roman"/>
          <w:szCs w:val="24"/>
          <w:u w:val="single"/>
        </w:rPr>
        <w:t>Marson</w:t>
      </w:r>
      <w:proofErr w:type="spellEnd"/>
      <w:r w:rsidRPr="00485403">
        <w:rPr>
          <w:rFonts w:ascii="Times New Roman" w:hAnsi="Times New Roman" w:cs="Times New Roman"/>
          <w:szCs w:val="24"/>
        </w:rPr>
        <w:t xml:space="preserve"> as follows: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2"/>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As a matter of law a single, one-off transaction can be an adventure in the nature of trade (at page 1347).  </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2"/>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The question whether or not there has been an adventure in the nature of trade depends on all the facts and circumstances of each particular case and on interaction between the various factors that are present in any given case (at page 1348).  </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2"/>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There are certain features or badges the answers to which may point to one conclusion rather than another, and the factors are in no sense a comprehensive list of all relevant matters, nor is any one of them decisive in all cases.  The most they can do is provide a common sense guidance to or an inference of an appropriate conclusion.  The answers to the following questions may indicate what the badges are, and what conclusions can be drawn from them. Some of such questions are as follows:</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Was the transaction a one-off transaction, which, as a matter of law, is capable of being an adventure in the nature of trade?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Was the transaction in some way related to the trade which the taxpayer otherwise carries on?</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Did the transaction involve a commodity of a kind which is normally the subject matter of trade and which can only be turned to advantage by realization?</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Was the transaction carried through in a way typical of the trade in a commodity of that nature?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 xml:space="preserve">What was the source of finance of the transaction?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Was the item which was purchased resold as it stood, or was the work done on it or relating to it, for the purposes of resale?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Was the purchased item resold in one lot as it was bought, or was it broken down into saleable lots?</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What were the purchasers’ intentions as to resale at the time of purchase?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485403">
        <w:rPr>
          <w:rFonts w:ascii="Times New Roman" w:hAnsi="Times New Roman" w:cs="Times New Roman"/>
          <w:szCs w:val="24"/>
        </w:rPr>
        <w:t>Did the item purchased either provide enjoyment or pride of possession for the purchaser, or did it produce income pending resale? (pages 1348 to 1349)</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In </w:t>
      </w:r>
      <w:r w:rsidRPr="00485403">
        <w:rPr>
          <w:rFonts w:ascii="Times New Roman" w:hAnsi="Times New Roman" w:cs="Times New Roman"/>
          <w:szCs w:val="24"/>
          <w:u w:val="single"/>
        </w:rPr>
        <w:t xml:space="preserve">Lee Yee </w:t>
      </w:r>
      <w:proofErr w:type="spellStart"/>
      <w:r w:rsidRPr="00485403">
        <w:rPr>
          <w:rFonts w:ascii="Times New Roman" w:hAnsi="Times New Roman" w:cs="Times New Roman"/>
          <w:szCs w:val="24"/>
          <w:u w:val="single"/>
        </w:rPr>
        <w:t>Shing</w:t>
      </w:r>
      <w:proofErr w:type="spellEnd"/>
      <w:r w:rsidRPr="00485403">
        <w:rPr>
          <w:rFonts w:ascii="Times New Roman" w:hAnsi="Times New Roman" w:cs="Times New Roman"/>
          <w:szCs w:val="24"/>
        </w:rPr>
        <w:t xml:space="preserve">, </w:t>
      </w:r>
      <w:proofErr w:type="spellStart"/>
      <w:r w:rsidRPr="00485403">
        <w:rPr>
          <w:rFonts w:ascii="Times New Roman" w:hAnsi="Times New Roman" w:cs="Times New Roman"/>
          <w:szCs w:val="24"/>
        </w:rPr>
        <w:t>Bokhary</w:t>
      </w:r>
      <w:proofErr w:type="spellEnd"/>
      <w:r w:rsidRPr="00485403">
        <w:rPr>
          <w:rFonts w:ascii="Times New Roman" w:hAnsi="Times New Roman" w:cs="Times New Roman"/>
          <w:szCs w:val="24"/>
        </w:rPr>
        <w:t xml:space="preserve"> and Chan PJJ emphasized in paragraph 38 that the question whether something amounts to the carrying of a trade ‘is a question of fact and degree to be determined by the fact-finding body upon a consideration of all the circumstances.  On the question of </w:t>
      </w:r>
      <w:r w:rsidR="00130E92" w:rsidRPr="00485403">
        <w:rPr>
          <w:rFonts w:ascii="Times New Roman" w:hAnsi="Times New Roman" w:cs="Times New Roman"/>
          <w:szCs w:val="24"/>
        </w:rPr>
        <w:t>‘</w:t>
      </w:r>
      <w:r w:rsidRPr="00485403">
        <w:rPr>
          <w:rFonts w:ascii="Times New Roman" w:hAnsi="Times New Roman" w:cs="Times New Roman"/>
          <w:szCs w:val="24"/>
        </w:rPr>
        <w:t>trade</w:t>
      </w:r>
      <w:r w:rsidR="00130E92" w:rsidRPr="00485403">
        <w:rPr>
          <w:rFonts w:ascii="Times New Roman" w:hAnsi="Times New Roman" w:cs="Times New Roman"/>
          <w:szCs w:val="24"/>
        </w:rPr>
        <w:t>’</w:t>
      </w:r>
      <w:r w:rsidRPr="00485403">
        <w:rPr>
          <w:rFonts w:ascii="Times New Roman" w:hAnsi="Times New Roman" w:cs="Times New Roman"/>
          <w:szCs w:val="24"/>
        </w:rPr>
        <w:t xml:space="preserve">, McHugh NPJ stated in paragraph 60 that for most cases, the </w:t>
      </w:r>
      <w:r w:rsidR="00130E92" w:rsidRPr="00485403">
        <w:rPr>
          <w:rFonts w:ascii="Times New Roman" w:hAnsi="Times New Roman" w:cs="Times New Roman"/>
          <w:szCs w:val="24"/>
        </w:rPr>
        <w:t>‘</w:t>
      </w:r>
      <w:r w:rsidRPr="00485403">
        <w:rPr>
          <w:rFonts w:ascii="Times New Roman" w:hAnsi="Times New Roman" w:cs="Times New Roman"/>
          <w:szCs w:val="24"/>
        </w:rPr>
        <w:t>badges of trade</w:t>
      </w:r>
      <w:r w:rsidR="00130E92" w:rsidRPr="00485403">
        <w:rPr>
          <w:rFonts w:ascii="Times New Roman" w:hAnsi="Times New Roman" w:cs="Times New Roman"/>
          <w:szCs w:val="24"/>
        </w:rPr>
        <w:t>’</w:t>
      </w:r>
      <w:r w:rsidRPr="00485403">
        <w:rPr>
          <w:rFonts w:ascii="Times New Roman" w:hAnsi="Times New Roman" w:cs="Times New Roman"/>
          <w:szCs w:val="24"/>
        </w:rPr>
        <w:t xml:space="preserve"> that indicate the carrying on of a trade are affirmative answers to the questions whether the taxpayer: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frequently engaged in similar transactions?</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held the asset or commodity for a lengthy period?</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acquired an asset or commodity that is normally the subject of trading rather than investment?</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bought large quantities or numbers of the commodity or asset?</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sold the commodity or asset for reasons that would not exist if the taxpayer had an intention to resell at the time of acquisition?</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sought to add re-sale value to the asset by additions or repair?</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expended time, money or effort in selling the asset or commodity that goes beyond what might be expected of a non-trader seeking to sell an asset of that class?</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conceded an actual intention to resell at a profit when the asset or commodity was acquired?</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4"/>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has</w:t>
      </w:r>
      <w:proofErr w:type="gramEnd"/>
      <w:r w:rsidRPr="00485403">
        <w:rPr>
          <w:rFonts w:ascii="Times New Roman" w:hAnsi="Times New Roman" w:cs="Times New Roman"/>
          <w:szCs w:val="24"/>
        </w:rPr>
        <w:t xml:space="preserve"> purchased the asset or commodity for personal use or pleasure or for income?</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In </w:t>
      </w:r>
      <w:r w:rsidRPr="00485403">
        <w:rPr>
          <w:rFonts w:ascii="Times New Roman" w:hAnsi="Times New Roman" w:cs="Times New Roman"/>
          <w:szCs w:val="24"/>
          <w:u w:val="single"/>
        </w:rPr>
        <w:t>Real Estates Investments</w:t>
      </w:r>
      <w:r w:rsidRPr="00485403">
        <w:rPr>
          <w:rFonts w:ascii="Times New Roman" w:hAnsi="Times New Roman" w:cs="Times New Roman"/>
          <w:szCs w:val="24"/>
        </w:rPr>
        <w:t xml:space="preserve">, one of the questions posed in the case stated was whether, in distinguishing trading stock from a capital asset, should one only focus on the taxpayer’s intention at the time the property was acquired, or otherwise to consider all the circumstances (the badges of trade) </w:t>
      </w:r>
      <w:proofErr w:type="spellStart"/>
      <w:r w:rsidRPr="00485403">
        <w:rPr>
          <w:rFonts w:ascii="Times New Roman" w:hAnsi="Times New Roman" w:cs="Times New Roman"/>
          <w:szCs w:val="24"/>
        </w:rPr>
        <w:t>Bokhary</w:t>
      </w:r>
      <w:proofErr w:type="spellEnd"/>
      <w:r w:rsidRPr="00485403">
        <w:rPr>
          <w:rFonts w:ascii="Times New Roman" w:hAnsi="Times New Roman" w:cs="Times New Roman"/>
          <w:szCs w:val="24"/>
        </w:rPr>
        <w:t xml:space="preserve"> and Chan PJJ answering the question in paragraphs 40 and 55 as follows:</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130E92" w:rsidP="00844E04">
      <w:pPr>
        <w:pStyle w:val="ac"/>
        <w:numPr>
          <w:ilvl w:val="0"/>
          <w:numId w:val="15"/>
        </w:numPr>
        <w:overflowPunct w:val="0"/>
        <w:autoSpaceDE w:val="0"/>
        <w:autoSpaceDN w:val="0"/>
        <w:ind w:leftChars="638" w:left="2107" w:hangingChars="240" w:hanging="576"/>
        <w:jc w:val="both"/>
        <w:rPr>
          <w:rFonts w:ascii="Times New Roman" w:hAnsi="Times New Roman" w:cs="Times New Roman"/>
          <w:i/>
          <w:szCs w:val="24"/>
        </w:rPr>
      </w:pPr>
      <w:r w:rsidRPr="00485403">
        <w:rPr>
          <w:rFonts w:ascii="Times New Roman" w:hAnsi="Times New Roman" w:cs="Times New Roman"/>
          <w:i/>
          <w:szCs w:val="24"/>
        </w:rPr>
        <w:t>‘</w:t>
      </w:r>
      <w:r w:rsidR="00823FD6" w:rsidRPr="00485403">
        <w:rPr>
          <w:rFonts w:ascii="Times New Roman" w:hAnsi="Times New Roman" w:cs="Times New Roman"/>
          <w:i/>
          <w:szCs w:val="24"/>
        </w:rPr>
        <w:t>40. It is clear that question (ii</w:t>
      </w:r>
      <w:proofErr w:type="gramStart"/>
      <w:r w:rsidR="00823FD6" w:rsidRPr="00485403">
        <w:rPr>
          <w:rFonts w:ascii="Times New Roman" w:hAnsi="Times New Roman" w:cs="Times New Roman"/>
          <w:i/>
          <w:szCs w:val="24"/>
        </w:rPr>
        <w:t>)(</w:t>
      </w:r>
      <w:proofErr w:type="gramEnd"/>
      <w:r w:rsidR="00823FD6" w:rsidRPr="00485403">
        <w:rPr>
          <w:rFonts w:ascii="Times New Roman" w:hAnsi="Times New Roman" w:cs="Times New Roman"/>
          <w:i/>
          <w:szCs w:val="24"/>
        </w:rPr>
        <w:t xml:space="preserve">b) uses the </w:t>
      </w:r>
      <w:r w:rsidR="00290006" w:rsidRPr="00485403">
        <w:rPr>
          <w:rFonts w:ascii="Times New Roman" w:hAnsi="Times New Roman" w:cs="Times New Roman"/>
          <w:i/>
          <w:szCs w:val="24"/>
        </w:rPr>
        <w:t>expression "</w:t>
      </w:r>
      <w:r w:rsidR="00823FD6" w:rsidRPr="00485403">
        <w:rPr>
          <w:rFonts w:ascii="Times New Roman" w:hAnsi="Times New Roman" w:cs="Times New Roman"/>
          <w:i/>
          <w:szCs w:val="24"/>
        </w:rPr>
        <w:t>badges of trade</w:t>
      </w:r>
      <w:r w:rsidR="00290006" w:rsidRPr="00485403">
        <w:rPr>
          <w:rFonts w:ascii="Times New Roman" w:hAnsi="Times New Roman" w:cs="Times New Roman"/>
          <w:i/>
          <w:szCs w:val="24"/>
        </w:rPr>
        <w:t>”</w:t>
      </w:r>
      <w:r w:rsidR="00823FD6" w:rsidRPr="00485403">
        <w:rPr>
          <w:rFonts w:ascii="Times New Roman" w:hAnsi="Times New Roman" w:cs="Times New Roman"/>
          <w:i/>
          <w:szCs w:val="24"/>
        </w:rPr>
        <w:t xml:space="preserve"> to mean the circumstances that shed light on the issue of intention.  Those circumstances simply do not fall to be considered separately from the issue of intention or any assertion made by the Taxpayer or on its behalf as to intention.</w:t>
      </w:r>
      <w:r w:rsidRPr="00485403">
        <w:rPr>
          <w:rFonts w:ascii="Times New Roman" w:hAnsi="Times New Roman" w:cs="Times New Roman"/>
          <w:i/>
          <w:szCs w:val="24"/>
        </w:rPr>
        <w:t>’</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130E92" w:rsidP="00844E04">
      <w:pPr>
        <w:pStyle w:val="ac"/>
        <w:numPr>
          <w:ilvl w:val="0"/>
          <w:numId w:val="15"/>
        </w:numPr>
        <w:overflowPunct w:val="0"/>
        <w:autoSpaceDE w:val="0"/>
        <w:autoSpaceDN w:val="0"/>
        <w:ind w:leftChars="638" w:left="2107" w:hangingChars="240" w:hanging="576"/>
        <w:jc w:val="both"/>
        <w:rPr>
          <w:rFonts w:ascii="Times New Roman" w:hAnsi="Times New Roman" w:cs="Times New Roman"/>
          <w:i/>
          <w:szCs w:val="24"/>
        </w:rPr>
      </w:pPr>
      <w:r w:rsidRPr="00485403">
        <w:rPr>
          <w:rFonts w:ascii="Times New Roman" w:hAnsi="Times New Roman" w:cs="Times New Roman"/>
          <w:i/>
          <w:szCs w:val="24"/>
        </w:rPr>
        <w:t>‘</w:t>
      </w:r>
      <w:r w:rsidR="00823FD6" w:rsidRPr="00485403">
        <w:rPr>
          <w:rFonts w:ascii="Times New Roman" w:hAnsi="Times New Roman" w:cs="Times New Roman"/>
          <w:i/>
          <w:szCs w:val="24"/>
        </w:rPr>
        <w:t>55. The question of whether property is trading stock or a capital asset is always to be answered upon a holistic consideration of the circumstances of each particular case.</w:t>
      </w:r>
      <w:r w:rsidRPr="00485403">
        <w:rPr>
          <w:rFonts w:ascii="Times New Roman" w:hAnsi="Times New Roman" w:cs="Times New Roman"/>
          <w:i/>
          <w:szCs w:val="24"/>
        </w:rPr>
        <w:t>’</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On the question of burden of proof, in </w:t>
      </w:r>
      <w:r w:rsidRPr="00485403">
        <w:rPr>
          <w:rFonts w:ascii="Times New Roman" w:hAnsi="Times New Roman" w:cs="Times New Roman"/>
          <w:szCs w:val="24"/>
          <w:u w:val="single"/>
        </w:rPr>
        <w:t>Real Estate Investments</w:t>
      </w:r>
      <w:r w:rsidRPr="00485403">
        <w:rPr>
          <w:rFonts w:ascii="Times New Roman" w:hAnsi="Times New Roman" w:cs="Times New Roman"/>
          <w:szCs w:val="24"/>
        </w:rPr>
        <w:t xml:space="preserve">, </w:t>
      </w:r>
      <w:proofErr w:type="spellStart"/>
      <w:r w:rsidRPr="00485403">
        <w:rPr>
          <w:rFonts w:ascii="Times New Roman" w:hAnsi="Times New Roman" w:cs="Times New Roman"/>
          <w:szCs w:val="24"/>
        </w:rPr>
        <w:t>Bokhary</w:t>
      </w:r>
      <w:proofErr w:type="spellEnd"/>
      <w:r w:rsidRPr="00485403">
        <w:rPr>
          <w:rFonts w:ascii="Times New Roman" w:hAnsi="Times New Roman" w:cs="Times New Roman"/>
          <w:szCs w:val="24"/>
        </w:rPr>
        <w:t xml:space="preserve"> and Chan PJJ first </w:t>
      </w:r>
      <w:proofErr w:type="gramStart"/>
      <w:r w:rsidRPr="00485403">
        <w:rPr>
          <w:rFonts w:ascii="Times New Roman" w:hAnsi="Times New Roman" w:cs="Times New Roman"/>
          <w:szCs w:val="24"/>
        </w:rPr>
        <w:t>said ,</w:t>
      </w:r>
      <w:proofErr w:type="gramEnd"/>
      <w:r w:rsidRPr="00485403">
        <w:rPr>
          <w:rFonts w:ascii="Times New Roman" w:hAnsi="Times New Roman" w:cs="Times New Roman"/>
          <w:szCs w:val="24"/>
        </w:rPr>
        <w:t xml:space="preserve"> at paragraph 32 that it ‘</w:t>
      </w:r>
      <w:r w:rsidRPr="00485403">
        <w:rPr>
          <w:rFonts w:ascii="Times New Roman" w:hAnsi="Times New Roman" w:cs="Times New Roman"/>
          <w:i/>
          <w:szCs w:val="24"/>
        </w:rPr>
        <w:t>is natural and appropriate to strive to decide on something more satisfying than the onus of proof</w:t>
      </w:r>
      <w:r w:rsidRPr="00485403">
        <w:rPr>
          <w:rFonts w:ascii="Times New Roman" w:hAnsi="Times New Roman" w:cs="Times New Roman"/>
          <w:szCs w:val="24"/>
        </w:rPr>
        <w:t>’. However, they also acknowledged that tax appeals do begin on the basis of Section 68(4), and so, ‘</w:t>
      </w:r>
      <w:r w:rsidRPr="00485403">
        <w:rPr>
          <w:rFonts w:ascii="Times New Roman" w:hAnsi="Times New Roman" w:cs="Times New Roman"/>
          <w:i/>
          <w:szCs w:val="24"/>
        </w:rPr>
        <w:t>it is possible although rare for such an appeal to end – and be disposed of – on that basis</w:t>
      </w:r>
      <w:r w:rsidRPr="00485403">
        <w:rPr>
          <w:rFonts w:ascii="Times New Roman" w:hAnsi="Times New Roman" w:cs="Times New Roman"/>
          <w:szCs w:val="24"/>
        </w:rPr>
        <w:t>’. The judges further held, at paragraph 47, that the ‘</w:t>
      </w:r>
      <w:r w:rsidRPr="00485403">
        <w:rPr>
          <w:rFonts w:ascii="Times New Roman" w:hAnsi="Times New Roman" w:cs="Times New Roman"/>
          <w:i/>
          <w:szCs w:val="24"/>
        </w:rPr>
        <w:t>taxpayer will have to prove his contention</w:t>
      </w:r>
      <w:r w:rsidRPr="00485403">
        <w:rPr>
          <w:rFonts w:ascii="Times New Roman" w:hAnsi="Times New Roman" w:cs="Times New Roman"/>
          <w:szCs w:val="24"/>
        </w:rPr>
        <w:t>’ and so ‘</w:t>
      </w:r>
      <w:r w:rsidRPr="00485403">
        <w:rPr>
          <w:rFonts w:ascii="Times New Roman" w:hAnsi="Times New Roman" w:cs="Times New Roman"/>
          <w:i/>
          <w:szCs w:val="24"/>
        </w:rPr>
        <w:t>his appeal to the Board of Review would fail if the Board positively determines that, contrary to his contention, [the Property was a trading stock]. And it would likewise fail if the Board merely determines that he has not proved his contention’ that the property was capital asset.</w:t>
      </w:r>
      <w:r w:rsidRPr="00485403">
        <w:rPr>
          <w:rFonts w:ascii="Times New Roman" w:hAnsi="Times New Roman" w:cs="Times New Roman"/>
          <w:szCs w:val="24"/>
        </w:rPr>
        <w:t>’  This means that no appeal by the taxpayer could succeed unless the court is of the view that the true and only reasonable conclusion is that the position is what the taxpayer contends, being a long term investment asset.</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In </w:t>
      </w:r>
      <w:r w:rsidRPr="00485403">
        <w:rPr>
          <w:rFonts w:ascii="Times New Roman" w:hAnsi="Times New Roman" w:cs="Times New Roman"/>
          <w:szCs w:val="24"/>
          <w:u w:val="single"/>
        </w:rPr>
        <w:t>Crown Brilliance Ltd</w:t>
      </w:r>
      <w:r w:rsidRPr="00485403">
        <w:rPr>
          <w:rFonts w:ascii="Times New Roman" w:hAnsi="Times New Roman" w:cs="Times New Roman"/>
          <w:szCs w:val="24"/>
        </w:rPr>
        <w:t>, G Lam J held that the Board misdirected itself in law and/or erred in law in relying on and/or giving undue weight to the taxpayer’s representatives’ assertions or representations, which were unsupported by any evidence and were not adduced as evidence.</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The Appellants’ Grounds of Appeal</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In the statement of the grounds of appeal, the Appellants, through its Representative, claimed that:</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the Appellants acquired the Property solely for the purpose of earning rental income as they expected a high rate of return by leasing out the Property; </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the period of ownership did not conclusively imply the intention of acquisition and holding of the Property; </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the</w:t>
      </w:r>
      <w:proofErr w:type="gramEnd"/>
      <w:r w:rsidRPr="00485403">
        <w:rPr>
          <w:rFonts w:ascii="Times New Roman" w:hAnsi="Times New Roman" w:cs="Times New Roman"/>
          <w:szCs w:val="24"/>
        </w:rPr>
        <w:t xml:space="preserve"> Appellants did have a plan to finance the holding of the Property in the long term.  The Appellants would be able to pay the expenses of the Property by leasing out the Property for rental income; </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the</w:t>
      </w:r>
      <w:proofErr w:type="gramEnd"/>
      <w:r w:rsidRPr="00485403">
        <w:rPr>
          <w:rFonts w:ascii="Times New Roman" w:hAnsi="Times New Roman" w:cs="Times New Roman"/>
          <w:szCs w:val="24"/>
        </w:rPr>
        <w:t xml:space="preserve"> Appellants had tried their best in seeking for tenants but could not leased out the Property after three months from the date of acquisition.  </w:t>
      </w:r>
      <w:r w:rsidRPr="00485403">
        <w:rPr>
          <w:rFonts w:ascii="Times New Roman" w:hAnsi="Times New Roman" w:cs="Times New Roman"/>
          <w:szCs w:val="24"/>
        </w:rPr>
        <w:lastRenderedPageBreak/>
        <w:t>There was a lower chance of success in leasing out the Property in the near future due to high vacancy percentage of the building; and</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numPr>
          <w:ilvl w:val="0"/>
          <w:numId w:val="16"/>
        </w:numPr>
        <w:overflowPunct w:val="0"/>
        <w:autoSpaceDE w:val="0"/>
        <w:autoSpaceDN w:val="0"/>
        <w:ind w:leftChars="638" w:left="2107" w:hangingChars="240" w:hanging="576"/>
        <w:jc w:val="both"/>
        <w:rPr>
          <w:rFonts w:ascii="Times New Roman" w:hAnsi="Times New Roman" w:cs="Times New Roman"/>
          <w:szCs w:val="24"/>
        </w:rPr>
      </w:pPr>
      <w:proofErr w:type="gramStart"/>
      <w:r w:rsidRPr="00485403">
        <w:rPr>
          <w:rFonts w:ascii="Times New Roman" w:hAnsi="Times New Roman" w:cs="Times New Roman"/>
          <w:szCs w:val="24"/>
        </w:rPr>
        <w:t>the</w:t>
      </w:r>
      <w:proofErr w:type="gramEnd"/>
      <w:r w:rsidRPr="00485403">
        <w:rPr>
          <w:rFonts w:ascii="Times New Roman" w:hAnsi="Times New Roman" w:cs="Times New Roman"/>
          <w:szCs w:val="24"/>
        </w:rPr>
        <w:t xml:space="preserve"> exclusive agency authorization agreement dated 19 October 2012 </w:t>
      </w:r>
      <w:r w:rsidRPr="00485403">
        <w:rPr>
          <w:rFonts w:ascii="Times New Roman" w:hAnsi="Times New Roman" w:cs="Times New Roman"/>
          <w:b/>
          <w:bCs/>
          <w:szCs w:val="24"/>
        </w:rPr>
        <w:t>(‘the Agency Agreement’)</w:t>
      </w:r>
      <w:r w:rsidRPr="00485403">
        <w:rPr>
          <w:rFonts w:ascii="Times New Roman" w:hAnsi="Times New Roman" w:cs="Times New Roman"/>
          <w:szCs w:val="24"/>
        </w:rPr>
        <w:t xml:space="preserve"> entered into between </w:t>
      </w:r>
      <w:r w:rsidR="00290006" w:rsidRPr="00485403">
        <w:rPr>
          <w:rFonts w:ascii="Times New Roman" w:hAnsi="Times New Roman" w:cs="Times New Roman"/>
          <w:szCs w:val="24"/>
        </w:rPr>
        <w:t>Agency H</w:t>
      </w:r>
      <w:r w:rsidRPr="00485403">
        <w:rPr>
          <w:rFonts w:ascii="Times New Roman" w:hAnsi="Times New Roman" w:cs="Times New Roman"/>
          <w:szCs w:val="24"/>
        </w:rPr>
        <w:t xml:space="preserve"> proved that the Appellants had been looking for tenants.  The Agency Agreement provided that even if the Property was leased out through other property agents, the Appellants had to pay agency fee to </w:t>
      </w:r>
      <w:r w:rsidR="00290006" w:rsidRPr="00485403">
        <w:rPr>
          <w:rFonts w:ascii="Times New Roman" w:hAnsi="Times New Roman" w:cs="Times New Roman"/>
          <w:szCs w:val="24"/>
        </w:rPr>
        <w:t>Agency H</w:t>
      </w:r>
      <w:r w:rsidRPr="00485403">
        <w:rPr>
          <w:rFonts w:ascii="Times New Roman" w:hAnsi="Times New Roman" w:cs="Times New Roman"/>
          <w:szCs w:val="24"/>
        </w:rPr>
        <w:t xml:space="preserve">.  As a result of such a term, the Appellants did not take other concrete steps in leasing out the Property. </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The Appellants’ submission at the hearing</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Appellants did not provide any written skeleton.  </w:t>
      </w: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WONG made the oral submission, which essentially followed the Appellants’ grounds of appeal as stated above.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In the oral submission of </w:t>
      </w: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WONG, he further submitted that to lease the Property, it was the market’s expectation that the Appellants, as landlord, would need to bear costs of installing fire and air-conditioning systems.  The Appellants expected that they would need to pay approximately HK$100,000 for such installations.  However, as first-time purchasers of commercial properties, they had not expected such costs, and such costs were considered as a burden to them.</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 xml:space="preserve">The Evidence of </w:t>
      </w:r>
      <w:proofErr w:type="spellStart"/>
      <w:r w:rsidRPr="00485403">
        <w:rPr>
          <w:rFonts w:ascii="Times New Roman" w:hAnsi="Times New Roman" w:cs="Times New Roman"/>
          <w:b/>
          <w:szCs w:val="24"/>
        </w:rPr>
        <w:t>Ms</w:t>
      </w:r>
      <w:proofErr w:type="spellEnd"/>
      <w:r w:rsidRPr="00485403">
        <w:rPr>
          <w:rFonts w:ascii="Times New Roman" w:hAnsi="Times New Roman" w:cs="Times New Roman"/>
          <w:b/>
          <w:szCs w:val="24"/>
        </w:rPr>
        <w:t xml:space="preserve"> </w:t>
      </w:r>
      <w:r w:rsidR="00D035D0" w:rsidRPr="00485403">
        <w:rPr>
          <w:rFonts w:ascii="Times New Roman" w:hAnsi="Times New Roman" w:cs="Times New Roman"/>
          <w:b/>
          <w:szCs w:val="24"/>
        </w:rPr>
        <w:t>K</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Appellants called one witness,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who was the </w:t>
      </w:r>
      <w:r w:rsidR="00290006" w:rsidRPr="00485403">
        <w:rPr>
          <w:rFonts w:ascii="Times New Roman" w:hAnsi="Times New Roman" w:cs="Times New Roman"/>
          <w:szCs w:val="24"/>
        </w:rPr>
        <w:t>family member</w:t>
      </w:r>
      <w:r w:rsidRPr="00485403">
        <w:rPr>
          <w:rFonts w:ascii="Times New Roman" w:hAnsi="Times New Roman" w:cs="Times New Roman"/>
          <w:szCs w:val="24"/>
        </w:rPr>
        <w:t xml:space="preserve"> of </w:t>
      </w: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t>
      </w:r>
      <w:r w:rsidR="00290006" w:rsidRPr="00485403">
        <w:rPr>
          <w:rFonts w:ascii="Times New Roman" w:hAnsi="Times New Roman" w:cs="Times New Roman"/>
          <w:szCs w:val="24"/>
        </w:rPr>
        <w:t>A</w:t>
      </w:r>
      <w:r w:rsidRPr="00485403">
        <w:rPr>
          <w:rFonts w:ascii="Times New Roman" w:hAnsi="Times New Roman" w:cs="Times New Roman"/>
          <w:szCs w:val="24"/>
        </w:rPr>
        <w:t xml:space="preserve">.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had not given any witness statement in writing.  The Board has thus carefully considered her oral testimony.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Upon cross-examination,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admitted that she was the person authorized by the Appellants to contact the estate agents for the lease as well as the subsequent sale of the Property.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denied however that it was the Appellants’ initial intention to dispose of the Property.  Instead,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alleged that the Property was acquired for the purpose of earning long-term rental income.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When asked about the telephone system records of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which showed that since 2 November 2012,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had been in discussion with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for lease and/or sale of the Property (and since 1 December 2012, the discussion mainly related to sale of the Property instead of its lease),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said that she could not recall the details of the alleged telephone conversations; however,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confirmed that she was approached by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first, and the focus was on the lease of the Property.  With regard to the offer prices for selling the Property,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said that it was only </w:t>
      </w:r>
      <w:r w:rsidR="00290006" w:rsidRPr="00485403">
        <w:rPr>
          <w:rFonts w:ascii="Times New Roman" w:hAnsi="Times New Roman" w:cs="Times New Roman"/>
          <w:szCs w:val="24"/>
        </w:rPr>
        <w:t>Agency J</w:t>
      </w:r>
      <w:r w:rsidRPr="00485403">
        <w:rPr>
          <w:rFonts w:ascii="Times New Roman" w:hAnsi="Times New Roman" w:cs="Times New Roman"/>
          <w:szCs w:val="24"/>
        </w:rPr>
        <w:t>'s records, not hers, and she could not recall the details and was not in a position to make any comments.</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In the course of giving evidence,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confirmed that she had indeed passed the key of the Property to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which was marked so in the computerized record of </w:t>
      </w:r>
      <w:r w:rsidR="00290006" w:rsidRPr="00485403">
        <w:rPr>
          <w:rFonts w:ascii="Times New Roman" w:hAnsi="Times New Roman" w:cs="Times New Roman"/>
          <w:szCs w:val="24"/>
        </w:rPr>
        <w:t xml:space="preserve">Agency </w:t>
      </w:r>
      <w:r w:rsidR="00290006" w:rsidRPr="00485403">
        <w:rPr>
          <w:rFonts w:ascii="Times New Roman" w:hAnsi="Times New Roman" w:cs="Times New Roman"/>
          <w:szCs w:val="24"/>
        </w:rPr>
        <w:lastRenderedPageBreak/>
        <w:t>J</w:t>
      </w:r>
      <w:r w:rsidRPr="00485403">
        <w:rPr>
          <w:rFonts w:ascii="Times New Roman" w:hAnsi="Times New Roman" w:cs="Times New Roman"/>
          <w:szCs w:val="24"/>
        </w:rPr>
        <w:t xml:space="preserve"> as of 8 December 2012.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xml:space="preserve"> stated that the intention for selling the Property was due to the fact that the monthly expenses of the Property had become a heavy burden to the Appellants, and hence, they had to sell the Property.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Application of the badges of trade</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Respondent had submitted that where the badges of trade as summarized by McHugh NPJ in </w:t>
      </w:r>
      <w:r w:rsidRPr="00485403">
        <w:rPr>
          <w:rFonts w:ascii="Times New Roman" w:hAnsi="Times New Roman" w:cs="Times New Roman"/>
          <w:szCs w:val="24"/>
          <w:u w:val="single"/>
        </w:rPr>
        <w:t xml:space="preserve">Lee Yee </w:t>
      </w:r>
      <w:proofErr w:type="spellStart"/>
      <w:r w:rsidRPr="00485403">
        <w:rPr>
          <w:rFonts w:ascii="Times New Roman" w:hAnsi="Times New Roman" w:cs="Times New Roman"/>
          <w:szCs w:val="24"/>
          <w:u w:val="single"/>
        </w:rPr>
        <w:t>Shing</w:t>
      </w:r>
      <w:proofErr w:type="spellEnd"/>
      <w:r w:rsidRPr="00485403">
        <w:rPr>
          <w:rFonts w:ascii="Times New Roman" w:hAnsi="Times New Roman" w:cs="Times New Roman"/>
          <w:szCs w:val="24"/>
        </w:rPr>
        <w:t xml:space="preserve"> are applied in the present case, they would all yield the following negative and/or neutral answers, which are adverse to the Appellant's contentions (or otherwise do not advance them):</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b/>
          <w:i/>
          <w:szCs w:val="24"/>
        </w:rPr>
      </w:pPr>
      <w:r w:rsidRPr="00485403">
        <w:rPr>
          <w:rFonts w:ascii="Times New Roman" w:hAnsi="Times New Roman" w:cs="Times New Roman"/>
          <w:szCs w:val="24"/>
        </w:rPr>
        <w:t>(a)</w:t>
      </w:r>
      <w:r w:rsidRPr="00485403">
        <w:rPr>
          <w:rFonts w:ascii="Times New Roman" w:hAnsi="Times New Roman" w:cs="Times New Roman"/>
          <w:szCs w:val="24"/>
        </w:rPr>
        <w:tab/>
      </w:r>
      <w:r w:rsidRPr="00485403">
        <w:rPr>
          <w:rFonts w:ascii="Times New Roman" w:hAnsi="Times New Roman" w:cs="Times New Roman"/>
          <w:b/>
          <w:i/>
          <w:szCs w:val="24"/>
        </w:rPr>
        <w:t>Whether the Appellants have frequently engaged in similar transactions?</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 xml:space="preserve">No. Further, it is well-settled that a single, one-off transaction can be an adventure in the nature of trade: </w:t>
      </w:r>
      <w:proofErr w:type="spellStart"/>
      <w:r w:rsidRPr="00485403">
        <w:rPr>
          <w:rFonts w:ascii="Times New Roman" w:hAnsi="Times New Roman" w:cs="Times New Roman"/>
          <w:szCs w:val="24"/>
          <w:u w:val="single"/>
        </w:rPr>
        <w:t>Marson</w:t>
      </w:r>
      <w:proofErr w:type="spellEnd"/>
      <w:r w:rsidRPr="00485403">
        <w:rPr>
          <w:rFonts w:ascii="Times New Roman" w:hAnsi="Times New Roman" w:cs="Times New Roman"/>
          <w:szCs w:val="24"/>
        </w:rPr>
        <w:t>.</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(b) </w:t>
      </w:r>
      <w:r w:rsidRPr="00485403">
        <w:rPr>
          <w:rFonts w:ascii="Times New Roman" w:hAnsi="Times New Roman" w:cs="Times New Roman"/>
          <w:szCs w:val="24"/>
        </w:rPr>
        <w:tab/>
      </w:r>
      <w:r w:rsidRPr="00485403">
        <w:rPr>
          <w:rFonts w:ascii="Times New Roman" w:hAnsi="Times New Roman" w:cs="Times New Roman"/>
          <w:b/>
          <w:i/>
          <w:szCs w:val="24"/>
        </w:rPr>
        <w:t>Whether the Appellants have held the asset or commodity for a lengthy period?</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No. The Appellants held the Property for less than 6 months.</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(c)</w:t>
      </w:r>
      <w:r w:rsidRPr="00485403">
        <w:rPr>
          <w:rFonts w:ascii="Times New Roman" w:hAnsi="Times New Roman" w:cs="Times New Roman"/>
          <w:szCs w:val="24"/>
        </w:rPr>
        <w:tab/>
      </w:r>
      <w:r w:rsidRPr="00485403">
        <w:rPr>
          <w:rFonts w:ascii="Times New Roman" w:hAnsi="Times New Roman" w:cs="Times New Roman"/>
          <w:b/>
          <w:i/>
          <w:szCs w:val="24"/>
        </w:rPr>
        <w:t>Whether the Appellants have acquired an asset or commodity that is normally the subject of trading rather than investment?</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In Hong Kong, real property can be acquired for trading or investment purposes, so this badge does not advance the Appellants' case.</w:t>
      </w: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(d)</w:t>
      </w:r>
      <w:r w:rsidRPr="00485403">
        <w:rPr>
          <w:rFonts w:ascii="Times New Roman" w:hAnsi="Times New Roman" w:cs="Times New Roman"/>
          <w:szCs w:val="24"/>
        </w:rPr>
        <w:tab/>
      </w:r>
      <w:r w:rsidRPr="00485403">
        <w:rPr>
          <w:rFonts w:ascii="Times New Roman" w:hAnsi="Times New Roman" w:cs="Times New Roman"/>
          <w:b/>
          <w:i/>
          <w:szCs w:val="24"/>
        </w:rPr>
        <w:t>Whether the Appellants have bought large quantities or numbers of the commodity or asset?</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No. The Appellants only dealt in the Property. However, as mentioned in paragraph (a) above, a one-off transaction can be an adventure in the nature of trade.</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ab/>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(e)</w:t>
      </w:r>
      <w:r w:rsidRPr="00485403">
        <w:rPr>
          <w:rFonts w:ascii="Times New Roman" w:hAnsi="Times New Roman" w:cs="Times New Roman"/>
          <w:szCs w:val="24"/>
        </w:rPr>
        <w:tab/>
      </w:r>
      <w:r w:rsidRPr="00485403">
        <w:rPr>
          <w:rFonts w:ascii="Times New Roman" w:hAnsi="Times New Roman" w:cs="Times New Roman"/>
          <w:b/>
          <w:i/>
          <w:szCs w:val="24"/>
        </w:rPr>
        <w:t>Whether the Appellants have sold the commodity or asset for reasons that would not exist if the taxpayer had an intention to resell at the time of acquisition?</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No. The Appellants claimed that the Property could not be leased out after three months from the date of acquisition.</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(f)</w:t>
      </w:r>
      <w:r w:rsidRPr="00485403">
        <w:rPr>
          <w:rFonts w:ascii="Times New Roman" w:hAnsi="Times New Roman" w:cs="Times New Roman"/>
          <w:szCs w:val="24"/>
        </w:rPr>
        <w:tab/>
      </w:r>
      <w:r w:rsidRPr="00485403">
        <w:rPr>
          <w:rFonts w:ascii="Times New Roman" w:hAnsi="Times New Roman" w:cs="Times New Roman"/>
          <w:b/>
          <w:i/>
          <w:szCs w:val="24"/>
        </w:rPr>
        <w:t>Whether the Appellants have sought to add re-sale value to the asset by additions or repair?</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lastRenderedPageBreak/>
        <w:t>No. The Appellants acquired and sold the Property with vacant possession.</w:t>
      </w: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 xml:space="preserve">(g) </w:t>
      </w:r>
      <w:r w:rsidRPr="00485403">
        <w:rPr>
          <w:rFonts w:ascii="Times New Roman" w:hAnsi="Times New Roman" w:cs="Times New Roman"/>
          <w:szCs w:val="24"/>
        </w:rPr>
        <w:tab/>
      </w:r>
      <w:r w:rsidRPr="00485403">
        <w:rPr>
          <w:rFonts w:ascii="Times New Roman" w:hAnsi="Times New Roman" w:cs="Times New Roman"/>
          <w:b/>
          <w:i/>
          <w:szCs w:val="24"/>
        </w:rPr>
        <w:t>Whether the Appellants have expended time, money or effort in selling the asset or commodity that goes beyond what might be expected of a non-trader seeking to sell an asset of that class?</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 xml:space="preserve">No. Although the Appellants appointed </w:t>
      </w:r>
      <w:r w:rsidR="00290006" w:rsidRPr="00485403">
        <w:rPr>
          <w:rFonts w:ascii="Times New Roman" w:hAnsi="Times New Roman" w:cs="Times New Roman"/>
          <w:szCs w:val="24"/>
        </w:rPr>
        <w:t>Agency H</w:t>
      </w:r>
      <w:r w:rsidRPr="00485403">
        <w:rPr>
          <w:rFonts w:ascii="Times New Roman" w:hAnsi="Times New Roman" w:cs="Times New Roman"/>
          <w:szCs w:val="24"/>
        </w:rPr>
        <w:t xml:space="preserve"> as their exclusive agent to lease out the Property, the Property was actually sold through </w:t>
      </w:r>
      <w:r w:rsidR="00324837" w:rsidRPr="00485403">
        <w:rPr>
          <w:rFonts w:ascii="Times New Roman" w:hAnsi="Times New Roman" w:cs="Times New Roman"/>
          <w:szCs w:val="24"/>
        </w:rPr>
        <w:t>Agency G</w:t>
      </w:r>
      <w:r w:rsidRPr="00485403">
        <w:rPr>
          <w:rFonts w:ascii="Times New Roman" w:hAnsi="Times New Roman" w:cs="Times New Roman"/>
          <w:szCs w:val="24"/>
        </w:rPr>
        <w:t xml:space="preserve">, and there is information which shows that the Property had also been put up for sale through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No serious attempts had been made to appoint </w:t>
      </w:r>
      <w:r w:rsidR="00324837" w:rsidRPr="00485403">
        <w:rPr>
          <w:rFonts w:ascii="Times New Roman" w:hAnsi="Times New Roman" w:cs="Times New Roman"/>
          <w:szCs w:val="24"/>
        </w:rPr>
        <w:t>Agency G</w:t>
      </w:r>
      <w:r w:rsidRPr="00485403">
        <w:rPr>
          <w:rFonts w:ascii="Times New Roman" w:hAnsi="Times New Roman" w:cs="Times New Roman"/>
          <w:szCs w:val="24"/>
        </w:rPr>
        <w:t xml:space="preserve"> or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 be to let out the Property.</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(h)</w:t>
      </w:r>
      <w:r w:rsidRPr="00485403">
        <w:rPr>
          <w:rFonts w:ascii="Times New Roman" w:hAnsi="Times New Roman" w:cs="Times New Roman"/>
          <w:szCs w:val="24"/>
        </w:rPr>
        <w:tab/>
      </w:r>
      <w:r w:rsidRPr="00485403">
        <w:rPr>
          <w:rFonts w:ascii="Times New Roman" w:hAnsi="Times New Roman" w:cs="Times New Roman"/>
          <w:b/>
          <w:i/>
          <w:szCs w:val="24"/>
        </w:rPr>
        <w:t>Whether the Appellants have conceded an actual intention to resell at a profit when the asset or commodity was acquired?</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u w:val="single"/>
        </w:rPr>
      </w:pPr>
    </w:p>
    <w:p w:rsidR="00823FD6" w:rsidRPr="00485403" w:rsidRDefault="00823FD6" w:rsidP="00844E04">
      <w:pPr>
        <w:pStyle w:val="ac"/>
        <w:overflowPunct w:val="0"/>
        <w:autoSpaceDE w:val="0"/>
        <w:autoSpaceDN w:val="0"/>
        <w:ind w:leftChars="637" w:left="1558" w:hangingChars="12" w:hanging="29"/>
        <w:jc w:val="both"/>
        <w:rPr>
          <w:rFonts w:ascii="Times New Roman" w:hAnsi="Times New Roman" w:cs="Times New Roman"/>
          <w:szCs w:val="24"/>
        </w:rPr>
      </w:pPr>
      <w:r w:rsidRPr="00485403">
        <w:rPr>
          <w:rFonts w:ascii="Times New Roman" w:hAnsi="Times New Roman" w:cs="Times New Roman"/>
          <w:szCs w:val="24"/>
        </w:rPr>
        <w:t>The Appellants claimed that the intention for acquisition of the Property was for leasing and earning rental income on a long term basis.</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p>
    <w:p w:rsidR="00823FD6" w:rsidRPr="00485403" w:rsidRDefault="00823FD6" w:rsidP="00844E04">
      <w:pPr>
        <w:overflowPunct w:val="0"/>
        <w:autoSpaceDE w:val="0"/>
        <w:autoSpaceDN w:val="0"/>
        <w:ind w:leftChars="638" w:left="2107" w:hangingChars="240" w:hanging="576"/>
        <w:jc w:val="both"/>
        <w:rPr>
          <w:rFonts w:ascii="Times New Roman" w:hAnsi="Times New Roman" w:cs="Times New Roman"/>
          <w:szCs w:val="24"/>
          <w:u w:val="single"/>
        </w:rPr>
      </w:pPr>
      <w:r w:rsidRPr="00485403">
        <w:rPr>
          <w:rFonts w:ascii="Times New Roman" w:hAnsi="Times New Roman" w:cs="Times New Roman"/>
          <w:szCs w:val="24"/>
        </w:rPr>
        <w:t>(</w:t>
      </w:r>
      <w:proofErr w:type="spellStart"/>
      <w:r w:rsidRPr="00485403">
        <w:rPr>
          <w:rFonts w:ascii="Times New Roman" w:hAnsi="Times New Roman" w:cs="Times New Roman"/>
          <w:szCs w:val="24"/>
        </w:rPr>
        <w:t>i</w:t>
      </w:r>
      <w:proofErr w:type="spellEnd"/>
      <w:r w:rsidRPr="00485403">
        <w:rPr>
          <w:rFonts w:ascii="Times New Roman" w:hAnsi="Times New Roman" w:cs="Times New Roman"/>
          <w:szCs w:val="24"/>
        </w:rPr>
        <w:t>)</w:t>
      </w:r>
      <w:r w:rsidRPr="00485403">
        <w:rPr>
          <w:rFonts w:ascii="Times New Roman" w:hAnsi="Times New Roman" w:cs="Times New Roman"/>
          <w:szCs w:val="24"/>
        </w:rPr>
        <w:tab/>
      </w:r>
      <w:r w:rsidRPr="00485403">
        <w:rPr>
          <w:rFonts w:ascii="Times New Roman" w:hAnsi="Times New Roman" w:cs="Times New Roman"/>
          <w:b/>
          <w:i/>
          <w:szCs w:val="24"/>
        </w:rPr>
        <w:t>Whether the Appellants have purchased the asset or commodity for personal use or pleasure or for income?</w:t>
      </w: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u w:val="single"/>
        </w:rPr>
      </w:pPr>
    </w:p>
    <w:p w:rsidR="00823FD6" w:rsidRPr="00485403" w:rsidRDefault="00823FD6" w:rsidP="00844E04">
      <w:pPr>
        <w:pStyle w:val="ac"/>
        <w:overflowPunct w:val="0"/>
        <w:autoSpaceDE w:val="0"/>
        <w:autoSpaceDN w:val="0"/>
        <w:ind w:leftChars="638" w:left="2107" w:hangingChars="240" w:hanging="576"/>
        <w:jc w:val="both"/>
        <w:rPr>
          <w:rFonts w:ascii="Times New Roman" w:hAnsi="Times New Roman" w:cs="Times New Roman"/>
          <w:szCs w:val="24"/>
        </w:rPr>
      </w:pPr>
      <w:r w:rsidRPr="00485403">
        <w:rPr>
          <w:rFonts w:ascii="Times New Roman" w:hAnsi="Times New Roman" w:cs="Times New Roman"/>
          <w:szCs w:val="24"/>
        </w:rPr>
        <w:t>No. The Property was not leased out during the period of ownership at all.</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Analysis</w:t>
      </w:r>
    </w:p>
    <w:p w:rsidR="00823FD6" w:rsidRPr="00485403" w:rsidRDefault="00823FD6" w:rsidP="00844E04">
      <w:pPr>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Pursuant to section 68(4) of the Inland Revenue Ordinance </w:t>
      </w:r>
      <w:r w:rsidRPr="00485403">
        <w:rPr>
          <w:rFonts w:ascii="Times New Roman" w:hAnsi="Times New Roman" w:cs="Times New Roman"/>
          <w:b/>
          <w:bCs/>
          <w:szCs w:val="24"/>
        </w:rPr>
        <w:t>(‘the Ordinance’)</w:t>
      </w:r>
      <w:r w:rsidRPr="00485403">
        <w:rPr>
          <w:rFonts w:ascii="Times New Roman" w:hAnsi="Times New Roman" w:cs="Times New Roman"/>
          <w:szCs w:val="24"/>
        </w:rPr>
        <w:t xml:space="preserve">, the onus of proving that the 2013/14 Profits Tax Assessment is excessive or incorrect is on the Appellants.  </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Hence, to succeed in the appeal, the Appellants must show to the Board’s satisfaction, by way of credible and accepted evidence, that the Property was a capital asset.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proofErr w:type="spellStart"/>
      <w:r w:rsidRPr="00485403">
        <w:rPr>
          <w:rFonts w:ascii="Times New Roman" w:hAnsi="Times New Roman" w:cs="Times New Roman"/>
          <w:szCs w:val="24"/>
        </w:rPr>
        <w:t>Mr</w:t>
      </w:r>
      <w:proofErr w:type="spellEnd"/>
      <w:r w:rsidRPr="00485403">
        <w:rPr>
          <w:rFonts w:ascii="Times New Roman" w:hAnsi="Times New Roman" w:cs="Times New Roman"/>
          <w:szCs w:val="24"/>
        </w:rPr>
        <w:t xml:space="preserve"> WONG, in his submissions, and </w:t>
      </w:r>
      <w:proofErr w:type="spellStart"/>
      <w:r w:rsidRPr="00485403">
        <w:rPr>
          <w:rFonts w:ascii="Times New Roman" w:hAnsi="Times New Roman" w:cs="Times New Roman"/>
          <w:szCs w:val="24"/>
        </w:rPr>
        <w:t>Ms</w:t>
      </w:r>
      <w:proofErr w:type="spellEnd"/>
      <w:r w:rsidRPr="00485403">
        <w:rPr>
          <w:rFonts w:ascii="Times New Roman" w:hAnsi="Times New Roman" w:cs="Times New Roman"/>
          <w:szCs w:val="24"/>
        </w:rPr>
        <w:t xml:space="preserve"> </w:t>
      </w:r>
      <w:r w:rsidR="00D035D0" w:rsidRPr="00485403">
        <w:rPr>
          <w:rFonts w:ascii="Times New Roman" w:hAnsi="Times New Roman" w:cs="Times New Roman"/>
          <w:szCs w:val="24"/>
        </w:rPr>
        <w:t>K</w:t>
      </w:r>
      <w:r w:rsidRPr="00485403">
        <w:rPr>
          <w:rFonts w:ascii="Times New Roman" w:hAnsi="Times New Roman" w:cs="Times New Roman"/>
          <w:szCs w:val="24"/>
        </w:rPr>
        <w:t>, in her oral evidence, repeatedly stated that the Property was acquired by the Appellants for the purpose of earning rental income.  The reason for selling the Property was only that they found the costs of maintaining or leasing out the Property was so high that it was out of their expectation.  The Appellants had attempted to lease the Property, but it was unsuccessful, and hence they had no choice but to sell the Property.</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It was undisputed that the Appellants entered into the preliminary sale and purchase agreement to acquire the Property on 8 October 2012, and the Property was assigned to them on 26 October 2012.  On 21 January 2013, the Appellants, through </w:t>
      </w:r>
      <w:r w:rsidR="00324837" w:rsidRPr="00485403">
        <w:rPr>
          <w:rFonts w:ascii="Times New Roman" w:hAnsi="Times New Roman" w:cs="Times New Roman"/>
          <w:szCs w:val="24"/>
        </w:rPr>
        <w:t>Agency G</w:t>
      </w:r>
      <w:r w:rsidRPr="00485403">
        <w:rPr>
          <w:rFonts w:ascii="Times New Roman" w:hAnsi="Times New Roman" w:cs="Times New Roman"/>
          <w:szCs w:val="24"/>
        </w:rPr>
        <w:t xml:space="preserve">, entered into the preliminary sale and purchase agreement to sell the Property on 21 January 2013, and the Property was assigned to the purchaser on 8 April 2013.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Board considers that such short period of ownership supports the inference that the Property was acquired for trading.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Furthermore, the Board considered that if it were indeed the genuine intention of the Appellants to hold the Property for long-term investments, they should have made more allowance of time seeking for tenants, rather than merely having waited for seven days as per </w:t>
      </w:r>
      <w:r w:rsidR="00290006" w:rsidRPr="00485403">
        <w:rPr>
          <w:rFonts w:ascii="Times New Roman" w:hAnsi="Times New Roman" w:cs="Times New Roman"/>
          <w:szCs w:val="24"/>
        </w:rPr>
        <w:t>Agency J</w:t>
      </w:r>
      <w:r w:rsidRPr="00485403">
        <w:rPr>
          <w:rFonts w:ascii="Times New Roman" w:hAnsi="Times New Roman" w:cs="Times New Roman"/>
          <w:szCs w:val="24"/>
        </w:rPr>
        <w:t xml:space="preserve">’s records.  </w:t>
      </w:r>
    </w:p>
    <w:p w:rsidR="00823FD6" w:rsidRPr="00485403" w:rsidRDefault="00823FD6" w:rsidP="00844E04">
      <w:pPr>
        <w:pStyle w:val="ac"/>
        <w:overflowPunct w:val="0"/>
        <w:autoSpaceDE w:val="0"/>
        <w:autoSpaceDN w:val="0"/>
        <w:ind w:firstLine="48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The disposal of the Property within such short period of time was also contrary to the contention of the Appellants that they acquired the Property for long-term investment.  The Appellants also failed to provide any credible (oral or documentary) evidence to support that their stated intention was genuinely held.    </w:t>
      </w:r>
    </w:p>
    <w:p w:rsidR="00823FD6" w:rsidRPr="00485403" w:rsidRDefault="00823FD6" w:rsidP="00844E04">
      <w:pPr>
        <w:widowControl/>
        <w:overflowPunct w:val="0"/>
        <w:autoSpaceDE w:val="0"/>
        <w:autoSpaceDN w:val="0"/>
        <w:jc w:val="both"/>
        <w:rPr>
          <w:rFonts w:ascii="Times New Roman" w:hAnsi="Times New Roman" w:cs="Times New Roman"/>
          <w:b/>
          <w:szCs w:val="24"/>
        </w:rPr>
      </w:pPr>
    </w:p>
    <w:p w:rsidR="00823FD6" w:rsidRPr="00485403" w:rsidRDefault="00823FD6" w:rsidP="00844E04">
      <w:pPr>
        <w:overflowPunct w:val="0"/>
        <w:autoSpaceDE w:val="0"/>
        <w:autoSpaceDN w:val="0"/>
        <w:jc w:val="both"/>
        <w:rPr>
          <w:rFonts w:ascii="Times New Roman" w:hAnsi="Times New Roman" w:cs="Times New Roman"/>
          <w:b/>
          <w:szCs w:val="24"/>
        </w:rPr>
      </w:pPr>
      <w:r w:rsidRPr="00485403">
        <w:rPr>
          <w:rFonts w:ascii="Times New Roman" w:hAnsi="Times New Roman" w:cs="Times New Roman"/>
          <w:b/>
          <w:szCs w:val="24"/>
        </w:rPr>
        <w:t>Conclusion</w:t>
      </w:r>
    </w:p>
    <w:p w:rsidR="00823FD6" w:rsidRPr="00485403" w:rsidRDefault="00823FD6" w:rsidP="00844E04">
      <w:pPr>
        <w:overflowPunct w:val="0"/>
        <w:autoSpaceDE w:val="0"/>
        <w:autoSpaceDN w:val="0"/>
        <w:jc w:val="both"/>
        <w:rPr>
          <w:rFonts w:ascii="Times New Roman" w:hAnsi="Times New Roman" w:cs="Times New Roman"/>
          <w:b/>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Upon a holistic consideration of the circumstances of the case, and particularly in light of the commonly known badges of trade, we find as a fact that the Appellants had acquired the Property for trading purpose rather than for investment purposes.  Further or alternatively, we find that the Appellants have failed to discharge their burden of proof under section 68(4) of the Ordinance to show that the Property was acquired for </w:t>
      </w:r>
      <w:proofErr w:type="spellStart"/>
      <w:r w:rsidRPr="00485403">
        <w:rPr>
          <w:rFonts w:ascii="Times New Roman" w:hAnsi="Times New Roman" w:cs="Times New Roman"/>
          <w:szCs w:val="24"/>
        </w:rPr>
        <w:t>non trading</w:t>
      </w:r>
      <w:proofErr w:type="spellEnd"/>
      <w:r w:rsidRPr="00485403">
        <w:rPr>
          <w:rFonts w:ascii="Times New Roman" w:hAnsi="Times New Roman" w:cs="Times New Roman"/>
          <w:szCs w:val="24"/>
        </w:rPr>
        <w:t xml:space="preserve"> purposes. For all the above reasons, we make a finding of fact that in all likelihood, that the Property was acquired as a capital asset for short term trading rather than for long term investment purposes.</w:t>
      </w:r>
    </w:p>
    <w:p w:rsidR="00823FD6" w:rsidRPr="00485403" w:rsidRDefault="00823FD6" w:rsidP="00844E04">
      <w:pPr>
        <w:pStyle w:val="ac"/>
        <w:overflowPunct w:val="0"/>
        <w:autoSpaceDE w:val="0"/>
        <w:autoSpaceDN w:val="0"/>
        <w:jc w:val="both"/>
        <w:rPr>
          <w:rFonts w:ascii="Times New Roman" w:hAnsi="Times New Roman" w:cs="Times New Roman"/>
          <w:szCs w:val="24"/>
        </w:rPr>
      </w:pPr>
    </w:p>
    <w:p w:rsidR="00823FD6" w:rsidRPr="00485403" w:rsidRDefault="00823FD6" w:rsidP="00844E04">
      <w:pPr>
        <w:pStyle w:val="ac"/>
        <w:numPr>
          <w:ilvl w:val="0"/>
          <w:numId w:val="6"/>
        </w:numPr>
        <w:overflowPunct w:val="0"/>
        <w:autoSpaceDE w:val="0"/>
        <w:autoSpaceDN w:val="0"/>
        <w:ind w:leftChars="0" w:left="0" w:firstLine="0"/>
        <w:jc w:val="both"/>
        <w:rPr>
          <w:rFonts w:ascii="Times New Roman" w:hAnsi="Times New Roman" w:cs="Times New Roman"/>
          <w:szCs w:val="24"/>
        </w:rPr>
      </w:pPr>
      <w:r w:rsidRPr="00485403">
        <w:rPr>
          <w:rFonts w:ascii="Times New Roman" w:hAnsi="Times New Roman" w:cs="Times New Roman"/>
          <w:szCs w:val="24"/>
        </w:rPr>
        <w:t xml:space="preserve">Accordingly, we dismiss this appeal and confirm the 2013/14 Profits Tax Assessment.  </w:t>
      </w:r>
    </w:p>
    <w:p w:rsidR="00823FD6" w:rsidRPr="00485403" w:rsidRDefault="00823FD6" w:rsidP="00844E04">
      <w:pPr>
        <w:pStyle w:val="ac"/>
        <w:overflowPunct w:val="0"/>
        <w:autoSpaceDE w:val="0"/>
        <w:autoSpaceDN w:val="0"/>
        <w:jc w:val="both"/>
        <w:rPr>
          <w:rFonts w:ascii="Times New Roman" w:hAnsi="Times New Roman" w:cs="Times New Roman"/>
        </w:rPr>
      </w:pPr>
    </w:p>
    <w:p w:rsidR="00823FD6" w:rsidRPr="00485403" w:rsidRDefault="00823FD6" w:rsidP="00844E04">
      <w:pPr>
        <w:overflowPunct w:val="0"/>
        <w:autoSpaceDE w:val="0"/>
        <w:autoSpaceDN w:val="0"/>
        <w:jc w:val="both"/>
        <w:rPr>
          <w:rFonts w:ascii="Times New Roman" w:hAnsi="Times New Roman" w:cs="Times New Roman"/>
        </w:rPr>
      </w:pPr>
    </w:p>
    <w:p w:rsidR="0024125D" w:rsidRPr="00485403" w:rsidRDefault="00162E4D" w:rsidP="00844E04">
      <w:pPr>
        <w:overflowPunct w:val="0"/>
        <w:autoSpaceDE w:val="0"/>
        <w:autoSpaceDN w:val="0"/>
        <w:jc w:val="both"/>
        <w:rPr>
          <w:rFonts w:ascii="Times New Roman" w:hAnsi="Times New Roman" w:cs="Times New Roman"/>
        </w:rPr>
      </w:pPr>
    </w:p>
    <w:sectPr w:rsidR="0024125D" w:rsidRPr="00485403"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07" w:rsidRDefault="00F25807" w:rsidP="00CA6261">
      <w:r>
        <w:separator/>
      </w:r>
    </w:p>
  </w:endnote>
  <w:endnote w:type="continuationSeparator" w:id="0">
    <w:p w:rsidR="00F25807" w:rsidRDefault="00F25807"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Arial Unicode MS"/>
    <w:charset w:val="88"/>
    <w:family w:val="script"/>
    <w:pitch w:val="fixed"/>
    <w:sig w:usb0="00000000" w:usb1="38CFFDFA" w:usb2="00000016" w:usb3="00000000" w:csb0="0016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162E4D" w:rsidRPr="00162E4D">
      <w:rPr>
        <w:rFonts w:ascii="Times New Roman" w:hAnsi="Times New Roman" w:cs="Times New Roman"/>
        <w:noProof/>
        <w:lang w:val="zh-TW"/>
      </w:rPr>
      <w:t>13</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00E368FC">
      <w:rPr>
        <w:rFonts w:ascii="Times New Roman" w:eastAsia="DengXian" w:hAnsi="Times New Roman" w:cs="Times New Roman"/>
      </w:rPr>
      <w:t>December</w:t>
    </w:r>
    <w:r w:rsidR="00823FD6" w:rsidRPr="00E368FC">
      <w:rPr>
        <w:rFonts w:ascii="Times New Roman" w:eastAsia="DengXian" w:hAnsi="Times New Roman" w:cs="Times New Roman"/>
      </w:rPr>
      <w:t xml:space="preserve"> </w:t>
    </w:r>
    <w:r w:rsidRPr="00E368FC">
      <w:rPr>
        <w:rFonts w:ascii="Times New Roman" w:eastAsia="DengXian" w:hAnsi="Times New Roman" w:cs="Times New Roman"/>
      </w:rPr>
      <w:t>20</w:t>
    </w:r>
    <w:r w:rsidR="00823FD6" w:rsidRPr="00E368FC">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07" w:rsidRDefault="00F25807" w:rsidP="00CA6261">
      <w:r>
        <w:separator/>
      </w:r>
    </w:p>
  </w:footnote>
  <w:footnote w:type="continuationSeparator" w:id="0">
    <w:p w:rsidR="00F25807" w:rsidRDefault="00F25807"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823FD6" w:rsidRDefault="00CA6261" w:rsidP="00823FD6">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6036BF">
      <w:rPr>
        <w:rFonts w:ascii="Times New Roman" w:eastAsia="細明體" w:hAnsi="Times New Roman" w:cs="Times New Roman"/>
        <w:szCs w:val="20"/>
        <w:lang w:val="en-GB"/>
      </w:rPr>
      <w:t>20</w:t>
    </w:r>
    <w:r w:rsidR="00823FD6" w:rsidRPr="006036BF">
      <w:rPr>
        <w:rFonts w:ascii="Times New Roman" w:eastAsia="細明體" w:hAnsi="Times New Roman" w:cs="Times New Roman"/>
        <w:szCs w:val="20"/>
        <w:lang w:val="en-GB"/>
      </w:rPr>
      <w:t>22-23</w:t>
    </w:r>
    <w:r w:rsidRPr="006036BF">
      <w:rPr>
        <w:rFonts w:ascii="Times New Roman" w:eastAsia="細明體" w:hAnsi="Times New Roman" w:cs="Times New Roman"/>
        <w:szCs w:val="20"/>
        <w:lang w:val="en-GB"/>
      </w:rPr>
      <w:t xml:space="preserve">) VOLUME </w:t>
    </w:r>
    <w:r w:rsidR="00823FD6" w:rsidRPr="006036BF">
      <w:rPr>
        <w:rFonts w:ascii="Times New Roman" w:eastAsia="細明體" w:hAnsi="Times New Roman" w:cs="Times New Roman"/>
        <w:szCs w:val="20"/>
        <w:lang w:val="en-GB" w:eastAsia="zh-HK"/>
      </w:rPr>
      <w:t>37</w:t>
    </w:r>
    <w:r w:rsidRPr="006036BF">
      <w:rPr>
        <w:rFonts w:ascii="Times New Roman" w:eastAsia="細明體" w:hAnsi="Times New Roman" w:cs="Times New Roman"/>
        <w:szCs w:val="20"/>
        <w:lang w:val="en-GB"/>
      </w:rPr>
      <w:t xml:space="preserve"> </w:t>
    </w:r>
    <w:r w:rsidRPr="00CA6261">
      <w:rPr>
        <w:rFonts w:ascii="Times New Roman" w:eastAsia="細明體" w:hAnsi="Times New Roman" w:cs="Times New Roman"/>
        <w:szCs w:val="20"/>
        <w:lang w:val="en-GB"/>
      </w:rPr>
      <w:t>INLAND REVENUE BOARD OF REVIEW DECISIONS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666B"/>
    <w:multiLevelType w:val="hybridMultilevel"/>
    <w:tmpl w:val="128CE86E"/>
    <w:lvl w:ilvl="0" w:tplc="95E8776E">
      <w:start w:val="1"/>
      <w:numFmt w:val="low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965994"/>
    <w:multiLevelType w:val="hybridMultilevel"/>
    <w:tmpl w:val="EF5C4D7E"/>
    <w:lvl w:ilvl="0" w:tplc="F8E61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716B5E"/>
    <w:multiLevelType w:val="hybridMultilevel"/>
    <w:tmpl w:val="CE7C2418"/>
    <w:lvl w:ilvl="0" w:tplc="FF061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200E5"/>
    <w:multiLevelType w:val="hybridMultilevel"/>
    <w:tmpl w:val="DA800EF6"/>
    <w:lvl w:ilvl="0" w:tplc="7512AAFA">
      <w:start w:val="1"/>
      <w:numFmt w:val="low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33E63F37"/>
    <w:multiLevelType w:val="hybridMultilevel"/>
    <w:tmpl w:val="8C9CD106"/>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3CE02527"/>
    <w:multiLevelType w:val="hybridMultilevel"/>
    <w:tmpl w:val="25C43C0E"/>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CEB1400"/>
    <w:multiLevelType w:val="hybridMultilevel"/>
    <w:tmpl w:val="3F58841C"/>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0" w15:restartNumberingAfterBreak="0">
    <w:nsid w:val="5B3972AB"/>
    <w:multiLevelType w:val="hybridMultilevel"/>
    <w:tmpl w:val="EF901046"/>
    <w:lvl w:ilvl="0" w:tplc="0E8458D8">
      <w:start w:val="1"/>
      <w:numFmt w:val="lowerLetter"/>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3550E8"/>
    <w:multiLevelType w:val="hybridMultilevel"/>
    <w:tmpl w:val="4D0C27AE"/>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6CC05A13"/>
    <w:multiLevelType w:val="hybridMultilevel"/>
    <w:tmpl w:val="25C43C0E"/>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70460C22"/>
    <w:multiLevelType w:val="hybridMultilevel"/>
    <w:tmpl w:val="C03A0CC0"/>
    <w:lvl w:ilvl="0" w:tplc="742652A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BE55EC6"/>
    <w:multiLevelType w:val="hybridMultilevel"/>
    <w:tmpl w:val="2D14E060"/>
    <w:lvl w:ilvl="0" w:tplc="9C6C782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6"/>
  </w:num>
  <w:num w:numId="3">
    <w:abstractNumId w:val="9"/>
  </w:num>
  <w:num w:numId="4">
    <w:abstractNumId w:val="11"/>
  </w:num>
  <w:num w:numId="5">
    <w:abstractNumId w:val="12"/>
  </w:num>
  <w:num w:numId="6">
    <w:abstractNumId w:val="3"/>
  </w:num>
  <w:num w:numId="7">
    <w:abstractNumId w:val="15"/>
  </w:num>
  <w:num w:numId="8">
    <w:abstractNumId w:val="1"/>
  </w:num>
  <w:num w:numId="9">
    <w:abstractNumId w:val="10"/>
  </w:num>
  <w:num w:numId="10">
    <w:abstractNumId w:val="5"/>
  </w:num>
  <w:num w:numId="11">
    <w:abstractNumId w:val="16"/>
  </w:num>
  <w:num w:numId="12">
    <w:abstractNumId w:val="7"/>
  </w:num>
  <w:num w:numId="13">
    <w:abstractNumId w:val="4"/>
  </w:num>
  <w:num w:numId="14">
    <w:abstractNumId w:val="14"/>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xB8CqyHGErHZS++vI36VppFAOZvGVGRmGHZGAXctGujCKLvAdZ5/Q7yXtz1GIXKpMm2RncXQQTAayMWR4PDYhQ==" w:salt="+JHN/K/zu/twdfuC9xPy1A=="/>
  <w:defaultTabStop w:val="852"/>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D6"/>
    <w:rsid w:val="000664F1"/>
    <w:rsid w:val="00130E92"/>
    <w:rsid w:val="00162E4D"/>
    <w:rsid w:val="0016646F"/>
    <w:rsid w:val="00290006"/>
    <w:rsid w:val="002B4F67"/>
    <w:rsid w:val="002F0CEC"/>
    <w:rsid w:val="003174BA"/>
    <w:rsid w:val="00324837"/>
    <w:rsid w:val="00341554"/>
    <w:rsid w:val="003B2F11"/>
    <w:rsid w:val="003F69C0"/>
    <w:rsid w:val="00481B6F"/>
    <w:rsid w:val="00485403"/>
    <w:rsid w:val="005331A1"/>
    <w:rsid w:val="006036BF"/>
    <w:rsid w:val="00626338"/>
    <w:rsid w:val="006452BC"/>
    <w:rsid w:val="006C6786"/>
    <w:rsid w:val="006E07D9"/>
    <w:rsid w:val="007626E0"/>
    <w:rsid w:val="007C5AB0"/>
    <w:rsid w:val="008170FF"/>
    <w:rsid w:val="00817369"/>
    <w:rsid w:val="00823FD6"/>
    <w:rsid w:val="0083055E"/>
    <w:rsid w:val="00844E04"/>
    <w:rsid w:val="00852826"/>
    <w:rsid w:val="008749FF"/>
    <w:rsid w:val="008833AA"/>
    <w:rsid w:val="00977262"/>
    <w:rsid w:val="00A21005"/>
    <w:rsid w:val="00A64722"/>
    <w:rsid w:val="00A74B10"/>
    <w:rsid w:val="00AD10AB"/>
    <w:rsid w:val="00AE0298"/>
    <w:rsid w:val="00B12D73"/>
    <w:rsid w:val="00B4017A"/>
    <w:rsid w:val="00B94AC2"/>
    <w:rsid w:val="00C2395B"/>
    <w:rsid w:val="00CA6261"/>
    <w:rsid w:val="00CC7F6C"/>
    <w:rsid w:val="00D035D0"/>
    <w:rsid w:val="00D07B0B"/>
    <w:rsid w:val="00D95B53"/>
    <w:rsid w:val="00E368FC"/>
    <w:rsid w:val="00E403CB"/>
    <w:rsid w:val="00F25807"/>
    <w:rsid w:val="00F63514"/>
    <w:rsid w:val="00FC6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0027C6-8342-4097-B99B-E3DD0FC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39"/>
    <w:rsid w:val="00823FD6"/>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823FD6"/>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
    <w:name w:val="標題 字元"/>
    <w:basedOn w:val="a0"/>
    <w:link w:val="ae"/>
    <w:rsid w:val="00823FD6"/>
    <w:rPr>
      <w:rFonts w:ascii="CG Times (W1)" w:eastAsia="細明體" w:hAnsi="CG Times (W1)" w:cs="Times New Roman"/>
      <w:b/>
      <w:kern w:val="0"/>
      <w:szCs w:val="20"/>
      <w:lang w:val="en-GB"/>
    </w:rPr>
  </w:style>
  <w:style w:type="paragraph" w:styleId="af0">
    <w:name w:val="Balloon Text"/>
    <w:basedOn w:val="a"/>
    <w:link w:val="af1"/>
    <w:uiPriority w:val="99"/>
    <w:semiHidden/>
    <w:unhideWhenUsed/>
    <w:rsid w:val="002B4F6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B4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ylWong\Desktop\IRBRD%20to%20Cindy\&#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B07E-E293-4D59-9D56-BE809C60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186</TotalTime>
  <Pages>13</Pages>
  <Words>3969</Words>
  <Characters>22628</Characters>
  <Application>Microsoft Office Word</Application>
  <DocSecurity>8</DocSecurity>
  <Lines>188</Lines>
  <Paragraphs>53</Paragraphs>
  <ScaleCrop>false</ScaleCrop>
  <Company>HKSARG</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20</cp:revision>
  <cp:lastPrinted>2023-11-08T02:51:00Z</cp:lastPrinted>
  <dcterms:created xsi:type="dcterms:W3CDTF">2023-11-07T09:28:00Z</dcterms:created>
  <dcterms:modified xsi:type="dcterms:W3CDTF">2023-12-15T03:42:00Z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