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BF" w:rsidRDefault="00B845BF" w:rsidP="00B845BF">
      <w:pPr>
        <w:spacing w:line="360" w:lineRule="auto"/>
        <w:jc w:val="center"/>
        <w:rPr>
          <w:rFonts w:ascii="Times New Roman" w:hAnsi="Times New Roman"/>
          <w:b/>
          <w:szCs w:val="24"/>
        </w:rPr>
      </w:pPr>
      <w:bookmarkStart w:id="0" w:name="_GoBack"/>
      <w:bookmarkEnd w:id="0"/>
      <w:r>
        <w:rPr>
          <w:rFonts w:ascii="Times New Roman" w:hAnsi="Times New Roman"/>
          <w:b/>
          <w:szCs w:val="24"/>
        </w:rPr>
        <w:t>Case No. D14</w:t>
      </w:r>
      <w:r w:rsidRPr="005D69D7">
        <w:rPr>
          <w:rFonts w:ascii="Times New Roman" w:hAnsi="Times New Roman"/>
          <w:b/>
          <w:szCs w:val="24"/>
        </w:rPr>
        <w:t>/</w:t>
      </w:r>
      <w:r>
        <w:rPr>
          <w:rFonts w:ascii="Times New Roman" w:hAnsi="Times New Roman"/>
          <w:b/>
          <w:szCs w:val="24"/>
        </w:rPr>
        <w:t>22</w:t>
      </w:r>
    </w:p>
    <w:p w:rsidR="00B845BF" w:rsidRDefault="00B845BF" w:rsidP="00B845BF">
      <w:pPr>
        <w:jc w:val="center"/>
        <w:rPr>
          <w:rFonts w:ascii="Times New Roman" w:hAnsi="Times New Roman"/>
          <w:b/>
          <w:szCs w:val="24"/>
        </w:rPr>
      </w:pPr>
    </w:p>
    <w:p w:rsidR="00B845BF" w:rsidRDefault="00B845BF" w:rsidP="00B845BF">
      <w:pPr>
        <w:jc w:val="center"/>
        <w:rPr>
          <w:rFonts w:ascii="Times New Roman" w:hAnsi="Times New Roman"/>
          <w:b/>
          <w:szCs w:val="24"/>
        </w:rPr>
      </w:pPr>
    </w:p>
    <w:p w:rsidR="00B845BF" w:rsidRDefault="00B845BF" w:rsidP="00B845BF">
      <w:pPr>
        <w:jc w:val="center"/>
        <w:rPr>
          <w:rFonts w:ascii="Times New Roman" w:hAnsi="Times New Roman"/>
          <w:b/>
          <w:szCs w:val="24"/>
        </w:rPr>
      </w:pPr>
    </w:p>
    <w:p w:rsidR="00B845BF" w:rsidRPr="005D69D7" w:rsidRDefault="00B845BF" w:rsidP="00B845BF">
      <w:pPr>
        <w:jc w:val="center"/>
        <w:rPr>
          <w:rFonts w:ascii="Times New Roman" w:hAnsi="Times New Roman"/>
          <w:b/>
          <w:szCs w:val="24"/>
        </w:rPr>
      </w:pPr>
    </w:p>
    <w:p w:rsidR="00B845BF" w:rsidRDefault="00063F23" w:rsidP="002227BB">
      <w:pPr>
        <w:jc w:val="both"/>
        <w:rPr>
          <w:rFonts w:ascii="Times New Roman" w:hAnsi="Times New Roman"/>
          <w:szCs w:val="24"/>
        </w:rPr>
      </w:pPr>
      <w:r>
        <w:rPr>
          <w:rFonts w:ascii="Times New Roman" w:hAnsi="Times New Roman"/>
          <w:b/>
          <w:szCs w:val="24"/>
        </w:rPr>
        <w:t>Appeal</w:t>
      </w:r>
      <w:r w:rsidR="00B845BF">
        <w:rPr>
          <w:rFonts w:ascii="Times New Roman" w:hAnsi="Times New Roman"/>
          <w:b/>
          <w:szCs w:val="24"/>
        </w:rPr>
        <w:t xml:space="preserve"> – </w:t>
      </w:r>
      <w:r w:rsidR="00B845BF">
        <w:rPr>
          <w:rFonts w:ascii="Times New Roman" w:hAnsi="Times New Roman"/>
          <w:szCs w:val="24"/>
        </w:rPr>
        <w:t>appeal out of time – application to extend time limit for filing notice of appeal – whether applicant was prevented by absence from Hong Kong or other reasonable cause from giving notice of appeal within time limit – sections 2, 51, 58, 64, 66 and 80 of Inland Revenue Ordinance (Cap.112) (‘</w:t>
      </w:r>
      <w:r w:rsidR="00B845BF">
        <w:rPr>
          <w:rFonts w:ascii="Times New Roman" w:hAnsi="Times New Roman"/>
          <w:b/>
          <w:bCs/>
          <w:szCs w:val="24"/>
        </w:rPr>
        <w:t>IRO’</w:t>
      </w:r>
      <w:r w:rsidR="00B845BF">
        <w:rPr>
          <w:rFonts w:ascii="Times New Roman" w:hAnsi="Times New Roman"/>
          <w:szCs w:val="24"/>
        </w:rPr>
        <w:t>)</w:t>
      </w:r>
    </w:p>
    <w:p w:rsidR="00B845BF" w:rsidRPr="004546AF" w:rsidRDefault="00B845BF" w:rsidP="002227BB">
      <w:pPr>
        <w:jc w:val="both"/>
        <w:rPr>
          <w:rFonts w:ascii="Times New Roman" w:hAnsi="Times New Roman"/>
          <w:szCs w:val="24"/>
        </w:rPr>
      </w:pPr>
      <w:r>
        <w:rPr>
          <w:rFonts w:ascii="Times New Roman" w:hAnsi="Times New Roman"/>
          <w:szCs w:val="24"/>
        </w:rPr>
        <w:t xml:space="preserve"> </w:t>
      </w:r>
    </w:p>
    <w:p w:rsidR="00B845BF" w:rsidRDefault="00B845BF" w:rsidP="002227BB">
      <w:pPr>
        <w:jc w:val="both"/>
        <w:rPr>
          <w:rFonts w:ascii="Times New Roman" w:hAnsi="Times New Roman"/>
          <w:szCs w:val="24"/>
        </w:rPr>
      </w:pPr>
      <w:r>
        <w:rPr>
          <w:rFonts w:ascii="Times New Roman" w:hAnsi="Times New Roman"/>
          <w:szCs w:val="24"/>
        </w:rPr>
        <w:t xml:space="preserve">Panel: </w:t>
      </w:r>
      <w:r w:rsidRPr="004D7F09">
        <w:rPr>
          <w:rFonts w:ascii="Times New Roman" w:eastAsia="華康楷書體W5" w:hAnsi="Times New Roman" w:cs="Times New Roman"/>
          <w:szCs w:val="24"/>
        </w:rPr>
        <w:t>Wu Pui Ching (chairm</w:t>
      </w:r>
      <w:r w:rsidRPr="004D7F09">
        <w:rPr>
          <w:rFonts w:ascii="Times New Roman" w:eastAsia="華康楷書體W5" w:hAnsi="Times New Roman" w:cs="Times New Roman"/>
          <w:szCs w:val="24"/>
          <w:lang w:eastAsia="zh-HK"/>
        </w:rPr>
        <w:t>an), Chan Kwok Tung and Melwani Vishal Prakash.</w:t>
      </w:r>
    </w:p>
    <w:p w:rsidR="00B845BF" w:rsidRDefault="00B845BF" w:rsidP="002227BB">
      <w:pPr>
        <w:jc w:val="both"/>
        <w:rPr>
          <w:rFonts w:ascii="Times New Roman" w:hAnsi="Times New Roman"/>
          <w:szCs w:val="24"/>
        </w:rPr>
      </w:pPr>
      <w:r>
        <w:rPr>
          <w:rFonts w:ascii="Times New Roman" w:hAnsi="Times New Roman"/>
          <w:szCs w:val="24"/>
        </w:rPr>
        <w:t>Date of hearing: 25 May 2022.</w:t>
      </w:r>
    </w:p>
    <w:p w:rsidR="00B845BF" w:rsidRDefault="00B845BF" w:rsidP="002227BB">
      <w:pPr>
        <w:jc w:val="both"/>
        <w:rPr>
          <w:rFonts w:ascii="Times New Roman" w:hAnsi="Times New Roman"/>
          <w:szCs w:val="24"/>
        </w:rPr>
      </w:pPr>
      <w:r>
        <w:rPr>
          <w:rFonts w:ascii="Times New Roman" w:hAnsi="Times New Roman"/>
          <w:szCs w:val="24"/>
        </w:rPr>
        <w:t>Date of decision: 2 September 2022.</w:t>
      </w:r>
    </w:p>
    <w:p w:rsidR="00B845BF" w:rsidRDefault="00B845BF" w:rsidP="002227BB">
      <w:pPr>
        <w:jc w:val="both"/>
        <w:rPr>
          <w:rFonts w:ascii="Times New Roman" w:hAnsi="Times New Roman"/>
          <w:szCs w:val="24"/>
        </w:rPr>
      </w:pPr>
    </w:p>
    <w:p w:rsidR="00B845BF" w:rsidRDefault="00B845BF" w:rsidP="002227BB">
      <w:pPr>
        <w:pStyle w:val="ac"/>
        <w:overflowPunct w:val="0"/>
        <w:autoSpaceDE w:val="0"/>
        <w:autoSpaceDN w:val="0"/>
        <w:ind w:leftChars="0" w:left="0" w:firstLineChars="450" w:firstLine="1080"/>
        <w:jc w:val="both"/>
        <w:rPr>
          <w:rFonts w:ascii="Times New Roman" w:hAnsi="Times New Roman" w:cs="Times New Roman"/>
          <w:szCs w:val="24"/>
        </w:rPr>
      </w:pPr>
      <w:r>
        <w:rPr>
          <w:rFonts w:ascii="Times New Roman" w:hAnsi="Times New Roman" w:cs="Times New Roman"/>
          <w:szCs w:val="24"/>
        </w:rPr>
        <w:t>The applicant</w:t>
      </w:r>
      <w:r w:rsidRPr="003E433F">
        <w:rPr>
          <w:rFonts w:ascii="Times New Roman" w:hAnsi="Times New Roman" w:cs="Times New Roman"/>
          <w:szCs w:val="24"/>
        </w:rPr>
        <w:t xml:space="preserve"> was</w:t>
      </w:r>
      <w:r>
        <w:rPr>
          <w:rFonts w:ascii="Times New Roman" w:hAnsi="Times New Roman" w:cs="Times New Roman"/>
          <w:szCs w:val="24"/>
        </w:rPr>
        <w:t xml:space="preserve"> a company</w:t>
      </w:r>
      <w:r w:rsidRPr="003E433F">
        <w:rPr>
          <w:rFonts w:ascii="Times New Roman" w:hAnsi="Times New Roman" w:cs="Times New Roman"/>
          <w:szCs w:val="24"/>
        </w:rPr>
        <w:t xml:space="preserve"> incorporated in Hong Kong. According to the </w:t>
      </w:r>
      <w:r>
        <w:rPr>
          <w:rFonts w:ascii="Times New Roman" w:hAnsi="Times New Roman" w:cs="Times New Roman"/>
          <w:szCs w:val="24"/>
        </w:rPr>
        <w:t>applicant</w:t>
      </w:r>
      <w:r w:rsidRPr="003E433F">
        <w:rPr>
          <w:rFonts w:ascii="Times New Roman" w:hAnsi="Times New Roman" w:cs="Times New Roman"/>
          <w:szCs w:val="24"/>
        </w:rPr>
        <w:t xml:space="preserve">, </w:t>
      </w:r>
      <w:r>
        <w:rPr>
          <w:rFonts w:ascii="Times New Roman" w:hAnsi="Times New Roman" w:cs="Times New Roman"/>
          <w:szCs w:val="24"/>
        </w:rPr>
        <w:t>during the years of assessment 2006/07 to 2012/13 (‘</w:t>
      </w:r>
      <w:r>
        <w:rPr>
          <w:rFonts w:ascii="Times New Roman" w:hAnsi="Times New Roman" w:cs="Times New Roman"/>
          <w:b/>
          <w:szCs w:val="24"/>
        </w:rPr>
        <w:t>Relevant Period</w:t>
      </w:r>
      <w:r>
        <w:rPr>
          <w:rFonts w:ascii="Times New Roman" w:hAnsi="Times New Roman" w:cs="Times New Roman"/>
          <w:szCs w:val="24"/>
        </w:rPr>
        <w:t>’), it did not have any substantive business, employees or physical office facilities in Hong Kong, but operated through a representative office in a city outside Hong Kong. The director of the applicant was one Mr C, who was not resident or ordinarily resident in Hong Kong. In 2014, the applicant closed the representative office. After that, the applicant did not conduct any commercial operations or employ any staff, whether in Hong Kong or elsewhere.</w:t>
      </w:r>
    </w:p>
    <w:p w:rsidR="00B845BF" w:rsidRDefault="00B845BF" w:rsidP="002227BB">
      <w:pPr>
        <w:pStyle w:val="ac"/>
        <w:overflowPunct w:val="0"/>
        <w:autoSpaceDE w:val="0"/>
        <w:autoSpaceDN w:val="0"/>
        <w:ind w:leftChars="0" w:left="0"/>
        <w:jc w:val="both"/>
        <w:rPr>
          <w:rFonts w:ascii="Times New Roman" w:hAnsi="Times New Roman" w:cs="Times New Roman"/>
          <w:szCs w:val="24"/>
        </w:rPr>
      </w:pPr>
    </w:p>
    <w:p w:rsidR="00B845BF" w:rsidRDefault="00B845BF" w:rsidP="002227BB">
      <w:pPr>
        <w:pStyle w:val="ac"/>
        <w:overflowPunct w:val="0"/>
        <w:autoSpaceDE w:val="0"/>
        <w:autoSpaceDN w:val="0"/>
        <w:ind w:leftChars="0" w:left="0" w:firstLineChars="450" w:firstLine="1080"/>
        <w:jc w:val="both"/>
        <w:rPr>
          <w:rFonts w:ascii="Times New Roman" w:hAnsi="Times New Roman"/>
          <w:szCs w:val="24"/>
        </w:rPr>
      </w:pPr>
      <w:r>
        <w:rPr>
          <w:rFonts w:ascii="Times New Roman" w:hAnsi="Times New Roman" w:cs="Times New Roman"/>
          <w:szCs w:val="24"/>
        </w:rPr>
        <w:t>Regarding the Relevant Period, the applicant took the position in its tax returns that it was not taxable in Hong Kong, and further alleged that the Commissioner of Inland Revenue (‘</w:t>
      </w:r>
      <w:r>
        <w:rPr>
          <w:rFonts w:ascii="Times New Roman" w:hAnsi="Times New Roman" w:cs="Times New Roman"/>
          <w:b/>
          <w:szCs w:val="24"/>
        </w:rPr>
        <w:t>Commissioner’</w:t>
      </w:r>
      <w:r>
        <w:rPr>
          <w:rFonts w:ascii="Times New Roman" w:hAnsi="Times New Roman" w:cs="Times New Roman"/>
          <w:szCs w:val="24"/>
        </w:rPr>
        <w:t xml:space="preserve">) had acquiesced such position until the first assessment to profits tax for the year 2006/07 was issued on 26 March 2013. The Commissioner subsequently issued 6 other assessments to profits tax in respect of the Relevant Period, which were objected to by the applicant on the ground that they were excessive. </w:t>
      </w:r>
      <w:r>
        <w:rPr>
          <w:rFonts w:ascii="Times New Roman" w:hAnsi="Times New Roman"/>
          <w:szCs w:val="24"/>
        </w:rPr>
        <w:t>On 26 November 2020, the Commissioner made a determination in respect of the Profits Tax Assessments for the Relevant Period (‘</w:t>
      </w:r>
      <w:r>
        <w:rPr>
          <w:rFonts w:ascii="Times New Roman" w:hAnsi="Times New Roman"/>
          <w:b/>
          <w:bCs/>
          <w:szCs w:val="24"/>
        </w:rPr>
        <w:t>Determination’</w:t>
      </w:r>
      <w:r>
        <w:rPr>
          <w:rFonts w:ascii="Times New Roman" w:hAnsi="Times New Roman"/>
          <w:szCs w:val="24"/>
        </w:rPr>
        <w:t>), which was delivered by registered post to the applicant’s registered address (‘</w:t>
      </w:r>
      <w:r>
        <w:rPr>
          <w:rFonts w:ascii="Times New Roman" w:hAnsi="Times New Roman"/>
          <w:b/>
          <w:szCs w:val="24"/>
        </w:rPr>
        <w:t>Address B</w:t>
      </w:r>
      <w:r>
        <w:rPr>
          <w:rFonts w:ascii="Times New Roman" w:hAnsi="Times New Roman"/>
          <w:szCs w:val="24"/>
        </w:rPr>
        <w:t>’) on 30 November 2020 (‘</w:t>
      </w:r>
      <w:r>
        <w:rPr>
          <w:rFonts w:ascii="Times New Roman" w:hAnsi="Times New Roman"/>
          <w:b/>
          <w:bCs/>
          <w:szCs w:val="24"/>
        </w:rPr>
        <w:t>Time Issue</w:t>
      </w:r>
      <w:r>
        <w:rPr>
          <w:rFonts w:ascii="Times New Roman" w:hAnsi="Times New Roman"/>
          <w:szCs w:val="24"/>
        </w:rPr>
        <w:t>’). On 29 July 2021, the applicant filed a notice of appeal against the Determination, about 6 months after the statutory deadline for filing notice of appeal had lapsed.</w:t>
      </w:r>
    </w:p>
    <w:p w:rsidR="00B845BF" w:rsidRDefault="00B845BF" w:rsidP="002227BB">
      <w:pPr>
        <w:ind w:firstLine="1531"/>
        <w:jc w:val="both"/>
        <w:rPr>
          <w:rFonts w:ascii="Times New Roman" w:hAnsi="Times New Roman"/>
          <w:szCs w:val="24"/>
        </w:rPr>
      </w:pPr>
    </w:p>
    <w:p w:rsidR="00B845BF" w:rsidRDefault="00B845BF" w:rsidP="002227BB">
      <w:pPr>
        <w:pStyle w:val="ac"/>
        <w:overflowPunct w:val="0"/>
        <w:autoSpaceDE w:val="0"/>
        <w:autoSpaceDN w:val="0"/>
        <w:ind w:leftChars="0" w:left="0" w:firstLineChars="450" w:firstLine="1080"/>
        <w:jc w:val="both"/>
        <w:rPr>
          <w:rFonts w:ascii="Times New Roman" w:hAnsi="Times New Roman"/>
          <w:szCs w:val="24"/>
        </w:rPr>
      </w:pPr>
      <w:r w:rsidRPr="002227BB">
        <w:rPr>
          <w:rFonts w:ascii="Times New Roman" w:hAnsi="Times New Roman" w:cs="Times New Roman"/>
          <w:szCs w:val="24"/>
        </w:rPr>
        <w:t>The</w:t>
      </w:r>
      <w:r>
        <w:rPr>
          <w:rFonts w:ascii="Times New Roman" w:hAnsi="Times New Roman"/>
          <w:szCs w:val="24"/>
        </w:rPr>
        <w:t xml:space="preserve"> applicant applied for extension of time to file its notice of appeal. According to the applicant, Address B was the address of another company (‘</w:t>
      </w:r>
      <w:r>
        <w:rPr>
          <w:rFonts w:ascii="Times New Roman" w:hAnsi="Times New Roman"/>
          <w:b/>
          <w:szCs w:val="24"/>
        </w:rPr>
        <w:t>Company F</w:t>
      </w:r>
      <w:r>
        <w:rPr>
          <w:rFonts w:ascii="Times New Roman" w:hAnsi="Times New Roman"/>
          <w:szCs w:val="24"/>
        </w:rPr>
        <w:t>’) which shared the office premises with the applicant’s auditors, which then had an affiliated firm assisting the applicant in corresponding with the Commissioner, with Mr C being the primary point of contact. The applicant complained that: (a) the Commissioner did not transmit the Determination to Mr C (who was absent from Hong Kong) or bring it to his attention; (b) Company F had misdirected the Determination to another person (‘</w:t>
      </w:r>
      <w:r>
        <w:rPr>
          <w:rFonts w:ascii="Times New Roman" w:hAnsi="Times New Roman"/>
          <w:b/>
          <w:bCs/>
          <w:szCs w:val="24"/>
        </w:rPr>
        <w:t>Ms F</w:t>
      </w:r>
      <w:r>
        <w:rPr>
          <w:rFonts w:ascii="Times New Roman" w:hAnsi="Times New Roman"/>
          <w:szCs w:val="24"/>
        </w:rPr>
        <w:t>’) who failed to bring it to Mr C’s attention. As a result, the applicant only found out the Determination being issued upon enquiries being made by its solicitors on 27 July 2021.</w:t>
      </w:r>
    </w:p>
    <w:p w:rsidR="00B845BF" w:rsidRDefault="00B845BF" w:rsidP="002227BB">
      <w:pPr>
        <w:jc w:val="both"/>
        <w:rPr>
          <w:rFonts w:ascii="Times New Roman" w:hAnsi="Times New Roman"/>
          <w:szCs w:val="24"/>
        </w:rPr>
      </w:pPr>
    </w:p>
    <w:p w:rsidR="00F20FB2" w:rsidRDefault="00F20FB2" w:rsidP="002227BB">
      <w:pPr>
        <w:jc w:val="both"/>
        <w:rPr>
          <w:rFonts w:ascii="Times New Roman" w:hAnsi="Times New Roman"/>
          <w:szCs w:val="24"/>
        </w:rPr>
      </w:pPr>
    </w:p>
    <w:p w:rsidR="00580F29" w:rsidRDefault="00580F29" w:rsidP="002227BB">
      <w:pPr>
        <w:jc w:val="both"/>
        <w:rPr>
          <w:rFonts w:ascii="Times New Roman" w:hAnsi="Times New Roman"/>
          <w:szCs w:val="24"/>
        </w:rPr>
      </w:pPr>
    </w:p>
    <w:p w:rsidR="00580F29" w:rsidRDefault="00580F29" w:rsidP="002227BB">
      <w:pPr>
        <w:jc w:val="both"/>
        <w:rPr>
          <w:rFonts w:ascii="Times New Roman" w:hAnsi="Times New Roman"/>
          <w:szCs w:val="24"/>
        </w:rPr>
      </w:pPr>
    </w:p>
    <w:p w:rsidR="00B845BF" w:rsidRDefault="00B845BF" w:rsidP="002227BB">
      <w:pPr>
        <w:ind w:firstLineChars="450" w:firstLine="1081"/>
        <w:jc w:val="both"/>
        <w:rPr>
          <w:rFonts w:ascii="Times New Roman" w:hAnsi="Times New Roman"/>
          <w:b/>
          <w:szCs w:val="24"/>
        </w:rPr>
      </w:pPr>
      <w:r>
        <w:rPr>
          <w:rFonts w:ascii="Times New Roman" w:hAnsi="Times New Roman"/>
          <w:b/>
          <w:szCs w:val="24"/>
        </w:rPr>
        <w:lastRenderedPageBreak/>
        <w:t>Held:</w:t>
      </w:r>
    </w:p>
    <w:p w:rsidR="00B845BF" w:rsidRPr="00D014A8" w:rsidRDefault="00B845BF" w:rsidP="002227BB">
      <w:pPr>
        <w:jc w:val="both"/>
        <w:rPr>
          <w:rFonts w:ascii="Times New Roman" w:hAnsi="Times New Roman"/>
          <w:b/>
          <w:szCs w:val="24"/>
        </w:rPr>
      </w:pPr>
    </w:p>
    <w:p w:rsidR="00B845BF" w:rsidRPr="00F54CD9" w:rsidRDefault="00B845BF" w:rsidP="002227BB">
      <w:pPr>
        <w:pStyle w:val="ac"/>
        <w:numPr>
          <w:ilvl w:val="0"/>
          <w:numId w:val="18"/>
        </w:numPr>
        <w:ind w:leftChars="450" w:left="1560" w:hangingChars="200" w:hanging="480"/>
        <w:jc w:val="both"/>
        <w:rPr>
          <w:rFonts w:ascii="Times New Roman" w:hAnsi="Times New Roman"/>
          <w:szCs w:val="24"/>
        </w:rPr>
      </w:pPr>
      <w:r>
        <w:rPr>
          <w:rFonts w:ascii="Times New Roman" w:hAnsi="Times New Roman" w:cs="Times New Roman"/>
          <w:szCs w:val="24"/>
        </w:rPr>
        <w:t>As a statutory body, t</w:t>
      </w:r>
      <w:r w:rsidRPr="00D014A8">
        <w:rPr>
          <w:rFonts w:ascii="Times New Roman" w:hAnsi="Times New Roman" w:cs="Times New Roman"/>
          <w:szCs w:val="24"/>
        </w:rPr>
        <w:t xml:space="preserve">he Board </w:t>
      </w:r>
      <w:r>
        <w:rPr>
          <w:rFonts w:ascii="Times New Roman" w:hAnsi="Times New Roman" w:cs="Times New Roman"/>
          <w:szCs w:val="24"/>
        </w:rPr>
        <w:t>had</w:t>
      </w:r>
      <w:r w:rsidRPr="00D014A8">
        <w:rPr>
          <w:rFonts w:ascii="Times New Roman" w:hAnsi="Times New Roman" w:cs="Times New Roman"/>
          <w:szCs w:val="24"/>
        </w:rPr>
        <w:t xml:space="preserve"> no power to enlarge time other than as provided for in</w:t>
      </w:r>
      <w:r>
        <w:rPr>
          <w:rFonts w:ascii="Times New Roman" w:hAnsi="Times New Roman" w:cs="Times New Roman"/>
          <w:szCs w:val="24"/>
        </w:rPr>
        <w:t xml:space="preserve"> section 66(1A) of</w:t>
      </w:r>
      <w:r w:rsidRPr="00D014A8">
        <w:rPr>
          <w:rFonts w:ascii="Times New Roman" w:hAnsi="Times New Roman" w:cs="Times New Roman"/>
          <w:szCs w:val="24"/>
        </w:rPr>
        <w:t xml:space="preserve"> </w:t>
      </w:r>
      <w:r>
        <w:rPr>
          <w:rFonts w:ascii="Times New Roman" w:hAnsi="Times New Roman" w:cs="Times New Roman"/>
          <w:szCs w:val="24"/>
        </w:rPr>
        <w:t>IRO, under which a</w:t>
      </w:r>
      <w:r w:rsidRPr="00D014A8">
        <w:rPr>
          <w:rFonts w:ascii="Times New Roman" w:hAnsi="Times New Roman" w:cs="Times New Roman"/>
          <w:szCs w:val="24"/>
        </w:rPr>
        <w:t xml:space="preserve">n </w:t>
      </w:r>
      <w:r>
        <w:rPr>
          <w:rFonts w:ascii="Times New Roman" w:hAnsi="Times New Roman" w:cs="Times New Roman"/>
          <w:szCs w:val="24"/>
        </w:rPr>
        <w:t>extension of time could</w:t>
      </w:r>
      <w:r w:rsidRPr="00D014A8">
        <w:rPr>
          <w:rFonts w:ascii="Times New Roman" w:hAnsi="Times New Roman" w:cs="Times New Roman"/>
          <w:szCs w:val="24"/>
        </w:rPr>
        <w:t xml:space="preserve"> only be granted if</w:t>
      </w:r>
      <w:r>
        <w:rPr>
          <w:rFonts w:ascii="Times New Roman" w:hAnsi="Times New Roman" w:cs="Times New Roman"/>
          <w:szCs w:val="24"/>
        </w:rPr>
        <w:t xml:space="preserve"> the Board was satisfied that the appellant was prevented</w:t>
      </w:r>
      <w:r w:rsidRPr="003E433F">
        <w:rPr>
          <w:rFonts w:ascii="Times New Roman" w:hAnsi="Times New Roman" w:cs="Times New Roman"/>
          <w:szCs w:val="24"/>
        </w:rPr>
        <w:t xml:space="preserve"> by illness or absence from Hong Kong or other reasonable cause from giving a notice of appeal within the time period</w:t>
      </w:r>
      <w:r>
        <w:rPr>
          <w:rFonts w:ascii="Times New Roman" w:hAnsi="Times New Roman" w:cs="Times New Roman"/>
          <w:szCs w:val="24"/>
        </w:rPr>
        <w:t xml:space="preserve">. Furthermore, </w:t>
      </w:r>
      <w:r w:rsidRPr="003E433F">
        <w:rPr>
          <w:rFonts w:ascii="Times New Roman" w:hAnsi="Times New Roman" w:cs="Times New Roman"/>
          <w:szCs w:val="24"/>
        </w:rPr>
        <w:t xml:space="preserve">even if the above criteria </w:t>
      </w:r>
      <w:r>
        <w:rPr>
          <w:rFonts w:ascii="Times New Roman" w:hAnsi="Times New Roman" w:cs="Times New Roman"/>
          <w:szCs w:val="24"/>
        </w:rPr>
        <w:t>we</w:t>
      </w:r>
      <w:r w:rsidRPr="003E433F">
        <w:rPr>
          <w:rFonts w:ascii="Times New Roman" w:hAnsi="Times New Roman" w:cs="Times New Roman"/>
          <w:szCs w:val="24"/>
        </w:rPr>
        <w:t>re satisfied, the Board still retain</w:t>
      </w:r>
      <w:r>
        <w:rPr>
          <w:rFonts w:ascii="Times New Roman" w:hAnsi="Times New Roman" w:cs="Times New Roman"/>
          <w:szCs w:val="24"/>
        </w:rPr>
        <w:t>ed</w:t>
      </w:r>
      <w:r w:rsidRPr="003E433F">
        <w:rPr>
          <w:rFonts w:ascii="Times New Roman" w:hAnsi="Times New Roman" w:cs="Times New Roman"/>
          <w:szCs w:val="24"/>
        </w:rPr>
        <w:t xml:space="preserve"> a residual discretion as to whether or not to grant the extension</w:t>
      </w:r>
      <w:r w:rsidR="00C91C80">
        <w:rPr>
          <w:rFonts w:ascii="Times New Roman" w:hAnsi="Times New Roman" w:cs="Times New Roman"/>
          <w:szCs w:val="24"/>
        </w:rPr>
        <w:t>.</w:t>
      </w:r>
      <w:r w:rsidRPr="003E433F">
        <w:rPr>
          <w:rFonts w:ascii="Times New Roman" w:hAnsi="Times New Roman" w:cs="Times New Roman"/>
          <w:szCs w:val="24"/>
        </w:rPr>
        <w:t xml:space="preserve"> </w:t>
      </w:r>
      <w:r>
        <w:rPr>
          <w:rFonts w:ascii="Times New Roman" w:hAnsi="Times New Roman" w:cs="Times New Roman"/>
          <w:szCs w:val="24"/>
        </w:rPr>
        <w:t>(</w:t>
      </w:r>
      <w:r w:rsidRPr="00B845BF">
        <w:rPr>
          <w:rFonts w:ascii="Times New Roman" w:hAnsi="Times New Roman" w:cs="Times New Roman"/>
          <w:szCs w:val="24"/>
          <w:u w:val="single"/>
        </w:rPr>
        <w:t>Excelter Investment Ltd v Inland Revenue Board of Review &amp; Other</w:t>
      </w:r>
      <w:r w:rsidRPr="00B845BF">
        <w:rPr>
          <w:rFonts w:ascii="Times New Roman" w:hAnsi="Times New Roman" w:cs="Times New Roman"/>
          <w:b/>
          <w:i/>
          <w:szCs w:val="24"/>
          <w:u w:val="single"/>
        </w:rPr>
        <w:t>s</w:t>
      </w:r>
      <w:r w:rsidRPr="00D014A8">
        <w:rPr>
          <w:rFonts w:ascii="Times New Roman" w:hAnsi="Times New Roman" w:cs="Times New Roman"/>
          <w:szCs w:val="24"/>
        </w:rPr>
        <w:t xml:space="preserve"> [2021] HKCA 1049</w:t>
      </w:r>
      <w:r>
        <w:rPr>
          <w:rFonts w:ascii="Times New Roman" w:hAnsi="Times New Roman" w:cs="Times New Roman"/>
          <w:szCs w:val="24"/>
        </w:rPr>
        <w:t xml:space="preserve">, </w:t>
      </w:r>
      <w:r w:rsidRPr="00B845BF">
        <w:rPr>
          <w:rFonts w:ascii="Times New Roman" w:hAnsi="Times New Roman" w:cs="Times New Roman"/>
          <w:szCs w:val="24"/>
          <w:u w:val="single"/>
        </w:rPr>
        <w:t>Wong Wing Biu v Commissioner of Inland Revenue</w:t>
      </w:r>
      <w:r w:rsidRPr="00D014A8">
        <w:rPr>
          <w:rFonts w:ascii="Times New Roman" w:hAnsi="Times New Roman" w:cs="Times New Roman"/>
          <w:szCs w:val="24"/>
        </w:rPr>
        <w:t xml:space="preserve"> [1985] 1 HKC 433</w:t>
      </w:r>
      <w:r>
        <w:rPr>
          <w:rFonts w:ascii="Times New Roman" w:hAnsi="Times New Roman" w:cs="Times New Roman"/>
          <w:szCs w:val="24"/>
        </w:rPr>
        <w:t xml:space="preserve"> and </w:t>
      </w:r>
      <w:r w:rsidRPr="004522A6">
        <w:rPr>
          <w:rFonts w:ascii="Times New Roman" w:hAnsi="Times New Roman" w:cs="Times New Roman"/>
          <w:szCs w:val="24"/>
        </w:rPr>
        <w:t>Re Wan Wah Shing</w:t>
      </w:r>
      <w:r>
        <w:rPr>
          <w:rFonts w:ascii="Times New Roman" w:hAnsi="Times New Roman" w:cs="Times New Roman"/>
          <w:szCs w:val="24"/>
        </w:rPr>
        <w:t xml:space="preserve"> [2005] 4 HKLRD 674 </w:t>
      </w:r>
      <w:r w:rsidRPr="00F54CD9">
        <w:rPr>
          <w:rFonts w:ascii="Times New Roman" w:hAnsi="Times New Roman" w:cs="Times New Roman"/>
          <w:szCs w:val="24"/>
        </w:rPr>
        <w:t>considered)</w:t>
      </w:r>
    </w:p>
    <w:p w:rsidR="00B845BF" w:rsidRPr="00F54CD9" w:rsidRDefault="00B845BF" w:rsidP="002227BB">
      <w:pPr>
        <w:pStyle w:val="ac"/>
        <w:ind w:leftChars="0" w:left="540"/>
        <w:jc w:val="both"/>
        <w:rPr>
          <w:rFonts w:ascii="Times New Roman" w:hAnsi="Times New Roman"/>
          <w:szCs w:val="24"/>
        </w:rPr>
      </w:pPr>
    </w:p>
    <w:p w:rsidR="00C91C80" w:rsidRPr="00C91C80" w:rsidRDefault="00B845BF" w:rsidP="00C91C80">
      <w:pPr>
        <w:pStyle w:val="ac"/>
        <w:numPr>
          <w:ilvl w:val="0"/>
          <w:numId w:val="18"/>
        </w:numPr>
        <w:ind w:leftChars="450" w:left="1560" w:hangingChars="200" w:hanging="480"/>
        <w:jc w:val="both"/>
        <w:rPr>
          <w:rFonts w:ascii="Times New Roman" w:hAnsi="Times New Roman"/>
          <w:szCs w:val="24"/>
        </w:rPr>
      </w:pPr>
      <w:r>
        <w:rPr>
          <w:rFonts w:ascii="Times New Roman" w:hAnsi="Times New Roman"/>
          <w:szCs w:val="24"/>
        </w:rPr>
        <w:t xml:space="preserve">Adopting a purposive interpretation and balancing the different statutory aims and objectives, </w:t>
      </w:r>
      <w:r w:rsidRPr="003E433F">
        <w:rPr>
          <w:rFonts w:ascii="Times New Roman" w:hAnsi="Times New Roman" w:cs="Times New Roman"/>
          <w:szCs w:val="24"/>
        </w:rPr>
        <w:t xml:space="preserve">the Board </w:t>
      </w:r>
      <w:r>
        <w:rPr>
          <w:rFonts w:ascii="Times New Roman" w:hAnsi="Times New Roman" w:cs="Times New Roman"/>
          <w:szCs w:val="24"/>
        </w:rPr>
        <w:t>wa</w:t>
      </w:r>
      <w:r w:rsidRPr="003E433F">
        <w:rPr>
          <w:rFonts w:ascii="Times New Roman" w:hAnsi="Times New Roman" w:cs="Times New Roman"/>
          <w:szCs w:val="24"/>
        </w:rPr>
        <w:t>s not satisfied that</w:t>
      </w:r>
      <w:r>
        <w:rPr>
          <w:rFonts w:ascii="Times New Roman" w:hAnsi="Times New Roman" w:cs="Times New Roman"/>
          <w:szCs w:val="24"/>
        </w:rPr>
        <w:t>,</w:t>
      </w:r>
      <w:r w:rsidRPr="003E433F">
        <w:rPr>
          <w:rFonts w:ascii="Times New Roman" w:hAnsi="Times New Roman" w:cs="Times New Roman"/>
          <w:szCs w:val="24"/>
        </w:rPr>
        <w:t xml:space="preserve"> for the reasons put forth by the </w:t>
      </w:r>
      <w:r>
        <w:rPr>
          <w:rFonts w:ascii="Times New Roman" w:hAnsi="Times New Roman" w:cs="Times New Roman"/>
          <w:szCs w:val="24"/>
        </w:rPr>
        <w:t>applicant</w:t>
      </w:r>
      <w:r w:rsidRPr="003E433F">
        <w:rPr>
          <w:rFonts w:ascii="Times New Roman" w:hAnsi="Times New Roman" w:cs="Times New Roman"/>
          <w:szCs w:val="24"/>
        </w:rPr>
        <w:t>, it should be able to rely on M</w:t>
      </w:r>
      <w:r>
        <w:rPr>
          <w:rFonts w:ascii="Times New Roman" w:hAnsi="Times New Roman" w:cs="Times New Roman"/>
          <w:szCs w:val="24"/>
        </w:rPr>
        <w:t>r C</w:t>
      </w:r>
      <w:r w:rsidRPr="003E433F">
        <w:rPr>
          <w:rFonts w:ascii="Times New Roman" w:hAnsi="Times New Roman" w:cs="Times New Roman"/>
          <w:szCs w:val="24"/>
        </w:rPr>
        <w:t>’s absence from Hong Kong to seek extension of time</w:t>
      </w:r>
      <w:r>
        <w:rPr>
          <w:rFonts w:ascii="Times New Roman" w:hAnsi="Times New Roman" w:cs="Times New Roman"/>
          <w:szCs w:val="24"/>
        </w:rPr>
        <w:t>. In any event, the applicant failed to show that Mr C’s absence from Hong Kong had prevented the applicant from giving the notice of appeal within statutory time limit</w:t>
      </w:r>
      <w:r w:rsidR="00C91C80">
        <w:rPr>
          <w:rFonts w:ascii="Times New Roman" w:hAnsi="Times New Roman" w:cs="Times New Roman"/>
          <w:szCs w:val="24"/>
        </w:rPr>
        <w:t>.</w:t>
      </w:r>
      <w:r>
        <w:rPr>
          <w:rFonts w:ascii="Times New Roman" w:hAnsi="Times New Roman" w:cs="Times New Roman"/>
          <w:szCs w:val="24"/>
        </w:rPr>
        <w:t xml:space="preserve"> </w:t>
      </w:r>
      <w:r w:rsidRPr="009D5856">
        <w:rPr>
          <w:rFonts w:ascii="Times New Roman" w:hAnsi="Times New Roman" w:cs="Times New Roman"/>
          <w:szCs w:val="24"/>
        </w:rPr>
        <w:t>(</w:t>
      </w:r>
      <w:r w:rsidRPr="00B845BF">
        <w:rPr>
          <w:rFonts w:ascii="Times New Roman" w:hAnsi="Times New Roman" w:cs="Times New Roman"/>
          <w:szCs w:val="24"/>
          <w:u w:val="single"/>
        </w:rPr>
        <w:t>HKSAR v Cheung Kwun Yin</w:t>
      </w:r>
      <w:r>
        <w:rPr>
          <w:rFonts w:ascii="Times New Roman" w:hAnsi="Times New Roman" w:cs="Times New Roman"/>
          <w:szCs w:val="24"/>
        </w:rPr>
        <w:t xml:space="preserve"> (2009) 12 HKCFAR 568,</w:t>
      </w:r>
      <w:r w:rsidRPr="009D5856">
        <w:rPr>
          <w:rFonts w:ascii="Times New Roman" w:hAnsi="Times New Roman" w:cs="Times New Roman"/>
          <w:szCs w:val="24"/>
        </w:rPr>
        <w:t xml:space="preserve"> </w:t>
      </w:r>
      <w:r w:rsidRPr="00B845BF">
        <w:rPr>
          <w:rFonts w:ascii="Times New Roman" w:hAnsi="Times New Roman" w:cs="Times New Roman"/>
          <w:szCs w:val="24"/>
          <w:u w:val="single"/>
        </w:rPr>
        <w:t>Moulin Global Eyecare Trading Ltd v Commissioner of Inland Revenue</w:t>
      </w:r>
      <w:r w:rsidRPr="003E433F">
        <w:rPr>
          <w:rFonts w:ascii="Times New Roman" w:hAnsi="Times New Roman" w:cs="Times New Roman"/>
          <w:szCs w:val="24"/>
        </w:rPr>
        <w:t xml:space="preserve"> </w:t>
      </w:r>
      <w:r w:rsidRPr="003E433F">
        <w:rPr>
          <w:rFonts w:ascii="Times New Roman" w:hAnsi="Times New Roman" w:cs="Times New Roman"/>
          <w:color w:val="000000"/>
          <w:szCs w:val="24"/>
        </w:rPr>
        <w:t>[2012] 2 HKLRD 911</w:t>
      </w:r>
      <w:r w:rsidRPr="003E433F">
        <w:rPr>
          <w:rFonts w:ascii="Times New Roman" w:hAnsi="Times New Roman" w:cs="Times New Roman"/>
          <w:szCs w:val="24"/>
        </w:rPr>
        <w:t xml:space="preserve"> </w:t>
      </w:r>
      <w:r>
        <w:rPr>
          <w:rFonts w:ascii="Times New Roman" w:hAnsi="Times New Roman" w:cs="Times New Roman"/>
          <w:szCs w:val="24"/>
        </w:rPr>
        <w:t xml:space="preserve">&amp; </w:t>
      </w:r>
      <w:r w:rsidRPr="003E433F">
        <w:rPr>
          <w:rFonts w:ascii="Times New Roman" w:hAnsi="Times New Roman" w:cs="Times New Roman"/>
          <w:szCs w:val="24"/>
        </w:rPr>
        <w:t>(2014) 17 HKCFAR 218</w:t>
      </w:r>
      <w:r>
        <w:rPr>
          <w:rFonts w:ascii="Times New Roman" w:hAnsi="Times New Roman" w:cs="Times New Roman"/>
          <w:szCs w:val="24"/>
        </w:rPr>
        <w:t>,</w:t>
      </w:r>
      <w:r w:rsidRPr="009D5856">
        <w:rPr>
          <w:rFonts w:ascii="Times New Roman" w:hAnsi="Times New Roman" w:cs="Times New Roman"/>
          <w:iCs/>
          <w:color w:val="000000"/>
          <w:szCs w:val="24"/>
        </w:rPr>
        <w:t xml:space="preserve"> </w:t>
      </w:r>
      <w:r w:rsidRPr="00B845BF">
        <w:rPr>
          <w:rFonts w:ascii="Times New Roman" w:hAnsi="Times New Roman" w:cs="Times New Roman"/>
          <w:iCs/>
          <w:color w:val="000000"/>
          <w:szCs w:val="24"/>
          <w:u w:val="single"/>
        </w:rPr>
        <w:t>Chow Kwong Fai v Commissioner of Inland Revenue</w:t>
      </w:r>
      <w:r w:rsidRPr="003E433F">
        <w:rPr>
          <w:rFonts w:ascii="Times New Roman" w:hAnsi="Times New Roman" w:cs="Times New Roman"/>
          <w:i/>
          <w:iCs/>
          <w:color w:val="000000"/>
          <w:szCs w:val="24"/>
        </w:rPr>
        <w:t xml:space="preserve"> </w:t>
      </w:r>
      <w:r>
        <w:rPr>
          <w:rFonts w:ascii="Times New Roman" w:hAnsi="Times New Roman" w:cs="Times New Roman"/>
          <w:iCs/>
          <w:color w:val="000000"/>
          <w:szCs w:val="24"/>
        </w:rPr>
        <w:t xml:space="preserve">[2005] 4 HKLRD 687 and </w:t>
      </w:r>
      <w:r w:rsidRPr="00B845BF">
        <w:rPr>
          <w:rFonts w:ascii="Times New Roman" w:hAnsi="Times New Roman" w:cs="Times New Roman"/>
          <w:szCs w:val="24"/>
          <w:u w:val="single"/>
        </w:rPr>
        <w:t>Koo Ming Kown &amp; Another v The Commissioner of Inland Revenue</w:t>
      </w:r>
      <w:r w:rsidRPr="003E433F">
        <w:rPr>
          <w:rFonts w:ascii="Times New Roman" w:hAnsi="Times New Roman" w:cs="Times New Roman"/>
          <w:szCs w:val="24"/>
        </w:rPr>
        <w:t xml:space="preserve"> [2022] HKCFA 18</w:t>
      </w:r>
      <w:r>
        <w:rPr>
          <w:rFonts w:ascii="Times New Roman" w:hAnsi="Times New Roman" w:cs="Times New Roman"/>
          <w:szCs w:val="24"/>
        </w:rPr>
        <w:t xml:space="preserve"> considered)</w:t>
      </w:r>
    </w:p>
    <w:p w:rsidR="00C91C80" w:rsidRPr="00C91C80" w:rsidRDefault="00C91C80" w:rsidP="00C91C80">
      <w:pPr>
        <w:pStyle w:val="ac"/>
        <w:rPr>
          <w:rFonts w:ascii="Times New Roman" w:hAnsi="Times New Roman"/>
          <w:szCs w:val="24"/>
        </w:rPr>
      </w:pPr>
    </w:p>
    <w:p w:rsidR="00B845BF" w:rsidRPr="004045D3" w:rsidRDefault="00B845BF" w:rsidP="002227BB">
      <w:pPr>
        <w:pStyle w:val="ac"/>
        <w:numPr>
          <w:ilvl w:val="0"/>
          <w:numId w:val="18"/>
        </w:numPr>
        <w:ind w:leftChars="450" w:left="1560" w:hangingChars="200" w:hanging="480"/>
        <w:jc w:val="both"/>
        <w:rPr>
          <w:rFonts w:ascii="Times New Roman" w:hAnsi="Times New Roman"/>
          <w:szCs w:val="24"/>
        </w:rPr>
      </w:pPr>
      <w:r>
        <w:rPr>
          <w:rFonts w:ascii="Times New Roman" w:hAnsi="Times New Roman"/>
          <w:szCs w:val="24"/>
        </w:rPr>
        <w:t xml:space="preserve">Further, the Board was unable to accept that </w:t>
      </w:r>
      <w:r w:rsidRPr="00CE0D81">
        <w:rPr>
          <w:rFonts w:ascii="Times New Roman" w:hAnsi="Times New Roman" w:cs="Times New Roman"/>
          <w:szCs w:val="24"/>
        </w:rPr>
        <w:t>the misdirection by Company F of the Determination and the subsequent failure by Ms J to bring the Determination to the attention of Mr C would singly or jointly constitute a ‘reasonable cause’</w:t>
      </w:r>
      <w:r>
        <w:rPr>
          <w:rFonts w:ascii="Times New Roman" w:hAnsi="Times New Roman" w:cs="Times New Roman"/>
          <w:szCs w:val="24"/>
        </w:rPr>
        <w:t xml:space="preserve">, since </w:t>
      </w:r>
      <w:r w:rsidRPr="00F732AE">
        <w:rPr>
          <w:rFonts w:ascii="Times New Roman" w:hAnsi="Times New Roman" w:cs="Times New Roman"/>
          <w:szCs w:val="24"/>
        </w:rPr>
        <w:t>any unilateral mistakes of an appellant c</w:t>
      </w:r>
      <w:r>
        <w:rPr>
          <w:rFonts w:ascii="Times New Roman" w:hAnsi="Times New Roman" w:cs="Times New Roman"/>
          <w:szCs w:val="24"/>
        </w:rPr>
        <w:t>ould not</w:t>
      </w:r>
      <w:r w:rsidRPr="00F732AE">
        <w:rPr>
          <w:rFonts w:ascii="Times New Roman" w:hAnsi="Times New Roman" w:cs="Times New Roman"/>
          <w:szCs w:val="24"/>
        </w:rPr>
        <w:t xml:space="preserve"> be properly described as a reasonable cause preventing him from giving the notice of appeal within time</w:t>
      </w:r>
      <w:r>
        <w:rPr>
          <w:rFonts w:ascii="Times New Roman" w:hAnsi="Times New Roman" w:cs="Times New Roman"/>
          <w:szCs w:val="24"/>
        </w:rPr>
        <w:t>. The provision should contemplate ‘</w:t>
      </w:r>
      <w:r w:rsidRPr="003E433F">
        <w:rPr>
          <w:rFonts w:ascii="Times New Roman" w:hAnsi="Times New Roman" w:cs="Times New Roman"/>
          <w:szCs w:val="24"/>
        </w:rPr>
        <w:t xml:space="preserve">some temporary impediment of </w:t>
      </w:r>
      <w:r>
        <w:rPr>
          <w:rFonts w:ascii="Times New Roman" w:hAnsi="Times New Roman" w:cs="Times New Roman"/>
          <w:szCs w:val="24"/>
        </w:rPr>
        <w:t>an external and physical nature’</w:t>
      </w:r>
      <w:r w:rsidRPr="003E433F">
        <w:rPr>
          <w:rFonts w:ascii="Times New Roman" w:hAnsi="Times New Roman" w:cs="Times New Roman"/>
          <w:szCs w:val="24"/>
        </w:rPr>
        <w:t xml:space="preserve">, rather than </w:t>
      </w:r>
      <w:r>
        <w:rPr>
          <w:rFonts w:ascii="Times New Roman" w:hAnsi="Times New Roman" w:cs="Times New Roman"/>
          <w:szCs w:val="24"/>
        </w:rPr>
        <w:t>‘</w:t>
      </w:r>
      <w:r w:rsidRPr="003E433F">
        <w:rPr>
          <w:rFonts w:ascii="Times New Roman" w:hAnsi="Times New Roman" w:cs="Times New Roman"/>
          <w:szCs w:val="24"/>
        </w:rPr>
        <w:t>something internal and psychological</w:t>
      </w:r>
      <w:r>
        <w:rPr>
          <w:rFonts w:ascii="Times New Roman" w:hAnsi="Times New Roman" w:cs="Times New Roman"/>
          <w:szCs w:val="24"/>
        </w:rPr>
        <w:t xml:space="preserve">’. It was also accepted by the applicant that </w:t>
      </w:r>
      <w:r w:rsidRPr="003E433F">
        <w:rPr>
          <w:rFonts w:ascii="Times New Roman" w:hAnsi="Times New Roman" w:cs="Times New Roman"/>
          <w:szCs w:val="24"/>
        </w:rPr>
        <w:t>the specified reasonable causes describe</w:t>
      </w:r>
      <w:r>
        <w:rPr>
          <w:rFonts w:ascii="Times New Roman" w:hAnsi="Times New Roman" w:cs="Times New Roman"/>
          <w:szCs w:val="24"/>
        </w:rPr>
        <w:t>d</w:t>
      </w:r>
      <w:r w:rsidRPr="003E433F">
        <w:rPr>
          <w:rFonts w:ascii="Times New Roman" w:hAnsi="Times New Roman" w:cs="Times New Roman"/>
          <w:szCs w:val="24"/>
        </w:rPr>
        <w:t xml:space="preserve"> a class of causes</w:t>
      </w:r>
      <w:r>
        <w:rPr>
          <w:rFonts w:ascii="Times New Roman" w:hAnsi="Times New Roman" w:cs="Times New Roman"/>
          <w:szCs w:val="24"/>
        </w:rPr>
        <w:t xml:space="preserve"> that arose from contingencies ‘</w:t>
      </w:r>
      <w:r w:rsidRPr="003E433F">
        <w:rPr>
          <w:rFonts w:ascii="Times New Roman" w:hAnsi="Times New Roman" w:cs="Times New Roman"/>
          <w:szCs w:val="24"/>
        </w:rPr>
        <w:t>beyond the immediate control of the taxpaye</w:t>
      </w:r>
      <w:r>
        <w:rPr>
          <w:rFonts w:ascii="Times New Roman" w:hAnsi="Times New Roman" w:cs="Times New Roman"/>
          <w:szCs w:val="24"/>
        </w:rPr>
        <w:t>r’ and were ‘</w:t>
      </w:r>
      <w:r w:rsidRPr="003E433F">
        <w:rPr>
          <w:rFonts w:ascii="Times New Roman" w:hAnsi="Times New Roman" w:cs="Times New Roman"/>
          <w:szCs w:val="24"/>
        </w:rPr>
        <w:t>not directly due to his negligence</w:t>
      </w:r>
      <w:r>
        <w:rPr>
          <w:rFonts w:ascii="Times New Roman" w:hAnsi="Times New Roman" w:cs="Times New Roman"/>
          <w:szCs w:val="24"/>
        </w:rPr>
        <w:t>, inadvertence, or carelessness’. The acts and omissions of Company F and Ms J should also not be imputed onto the applicant, or that the applicant should not be faulted for not having a more substantive presence of agents and/or professional advisors in Hong Kong, as there were obviously steps or measures which could have been undertaken by the applicant to procure the Determination to be properly and timely brought to his attention</w:t>
      </w:r>
      <w:r w:rsidR="003F7082">
        <w:rPr>
          <w:rFonts w:ascii="Times New Roman" w:hAnsi="Times New Roman" w:cs="Times New Roman"/>
          <w:szCs w:val="24"/>
        </w:rPr>
        <w:t>.</w:t>
      </w:r>
      <w:r>
        <w:rPr>
          <w:rFonts w:ascii="Times New Roman" w:hAnsi="Times New Roman" w:cs="Times New Roman"/>
          <w:szCs w:val="24"/>
        </w:rPr>
        <w:t xml:space="preserve"> </w:t>
      </w:r>
      <w:r w:rsidRPr="00B845BF">
        <w:rPr>
          <w:rFonts w:ascii="Times New Roman" w:hAnsi="Times New Roman" w:cs="Times New Roman"/>
          <w:szCs w:val="24"/>
          <w:u w:val="single"/>
        </w:rPr>
        <w:t>(</w:t>
      </w:r>
      <w:r w:rsidRPr="00B845BF">
        <w:rPr>
          <w:rFonts w:ascii="Times New Roman" w:hAnsi="Times New Roman" w:cs="Times New Roman"/>
          <w:iCs/>
          <w:color w:val="000000"/>
          <w:szCs w:val="24"/>
          <w:u w:val="single"/>
        </w:rPr>
        <w:t>Chow Kwong Fai v Commissioner of Inland Revenue</w:t>
      </w:r>
      <w:r w:rsidRPr="003E433F">
        <w:rPr>
          <w:rFonts w:ascii="Times New Roman" w:hAnsi="Times New Roman" w:cs="Times New Roman"/>
          <w:i/>
          <w:iCs/>
          <w:color w:val="000000"/>
          <w:szCs w:val="24"/>
        </w:rPr>
        <w:t xml:space="preserve"> </w:t>
      </w:r>
      <w:r>
        <w:rPr>
          <w:rFonts w:ascii="Times New Roman" w:hAnsi="Times New Roman" w:cs="Times New Roman"/>
          <w:iCs/>
          <w:color w:val="000000"/>
          <w:szCs w:val="24"/>
        </w:rPr>
        <w:t xml:space="preserve">[2005] 4 HKLRD 687 and </w:t>
      </w:r>
      <w:r w:rsidRPr="00B845BF">
        <w:rPr>
          <w:rFonts w:ascii="Times New Roman" w:hAnsi="Times New Roman" w:cs="Times New Roman"/>
          <w:szCs w:val="24"/>
          <w:u w:val="single"/>
        </w:rPr>
        <w:t>Moulin Global Eyecare Trading Ltd v Commissioner of Inland Revenue</w:t>
      </w:r>
      <w:r>
        <w:rPr>
          <w:rFonts w:ascii="Times New Roman" w:hAnsi="Times New Roman" w:cs="Times New Roman"/>
          <w:szCs w:val="24"/>
        </w:rPr>
        <w:t xml:space="preserve"> </w:t>
      </w:r>
      <w:r w:rsidRPr="003E433F">
        <w:rPr>
          <w:rFonts w:ascii="Times New Roman" w:hAnsi="Times New Roman" w:cs="Times New Roman"/>
          <w:szCs w:val="24"/>
        </w:rPr>
        <w:t>(2014) 17 HKCFAR 218</w:t>
      </w:r>
      <w:r>
        <w:rPr>
          <w:rFonts w:ascii="Times New Roman" w:hAnsi="Times New Roman" w:cs="Times New Roman"/>
          <w:iCs/>
          <w:color w:val="000000"/>
          <w:szCs w:val="24"/>
        </w:rPr>
        <w:t xml:space="preserve"> considered</w:t>
      </w:r>
      <w:r w:rsidRPr="00F732AE">
        <w:rPr>
          <w:rFonts w:ascii="Times New Roman" w:hAnsi="Times New Roman" w:cs="Times New Roman"/>
          <w:iCs/>
          <w:color w:val="000000"/>
          <w:szCs w:val="24"/>
        </w:rPr>
        <w:t>)</w:t>
      </w:r>
      <w:r w:rsidRPr="00F732AE">
        <w:rPr>
          <w:rFonts w:ascii="Times New Roman" w:hAnsi="Times New Roman" w:cs="Times New Roman"/>
          <w:szCs w:val="24"/>
        </w:rPr>
        <w:t xml:space="preserve">  </w:t>
      </w:r>
    </w:p>
    <w:p w:rsidR="00B845BF" w:rsidRPr="004045D3" w:rsidRDefault="00B845BF" w:rsidP="002227BB">
      <w:pPr>
        <w:pStyle w:val="ac"/>
        <w:ind w:leftChars="0" w:left="540"/>
        <w:jc w:val="both"/>
        <w:rPr>
          <w:rFonts w:ascii="Times New Roman" w:hAnsi="Times New Roman"/>
          <w:szCs w:val="24"/>
        </w:rPr>
      </w:pPr>
    </w:p>
    <w:p w:rsidR="00B845BF" w:rsidRPr="002227BB" w:rsidRDefault="00B845BF" w:rsidP="002227BB">
      <w:pPr>
        <w:pStyle w:val="ac"/>
        <w:numPr>
          <w:ilvl w:val="0"/>
          <w:numId w:val="18"/>
        </w:numPr>
        <w:ind w:leftChars="450" w:left="1560" w:hangingChars="200" w:hanging="480"/>
        <w:jc w:val="both"/>
        <w:rPr>
          <w:rFonts w:ascii="Times New Roman" w:hAnsi="Times New Roman"/>
          <w:szCs w:val="24"/>
        </w:rPr>
      </w:pPr>
      <w:r>
        <w:rPr>
          <w:rFonts w:ascii="Times New Roman" w:hAnsi="Times New Roman"/>
          <w:szCs w:val="24"/>
        </w:rPr>
        <w:t xml:space="preserve">In any event, the applicant was not ‘prevented’ from giving the notice of </w:t>
      </w:r>
      <w:r>
        <w:rPr>
          <w:rFonts w:ascii="Times New Roman" w:hAnsi="Times New Roman"/>
          <w:szCs w:val="24"/>
        </w:rPr>
        <w:lastRenderedPageBreak/>
        <w:t xml:space="preserve">appeal within the statutory time limit. The </w:t>
      </w:r>
      <w:r w:rsidRPr="005F65C9">
        <w:rPr>
          <w:rFonts w:ascii="Times New Roman" w:hAnsi="Times New Roman" w:cs="Times New Roman"/>
          <w:color w:val="000000"/>
          <w:szCs w:val="24"/>
        </w:rPr>
        <w:t xml:space="preserve">word ‘prevented’ used in section 66(1A) of </w:t>
      </w:r>
      <w:r>
        <w:rPr>
          <w:rFonts w:ascii="Times New Roman" w:hAnsi="Times New Roman" w:cs="Times New Roman"/>
          <w:color w:val="000000"/>
          <w:szCs w:val="24"/>
        </w:rPr>
        <w:t>IRO</w:t>
      </w:r>
      <w:r w:rsidRPr="005F65C9">
        <w:rPr>
          <w:rFonts w:ascii="Times New Roman" w:hAnsi="Times New Roman" w:cs="Times New Roman"/>
          <w:color w:val="000000"/>
          <w:szCs w:val="24"/>
        </w:rPr>
        <w:t xml:space="preserve"> should be best understood to bear the meaning of the term ‘unable to’</w:t>
      </w:r>
      <w:r>
        <w:rPr>
          <w:rFonts w:ascii="Times New Roman" w:hAnsi="Times New Roman" w:cs="Times New Roman"/>
          <w:color w:val="000000"/>
          <w:szCs w:val="24"/>
        </w:rPr>
        <w:t xml:space="preserve">, which imposed </w:t>
      </w:r>
      <w:r w:rsidRPr="005F65C9">
        <w:rPr>
          <w:rFonts w:ascii="Times New Roman" w:hAnsi="Times New Roman" w:cs="Times New Roman"/>
          <w:color w:val="000000"/>
          <w:szCs w:val="24"/>
        </w:rPr>
        <w:t>a higher threshold than a mere excuse and would appear to give proper effect to the rigour of the time limit imposed.</w:t>
      </w:r>
      <w:r>
        <w:rPr>
          <w:rFonts w:ascii="Times New Roman" w:hAnsi="Times New Roman" w:cs="Times New Roman"/>
          <w:color w:val="000000"/>
          <w:szCs w:val="24"/>
        </w:rPr>
        <w:t xml:space="preserve"> </w:t>
      </w:r>
      <w:r w:rsidRPr="005F65C9">
        <w:rPr>
          <w:rFonts w:ascii="Times New Roman" w:hAnsi="Times New Roman" w:cs="Times New Roman"/>
          <w:color w:val="000000"/>
          <w:szCs w:val="24"/>
        </w:rPr>
        <w:t xml:space="preserve">In the present case, </w:t>
      </w:r>
      <w:r>
        <w:rPr>
          <w:rFonts w:ascii="Times New Roman" w:hAnsi="Times New Roman" w:cs="Times New Roman"/>
          <w:color w:val="000000"/>
          <w:szCs w:val="24"/>
        </w:rPr>
        <w:t>any</w:t>
      </w:r>
      <w:r w:rsidRPr="005F65C9">
        <w:rPr>
          <w:rFonts w:ascii="Times New Roman" w:hAnsi="Times New Roman" w:cs="Times New Roman"/>
          <w:color w:val="000000"/>
          <w:szCs w:val="24"/>
        </w:rPr>
        <w:t xml:space="preserve"> ‘absence from Hong Kong’ or ‘other reasonable cause’ </w:t>
      </w:r>
      <w:r>
        <w:rPr>
          <w:rFonts w:ascii="Times New Roman" w:hAnsi="Times New Roman" w:cs="Times New Roman"/>
          <w:color w:val="000000"/>
          <w:szCs w:val="24"/>
        </w:rPr>
        <w:t xml:space="preserve">(assuming they could be established) </w:t>
      </w:r>
      <w:r w:rsidRPr="005F65C9">
        <w:rPr>
          <w:rFonts w:ascii="Times New Roman" w:hAnsi="Times New Roman" w:cs="Times New Roman"/>
          <w:color w:val="000000"/>
          <w:szCs w:val="24"/>
        </w:rPr>
        <w:t xml:space="preserve">would not have ‘prevented’ </w:t>
      </w:r>
      <w:r>
        <w:rPr>
          <w:rFonts w:ascii="Times New Roman" w:hAnsi="Times New Roman" w:cs="Times New Roman"/>
          <w:color w:val="000000"/>
          <w:szCs w:val="24"/>
        </w:rPr>
        <w:t>the applicant</w:t>
      </w:r>
      <w:r w:rsidRPr="005F65C9">
        <w:rPr>
          <w:rFonts w:ascii="Times New Roman" w:hAnsi="Times New Roman" w:cs="Times New Roman"/>
          <w:color w:val="000000"/>
          <w:szCs w:val="24"/>
        </w:rPr>
        <w:t xml:space="preserve"> from giving </w:t>
      </w:r>
      <w:r>
        <w:rPr>
          <w:rFonts w:ascii="Times New Roman" w:hAnsi="Times New Roman" w:cs="Times New Roman"/>
          <w:color w:val="000000"/>
          <w:szCs w:val="24"/>
        </w:rPr>
        <w:t>n</w:t>
      </w:r>
      <w:r w:rsidRPr="005F65C9">
        <w:rPr>
          <w:rFonts w:ascii="Times New Roman" w:hAnsi="Times New Roman" w:cs="Times New Roman"/>
          <w:color w:val="000000"/>
          <w:szCs w:val="24"/>
        </w:rPr>
        <w:t xml:space="preserve">otice of </w:t>
      </w:r>
      <w:r>
        <w:rPr>
          <w:rFonts w:ascii="Times New Roman" w:hAnsi="Times New Roman" w:cs="Times New Roman"/>
          <w:color w:val="000000"/>
          <w:szCs w:val="24"/>
        </w:rPr>
        <w:t>a</w:t>
      </w:r>
      <w:r w:rsidRPr="005F65C9">
        <w:rPr>
          <w:rFonts w:ascii="Times New Roman" w:hAnsi="Times New Roman" w:cs="Times New Roman"/>
          <w:color w:val="000000"/>
          <w:szCs w:val="24"/>
        </w:rPr>
        <w:t xml:space="preserve">ppeal on time, as in the sense of being rendered unable to do so. </w:t>
      </w:r>
      <w:r w:rsidRPr="005F65C9">
        <w:rPr>
          <w:rFonts w:ascii="Times New Roman" w:hAnsi="Times New Roman" w:cs="Times New Roman"/>
          <w:szCs w:val="24"/>
        </w:rPr>
        <w:t xml:space="preserve">Once a document </w:t>
      </w:r>
      <w:r>
        <w:rPr>
          <w:rFonts w:ascii="Times New Roman" w:hAnsi="Times New Roman" w:cs="Times New Roman"/>
          <w:szCs w:val="24"/>
        </w:rPr>
        <w:t>wa</w:t>
      </w:r>
      <w:r w:rsidRPr="005F65C9">
        <w:rPr>
          <w:rFonts w:ascii="Times New Roman" w:hAnsi="Times New Roman" w:cs="Times New Roman"/>
          <w:szCs w:val="24"/>
        </w:rPr>
        <w:t xml:space="preserve">s properly served under section 58(2) of </w:t>
      </w:r>
      <w:r>
        <w:rPr>
          <w:rFonts w:ascii="Times New Roman" w:hAnsi="Times New Roman" w:cs="Times New Roman"/>
          <w:szCs w:val="24"/>
        </w:rPr>
        <w:t>IRO</w:t>
      </w:r>
      <w:r w:rsidRPr="005F65C9">
        <w:rPr>
          <w:rFonts w:ascii="Times New Roman" w:hAnsi="Times New Roman" w:cs="Times New Roman"/>
          <w:szCs w:val="24"/>
        </w:rPr>
        <w:t xml:space="preserve">, actual notice </w:t>
      </w:r>
      <w:r>
        <w:rPr>
          <w:rFonts w:ascii="Times New Roman" w:hAnsi="Times New Roman" w:cs="Times New Roman"/>
          <w:szCs w:val="24"/>
        </w:rPr>
        <w:t>wa</w:t>
      </w:r>
      <w:r w:rsidRPr="005F65C9">
        <w:rPr>
          <w:rFonts w:ascii="Times New Roman" w:hAnsi="Times New Roman" w:cs="Times New Roman"/>
          <w:szCs w:val="24"/>
        </w:rPr>
        <w:t xml:space="preserve">s treated to have been given to the taxpayer. It </w:t>
      </w:r>
      <w:r>
        <w:rPr>
          <w:rFonts w:ascii="Times New Roman" w:hAnsi="Times New Roman" w:cs="Times New Roman"/>
          <w:szCs w:val="24"/>
        </w:rPr>
        <w:t>wa</w:t>
      </w:r>
      <w:r w:rsidRPr="005F65C9">
        <w:rPr>
          <w:rFonts w:ascii="Times New Roman" w:hAnsi="Times New Roman" w:cs="Times New Roman"/>
          <w:szCs w:val="24"/>
        </w:rPr>
        <w:t xml:space="preserve">s then up to the taxpayer to ensure that the document </w:t>
      </w:r>
      <w:r>
        <w:rPr>
          <w:rFonts w:ascii="Times New Roman" w:hAnsi="Times New Roman" w:cs="Times New Roman"/>
          <w:szCs w:val="24"/>
        </w:rPr>
        <w:t>(</w:t>
      </w:r>
      <w:r w:rsidRPr="005F65C9">
        <w:rPr>
          <w:rFonts w:ascii="Times New Roman" w:hAnsi="Times New Roman" w:cs="Times New Roman"/>
          <w:szCs w:val="24"/>
        </w:rPr>
        <w:t>which he chose to be sent to a specified address</w:t>
      </w:r>
      <w:r>
        <w:rPr>
          <w:rFonts w:ascii="Times New Roman" w:hAnsi="Times New Roman" w:cs="Times New Roman"/>
          <w:szCs w:val="24"/>
        </w:rPr>
        <w:t>)</w:t>
      </w:r>
      <w:r w:rsidRPr="005F65C9">
        <w:rPr>
          <w:rFonts w:ascii="Times New Roman" w:hAnsi="Times New Roman" w:cs="Times New Roman"/>
          <w:szCs w:val="24"/>
        </w:rPr>
        <w:t xml:space="preserve"> would be brought to his attention</w:t>
      </w:r>
      <w:r w:rsidR="003F7082">
        <w:rPr>
          <w:rFonts w:ascii="Times New Roman" w:hAnsi="Times New Roman" w:cs="Times New Roman"/>
          <w:szCs w:val="24"/>
        </w:rPr>
        <w:t>.</w:t>
      </w:r>
      <w:r w:rsidRPr="005F65C9">
        <w:rPr>
          <w:rFonts w:ascii="Times New Roman" w:hAnsi="Times New Roman" w:cs="Times New Roman"/>
          <w:szCs w:val="24"/>
        </w:rPr>
        <w:t xml:space="preserve"> </w:t>
      </w:r>
      <w:r w:rsidRPr="005F65C9">
        <w:rPr>
          <w:rFonts w:ascii="Times New Roman" w:hAnsi="Times New Roman" w:cs="Times New Roman"/>
          <w:color w:val="000000"/>
          <w:szCs w:val="24"/>
        </w:rPr>
        <w:t>(</w:t>
      </w:r>
      <w:r w:rsidRPr="00B845BF">
        <w:rPr>
          <w:rFonts w:ascii="Times New Roman" w:hAnsi="Times New Roman" w:cs="Times New Roman"/>
          <w:iCs/>
          <w:color w:val="000000"/>
          <w:szCs w:val="24"/>
          <w:u w:val="single"/>
        </w:rPr>
        <w:t>Chow Kwong Fai v Commissioner of Inland Revenue</w:t>
      </w:r>
      <w:r w:rsidRPr="00B845BF">
        <w:rPr>
          <w:rFonts w:ascii="Times New Roman" w:hAnsi="Times New Roman" w:cs="Times New Roman"/>
          <w:i/>
          <w:iCs/>
          <w:color w:val="000000"/>
          <w:szCs w:val="24"/>
          <w:u w:val="single"/>
        </w:rPr>
        <w:t xml:space="preserve"> </w:t>
      </w:r>
      <w:r w:rsidRPr="005F65C9">
        <w:rPr>
          <w:rFonts w:ascii="Times New Roman" w:hAnsi="Times New Roman" w:cs="Times New Roman"/>
          <w:iCs/>
          <w:color w:val="000000"/>
          <w:szCs w:val="24"/>
        </w:rPr>
        <w:t>[2005] 4 HKLRD 687</w:t>
      </w:r>
      <w:r>
        <w:rPr>
          <w:rFonts w:ascii="Times New Roman" w:hAnsi="Times New Roman" w:cs="Times New Roman"/>
          <w:iCs/>
          <w:color w:val="000000"/>
          <w:szCs w:val="24"/>
        </w:rPr>
        <w:t xml:space="preserve"> and</w:t>
      </w:r>
      <w:r w:rsidRPr="005F65C9">
        <w:rPr>
          <w:rFonts w:ascii="Times New Roman" w:hAnsi="Times New Roman" w:cs="Times New Roman"/>
          <w:szCs w:val="24"/>
        </w:rPr>
        <w:t xml:space="preserve"> </w:t>
      </w:r>
      <w:r w:rsidRPr="00B845BF">
        <w:rPr>
          <w:rFonts w:ascii="Times New Roman" w:hAnsi="Times New Roman" w:cs="Times New Roman"/>
          <w:szCs w:val="24"/>
          <w:u w:val="single"/>
        </w:rPr>
        <w:t>Chan Chun Chuen v The Commissioner of Inland Revenue</w:t>
      </w:r>
      <w:r w:rsidRPr="005F65C9">
        <w:rPr>
          <w:rFonts w:ascii="Times New Roman" w:hAnsi="Times New Roman" w:cs="Times New Roman"/>
          <w:szCs w:val="24"/>
        </w:rPr>
        <w:t xml:space="preserve"> [2012] 2 HKLRD 379</w:t>
      </w:r>
      <w:r w:rsidRPr="005F65C9">
        <w:rPr>
          <w:rFonts w:ascii="Times New Roman" w:hAnsi="Times New Roman" w:cs="Times New Roman"/>
          <w:color w:val="000000"/>
          <w:szCs w:val="24"/>
        </w:rPr>
        <w:t xml:space="preserve"> considered)</w:t>
      </w:r>
    </w:p>
    <w:p w:rsidR="002227BB" w:rsidRPr="002227BB" w:rsidRDefault="002227BB" w:rsidP="002227BB">
      <w:pPr>
        <w:jc w:val="both"/>
        <w:rPr>
          <w:rFonts w:ascii="Times New Roman" w:hAnsi="Times New Roman"/>
          <w:szCs w:val="24"/>
        </w:rPr>
      </w:pPr>
    </w:p>
    <w:p w:rsidR="00B845BF" w:rsidRPr="009C7CD1" w:rsidRDefault="00B845BF" w:rsidP="002227BB">
      <w:pPr>
        <w:pStyle w:val="ac"/>
        <w:widowControl/>
        <w:overflowPunct w:val="0"/>
        <w:autoSpaceDE w:val="0"/>
        <w:autoSpaceDN w:val="0"/>
        <w:ind w:leftChars="0" w:left="0"/>
        <w:jc w:val="both"/>
        <w:rPr>
          <w:rFonts w:ascii="Times New Roman" w:hAnsi="Times New Roman" w:cs="Times New Roman"/>
          <w:szCs w:val="24"/>
        </w:rPr>
      </w:pPr>
    </w:p>
    <w:p w:rsidR="00B845BF" w:rsidRDefault="00B845BF" w:rsidP="002227BB">
      <w:pPr>
        <w:jc w:val="both"/>
        <w:rPr>
          <w:rFonts w:ascii="Times New Roman" w:hAnsi="Times New Roman"/>
          <w:b/>
          <w:szCs w:val="24"/>
        </w:rPr>
      </w:pPr>
      <w:r>
        <w:rPr>
          <w:rFonts w:ascii="Times New Roman" w:hAnsi="Times New Roman"/>
          <w:b/>
          <w:szCs w:val="24"/>
        </w:rPr>
        <w:t>Appeal dismissed.</w:t>
      </w:r>
    </w:p>
    <w:p w:rsidR="002227BB" w:rsidRDefault="002227BB" w:rsidP="002227BB">
      <w:pPr>
        <w:jc w:val="both"/>
        <w:rPr>
          <w:rFonts w:ascii="Times New Roman" w:hAnsi="Times New Roman"/>
          <w:szCs w:val="24"/>
        </w:rPr>
      </w:pPr>
    </w:p>
    <w:p w:rsidR="00B845BF" w:rsidRDefault="00B845BF" w:rsidP="002227BB">
      <w:pPr>
        <w:jc w:val="both"/>
        <w:rPr>
          <w:rFonts w:ascii="Times New Roman" w:hAnsi="Times New Roman"/>
          <w:szCs w:val="24"/>
        </w:rPr>
      </w:pPr>
      <w:r>
        <w:rPr>
          <w:rFonts w:ascii="Times New Roman" w:hAnsi="Times New Roman"/>
          <w:szCs w:val="24"/>
        </w:rPr>
        <w:t>Case referred to:</w:t>
      </w:r>
    </w:p>
    <w:p w:rsidR="00B845BF" w:rsidRPr="004D7F09" w:rsidRDefault="00B845BF" w:rsidP="002227BB">
      <w:pPr>
        <w:tabs>
          <w:tab w:val="left" w:pos="1276"/>
        </w:tabs>
        <w:ind w:rightChars="-29" w:right="-70"/>
        <w:jc w:val="both"/>
        <w:rPr>
          <w:rFonts w:ascii="Times New Roman" w:eastAsia="華康楷書體W5" w:hAnsi="Times New Roman" w:cs="Times New Roman"/>
          <w:color w:val="FF0000"/>
          <w:szCs w:val="24"/>
          <w:lang w:eastAsia="zh-HK"/>
        </w:rPr>
      </w:pPr>
    </w:p>
    <w:p w:rsidR="00B845BF" w:rsidRPr="004D7F09" w:rsidRDefault="00B845BF" w:rsidP="002227BB">
      <w:pPr>
        <w:tabs>
          <w:tab w:val="left" w:pos="1276"/>
        </w:tabs>
        <w:ind w:leftChars="355" w:left="1212" w:hangingChars="150" w:hanging="360"/>
        <w:jc w:val="both"/>
        <w:rPr>
          <w:rFonts w:ascii="Times New Roman" w:eastAsia="華康楷書體W5" w:hAnsi="Times New Roman" w:cs="Times New Roman"/>
          <w:szCs w:val="24"/>
          <w:lang w:val="en" w:eastAsia="zh-HK"/>
        </w:rPr>
      </w:pPr>
      <w:r w:rsidRPr="004D7F09">
        <w:rPr>
          <w:rFonts w:ascii="Times New Roman" w:eastAsia="華康楷書體W5" w:hAnsi="Times New Roman" w:cs="Times New Roman"/>
          <w:szCs w:val="24"/>
          <w:lang w:val="en" w:eastAsia="zh-HK"/>
        </w:rPr>
        <w:t>Excelter Investment Ltd v Inland Revenue Board of Review &amp; Others, CACV 41/2017</w:t>
      </w:r>
      <w:r>
        <w:rPr>
          <w:rFonts w:ascii="Times New Roman" w:eastAsia="華康楷書體W5" w:hAnsi="Times New Roman" w:cs="Times New Roman"/>
          <w:szCs w:val="24"/>
          <w:lang w:val="en" w:eastAsia="zh-HK"/>
        </w:rPr>
        <w:t xml:space="preserve"> </w:t>
      </w:r>
      <w:r w:rsidRPr="004D7F09">
        <w:rPr>
          <w:rFonts w:ascii="Times New Roman" w:eastAsia="華康楷書體W5" w:hAnsi="Times New Roman" w:cs="Times New Roman"/>
          <w:szCs w:val="24"/>
          <w:lang w:val="en" w:eastAsia="zh-HK"/>
        </w:rPr>
        <w:t>(unreported, 22 July 2021)</w:t>
      </w:r>
    </w:p>
    <w:p w:rsidR="00B845BF" w:rsidRPr="004D7F09" w:rsidRDefault="00B845BF" w:rsidP="002227BB">
      <w:pPr>
        <w:tabs>
          <w:tab w:val="left" w:pos="1276"/>
        </w:tabs>
        <w:ind w:leftChars="355" w:left="1212" w:hangingChars="150" w:hanging="360"/>
        <w:jc w:val="both"/>
        <w:rPr>
          <w:rFonts w:ascii="Times New Roman" w:eastAsia="華康楷書體W5" w:hAnsi="Times New Roman" w:cs="Times New Roman"/>
          <w:szCs w:val="24"/>
          <w:lang w:val="en"/>
        </w:rPr>
      </w:pPr>
      <w:r w:rsidRPr="004D7F09">
        <w:rPr>
          <w:rFonts w:ascii="Times New Roman" w:eastAsia="華康楷書體W5" w:hAnsi="Times New Roman" w:cs="Times New Roman"/>
          <w:szCs w:val="24"/>
          <w:lang w:val="en" w:eastAsia="zh-HK"/>
        </w:rPr>
        <w:t>Wong Wing Biu v Commissioner of Inland Revenue [1985] 1 HKC 433</w:t>
      </w:r>
    </w:p>
    <w:p w:rsidR="00B845BF" w:rsidRPr="004D7F09" w:rsidRDefault="00B845BF" w:rsidP="002227BB">
      <w:pPr>
        <w:tabs>
          <w:tab w:val="left" w:pos="1276"/>
        </w:tabs>
        <w:ind w:leftChars="355" w:left="1212" w:hangingChars="150" w:hanging="360"/>
        <w:jc w:val="both"/>
        <w:rPr>
          <w:rFonts w:ascii="Times New Roman" w:eastAsia="華康楷書體W5" w:hAnsi="Times New Roman" w:cs="Times New Roman"/>
          <w:szCs w:val="24"/>
          <w:lang w:val="en" w:eastAsia="zh-HK"/>
        </w:rPr>
      </w:pPr>
      <w:r w:rsidRPr="004D7F09">
        <w:rPr>
          <w:rFonts w:ascii="Times New Roman" w:eastAsia="華康楷書體W5" w:hAnsi="Times New Roman" w:cs="Times New Roman"/>
          <w:szCs w:val="24"/>
          <w:lang w:val="en" w:eastAsia="zh-HK"/>
        </w:rPr>
        <w:t>Re Wan Wah Shing [2005] 4 HKLRD 674</w:t>
      </w:r>
    </w:p>
    <w:p w:rsidR="00B845BF" w:rsidRPr="004D7F09" w:rsidRDefault="00B845BF" w:rsidP="002227BB">
      <w:pPr>
        <w:tabs>
          <w:tab w:val="left" w:pos="1276"/>
        </w:tabs>
        <w:ind w:leftChars="355" w:left="1212" w:hangingChars="150" w:hanging="360"/>
        <w:jc w:val="both"/>
        <w:rPr>
          <w:rFonts w:ascii="Times New Roman" w:eastAsia="華康楷書體W5" w:hAnsi="Times New Roman" w:cs="Times New Roman"/>
          <w:szCs w:val="24"/>
          <w:lang w:val="en" w:eastAsia="zh-HK"/>
        </w:rPr>
      </w:pPr>
      <w:r w:rsidRPr="004D7F09">
        <w:rPr>
          <w:rFonts w:ascii="Times New Roman" w:eastAsia="華康楷書體W5" w:hAnsi="Times New Roman" w:cs="Times New Roman"/>
          <w:szCs w:val="24"/>
          <w:lang w:val="en" w:eastAsia="zh-HK"/>
        </w:rPr>
        <w:t>HKSAR v Cheung Kwun Yin (2009) 12 HKCFAR 568</w:t>
      </w:r>
    </w:p>
    <w:p w:rsidR="00B845BF" w:rsidRPr="004D7F09" w:rsidRDefault="00B845BF" w:rsidP="002227BB">
      <w:pPr>
        <w:tabs>
          <w:tab w:val="left" w:pos="1276"/>
        </w:tabs>
        <w:ind w:leftChars="355" w:left="1212" w:hangingChars="150" w:hanging="360"/>
        <w:jc w:val="both"/>
        <w:rPr>
          <w:rFonts w:ascii="Times New Roman" w:eastAsia="華康楷書體W5" w:hAnsi="Times New Roman" w:cs="Times New Roman"/>
          <w:szCs w:val="24"/>
          <w:lang w:val="en" w:eastAsia="zh-HK"/>
        </w:rPr>
      </w:pPr>
      <w:r w:rsidRPr="004D7F09">
        <w:rPr>
          <w:rFonts w:ascii="Times New Roman" w:eastAsia="華康楷書體W5" w:hAnsi="Times New Roman" w:cs="Times New Roman"/>
          <w:szCs w:val="24"/>
          <w:lang w:val="en" w:eastAsia="zh-HK"/>
        </w:rPr>
        <w:t>Moulin Global Eyecare Trading Ltd v Commissioner of Inland Revenue (2014) 17 HKCFAR 218</w:t>
      </w:r>
    </w:p>
    <w:p w:rsidR="00B845BF" w:rsidRPr="004D7F09" w:rsidRDefault="00B845BF" w:rsidP="002227BB">
      <w:pPr>
        <w:tabs>
          <w:tab w:val="left" w:pos="1276"/>
        </w:tabs>
        <w:ind w:leftChars="355" w:left="1212" w:hangingChars="150" w:hanging="360"/>
        <w:jc w:val="both"/>
        <w:rPr>
          <w:rFonts w:ascii="Times New Roman" w:eastAsia="華康楷書體W5" w:hAnsi="Times New Roman" w:cs="Times New Roman"/>
          <w:szCs w:val="24"/>
          <w:lang w:val="en" w:eastAsia="zh-HK"/>
        </w:rPr>
      </w:pPr>
      <w:r w:rsidRPr="004D7F09">
        <w:rPr>
          <w:rFonts w:ascii="Times New Roman" w:eastAsia="華康楷書體W5" w:hAnsi="Times New Roman" w:cs="Times New Roman"/>
          <w:szCs w:val="24"/>
          <w:lang w:val="en" w:eastAsia="zh-HK"/>
        </w:rPr>
        <w:t>Moulin Global Eyecare Trading Ltd v Commissioner of Inland Revenue [2012] 2 HKLRD 911 (CA)</w:t>
      </w:r>
    </w:p>
    <w:p w:rsidR="00B845BF" w:rsidRPr="004D7F09" w:rsidRDefault="00B845BF" w:rsidP="002227BB">
      <w:pPr>
        <w:tabs>
          <w:tab w:val="left" w:pos="1276"/>
        </w:tabs>
        <w:ind w:leftChars="355" w:left="1212" w:hangingChars="150" w:hanging="360"/>
        <w:jc w:val="both"/>
        <w:rPr>
          <w:rFonts w:ascii="Times New Roman" w:eastAsia="華康楷書體W5" w:hAnsi="Times New Roman" w:cs="Times New Roman"/>
          <w:szCs w:val="24"/>
          <w:lang w:val="en" w:eastAsia="zh-HK"/>
        </w:rPr>
      </w:pPr>
      <w:r w:rsidRPr="004D7F09">
        <w:rPr>
          <w:rFonts w:ascii="Times New Roman" w:eastAsia="華康楷書體W5" w:hAnsi="Times New Roman" w:cs="Times New Roman"/>
          <w:szCs w:val="24"/>
          <w:lang w:val="en" w:eastAsia="zh-HK"/>
        </w:rPr>
        <w:t>Chow Kwong Fai v Commissioner of Inland Revenue [2005] 4 HKLRD 687</w:t>
      </w:r>
    </w:p>
    <w:p w:rsidR="00B845BF" w:rsidRPr="004D7F09" w:rsidRDefault="00B845BF" w:rsidP="002227BB">
      <w:pPr>
        <w:tabs>
          <w:tab w:val="left" w:pos="1276"/>
        </w:tabs>
        <w:ind w:leftChars="355" w:left="1212" w:hangingChars="150" w:hanging="360"/>
        <w:jc w:val="both"/>
        <w:rPr>
          <w:rFonts w:ascii="Times New Roman" w:eastAsia="華康楷書體W5" w:hAnsi="Times New Roman" w:cs="Times New Roman"/>
          <w:szCs w:val="24"/>
          <w:lang w:val="en" w:eastAsia="zh-HK"/>
        </w:rPr>
      </w:pPr>
      <w:r w:rsidRPr="004D7F09">
        <w:rPr>
          <w:rFonts w:ascii="Times New Roman" w:eastAsia="華康楷書體W5" w:hAnsi="Times New Roman" w:cs="Times New Roman"/>
          <w:szCs w:val="24"/>
          <w:lang w:val="en" w:eastAsia="zh-HK"/>
        </w:rPr>
        <w:t>Koo Ming Kown &amp; Another v The Commissioner of Inland Revenue, FACV 1/2022 (unreported, 5 August 2022)</w:t>
      </w:r>
    </w:p>
    <w:p w:rsidR="00B845BF" w:rsidRPr="004D7F09" w:rsidRDefault="00B845BF" w:rsidP="002227BB">
      <w:pPr>
        <w:tabs>
          <w:tab w:val="left" w:pos="1276"/>
        </w:tabs>
        <w:ind w:leftChars="355" w:left="1212" w:hangingChars="150" w:hanging="360"/>
        <w:jc w:val="both"/>
        <w:rPr>
          <w:rFonts w:ascii="Times New Roman" w:eastAsia="新細明體" w:hAnsi="Times New Roman" w:cs="Times New Roman"/>
          <w:szCs w:val="24"/>
        </w:rPr>
      </w:pPr>
      <w:r w:rsidRPr="004D7F09">
        <w:rPr>
          <w:rFonts w:ascii="Times New Roman" w:eastAsia="新細明體" w:hAnsi="Times New Roman" w:cs="Times New Roman"/>
          <w:szCs w:val="24"/>
        </w:rPr>
        <w:t>Chan Chun Chuen v The Commissioner of Inland Revenue [2012] 2 HKLRD 379</w:t>
      </w:r>
    </w:p>
    <w:p w:rsidR="00B845BF" w:rsidRPr="004D7F09" w:rsidRDefault="00B845BF" w:rsidP="002227BB">
      <w:pPr>
        <w:tabs>
          <w:tab w:val="left" w:pos="630"/>
        </w:tabs>
        <w:ind w:rightChars="-29" w:right="-70"/>
        <w:jc w:val="both"/>
        <w:rPr>
          <w:rFonts w:ascii="Times New Roman" w:eastAsia="華康楷書體W5" w:hAnsi="Times New Roman" w:cs="Times New Roman"/>
          <w:szCs w:val="24"/>
          <w:lang w:eastAsia="zh-HK"/>
        </w:rPr>
      </w:pPr>
    </w:p>
    <w:p w:rsidR="00B845BF" w:rsidRPr="004D7F09" w:rsidRDefault="00B845BF" w:rsidP="002227BB">
      <w:pPr>
        <w:tabs>
          <w:tab w:val="left" w:pos="0"/>
        </w:tabs>
        <w:jc w:val="both"/>
        <w:rPr>
          <w:rFonts w:ascii="Times New Roman" w:eastAsia="華康楷書體W5" w:hAnsi="Times New Roman" w:cs="Times New Roman"/>
          <w:szCs w:val="24"/>
        </w:rPr>
      </w:pPr>
      <w:r w:rsidRPr="004D7F09">
        <w:rPr>
          <w:rFonts w:ascii="Times New Roman" w:eastAsia="華康楷書體W5" w:hAnsi="Times New Roman" w:cs="Times New Roman"/>
          <w:szCs w:val="24"/>
          <w:lang w:eastAsia="zh-HK"/>
        </w:rPr>
        <w:t>Stefano Mariani, Partner of</w:t>
      </w:r>
      <w:r w:rsidRPr="004D7F09">
        <w:rPr>
          <w:rFonts w:ascii="Times New Roman" w:eastAsia="華康楷書體W5" w:hAnsi="Times New Roman" w:cs="Times New Roman"/>
          <w:color w:val="FF0000"/>
          <w:szCs w:val="24"/>
          <w:lang w:eastAsia="zh-HK"/>
        </w:rPr>
        <w:t xml:space="preserve"> </w:t>
      </w:r>
      <w:r w:rsidRPr="004D7F09">
        <w:rPr>
          <w:rFonts w:ascii="Times New Roman" w:eastAsia="華康楷書體W5" w:hAnsi="Times New Roman" w:cs="Times New Roman"/>
          <w:szCs w:val="24"/>
          <w:lang w:eastAsia="zh-HK"/>
        </w:rPr>
        <w:t>Messrs Deacons, for the Appellant</w:t>
      </w:r>
      <w:r w:rsidRPr="004D7F09">
        <w:rPr>
          <w:rFonts w:ascii="Times New Roman" w:eastAsia="華康楷書體W5" w:hAnsi="Times New Roman" w:cs="Times New Roman"/>
          <w:szCs w:val="24"/>
        </w:rPr>
        <w:t>.</w:t>
      </w:r>
    </w:p>
    <w:p w:rsidR="00B845BF" w:rsidRPr="006F0AB0" w:rsidRDefault="00B845BF" w:rsidP="002227BB">
      <w:pPr>
        <w:tabs>
          <w:tab w:val="left" w:pos="0"/>
        </w:tabs>
        <w:ind w:left="360" w:hangingChars="150" w:hanging="360"/>
        <w:jc w:val="both"/>
        <w:rPr>
          <w:rFonts w:ascii="Times New Roman" w:eastAsia="華康楷書體W5" w:hAnsi="Times New Roman" w:cs="Times New Roman"/>
          <w:color w:val="FF0000"/>
          <w:szCs w:val="24"/>
          <w:u w:val="single"/>
          <w:lang w:eastAsia="zh-HK"/>
        </w:rPr>
      </w:pPr>
      <w:r w:rsidRPr="004D7F09">
        <w:rPr>
          <w:rFonts w:ascii="Times New Roman" w:eastAsia="華康楷書體W5" w:hAnsi="Times New Roman" w:cs="Times New Roman"/>
          <w:szCs w:val="24"/>
          <w:lang w:eastAsia="zh-HK"/>
        </w:rPr>
        <w:t xml:space="preserve">Cassandra Fung and Camille Shek, </w:t>
      </w:r>
      <w:r w:rsidRPr="004D7F09">
        <w:rPr>
          <w:rFonts w:ascii="Times New Roman" w:eastAsia="華康楷書體W5" w:hAnsi="Times New Roman" w:cs="Times New Roman"/>
          <w:szCs w:val="24"/>
        </w:rPr>
        <w:t>Acting Senior Counsel, Department of Justice, for the Commissioner of Inland Revenue</w:t>
      </w:r>
    </w:p>
    <w:p w:rsidR="00C264DF" w:rsidRDefault="00C264DF">
      <w:pPr>
        <w:widowControl/>
        <w:rPr>
          <w:rFonts w:ascii="Times New Roman" w:eastAsia="華康楷書體W5" w:hAnsi="Times New Roman" w:cs="Times New Roman"/>
          <w:szCs w:val="24"/>
          <w:lang w:eastAsia="zh-HK"/>
        </w:rPr>
      </w:pPr>
      <w:r>
        <w:rPr>
          <w:rFonts w:ascii="Times New Roman" w:eastAsia="華康楷書體W5" w:hAnsi="Times New Roman" w:cs="Times New Roman"/>
          <w:szCs w:val="24"/>
          <w:lang w:eastAsia="zh-HK"/>
        </w:rPr>
        <w:br w:type="page"/>
      </w:r>
    </w:p>
    <w:p w:rsidR="00843132" w:rsidRPr="00C264DF" w:rsidRDefault="004D7F09" w:rsidP="00C264DF">
      <w:pPr>
        <w:widowControl/>
        <w:rPr>
          <w:rFonts w:ascii="Times New Roman" w:eastAsia="華康楷書體W5" w:hAnsi="Times New Roman" w:cs="Times New Roman"/>
          <w:szCs w:val="24"/>
          <w:lang w:eastAsia="zh-HK"/>
        </w:rPr>
      </w:pPr>
      <w:r w:rsidRPr="00984A18">
        <w:rPr>
          <w:rFonts w:ascii="Times New Roman" w:hAnsi="Times New Roman" w:cs="Times New Roman" w:hint="eastAsia"/>
          <w:b/>
          <w:szCs w:val="24"/>
        </w:rPr>
        <w:lastRenderedPageBreak/>
        <w:t>D</w:t>
      </w:r>
      <w:r w:rsidRPr="00984A18">
        <w:rPr>
          <w:rFonts w:ascii="Times New Roman" w:hAnsi="Times New Roman" w:cs="Times New Roman"/>
          <w:b/>
          <w:szCs w:val="24"/>
        </w:rPr>
        <w:t>ecision:</w:t>
      </w:r>
    </w:p>
    <w:p w:rsidR="00C264DF" w:rsidRDefault="00C264DF" w:rsidP="00C264DF">
      <w:pPr>
        <w:pStyle w:val="ac"/>
        <w:overflowPunct w:val="0"/>
        <w:autoSpaceDE w:val="0"/>
        <w:autoSpaceDN w:val="0"/>
        <w:ind w:leftChars="0" w:left="0"/>
        <w:jc w:val="both"/>
        <w:rPr>
          <w:rFonts w:ascii="Times New Roman" w:hAnsi="Times New Roman" w:cs="Times New Roman"/>
          <w:szCs w:val="24"/>
        </w:rPr>
      </w:pPr>
    </w:p>
    <w:p w:rsidR="00C264DF" w:rsidRDefault="00C264DF" w:rsidP="00C264DF">
      <w:pPr>
        <w:pStyle w:val="ac"/>
        <w:overflowPunct w:val="0"/>
        <w:autoSpaceDE w:val="0"/>
        <w:autoSpaceDN w:val="0"/>
        <w:ind w:leftChars="0" w:left="0"/>
        <w:jc w:val="both"/>
        <w:rPr>
          <w:rFonts w:ascii="Times New Roman" w:hAnsi="Times New Roman" w:cs="Times New Roman"/>
          <w:szCs w:val="24"/>
        </w:rPr>
      </w:pPr>
    </w:p>
    <w:p w:rsidR="00843132" w:rsidRPr="005E4203" w:rsidRDefault="00C264DF" w:rsidP="00C264DF">
      <w:pPr>
        <w:pStyle w:val="ac"/>
        <w:numPr>
          <w:ilvl w:val="0"/>
          <w:numId w:val="16"/>
        </w:numPr>
        <w:overflowPunct w:val="0"/>
        <w:autoSpaceDE w:val="0"/>
        <w:autoSpaceDN w:val="0"/>
        <w:ind w:leftChars="0"/>
        <w:jc w:val="both"/>
        <w:rPr>
          <w:rFonts w:ascii="Times New Roman" w:hAnsi="Times New Roman" w:cs="Times New Roman"/>
          <w:b/>
          <w:szCs w:val="24"/>
        </w:rPr>
      </w:pPr>
      <w:r>
        <w:rPr>
          <w:rFonts w:ascii="Times New Roman" w:hAnsi="Times New Roman" w:cs="Times New Roman"/>
          <w:b/>
          <w:szCs w:val="24"/>
        </w:rPr>
        <w:t xml:space="preserve">          </w:t>
      </w:r>
      <w:r w:rsidR="005E4203">
        <w:rPr>
          <w:rFonts w:ascii="Times New Roman" w:hAnsi="Times New Roman" w:cs="Times New Roman"/>
          <w:b/>
          <w:szCs w:val="24"/>
        </w:rPr>
        <w:t>Introduction</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A60C9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w:t>
      </w:r>
      <w:r w:rsidR="005E4203">
        <w:rPr>
          <w:rFonts w:ascii="Times New Roman" w:hAnsi="Times New Roman" w:cs="Times New Roman"/>
          <w:szCs w:val="24"/>
        </w:rPr>
        <w:t>his is the appli</w:t>
      </w:r>
      <w:r w:rsidR="005E4203" w:rsidRPr="00A60C9F">
        <w:rPr>
          <w:rFonts w:ascii="Times New Roman" w:hAnsi="Times New Roman" w:cs="Times New Roman"/>
          <w:szCs w:val="24"/>
        </w:rPr>
        <w:t>cation (‘</w:t>
      </w:r>
      <w:r w:rsidRPr="00A60C9F">
        <w:rPr>
          <w:rFonts w:ascii="Times New Roman" w:hAnsi="Times New Roman" w:cs="Times New Roman"/>
          <w:szCs w:val="24"/>
        </w:rPr>
        <w:t xml:space="preserve">the </w:t>
      </w:r>
      <w:r w:rsidR="005E4203" w:rsidRPr="00A60C9F">
        <w:rPr>
          <w:rFonts w:ascii="Times New Roman" w:hAnsi="Times New Roman" w:cs="Times New Roman"/>
          <w:szCs w:val="24"/>
        </w:rPr>
        <w:t>Time Application’</w:t>
      </w:r>
      <w:r w:rsidRPr="00A60C9F">
        <w:rPr>
          <w:rFonts w:ascii="Times New Roman" w:hAnsi="Times New Roman" w:cs="Times New Roman"/>
          <w:szCs w:val="24"/>
        </w:rPr>
        <w:t xml:space="preserve">) of </w:t>
      </w:r>
      <w:r w:rsidR="005E4203" w:rsidRPr="00A60C9F">
        <w:rPr>
          <w:rFonts w:ascii="Times New Roman" w:hAnsi="Times New Roman" w:cs="Times New Roman"/>
          <w:szCs w:val="24"/>
        </w:rPr>
        <w:t>Company A (‘</w:t>
      </w:r>
      <w:r w:rsidRPr="00A60C9F">
        <w:rPr>
          <w:rFonts w:ascii="Times New Roman" w:hAnsi="Times New Roman" w:cs="Times New Roman"/>
          <w:szCs w:val="24"/>
        </w:rPr>
        <w:t>the Taxpayer</w:t>
      </w:r>
      <w:r w:rsidR="005E4203" w:rsidRPr="00A60C9F">
        <w:rPr>
          <w:rFonts w:ascii="Times New Roman" w:hAnsi="Times New Roman" w:cs="Times New Roman"/>
          <w:szCs w:val="24"/>
        </w:rPr>
        <w:t>’</w:t>
      </w:r>
      <w:r w:rsidRPr="00A60C9F">
        <w:rPr>
          <w:rFonts w:ascii="Times New Roman" w:hAnsi="Times New Roman" w:cs="Times New Roman"/>
          <w:szCs w:val="24"/>
        </w:rPr>
        <w:t>) for an extension of time</w:t>
      </w:r>
      <w:r w:rsidR="005E4203" w:rsidRPr="00A60C9F">
        <w:rPr>
          <w:rFonts w:ascii="Times New Roman" w:hAnsi="Times New Roman" w:cs="Times New Roman"/>
          <w:szCs w:val="24"/>
        </w:rPr>
        <w:t xml:space="preserve"> to file its notice of appeal (‘</w:t>
      </w:r>
      <w:r w:rsidRPr="00A60C9F">
        <w:rPr>
          <w:rFonts w:ascii="Times New Roman" w:hAnsi="Times New Roman" w:cs="Times New Roman"/>
          <w:szCs w:val="24"/>
        </w:rPr>
        <w:t>the Notice of Appeal</w:t>
      </w:r>
      <w:r w:rsidR="005E4203" w:rsidRPr="00A60C9F">
        <w:rPr>
          <w:rFonts w:ascii="Times New Roman" w:hAnsi="Times New Roman" w:cs="Times New Roman"/>
          <w:szCs w:val="24"/>
        </w:rPr>
        <w:t>’) against the determination (‘</w:t>
      </w:r>
      <w:r w:rsidRPr="00A60C9F">
        <w:rPr>
          <w:rFonts w:ascii="Times New Roman" w:hAnsi="Times New Roman" w:cs="Times New Roman"/>
          <w:szCs w:val="24"/>
        </w:rPr>
        <w:t>the Determination</w:t>
      </w:r>
      <w:r w:rsidR="005E4203" w:rsidRPr="00A60C9F">
        <w:rPr>
          <w:rFonts w:ascii="Times New Roman" w:hAnsi="Times New Roman" w:cs="Times New Roman"/>
          <w:szCs w:val="24"/>
        </w:rPr>
        <w:t>’</w:t>
      </w:r>
      <w:r w:rsidRPr="00A60C9F">
        <w:rPr>
          <w:rFonts w:ascii="Times New Roman" w:hAnsi="Times New Roman" w:cs="Times New Roman"/>
          <w:szCs w:val="24"/>
        </w:rPr>
        <w:t>) of the C</w:t>
      </w:r>
      <w:r w:rsidR="005E4203" w:rsidRPr="00A60C9F">
        <w:rPr>
          <w:rFonts w:ascii="Times New Roman" w:hAnsi="Times New Roman" w:cs="Times New Roman"/>
          <w:szCs w:val="24"/>
        </w:rPr>
        <w:t>ommissioner of Inland Revenue (‘</w:t>
      </w:r>
      <w:r w:rsidRPr="00A60C9F">
        <w:rPr>
          <w:rFonts w:ascii="Times New Roman" w:hAnsi="Times New Roman" w:cs="Times New Roman"/>
          <w:szCs w:val="24"/>
        </w:rPr>
        <w:t>the Commissioner</w:t>
      </w:r>
      <w:r w:rsidR="005E4203" w:rsidRPr="00A60C9F">
        <w:rPr>
          <w:rFonts w:ascii="Times New Roman" w:hAnsi="Times New Roman" w:cs="Times New Roman"/>
          <w:szCs w:val="24"/>
        </w:rPr>
        <w:t>’</w:t>
      </w:r>
      <w:r w:rsidRPr="00A60C9F">
        <w:rPr>
          <w:rFonts w:ascii="Times New Roman" w:hAnsi="Times New Roman" w:cs="Times New Roman"/>
          <w:szCs w:val="24"/>
        </w:rPr>
        <w:t xml:space="preserve">) dated 26 November 2020 in respect of the Profits Tax Assessments for the years of </w:t>
      </w:r>
      <w:r w:rsidR="005E4203" w:rsidRPr="00A60C9F">
        <w:rPr>
          <w:rFonts w:ascii="Times New Roman" w:hAnsi="Times New Roman" w:cs="Times New Roman"/>
          <w:szCs w:val="24"/>
        </w:rPr>
        <w:t>assessment 2006/07 to 2012/13 (‘</w:t>
      </w:r>
      <w:r w:rsidRPr="00A60C9F">
        <w:rPr>
          <w:rFonts w:ascii="Times New Roman" w:hAnsi="Times New Roman" w:cs="Times New Roman"/>
          <w:szCs w:val="24"/>
        </w:rPr>
        <w:t>the Relevant Period</w:t>
      </w:r>
      <w:r w:rsidR="005E4203" w:rsidRPr="00A60C9F">
        <w:rPr>
          <w:rFonts w:ascii="Times New Roman" w:hAnsi="Times New Roman" w:cs="Times New Roman"/>
          <w:szCs w:val="24"/>
        </w:rPr>
        <w:t>’</w:t>
      </w:r>
      <w:r w:rsidRPr="00A60C9F">
        <w:rPr>
          <w:rFonts w:ascii="Times New Roman" w:hAnsi="Times New Roman" w:cs="Times New Roman"/>
          <w:szCs w:val="24"/>
        </w:rPr>
        <w:t xml:space="preserve">), which was delivered by registered post to the </w:t>
      </w:r>
      <w:r w:rsidR="005E4203" w:rsidRPr="00A60C9F">
        <w:rPr>
          <w:rFonts w:ascii="Times New Roman" w:hAnsi="Times New Roman" w:cs="Times New Roman"/>
          <w:szCs w:val="24"/>
        </w:rPr>
        <w:t>Taxpayer’s registered address (‘</w:t>
      </w:r>
      <w:r w:rsidRPr="00A60C9F">
        <w:rPr>
          <w:rFonts w:ascii="Times New Roman" w:hAnsi="Times New Roman" w:cs="Times New Roman"/>
          <w:szCs w:val="24"/>
        </w:rPr>
        <w:t>the Registered Address</w:t>
      </w:r>
      <w:r w:rsidR="005E4203" w:rsidRPr="00A60C9F">
        <w:rPr>
          <w:rFonts w:ascii="Times New Roman" w:hAnsi="Times New Roman" w:cs="Times New Roman"/>
          <w:szCs w:val="24"/>
        </w:rPr>
        <w:t>’</w:t>
      </w:r>
      <w:r w:rsidRPr="00A60C9F">
        <w:rPr>
          <w:rFonts w:ascii="Times New Roman" w:hAnsi="Times New Roman" w:cs="Times New Roman"/>
          <w:szCs w:val="24"/>
        </w:rPr>
        <w:t xml:space="preserve">) at </w:t>
      </w:r>
      <w:r w:rsidR="005E4203" w:rsidRPr="00A60C9F">
        <w:rPr>
          <w:rFonts w:ascii="Times New Roman" w:hAnsi="Times New Roman" w:cs="Times New Roman"/>
          <w:szCs w:val="24"/>
        </w:rPr>
        <w:t>Address B on 30 November 2020 (‘</w:t>
      </w:r>
      <w:r w:rsidRPr="00A60C9F">
        <w:rPr>
          <w:rFonts w:ascii="Times New Roman" w:hAnsi="Times New Roman" w:cs="Times New Roman"/>
          <w:szCs w:val="24"/>
        </w:rPr>
        <w:t>the Time Issue</w:t>
      </w:r>
      <w:r w:rsidR="005E4203" w:rsidRPr="00A60C9F">
        <w:rPr>
          <w:rFonts w:ascii="Times New Roman" w:hAnsi="Times New Roman" w:cs="Times New Roman"/>
          <w:szCs w:val="24"/>
        </w:rPr>
        <w:t>’</w:t>
      </w:r>
      <w:r w:rsidRPr="00A60C9F">
        <w:rPr>
          <w:rFonts w:ascii="Times New Roman" w:hAnsi="Times New Roman" w:cs="Times New Roman"/>
          <w:szCs w:val="24"/>
        </w:rPr>
        <w:t>).</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493FF3">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 Taxpayer filed the Notice of Appeal on 29 July 2021, when the statutory deadline for filing it pursuant to section 66(1)(a) of the Inland Revenue Ordinance</w:t>
      </w:r>
      <w:r w:rsidRPr="00493FF3">
        <w:rPr>
          <w:rFonts w:ascii="Times New Roman" w:hAnsi="Times New Roman" w:cs="Times New Roman"/>
          <w:szCs w:val="24"/>
        </w:rPr>
        <w:t xml:space="preserve"> </w:t>
      </w:r>
      <w:r w:rsidR="00CA279E">
        <w:rPr>
          <w:rFonts w:ascii="Times New Roman" w:hAnsi="Times New Roman" w:cs="Times New Roman"/>
          <w:szCs w:val="24"/>
        </w:rPr>
        <w:t>(‘</w:t>
      </w:r>
      <w:r w:rsidRPr="003E433F">
        <w:rPr>
          <w:rFonts w:ascii="Times New Roman" w:hAnsi="Times New Roman" w:cs="Times New Roman"/>
          <w:szCs w:val="24"/>
        </w:rPr>
        <w:t xml:space="preserve">the </w:t>
      </w:r>
      <w:r w:rsidRPr="00493FF3">
        <w:rPr>
          <w:rFonts w:ascii="Times New Roman" w:hAnsi="Times New Roman" w:cs="Times New Roman"/>
          <w:szCs w:val="24"/>
        </w:rPr>
        <w:t>Ordinance</w:t>
      </w:r>
      <w:r w:rsidR="00CA279E">
        <w:rPr>
          <w:rFonts w:ascii="Times New Roman" w:hAnsi="Times New Roman" w:cs="Times New Roman"/>
          <w:szCs w:val="24"/>
        </w:rPr>
        <w:t>’</w:t>
      </w:r>
      <w:r w:rsidRPr="003E433F">
        <w:rPr>
          <w:rFonts w:ascii="Times New Roman" w:hAnsi="Times New Roman" w:cs="Times New Roman"/>
          <w:szCs w:val="24"/>
        </w:rPr>
        <w:t>) had already lapsed being 30 December 2020.  The Time Applic</w:t>
      </w:r>
      <w:r w:rsidR="00CA279E">
        <w:rPr>
          <w:rFonts w:ascii="Times New Roman" w:hAnsi="Times New Roman" w:cs="Times New Roman"/>
          <w:szCs w:val="24"/>
        </w:rPr>
        <w:t>ation was heard by this Board (‘</w:t>
      </w:r>
      <w:r w:rsidRPr="003E433F">
        <w:rPr>
          <w:rFonts w:ascii="Times New Roman" w:hAnsi="Times New Roman" w:cs="Times New Roman"/>
          <w:szCs w:val="24"/>
        </w:rPr>
        <w:t xml:space="preserve">the </w:t>
      </w:r>
      <w:r w:rsidRPr="00493FF3">
        <w:rPr>
          <w:rFonts w:ascii="Times New Roman" w:hAnsi="Times New Roman" w:cs="Times New Roman"/>
          <w:szCs w:val="24"/>
        </w:rPr>
        <w:t>Board</w:t>
      </w:r>
      <w:r w:rsidR="00CA279E">
        <w:rPr>
          <w:rFonts w:ascii="Times New Roman" w:hAnsi="Times New Roman" w:cs="Times New Roman"/>
          <w:szCs w:val="24"/>
        </w:rPr>
        <w:t>’</w:t>
      </w:r>
      <w:r w:rsidRPr="003E433F">
        <w:rPr>
          <w:rFonts w:ascii="Times New Roman" w:hAnsi="Times New Roman" w:cs="Times New Roman"/>
          <w:szCs w:val="24"/>
        </w:rPr>
        <w:t>) as a pre</w:t>
      </w:r>
      <w:r w:rsidR="00CA279E">
        <w:rPr>
          <w:rFonts w:ascii="Times New Roman" w:hAnsi="Times New Roman" w:cs="Times New Roman"/>
          <w:szCs w:val="24"/>
        </w:rPr>
        <w:t>liminary issue on 25 May 2022 (‘</w:t>
      </w:r>
      <w:r w:rsidRPr="003E433F">
        <w:rPr>
          <w:rFonts w:ascii="Times New Roman" w:hAnsi="Times New Roman" w:cs="Times New Roman"/>
          <w:szCs w:val="24"/>
        </w:rPr>
        <w:t xml:space="preserve">the </w:t>
      </w:r>
      <w:r w:rsidRPr="00493FF3">
        <w:rPr>
          <w:rFonts w:ascii="Times New Roman" w:hAnsi="Times New Roman" w:cs="Times New Roman"/>
          <w:szCs w:val="24"/>
        </w:rPr>
        <w:t>Hearing</w:t>
      </w:r>
      <w:r w:rsidR="00CA279E">
        <w:rPr>
          <w:rFonts w:ascii="Times New Roman" w:hAnsi="Times New Roman" w:cs="Times New Roman"/>
          <w:szCs w:val="24"/>
        </w:rPr>
        <w:t>’</w:t>
      </w:r>
      <w:r w:rsidRPr="003E433F">
        <w:rPr>
          <w:rFonts w:ascii="Times New Roman" w:hAnsi="Times New Roman" w:cs="Times New Roman"/>
          <w:szCs w:val="24"/>
        </w:rPr>
        <w:t xml:space="preserve">).  By the parties’ consent, leave was granted to Mr </w:t>
      </w:r>
      <w:r w:rsidR="00A60C9F">
        <w:rPr>
          <w:rFonts w:ascii="Times New Roman" w:hAnsi="Times New Roman" w:cs="Times New Roman"/>
          <w:szCs w:val="24"/>
        </w:rPr>
        <w:t>C</w:t>
      </w:r>
      <w:r w:rsidRPr="003E433F">
        <w:rPr>
          <w:rFonts w:ascii="Times New Roman" w:hAnsi="Times New Roman" w:cs="Times New Roman"/>
          <w:szCs w:val="24"/>
        </w:rPr>
        <w:t xml:space="preserve">, </w:t>
      </w:r>
      <w:r w:rsidR="00A60C9F">
        <w:rPr>
          <w:rFonts w:ascii="Times New Roman" w:hAnsi="Times New Roman" w:cs="Times New Roman"/>
          <w:szCs w:val="24"/>
        </w:rPr>
        <w:t>Position L</w:t>
      </w:r>
      <w:r w:rsidRPr="003E433F">
        <w:rPr>
          <w:rFonts w:ascii="Times New Roman" w:hAnsi="Times New Roman" w:cs="Times New Roman"/>
          <w:szCs w:val="24"/>
        </w:rPr>
        <w:t xml:space="preserve"> of the Taxpayer, to give oral evidence at the Hearing via video link strictly on the Time Issue.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493FF3">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For the reasons detailed below, the Board is not satisfied that time should be extended for the Taxpayer to file the Notice of Appeal against the Determination pursuant to section 66(1A) of the Ordinance and the Time Application is accordingly dismissed.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CA279E" w:rsidRDefault="00A60C9F" w:rsidP="00A60C9F">
      <w:pPr>
        <w:pStyle w:val="ac"/>
        <w:numPr>
          <w:ilvl w:val="0"/>
          <w:numId w:val="16"/>
        </w:numPr>
        <w:overflowPunct w:val="0"/>
        <w:autoSpaceDE w:val="0"/>
        <w:autoSpaceDN w:val="0"/>
        <w:ind w:leftChars="0"/>
        <w:jc w:val="both"/>
        <w:rPr>
          <w:rFonts w:ascii="Times New Roman" w:hAnsi="Times New Roman" w:cs="Times New Roman"/>
          <w:b/>
          <w:szCs w:val="24"/>
        </w:rPr>
      </w:pPr>
      <w:r>
        <w:rPr>
          <w:rFonts w:ascii="Times New Roman" w:hAnsi="Times New Roman" w:cs="Times New Roman"/>
          <w:b/>
          <w:szCs w:val="24"/>
        </w:rPr>
        <w:t xml:space="preserve">          </w:t>
      </w:r>
      <w:r w:rsidRPr="00CA279E">
        <w:rPr>
          <w:rFonts w:ascii="Times New Roman" w:hAnsi="Times New Roman" w:cs="Times New Roman"/>
          <w:b/>
          <w:szCs w:val="24"/>
        </w:rPr>
        <w:t>FACTUAL BACKGROUND</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493FF3">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In the Time Application, the Taxpayer relies on the following factual matters as set out in the Determination, focusing on the circumstances leading to the delay in the filing of the Notice of Appeal. </w:t>
      </w:r>
    </w:p>
    <w:p w:rsidR="00843132" w:rsidRPr="003E433F" w:rsidRDefault="00843132" w:rsidP="0035136E">
      <w:pPr>
        <w:overflowPunct w:val="0"/>
        <w:autoSpaceDE w:val="0"/>
        <w:autoSpaceDN w:val="0"/>
        <w:jc w:val="both"/>
        <w:rPr>
          <w:rFonts w:ascii="Times New Roman" w:hAnsi="Times New Roman" w:cs="Times New Roman"/>
          <w:b/>
          <w:i/>
          <w:szCs w:val="24"/>
        </w:rPr>
      </w:pPr>
    </w:p>
    <w:p w:rsidR="00843132" w:rsidRPr="003E433F" w:rsidRDefault="00843132" w:rsidP="0035136E">
      <w:pPr>
        <w:overflowPunct w:val="0"/>
        <w:autoSpaceDE w:val="0"/>
        <w:autoSpaceDN w:val="0"/>
        <w:jc w:val="both"/>
        <w:rPr>
          <w:rFonts w:ascii="Times New Roman" w:hAnsi="Times New Roman" w:cs="Times New Roman"/>
          <w:b/>
          <w:szCs w:val="24"/>
        </w:rPr>
      </w:pPr>
      <w:r w:rsidRPr="003E433F">
        <w:rPr>
          <w:rFonts w:ascii="Times New Roman" w:hAnsi="Times New Roman" w:cs="Times New Roman"/>
          <w:b/>
          <w:szCs w:val="24"/>
        </w:rPr>
        <w:t>B.1.</w:t>
      </w:r>
      <w:r w:rsidRPr="003E433F">
        <w:rPr>
          <w:rFonts w:ascii="Times New Roman" w:hAnsi="Times New Roman" w:cs="Times New Roman"/>
          <w:b/>
          <w:szCs w:val="24"/>
        </w:rPr>
        <w:tab/>
      </w:r>
      <w:r w:rsidRPr="00CA279E">
        <w:rPr>
          <w:rFonts w:ascii="Times New Roman" w:hAnsi="Times New Roman" w:cs="Times New Roman"/>
          <w:b/>
          <w:i/>
          <w:szCs w:val="24"/>
        </w:rPr>
        <w:t>The Taxpayer’s Business Model</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 Taxpayer was incorporated in Hong Kong in 2002.  During the Relevant Period, the Taxpayer carried on the businesses of trading and acting as a commission agent in the years of assessment 2006/07 and 2007/08 and thereafter only the business of trading.  According to the Taxpayer, its revenue was derived from, broadly speaking, trading income, commission or agency service fees (but not after the year of assessment 2007/08) and freight and sample and mould income.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The Taxpayer was affiliated with a group of companies in the multinational </w:t>
      </w:r>
      <w:r w:rsidR="00CA279E">
        <w:rPr>
          <w:rFonts w:ascii="Times New Roman" w:hAnsi="Times New Roman" w:cs="Times New Roman" w:hint="eastAsia"/>
          <w:szCs w:val="24"/>
        </w:rPr>
        <w:t>C</w:t>
      </w:r>
      <w:r w:rsidR="00CA279E">
        <w:rPr>
          <w:rFonts w:ascii="Times New Roman" w:hAnsi="Times New Roman" w:cs="Times New Roman" w:hint="eastAsia"/>
          <w:szCs w:val="24"/>
          <w:lang w:eastAsia="zh-HK"/>
        </w:rPr>
        <w:t>ompany D group</w:t>
      </w:r>
      <w:r w:rsidR="00CA279E">
        <w:rPr>
          <w:rFonts w:ascii="Times New Roman" w:hAnsi="Times New Roman" w:cs="Times New Roman"/>
          <w:szCs w:val="24"/>
        </w:rPr>
        <w:t xml:space="preserve"> (‘</w:t>
      </w:r>
      <w:r w:rsidRPr="003E433F">
        <w:rPr>
          <w:rFonts w:ascii="Times New Roman" w:hAnsi="Times New Roman" w:cs="Times New Roman"/>
          <w:szCs w:val="24"/>
        </w:rPr>
        <w:t>th</w:t>
      </w:r>
      <w:r w:rsidRPr="00A60C9F">
        <w:rPr>
          <w:rFonts w:ascii="Times New Roman" w:hAnsi="Times New Roman" w:cs="Times New Roman"/>
          <w:szCs w:val="24"/>
        </w:rPr>
        <w:t>e</w:t>
      </w:r>
      <w:r w:rsidR="00CA279E" w:rsidRPr="00A60C9F">
        <w:rPr>
          <w:rFonts w:ascii="Times New Roman" w:hAnsi="Times New Roman" w:cs="Times New Roman"/>
          <w:szCs w:val="24"/>
        </w:rPr>
        <w:t xml:space="preserve"> D</w:t>
      </w:r>
      <w:r w:rsidRPr="00A60C9F">
        <w:rPr>
          <w:rFonts w:ascii="Times New Roman" w:hAnsi="Times New Roman" w:cs="Times New Roman"/>
          <w:szCs w:val="24"/>
        </w:rPr>
        <w:t xml:space="preserve"> Group</w:t>
      </w:r>
      <w:r w:rsidR="00CA279E" w:rsidRPr="00A60C9F">
        <w:rPr>
          <w:rFonts w:ascii="Times New Roman" w:hAnsi="Times New Roman" w:cs="Times New Roman"/>
          <w:szCs w:val="24"/>
        </w:rPr>
        <w:t>’</w:t>
      </w:r>
      <w:r w:rsidRPr="00A60C9F">
        <w:rPr>
          <w:rFonts w:ascii="Times New Roman" w:hAnsi="Times New Roman" w:cs="Times New Roman"/>
          <w:szCs w:val="24"/>
        </w:rPr>
        <w:t>).  The Tax</w:t>
      </w:r>
      <w:r w:rsidR="00CA279E" w:rsidRPr="00A60C9F">
        <w:rPr>
          <w:rFonts w:ascii="Times New Roman" w:hAnsi="Times New Roman" w:cs="Times New Roman"/>
          <w:szCs w:val="24"/>
        </w:rPr>
        <w:t>payer held a licence to sell Company D</w:t>
      </w:r>
      <w:r w:rsidRPr="00A60C9F">
        <w:rPr>
          <w:rFonts w:ascii="Times New Roman" w:hAnsi="Times New Roman" w:cs="Times New Roman"/>
          <w:szCs w:val="24"/>
        </w:rPr>
        <w:t xml:space="preserve"> branded products to customers outside Europe. </w:t>
      </w:r>
      <w:r w:rsidRPr="003E433F">
        <w:rPr>
          <w:rFonts w:ascii="Times New Roman" w:hAnsi="Times New Roman" w:cs="Times New Roman"/>
          <w:szCs w:val="24"/>
        </w:rPr>
        <w:t xml:space="preserve"> The Taxpayer sourced personalised gifts, greeting cards and aromatic and ornamental candles</w:t>
      </w:r>
      <w:r w:rsidR="00CA279E">
        <w:rPr>
          <w:rFonts w:ascii="Times New Roman" w:hAnsi="Times New Roman" w:cs="Times New Roman"/>
          <w:szCs w:val="24"/>
        </w:rPr>
        <w:t xml:space="preserve"> etc. bearing the Company D</w:t>
      </w:r>
      <w:r w:rsidRPr="003E433F">
        <w:rPr>
          <w:rFonts w:ascii="Times New Roman" w:hAnsi="Times New Roman" w:cs="Times New Roman"/>
          <w:szCs w:val="24"/>
        </w:rPr>
        <w:t xml:space="preserve"> brand and marketed them to overseas customers.  The Taxpayer sourced manufacturers, handled orders and undertook product quality control functions for merchandise designed by the entities in the </w:t>
      </w:r>
      <w:r w:rsidR="00CA279E">
        <w:rPr>
          <w:rFonts w:ascii="Times New Roman" w:hAnsi="Times New Roman" w:cs="Times New Roman"/>
          <w:szCs w:val="24"/>
        </w:rPr>
        <w:t>D</w:t>
      </w:r>
      <w:r w:rsidRPr="003E433F">
        <w:rPr>
          <w:rFonts w:ascii="Times New Roman" w:hAnsi="Times New Roman" w:cs="Times New Roman"/>
          <w:szCs w:val="24"/>
        </w:rPr>
        <w:t xml:space="preserve"> Group but manufactured in China.</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lastRenderedPageBreak/>
        <w:t>The Taxpayer’s case is that it did not at the material time have any substantive business presence in Hong Kong and it conducted substantive commercial operations th</w:t>
      </w:r>
      <w:r w:rsidR="00CA279E">
        <w:rPr>
          <w:rFonts w:ascii="Times New Roman" w:hAnsi="Times New Roman" w:cs="Times New Roman"/>
          <w:szCs w:val="24"/>
        </w:rPr>
        <w:t>rough a representative office (‘</w:t>
      </w:r>
      <w:r w:rsidRPr="003E433F">
        <w:rPr>
          <w:rFonts w:ascii="Times New Roman" w:hAnsi="Times New Roman" w:cs="Times New Roman"/>
          <w:szCs w:val="24"/>
        </w:rPr>
        <w:t>t</w:t>
      </w:r>
      <w:r w:rsidRPr="00A60C9F">
        <w:rPr>
          <w:rFonts w:ascii="Times New Roman" w:hAnsi="Times New Roman" w:cs="Times New Roman"/>
          <w:szCs w:val="24"/>
        </w:rPr>
        <w:t>he SRO</w:t>
      </w:r>
      <w:r w:rsidR="00CA279E" w:rsidRPr="00A60C9F">
        <w:rPr>
          <w:rFonts w:ascii="Times New Roman" w:hAnsi="Times New Roman" w:cs="Times New Roman"/>
          <w:szCs w:val="24"/>
        </w:rPr>
        <w:t xml:space="preserve">’) in </w:t>
      </w:r>
      <w:r w:rsidR="00CA279E">
        <w:rPr>
          <w:rFonts w:ascii="Times New Roman" w:hAnsi="Times New Roman" w:cs="Times New Roman"/>
          <w:szCs w:val="24"/>
        </w:rPr>
        <w:t>City E</w:t>
      </w:r>
      <w:r w:rsidRPr="003E433F">
        <w:rPr>
          <w:rFonts w:ascii="Times New Roman" w:hAnsi="Times New Roman" w:cs="Times New Roman"/>
          <w:szCs w:val="24"/>
        </w:rPr>
        <w:t>.  The Taxpayer alleges that it did not have any manufacturing facilities, substantive business facilities or trading stock in Hong Kong and its sole business asset in Hong Kong was a bank account, which was operated remotely.  The Taxpayer also alleges that it did not have employees in Hong Kong, whereas the SRO had 40 to 50 employees in China, with 10 of them performing quality control and assurance functions and the rest the sourcing operations.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 Taxpayer summarises its business model as follows: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A33E44">
      <w:pPr>
        <w:pStyle w:val="ac"/>
        <w:widowControl/>
        <w:numPr>
          <w:ilvl w:val="0"/>
          <w:numId w:val="11"/>
        </w:numPr>
        <w:tabs>
          <w:tab w:val="left" w:pos="1932"/>
        </w:tabs>
        <w:overflowPunct w:val="0"/>
        <w:autoSpaceDE w:val="0"/>
        <w:autoSpaceDN w:val="0"/>
        <w:ind w:leftChars="638" w:left="2059" w:hangingChars="220" w:hanging="528"/>
        <w:jc w:val="both"/>
        <w:rPr>
          <w:rFonts w:ascii="Times New Roman" w:hAnsi="Times New Roman" w:cs="Times New Roman"/>
          <w:szCs w:val="24"/>
        </w:rPr>
      </w:pPr>
      <w:r w:rsidRPr="003E433F">
        <w:rPr>
          <w:rFonts w:ascii="Times New Roman" w:hAnsi="Times New Roman" w:cs="Times New Roman"/>
          <w:szCs w:val="24"/>
        </w:rPr>
        <w:t>Throughout the Relevant Period, M</w:t>
      </w:r>
      <w:r w:rsidR="00FF4AA0">
        <w:rPr>
          <w:rFonts w:ascii="Times New Roman" w:hAnsi="Times New Roman" w:cs="Times New Roman"/>
          <w:szCs w:val="24"/>
        </w:rPr>
        <w:t>r C</w:t>
      </w:r>
      <w:r w:rsidRPr="003E433F">
        <w:rPr>
          <w:rFonts w:ascii="Times New Roman" w:hAnsi="Times New Roman" w:cs="Times New Roman"/>
          <w:szCs w:val="24"/>
        </w:rPr>
        <w:t xml:space="preserve"> was and remains a director of the Taxpayer and took a leading role in procuring supply contracts.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CA279E" w:rsidP="00A33E44">
      <w:pPr>
        <w:pStyle w:val="ac"/>
        <w:widowControl/>
        <w:numPr>
          <w:ilvl w:val="0"/>
          <w:numId w:val="11"/>
        </w:numPr>
        <w:tabs>
          <w:tab w:val="left" w:pos="1932"/>
        </w:tabs>
        <w:overflowPunct w:val="0"/>
        <w:autoSpaceDE w:val="0"/>
        <w:autoSpaceDN w:val="0"/>
        <w:ind w:leftChars="638" w:left="2059" w:hangingChars="220" w:hanging="528"/>
        <w:jc w:val="both"/>
        <w:rPr>
          <w:rFonts w:ascii="Times New Roman" w:hAnsi="Times New Roman" w:cs="Times New Roman"/>
          <w:szCs w:val="24"/>
        </w:rPr>
      </w:pPr>
      <w:r>
        <w:rPr>
          <w:rFonts w:ascii="Times New Roman" w:hAnsi="Times New Roman" w:cs="Times New Roman"/>
          <w:szCs w:val="24"/>
        </w:rPr>
        <w:t>Mr C</w:t>
      </w:r>
      <w:r w:rsidR="00843132" w:rsidRPr="003E433F">
        <w:rPr>
          <w:rFonts w:ascii="Times New Roman" w:hAnsi="Times New Roman" w:cs="Times New Roman"/>
          <w:szCs w:val="24"/>
        </w:rPr>
        <w:t xml:space="preserve"> was not at any time resident or ordinarily resident in Hong Kong and would negotiate and conclude supply contracts with customers overseas.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A33E44">
      <w:pPr>
        <w:pStyle w:val="ac"/>
        <w:widowControl/>
        <w:numPr>
          <w:ilvl w:val="0"/>
          <w:numId w:val="11"/>
        </w:numPr>
        <w:tabs>
          <w:tab w:val="left" w:pos="1932"/>
        </w:tabs>
        <w:overflowPunct w:val="0"/>
        <w:autoSpaceDE w:val="0"/>
        <w:autoSpaceDN w:val="0"/>
        <w:ind w:leftChars="638" w:left="2059" w:hangingChars="220" w:hanging="528"/>
        <w:jc w:val="both"/>
        <w:rPr>
          <w:rFonts w:ascii="Times New Roman" w:hAnsi="Times New Roman" w:cs="Times New Roman"/>
          <w:szCs w:val="24"/>
        </w:rPr>
      </w:pPr>
      <w:r w:rsidRPr="003E433F">
        <w:rPr>
          <w:rFonts w:ascii="Times New Roman" w:hAnsi="Times New Roman" w:cs="Times New Roman"/>
          <w:szCs w:val="24"/>
        </w:rPr>
        <w:t>When the Taxpayer received a sales order from a customer, it would through a staff member in the SRO place a corresponding order with a Chinese manufacturer.</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A33E44">
      <w:pPr>
        <w:pStyle w:val="ac"/>
        <w:widowControl/>
        <w:numPr>
          <w:ilvl w:val="0"/>
          <w:numId w:val="11"/>
        </w:numPr>
        <w:tabs>
          <w:tab w:val="left" w:pos="1932"/>
        </w:tabs>
        <w:overflowPunct w:val="0"/>
        <w:autoSpaceDE w:val="0"/>
        <w:autoSpaceDN w:val="0"/>
        <w:ind w:leftChars="638" w:left="2059" w:hangingChars="220" w:hanging="528"/>
        <w:jc w:val="both"/>
        <w:rPr>
          <w:rFonts w:ascii="Times New Roman" w:hAnsi="Times New Roman" w:cs="Times New Roman"/>
          <w:szCs w:val="24"/>
        </w:rPr>
      </w:pPr>
      <w:r w:rsidRPr="003E433F">
        <w:rPr>
          <w:rFonts w:ascii="Times New Roman" w:hAnsi="Times New Roman" w:cs="Times New Roman"/>
          <w:szCs w:val="24"/>
        </w:rPr>
        <w:t xml:space="preserve">After the Taxpayer received the manufactured goods, it would again through the SRO ensure quality control, arrange for shipment to be made to the customer and manage payments from and to the customer and the manufacturer.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It is also part of the Taxpayer’s case that it did not lease any physical office facilities in Hong Kong during the Relevant Period, and each address it maintained in Hong Kong for correspondence purposes was the address of its company secretary and/or corporate service provider.  As described by the </w:t>
      </w:r>
      <w:r w:rsidR="00CA279E">
        <w:rPr>
          <w:rFonts w:ascii="Times New Roman" w:hAnsi="Times New Roman" w:cs="Times New Roman"/>
          <w:szCs w:val="24"/>
        </w:rPr>
        <w:t>Taxpayer, these addresses were ‘addresses of convenience’</w:t>
      </w:r>
      <w:r w:rsidRPr="003E433F">
        <w:rPr>
          <w:rFonts w:ascii="Times New Roman" w:hAnsi="Times New Roman" w:cs="Times New Roman"/>
          <w:szCs w:val="24"/>
        </w:rPr>
        <w:t xml:space="preserve"> and were not the addresses of the operative office of the Taxpayer.</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Throughout the Relevant Period, the Taxpayer took the position that it was not taxable in Hong Kong and filed its tax returns accordingly.  The Taxpayer alleges that the Commissioner had acquiesced such position until 26 March 2013, when the Commissioner issued the Taxpayer the first assessment to profits tax for the year of assessment 2006/07.  According to the Taxpayer, this assessment was issued around the same time that it ceased trading and in essence became dormant.  The Taxpayer further closed the SRO in 2014, after which it did not conduct any commercial operations or employ any staff, whether in Hong Kong or elsewhere.  The Commissioner thereafter issued the Taxpayer six other assessments to profits tax, one for each year of assessment over the Relevant Period.  The Taxpayer objected to each of them on the ground that they were excessive.   </w:t>
      </w:r>
    </w:p>
    <w:p w:rsidR="00843132" w:rsidRPr="003E433F" w:rsidRDefault="00843132" w:rsidP="0035136E">
      <w:pPr>
        <w:overflowPunct w:val="0"/>
        <w:autoSpaceDE w:val="0"/>
        <w:autoSpaceDN w:val="0"/>
        <w:jc w:val="both"/>
        <w:rPr>
          <w:rFonts w:ascii="Times New Roman" w:hAnsi="Times New Roman" w:cs="Times New Roman"/>
          <w:b/>
          <w:szCs w:val="24"/>
        </w:rPr>
      </w:pPr>
    </w:p>
    <w:p w:rsidR="00843132" w:rsidRPr="003E433F" w:rsidRDefault="00843132" w:rsidP="0035136E">
      <w:pPr>
        <w:overflowPunct w:val="0"/>
        <w:autoSpaceDE w:val="0"/>
        <w:autoSpaceDN w:val="0"/>
        <w:jc w:val="both"/>
        <w:rPr>
          <w:rFonts w:ascii="Times New Roman" w:hAnsi="Times New Roman" w:cs="Times New Roman"/>
          <w:b/>
          <w:szCs w:val="24"/>
        </w:rPr>
      </w:pPr>
      <w:r w:rsidRPr="003E433F">
        <w:rPr>
          <w:rFonts w:ascii="Times New Roman" w:hAnsi="Times New Roman" w:cs="Times New Roman"/>
          <w:b/>
          <w:szCs w:val="24"/>
        </w:rPr>
        <w:t>B.2.</w:t>
      </w:r>
      <w:r w:rsidRPr="003E433F">
        <w:rPr>
          <w:rFonts w:ascii="Times New Roman" w:hAnsi="Times New Roman" w:cs="Times New Roman"/>
          <w:b/>
          <w:szCs w:val="24"/>
        </w:rPr>
        <w:tab/>
      </w:r>
      <w:r w:rsidRPr="00CA279E">
        <w:rPr>
          <w:rFonts w:ascii="Times New Roman" w:hAnsi="Times New Roman" w:cs="Times New Roman"/>
          <w:b/>
          <w:i/>
          <w:szCs w:val="24"/>
        </w:rPr>
        <w:t>The Taxpayer’s Account for the Delay</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lastRenderedPageBreak/>
        <w:t>Essentially, the explanation provided by the Taxpayer for the delay in filing the Notice of Appeal is as follows.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 Taxpayer alleges that the Commissioner was accustomed to sending hard copy correspondence to the Taxpay</w:t>
      </w:r>
      <w:r w:rsidR="00CA279E">
        <w:rPr>
          <w:rFonts w:ascii="Times New Roman" w:hAnsi="Times New Roman" w:cs="Times New Roman"/>
          <w:szCs w:val="24"/>
        </w:rPr>
        <w:t>er at the Registered Address, i</w:t>
      </w:r>
      <w:r w:rsidRPr="003E433F">
        <w:rPr>
          <w:rFonts w:ascii="Times New Roman" w:hAnsi="Times New Roman" w:cs="Times New Roman"/>
          <w:szCs w:val="24"/>
        </w:rPr>
        <w:t xml:space="preserve">e </w:t>
      </w:r>
      <w:r w:rsidR="00A21614">
        <w:rPr>
          <w:rFonts w:ascii="Times New Roman" w:hAnsi="Times New Roman" w:cs="Times New Roman"/>
          <w:szCs w:val="24"/>
        </w:rPr>
        <w:t>Address B</w:t>
      </w:r>
      <w:r w:rsidRPr="003E433F">
        <w:rPr>
          <w:rFonts w:ascii="Times New Roman" w:hAnsi="Times New Roman" w:cs="Times New Roman"/>
          <w:szCs w:val="24"/>
        </w:rPr>
        <w:t>.</w:t>
      </w:r>
    </w:p>
    <w:p w:rsidR="00843132" w:rsidRPr="00A21614"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According to the Taxpayer, the Registered Address was actually the address of </w:t>
      </w:r>
      <w:r w:rsidR="00A21614">
        <w:rPr>
          <w:rFonts w:ascii="Times New Roman" w:hAnsi="Times New Roman" w:cs="Times New Roman"/>
          <w:szCs w:val="24"/>
        </w:rPr>
        <w:t>Company F</w:t>
      </w:r>
      <w:r w:rsidRPr="003E433F">
        <w:rPr>
          <w:rFonts w:ascii="Times New Roman" w:hAnsi="Times New Roman" w:cs="Times New Roman"/>
          <w:szCs w:val="24"/>
        </w:rPr>
        <w:t>, which was sharing the office premises with the Taxpa</w:t>
      </w:r>
      <w:r w:rsidRPr="009C7CD1">
        <w:rPr>
          <w:rFonts w:ascii="Times New Roman" w:hAnsi="Times New Roman" w:cs="Times New Roman"/>
          <w:szCs w:val="24"/>
        </w:rPr>
        <w:t xml:space="preserve">yer’s auditors, </w:t>
      </w:r>
      <w:r w:rsidR="00A21614" w:rsidRPr="009C7CD1">
        <w:rPr>
          <w:rFonts w:ascii="Times New Roman" w:hAnsi="Times New Roman" w:cs="Times New Roman"/>
          <w:szCs w:val="24"/>
        </w:rPr>
        <w:t>Company G</w:t>
      </w:r>
      <w:r w:rsidRPr="009C7CD1">
        <w:rPr>
          <w:rFonts w:ascii="Times New Roman" w:hAnsi="Times New Roman" w:cs="Times New Roman"/>
          <w:szCs w:val="24"/>
        </w:rPr>
        <w:t xml:space="preserve">.  </w:t>
      </w:r>
      <w:r w:rsidR="00A21614" w:rsidRPr="009C7CD1">
        <w:rPr>
          <w:rFonts w:ascii="Times New Roman" w:hAnsi="Times New Roman" w:cs="Times New Roman"/>
          <w:szCs w:val="24"/>
        </w:rPr>
        <w:t>Company G</w:t>
      </w:r>
      <w:r w:rsidRPr="009C7CD1">
        <w:rPr>
          <w:rFonts w:ascii="Times New Roman" w:hAnsi="Times New Roman" w:cs="Times New Roman"/>
          <w:szCs w:val="24"/>
        </w:rPr>
        <w:t xml:space="preserve"> had an affiliated firm of tax accountants, </w:t>
      </w:r>
      <w:r w:rsidR="00A21614" w:rsidRPr="009C7CD1">
        <w:rPr>
          <w:rFonts w:ascii="Times New Roman" w:hAnsi="Times New Roman" w:cs="Times New Roman"/>
          <w:szCs w:val="24"/>
        </w:rPr>
        <w:t>Company H (‘H</w:t>
      </w:r>
      <w:r w:rsidRPr="009C7CD1">
        <w:rPr>
          <w:rFonts w:ascii="Times New Roman" w:hAnsi="Times New Roman" w:cs="Times New Roman"/>
          <w:szCs w:val="24"/>
        </w:rPr>
        <w:t xml:space="preserve"> Tax</w:t>
      </w:r>
      <w:r w:rsidR="00A21614" w:rsidRPr="009C7CD1">
        <w:rPr>
          <w:rFonts w:ascii="Times New Roman" w:hAnsi="Times New Roman" w:cs="Times New Roman"/>
          <w:szCs w:val="24"/>
        </w:rPr>
        <w:t>’</w:t>
      </w:r>
      <w:r w:rsidRPr="009C7CD1">
        <w:rPr>
          <w:rFonts w:ascii="Times New Roman" w:hAnsi="Times New Roman" w:cs="Times New Roman"/>
          <w:szCs w:val="24"/>
        </w:rPr>
        <w:t xml:space="preserve">), </w:t>
      </w:r>
      <w:r w:rsidRPr="003E433F">
        <w:rPr>
          <w:rFonts w:ascii="Times New Roman" w:hAnsi="Times New Roman" w:cs="Times New Roman"/>
          <w:szCs w:val="24"/>
        </w:rPr>
        <w:t xml:space="preserve">which had assisted the Taxpayer in corresponding with the Commissioner on an </w:t>
      </w:r>
      <w:r w:rsidRPr="003E433F">
        <w:rPr>
          <w:rFonts w:ascii="Times New Roman" w:hAnsi="Times New Roman" w:cs="Times New Roman"/>
          <w:i/>
          <w:szCs w:val="24"/>
        </w:rPr>
        <w:t>ad hoc</w:t>
      </w:r>
      <w:r w:rsidR="00A21614">
        <w:rPr>
          <w:rFonts w:ascii="Times New Roman" w:hAnsi="Times New Roman" w:cs="Times New Roman"/>
          <w:szCs w:val="24"/>
        </w:rPr>
        <w:t xml:space="preserve"> basis but with Mr C</w:t>
      </w:r>
      <w:r w:rsidRPr="003E433F">
        <w:rPr>
          <w:rFonts w:ascii="Times New Roman" w:hAnsi="Times New Roman" w:cs="Times New Roman"/>
          <w:szCs w:val="24"/>
        </w:rPr>
        <w:t xml:space="preserve"> being the primary point of contact.</w:t>
      </w:r>
    </w:p>
    <w:p w:rsidR="00843132" w:rsidRPr="00A21614"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It is common ground that the parcel containing the Determination was sent to the Registered Address by the Commissioner.  The Taxpayer’s complaint is that the Commissioner did not however tran</w:t>
      </w:r>
      <w:r w:rsidR="00A21614">
        <w:rPr>
          <w:rFonts w:ascii="Times New Roman" w:hAnsi="Times New Roman" w:cs="Times New Roman"/>
          <w:szCs w:val="24"/>
        </w:rPr>
        <w:t>smit the Determination to Mr C</w:t>
      </w:r>
      <w:r w:rsidRPr="003E433F">
        <w:rPr>
          <w:rFonts w:ascii="Times New Roman" w:hAnsi="Times New Roman" w:cs="Times New Roman"/>
          <w:szCs w:val="24"/>
        </w:rPr>
        <w:t>, who was at that time the Taxpayer’s only director, or otherwise bring it to his attention.  The</w:t>
      </w:r>
      <w:r w:rsidR="00A21614">
        <w:rPr>
          <w:rFonts w:ascii="Times New Roman" w:hAnsi="Times New Roman" w:cs="Times New Roman"/>
          <w:szCs w:val="24"/>
        </w:rPr>
        <w:t xml:space="preserve"> Taxpayer alleges that as Mr C</w:t>
      </w:r>
      <w:r w:rsidRPr="003E433F">
        <w:rPr>
          <w:rFonts w:ascii="Times New Roman" w:hAnsi="Times New Roman" w:cs="Times New Roman"/>
          <w:szCs w:val="24"/>
        </w:rPr>
        <w:t xml:space="preserve"> was unaware of the Determination, he on</w:t>
      </w:r>
      <w:r w:rsidR="00A21614">
        <w:rPr>
          <w:rFonts w:ascii="Times New Roman" w:hAnsi="Times New Roman" w:cs="Times New Roman"/>
          <w:szCs w:val="24"/>
        </w:rPr>
        <w:t xml:space="preserve">ly sought advice from Deacons </w:t>
      </w:r>
      <w:r w:rsidR="00A21614" w:rsidRPr="009C7CD1">
        <w:rPr>
          <w:rFonts w:ascii="Times New Roman" w:hAnsi="Times New Roman" w:cs="Times New Roman"/>
          <w:szCs w:val="24"/>
        </w:rPr>
        <w:t>(‘</w:t>
      </w:r>
      <w:r w:rsidRPr="009C7CD1">
        <w:rPr>
          <w:rFonts w:ascii="Times New Roman" w:hAnsi="Times New Roman" w:cs="Times New Roman"/>
          <w:szCs w:val="24"/>
        </w:rPr>
        <w:t>Deacons</w:t>
      </w:r>
      <w:r w:rsidR="00A21614" w:rsidRPr="009C7CD1">
        <w:rPr>
          <w:rFonts w:ascii="Times New Roman" w:hAnsi="Times New Roman" w:cs="Times New Roman"/>
          <w:szCs w:val="24"/>
        </w:rPr>
        <w:t>’</w:t>
      </w:r>
      <w:r w:rsidRPr="009C7CD1">
        <w:rPr>
          <w:rFonts w:ascii="Times New Roman" w:hAnsi="Times New Roman" w:cs="Times New Roman"/>
          <w:szCs w:val="24"/>
        </w:rPr>
        <w:t xml:space="preserve">) on 24 July 2021 </w:t>
      </w:r>
      <w:r w:rsidR="00A21614" w:rsidRPr="009C7CD1">
        <w:rPr>
          <w:rFonts w:ascii="Times New Roman" w:hAnsi="Times New Roman" w:cs="Times New Roman"/>
          <w:szCs w:val="24"/>
        </w:rPr>
        <w:t>on what he understood to be an ‘ongoing tax dispute’</w:t>
      </w:r>
      <w:r w:rsidRPr="009C7CD1">
        <w:rPr>
          <w:rFonts w:ascii="Times New Roman" w:hAnsi="Times New Roman" w:cs="Times New Roman"/>
          <w:szCs w:val="24"/>
        </w:rPr>
        <w:t>.  After Deacons made inqui</w:t>
      </w:r>
      <w:r w:rsidRPr="003E433F">
        <w:rPr>
          <w:rFonts w:ascii="Times New Roman" w:hAnsi="Times New Roman" w:cs="Times New Roman"/>
          <w:szCs w:val="24"/>
        </w:rPr>
        <w:t>ries with the Commissioner on 27 July 2021, it was found out that the Commissioner had already issued the Determination.  The Taxpayer then instructed Deacons to file the Notice of Appeal forthwith.</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A</w:t>
      </w:r>
      <w:r w:rsidR="0039248C">
        <w:rPr>
          <w:rFonts w:ascii="Times New Roman" w:hAnsi="Times New Roman" w:cs="Times New Roman"/>
          <w:szCs w:val="24"/>
        </w:rPr>
        <w:t>ccording to the Taxpayer, Mr C</w:t>
      </w:r>
      <w:r w:rsidRPr="003E433F">
        <w:rPr>
          <w:rFonts w:ascii="Times New Roman" w:hAnsi="Times New Roman" w:cs="Times New Roman"/>
          <w:szCs w:val="24"/>
        </w:rPr>
        <w:t xml:space="preserve"> had launched investigations and discovered as follows: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A33E44">
      <w:pPr>
        <w:pStyle w:val="ac"/>
        <w:widowControl/>
        <w:numPr>
          <w:ilvl w:val="0"/>
          <w:numId w:val="12"/>
        </w:numPr>
        <w:tabs>
          <w:tab w:val="left" w:pos="1932"/>
        </w:tabs>
        <w:overflowPunct w:val="0"/>
        <w:autoSpaceDE w:val="0"/>
        <w:autoSpaceDN w:val="0"/>
        <w:ind w:leftChars="638" w:left="2059" w:hangingChars="220" w:hanging="528"/>
        <w:jc w:val="both"/>
        <w:rPr>
          <w:rFonts w:ascii="Times New Roman" w:hAnsi="Times New Roman" w:cs="Times New Roman"/>
          <w:szCs w:val="24"/>
        </w:rPr>
      </w:pPr>
      <w:r w:rsidRPr="003E433F">
        <w:rPr>
          <w:rFonts w:ascii="Times New Roman" w:hAnsi="Times New Roman" w:cs="Times New Roman"/>
          <w:szCs w:val="24"/>
        </w:rPr>
        <w:t>C</w:t>
      </w:r>
      <w:r w:rsidR="0039248C">
        <w:rPr>
          <w:rFonts w:ascii="Times New Roman" w:hAnsi="Times New Roman" w:cs="Times New Roman"/>
          <w:szCs w:val="24"/>
        </w:rPr>
        <w:t>ompany F</w:t>
      </w:r>
      <w:r w:rsidRPr="003E433F">
        <w:rPr>
          <w:rFonts w:ascii="Times New Roman" w:hAnsi="Times New Roman" w:cs="Times New Roman"/>
          <w:szCs w:val="24"/>
        </w:rPr>
        <w:t xml:space="preserve"> confirmed that it had received a p</w:t>
      </w:r>
      <w:r w:rsidR="0039248C">
        <w:rPr>
          <w:rFonts w:ascii="Times New Roman" w:hAnsi="Times New Roman" w:cs="Times New Roman"/>
          <w:szCs w:val="24"/>
        </w:rPr>
        <w:t xml:space="preserve">arcel from the Commissioner.  </w:t>
      </w:r>
      <w:r w:rsidRPr="003E433F">
        <w:rPr>
          <w:rFonts w:ascii="Times New Roman" w:hAnsi="Times New Roman" w:cs="Times New Roman"/>
          <w:szCs w:val="24"/>
        </w:rPr>
        <w:t>C</w:t>
      </w:r>
      <w:r w:rsidR="0039248C">
        <w:rPr>
          <w:rFonts w:ascii="Times New Roman" w:hAnsi="Times New Roman" w:cs="Times New Roman"/>
          <w:szCs w:val="24"/>
        </w:rPr>
        <w:t>ompany F</w:t>
      </w:r>
      <w:r w:rsidRPr="003E433F">
        <w:rPr>
          <w:rFonts w:ascii="Times New Roman" w:hAnsi="Times New Roman" w:cs="Times New Roman"/>
          <w:szCs w:val="24"/>
        </w:rPr>
        <w:t xml:space="preserve"> however did not open it and was therefore </w:t>
      </w:r>
      <w:r w:rsidR="0039248C">
        <w:rPr>
          <w:rFonts w:ascii="Times New Roman" w:hAnsi="Times New Roman" w:cs="Times New Roman"/>
          <w:szCs w:val="24"/>
        </w:rPr>
        <w:t xml:space="preserve">not aware of the contents, as </w:t>
      </w:r>
      <w:r w:rsidRPr="003E433F">
        <w:rPr>
          <w:rFonts w:ascii="Times New Roman" w:hAnsi="Times New Roman" w:cs="Times New Roman"/>
          <w:szCs w:val="24"/>
        </w:rPr>
        <w:t>C</w:t>
      </w:r>
      <w:r w:rsidR="0039248C">
        <w:rPr>
          <w:rFonts w:ascii="Times New Roman" w:hAnsi="Times New Roman" w:cs="Times New Roman"/>
          <w:szCs w:val="24"/>
        </w:rPr>
        <w:t>ompany F</w:t>
      </w:r>
      <w:r w:rsidRPr="003E433F">
        <w:rPr>
          <w:rFonts w:ascii="Times New Roman" w:hAnsi="Times New Roman" w:cs="Times New Roman"/>
          <w:szCs w:val="24"/>
        </w:rPr>
        <w:t xml:space="preserve"> was not authorized to have any access to the correspondence directed</w:t>
      </w:r>
      <w:r w:rsidR="0039248C">
        <w:rPr>
          <w:rFonts w:ascii="Times New Roman" w:hAnsi="Times New Roman" w:cs="Times New Roman"/>
          <w:szCs w:val="24"/>
        </w:rPr>
        <w:t xml:space="preserve"> to the Taxpayer.  A clerk of </w:t>
      </w:r>
      <w:r w:rsidRPr="003E433F">
        <w:rPr>
          <w:rFonts w:ascii="Times New Roman" w:hAnsi="Times New Roman" w:cs="Times New Roman"/>
          <w:szCs w:val="24"/>
        </w:rPr>
        <w:t>C</w:t>
      </w:r>
      <w:r w:rsidR="0039248C">
        <w:rPr>
          <w:rFonts w:ascii="Times New Roman" w:hAnsi="Times New Roman" w:cs="Times New Roman"/>
          <w:szCs w:val="24"/>
        </w:rPr>
        <w:t>ompany F</w:t>
      </w:r>
      <w:r w:rsidRPr="003E433F">
        <w:rPr>
          <w:rFonts w:ascii="Times New Roman" w:hAnsi="Times New Roman" w:cs="Times New Roman"/>
          <w:szCs w:val="24"/>
        </w:rPr>
        <w:t xml:space="preserve"> had acknowledged physical receipt of the Determination but without knowing its nature</w:t>
      </w:r>
      <w:r w:rsidR="0039248C">
        <w:rPr>
          <w:rFonts w:ascii="Times New Roman" w:hAnsi="Times New Roman" w:cs="Times New Roman"/>
          <w:szCs w:val="24"/>
        </w:rPr>
        <w:t xml:space="preserve">.  The Taxpayer stresses that </w:t>
      </w:r>
      <w:r w:rsidRPr="003E433F">
        <w:rPr>
          <w:rFonts w:ascii="Times New Roman" w:hAnsi="Times New Roman" w:cs="Times New Roman"/>
          <w:szCs w:val="24"/>
        </w:rPr>
        <w:t>C</w:t>
      </w:r>
      <w:r w:rsidR="0039248C">
        <w:rPr>
          <w:rFonts w:ascii="Times New Roman" w:hAnsi="Times New Roman" w:cs="Times New Roman"/>
          <w:szCs w:val="24"/>
        </w:rPr>
        <w:t>ompany F was ‘</w:t>
      </w:r>
      <w:r w:rsidRPr="003E433F">
        <w:rPr>
          <w:rFonts w:ascii="Times New Roman" w:hAnsi="Times New Roman" w:cs="Times New Roman"/>
          <w:szCs w:val="24"/>
        </w:rPr>
        <w:t>a mere</w:t>
      </w:r>
      <w:r w:rsidR="0039248C">
        <w:rPr>
          <w:rFonts w:ascii="Times New Roman" w:hAnsi="Times New Roman" w:cs="Times New Roman"/>
          <w:szCs w:val="24"/>
        </w:rPr>
        <w:t xml:space="preserve"> provider of forwarding address’</w:t>
      </w:r>
      <w:r w:rsidRPr="003E433F">
        <w:rPr>
          <w:rFonts w:ascii="Times New Roman" w:hAnsi="Times New Roman" w:cs="Times New Roman"/>
          <w:szCs w:val="24"/>
        </w:rPr>
        <w:t>, and was not an association of professionals, nor the company secretary or designated tax representative or agent of the Taxpayer.</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39248C" w:rsidP="00A33E44">
      <w:pPr>
        <w:pStyle w:val="ac"/>
        <w:widowControl/>
        <w:numPr>
          <w:ilvl w:val="0"/>
          <w:numId w:val="12"/>
        </w:numPr>
        <w:tabs>
          <w:tab w:val="left" w:pos="1932"/>
        </w:tabs>
        <w:overflowPunct w:val="0"/>
        <w:autoSpaceDE w:val="0"/>
        <w:autoSpaceDN w:val="0"/>
        <w:ind w:leftChars="638" w:left="2059" w:hangingChars="220" w:hanging="528"/>
        <w:jc w:val="both"/>
        <w:rPr>
          <w:rFonts w:ascii="Times New Roman" w:hAnsi="Times New Roman" w:cs="Times New Roman"/>
          <w:szCs w:val="24"/>
        </w:rPr>
      </w:pPr>
      <w:r>
        <w:rPr>
          <w:rFonts w:ascii="Times New Roman" w:hAnsi="Times New Roman" w:cs="Times New Roman"/>
          <w:szCs w:val="24"/>
        </w:rPr>
        <w:t>Afterwards, Company F</w:t>
      </w:r>
      <w:r w:rsidR="00F72A42">
        <w:rPr>
          <w:rFonts w:ascii="Times New Roman" w:hAnsi="Times New Roman" w:cs="Times New Roman"/>
          <w:szCs w:val="24"/>
        </w:rPr>
        <w:t xml:space="preserve"> had forwarded the parcel to Ms</w:t>
      </w:r>
      <w:r w:rsidR="00843132" w:rsidRPr="003E433F">
        <w:rPr>
          <w:rFonts w:ascii="Times New Roman" w:hAnsi="Times New Roman" w:cs="Times New Roman"/>
          <w:szCs w:val="24"/>
        </w:rPr>
        <w:t xml:space="preserve"> </w:t>
      </w:r>
      <w:r w:rsidR="00F72A42">
        <w:rPr>
          <w:rFonts w:ascii="Times New Roman" w:hAnsi="Times New Roman" w:cs="Times New Roman"/>
          <w:szCs w:val="24"/>
        </w:rPr>
        <w:t>J</w:t>
      </w:r>
      <w:r w:rsidR="00DD6BA8">
        <w:rPr>
          <w:rFonts w:ascii="Times New Roman" w:hAnsi="Times New Roman" w:cs="Times New Roman"/>
          <w:szCs w:val="24"/>
        </w:rPr>
        <w:t xml:space="preserve"> in City E</w:t>
      </w:r>
      <w:r w:rsidR="00843132" w:rsidRPr="003E433F">
        <w:rPr>
          <w:rFonts w:ascii="Times New Roman" w:hAnsi="Times New Roman" w:cs="Times New Roman"/>
          <w:szCs w:val="24"/>
        </w:rPr>
        <w:t>.  A</w:t>
      </w:r>
      <w:r w:rsidR="00F72A42">
        <w:rPr>
          <w:rFonts w:ascii="Times New Roman" w:hAnsi="Times New Roman" w:cs="Times New Roman"/>
          <w:szCs w:val="24"/>
        </w:rPr>
        <w:t>s described by the Taxpayer, Ms J</w:t>
      </w:r>
      <w:r w:rsidR="00843132" w:rsidRPr="003E433F">
        <w:rPr>
          <w:rFonts w:ascii="Times New Roman" w:hAnsi="Times New Roman" w:cs="Times New Roman"/>
          <w:szCs w:val="24"/>
        </w:rPr>
        <w:t xml:space="preserve"> was an ex-employee of the SRO,</w:t>
      </w:r>
      <w:r w:rsidR="00F72A42">
        <w:rPr>
          <w:rFonts w:ascii="Times New Roman" w:hAnsi="Times New Roman" w:cs="Times New Roman"/>
          <w:szCs w:val="24"/>
        </w:rPr>
        <w:t xml:space="preserve"> but she agreed to assist Mr C</w:t>
      </w:r>
      <w:r w:rsidR="00843132" w:rsidRPr="003E433F">
        <w:rPr>
          <w:rFonts w:ascii="Times New Roman" w:hAnsi="Times New Roman" w:cs="Times New Roman"/>
          <w:szCs w:val="24"/>
        </w:rPr>
        <w:t xml:space="preserve"> and the Taxpayer with certain legacy issues arising from </w:t>
      </w:r>
      <w:r w:rsidR="00F72A42">
        <w:rPr>
          <w:rFonts w:ascii="Times New Roman" w:hAnsi="Times New Roman" w:cs="Times New Roman"/>
          <w:szCs w:val="24"/>
        </w:rPr>
        <w:t>the operations of the D</w:t>
      </w:r>
      <w:r w:rsidR="00843132" w:rsidRPr="003E433F">
        <w:rPr>
          <w:rFonts w:ascii="Times New Roman" w:hAnsi="Times New Roman" w:cs="Times New Roman"/>
          <w:szCs w:val="24"/>
        </w:rPr>
        <w:t xml:space="preserve"> Group and its affiliates in the Greater China region aft</w:t>
      </w:r>
      <w:r w:rsidR="00F72A42">
        <w:rPr>
          <w:rFonts w:ascii="Times New Roman" w:hAnsi="Times New Roman" w:cs="Times New Roman"/>
          <w:szCs w:val="24"/>
        </w:rPr>
        <w:t>er she left her employment.  Ms J</w:t>
      </w:r>
      <w:r w:rsidR="00843132" w:rsidRPr="003E433F">
        <w:rPr>
          <w:rFonts w:ascii="Times New Roman" w:hAnsi="Times New Roman" w:cs="Times New Roman"/>
          <w:szCs w:val="24"/>
        </w:rPr>
        <w:t xml:space="preserve"> however failed to for</w:t>
      </w:r>
      <w:r w:rsidR="00F72A42">
        <w:rPr>
          <w:rFonts w:ascii="Times New Roman" w:hAnsi="Times New Roman" w:cs="Times New Roman"/>
          <w:szCs w:val="24"/>
        </w:rPr>
        <w:t>ward the Determination to Mr C</w:t>
      </w:r>
      <w:r w:rsidR="00843132" w:rsidRPr="003E433F">
        <w:rPr>
          <w:rFonts w:ascii="Times New Roman" w:hAnsi="Times New Roman" w:cs="Times New Roman"/>
          <w:szCs w:val="24"/>
        </w:rPr>
        <w:t xml:space="preserve"> or bring it</w:t>
      </w:r>
      <w:r w:rsidR="00F72A42">
        <w:rPr>
          <w:rFonts w:ascii="Times New Roman" w:hAnsi="Times New Roman" w:cs="Times New Roman"/>
          <w:szCs w:val="24"/>
        </w:rPr>
        <w:t xml:space="preserve"> to his attention.  Instead, Ms J</w:t>
      </w:r>
      <w:r w:rsidR="00843132" w:rsidRPr="003E433F">
        <w:rPr>
          <w:rFonts w:ascii="Times New Roman" w:hAnsi="Times New Roman" w:cs="Times New Roman"/>
          <w:szCs w:val="24"/>
        </w:rPr>
        <w:t xml:space="preserve"> kept the</w:t>
      </w:r>
      <w:r w:rsidR="00F72A42">
        <w:rPr>
          <w:rFonts w:ascii="Times New Roman" w:hAnsi="Times New Roman" w:cs="Times New Roman"/>
          <w:szCs w:val="24"/>
        </w:rPr>
        <w:t xml:space="preserve"> parcel unopened in her City E</w:t>
      </w:r>
      <w:r w:rsidR="00843132" w:rsidRPr="003E433F">
        <w:rPr>
          <w:rFonts w:ascii="Times New Roman" w:hAnsi="Times New Roman" w:cs="Times New Roman"/>
          <w:szCs w:val="24"/>
        </w:rPr>
        <w:t xml:space="preserve"> office until she was alerted to the nature of the contents i</w:t>
      </w:r>
      <w:r w:rsidR="00F72A42">
        <w:rPr>
          <w:rFonts w:ascii="Times New Roman" w:hAnsi="Times New Roman" w:cs="Times New Roman"/>
          <w:szCs w:val="24"/>
        </w:rPr>
        <w:t>n August 2021.  According to Ms J</w:t>
      </w:r>
      <w:r w:rsidR="00843132" w:rsidRPr="003E433F">
        <w:rPr>
          <w:rFonts w:ascii="Times New Roman" w:hAnsi="Times New Roman" w:cs="Times New Roman"/>
          <w:szCs w:val="24"/>
        </w:rPr>
        <w:t>, when she received the Determination, the COVID-19 pandemic had reached its height and it was difficult for her to obtain phy</w:t>
      </w:r>
      <w:r w:rsidR="00F72A42">
        <w:rPr>
          <w:rFonts w:ascii="Times New Roman" w:hAnsi="Times New Roman" w:cs="Times New Roman"/>
          <w:szCs w:val="24"/>
        </w:rPr>
        <w:t>sical access to her office.  Ms J</w:t>
      </w:r>
      <w:r w:rsidR="00843132" w:rsidRPr="003E433F">
        <w:rPr>
          <w:rFonts w:ascii="Times New Roman" w:hAnsi="Times New Roman" w:cs="Times New Roman"/>
          <w:szCs w:val="24"/>
        </w:rPr>
        <w:t xml:space="preserve"> was also very busy with her own full-time employment and hence did not give the Taxpayer’s </w:t>
      </w:r>
      <w:r w:rsidR="00843132" w:rsidRPr="003E433F">
        <w:rPr>
          <w:rFonts w:ascii="Times New Roman" w:hAnsi="Times New Roman" w:cs="Times New Roman"/>
          <w:szCs w:val="24"/>
        </w:rPr>
        <w:lastRenderedPageBreak/>
        <w:t>matters suffic</w:t>
      </w:r>
      <w:r w:rsidR="00F72A42">
        <w:rPr>
          <w:rFonts w:ascii="Times New Roman" w:hAnsi="Times New Roman" w:cs="Times New Roman"/>
          <w:szCs w:val="24"/>
        </w:rPr>
        <w:t>ient priority.  For clarity, Ms J</w:t>
      </w:r>
      <w:r w:rsidR="00843132" w:rsidRPr="003E433F">
        <w:rPr>
          <w:rFonts w:ascii="Times New Roman" w:hAnsi="Times New Roman" w:cs="Times New Roman"/>
          <w:szCs w:val="24"/>
        </w:rPr>
        <w:t xml:space="preserve"> did not appear as a witness before the Board.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A11795" w:rsidRDefault="009C7CD1" w:rsidP="009C7CD1">
      <w:pPr>
        <w:pStyle w:val="ac"/>
        <w:numPr>
          <w:ilvl w:val="0"/>
          <w:numId w:val="16"/>
        </w:numPr>
        <w:overflowPunct w:val="0"/>
        <w:autoSpaceDE w:val="0"/>
        <w:autoSpaceDN w:val="0"/>
        <w:ind w:leftChars="0"/>
        <w:jc w:val="both"/>
        <w:rPr>
          <w:rFonts w:ascii="Times New Roman" w:hAnsi="Times New Roman" w:cs="Times New Roman"/>
          <w:b/>
          <w:szCs w:val="24"/>
        </w:rPr>
      </w:pPr>
      <w:r>
        <w:rPr>
          <w:rFonts w:ascii="Times New Roman" w:hAnsi="Times New Roman" w:cs="Times New Roman"/>
          <w:b/>
          <w:szCs w:val="24"/>
        </w:rPr>
        <w:t xml:space="preserve">          </w:t>
      </w:r>
      <w:r w:rsidR="00843132" w:rsidRPr="00A11795">
        <w:rPr>
          <w:rFonts w:ascii="Times New Roman" w:hAnsi="Times New Roman" w:cs="Times New Roman"/>
          <w:b/>
          <w:szCs w:val="24"/>
        </w:rPr>
        <w:t>APPLICABLE LEGAL PRINCIPLES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In considering the Time Issue, the Board has thoroughly examined and taken into account all the cases and authorities diligently cited by the legal representatives of both sides.  The Board however considers it desirable to concentrate only on the material ones and therefore does not refer to each and every case cited in the discussion and analysis below.</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The Board of Review, as a statutory creature, has no power to enlarge time other than as provided for in the Ordinance.  The only power of the Board of Review to extend time for bringing an appeal is that found in section 66(1A) of the Ordinance.  An extension of time can only be granted if the appellant can bring itself within the purview of that section: see </w:t>
      </w:r>
      <w:r w:rsidRPr="00A11795">
        <w:rPr>
          <w:rFonts w:ascii="Times New Roman" w:hAnsi="Times New Roman" w:cs="Times New Roman"/>
          <w:szCs w:val="24"/>
        </w:rPr>
        <w:t>Excelter Investment Ltd v Inland Revenue Board of Review &amp; Other</w:t>
      </w:r>
      <w:r w:rsidRPr="003E433F">
        <w:rPr>
          <w:rFonts w:ascii="Times New Roman" w:hAnsi="Times New Roman" w:cs="Times New Roman"/>
          <w:b/>
          <w:i/>
          <w:szCs w:val="24"/>
        </w:rPr>
        <w:t>s</w:t>
      </w:r>
      <w:r w:rsidRPr="003E433F">
        <w:rPr>
          <w:rFonts w:ascii="Times New Roman" w:hAnsi="Times New Roman" w:cs="Times New Roman"/>
          <w:szCs w:val="24"/>
        </w:rPr>
        <w:t xml:space="preserve">, CACV 41/2017 (unreported, 22 July 2021) [2021] HKCA 1049 at </w:t>
      </w:r>
      <w:r w:rsidRPr="003E433F">
        <w:rPr>
          <w:rFonts w:ascii="Times New Roman" w:eastAsia="新細明體" w:hAnsi="Times New Roman" w:cs="Times New Roman"/>
          <w:szCs w:val="24"/>
        </w:rPr>
        <w:t xml:space="preserve">§22 </w:t>
      </w:r>
      <w:r w:rsidRPr="003E433F">
        <w:rPr>
          <w:rFonts w:ascii="Times New Roman" w:eastAsia="新細明體" w:hAnsi="Times New Roman" w:cs="Times New Roman"/>
          <w:i/>
          <w:szCs w:val="24"/>
        </w:rPr>
        <w:t>per</w:t>
      </w:r>
      <w:r w:rsidRPr="003E433F">
        <w:rPr>
          <w:rFonts w:ascii="Times New Roman" w:eastAsia="新細明體" w:hAnsi="Times New Roman" w:cs="Times New Roman"/>
          <w:szCs w:val="24"/>
        </w:rPr>
        <w:t xml:space="preserve"> Barma JA, citing </w:t>
      </w:r>
      <w:r w:rsidRPr="00A11795">
        <w:rPr>
          <w:rFonts w:ascii="Times New Roman" w:hAnsi="Times New Roman" w:cs="Times New Roman"/>
          <w:szCs w:val="24"/>
        </w:rPr>
        <w:t>Wong Wing Biu v Commissioner of Inland Revenue</w:t>
      </w:r>
      <w:r w:rsidRPr="003E433F">
        <w:rPr>
          <w:rFonts w:ascii="Times New Roman" w:hAnsi="Times New Roman" w:cs="Times New Roman"/>
          <w:szCs w:val="24"/>
        </w:rPr>
        <w:t xml:space="preserve"> [1985] 1 HKC 433 </w:t>
      </w:r>
      <w:r w:rsidRPr="003E433F">
        <w:rPr>
          <w:rFonts w:ascii="Times New Roman" w:hAnsi="Times New Roman" w:cs="Times New Roman"/>
          <w:i/>
          <w:szCs w:val="24"/>
        </w:rPr>
        <w:t>per</w:t>
      </w:r>
      <w:r w:rsidRPr="003E433F">
        <w:rPr>
          <w:rFonts w:ascii="Times New Roman" w:hAnsi="Times New Roman" w:cs="Times New Roman"/>
          <w:szCs w:val="24"/>
        </w:rPr>
        <w:t xml:space="preserve"> Mantell J.</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Section 66 of the Ordinance provides: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A11795" w:rsidP="00A33E44">
      <w:pPr>
        <w:pStyle w:val="ac"/>
        <w:widowControl/>
        <w:tabs>
          <w:tab w:val="left" w:pos="1932"/>
        </w:tabs>
        <w:overflowPunct w:val="0"/>
        <w:autoSpaceDE w:val="0"/>
        <w:autoSpaceDN w:val="0"/>
        <w:ind w:leftChars="638" w:left="2059" w:hangingChars="220" w:hanging="528"/>
        <w:jc w:val="both"/>
        <w:rPr>
          <w:rFonts w:ascii="Times New Roman" w:hAnsi="Times New Roman" w:cs="Times New Roman"/>
          <w:szCs w:val="24"/>
        </w:rPr>
      </w:pPr>
      <w:r>
        <w:rPr>
          <w:rFonts w:ascii="Times New Roman" w:hAnsi="Times New Roman" w:cs="Times New Roman"/>
          <w:szCs w:val="24"/>
        </w:rPr>
        <w:t>‘</w:t>
      </w:r>
      <w:r w:rsidR="00843132" w:rsidRPr="003E433F">
        <w:rPr>
          <w:rFonts w:ascii="Times New Roman" w:hAnsi="Times New Roman" w:cs="Times New Roman"/>
          <w:szCs w:val="24"/>
        </w:rPr>
        <w:t xml:space="preserve">(1) </w:t>
      </w:r>
      <w:r w:rsidR="00843132" w:rsidRPr="00A11795">
        <w:rPr>
          <w:rFonts w:ascii="Times New Roman" w:hAnsi="Times New Roman" w:cs="Times New Roman"/>
          <w:i/>
          <w:szCs w:val="24"/>
        </w:rPr>
        <w:t>Any person (hereinafter referred to as the appellant) who has validly objected to an assessment but with whom the Commissioner in considering the objection has failed to agree may within</w:t>
      </w:r>
      <w:r w:rsidR="00843132" w:rsidRPr="003E433F">
        <w:rPr>
          <w:rFonts w:ascii="Times New Roman" w:hAnsi="Times New Roman" w:cs="Times New Roman"/>
          <w:szCs w:val="24"/>
        </w:rPr>
        <w:t xml:space="preserve"> –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B77FAC" w:rsidRDefault="00843132" w:rsidP="00A33E44">
      <w:pPr>
        <w:pStyle w:val="ac"/>
        <w:widowControl/>
        <w:numPr>
          <w:ilvl w:val="0"/>
          <w:numId w:val="9"/>
        </w:numPr>
        <w:tabs>
          <w:tab w:val="left" w:pos="1932"/>
        </w:tabs>
        <w:overflowPunct w:val="0"/>
        <w:autoSpaceDE w:val="0"/>
        <w:autoSpaceDN w:val="0"/>
        <w:ind w:leftChars="638" w:left="2059" w:hangingChars="220" w:hanging="528"/>
        <w:jc w:val="both"/>
        <w:rPr>
          <w:rFonts w:ascii="Times New Roman" w:hAnsi="Times New Roman" w:cs="Times New Roman"/>
          <w:szCs w:val="24"/>
        </w:rPr>
      </w:pPr>
      <w:r w:rsidRPr="00B77FAC">
        <w:rPr>
          <w:rFonts w:ascii="Times New Roman" w:hAnsi="Times New Roman" w:cs="Times New Roman"/>
          <w:szCs w:val="24"/>
          <w:u w:val="single"/>
        </w:rPr>
        <w:t>1 month after the transmission to him</w:t>
      </w:r>
      <w:r w:rsidRPr="00B77FAC">
        <w:rPr>
          <w:rFonts w:ascii="Times New Roman" w:hAnsi="Times New Roman" w:cs="Times New Roman"/>
          <w:szCs w:val="24"/>
        </w:rPr>
        <w:t xml:space="preserve"> under section 64(4) of the Commissioner’s written determination together with the reasons therefor and the statement of facts; </w:t>
      </w:r>
      <w:r w:rsidRPr="00B77FAC">
        <w:rPr>
          <w:rFonts w:ascii="Times New Roman" w:hAnsi="Times New Roman" w:cs="Times New Roman"/>
          <w:szCs w:val="24"/>
          <w:u w:val="single"/>
        </w:rPr>
        <w:t>or</w:t>
      </w:r>
    </w:p>
    <w:p w:rsidR="00843132" w:rsidRPr="003E433F" w:rsidRDefault="00843132" w:rsidP="00A33E44">
      <w:pPr>
        <w:pStyle w:val="ac"/>
        <w:widowControl/>
        <w:numPr>
          <w:ilvl w:val="0"/>
          <w:numId w:val="9"/>
        </w:numPr>
        <w:tabs>
          <w:tab w:val="left" w:pos="1932"/>
        </w:tabs>
        <w:overflowPunct w:val="0"/>
        <w:autoSpaceDE w:val="0"/>
        <w:autoSpaceDN w:val="0"/>
        <w:ind w:leftChars="638" w:left="2059" w:hangingChars="220" w:hanging="528"/>
        <w:jc w:val="both"/>
        <w:rPr>
          <w:rFonts w:ascii="Times New Roman" w:hAnsi="Times New Roman" w:cs="Times New Roman"/>
          <w:szCs w:val="24"/>
        </w:rPr>
      </w:pPr>
      <w:r w:rsidRPr="00B77FAC">
        <w:rPr>
          <w:rFonts w:ascii="Times New Roman" w:hAnsi="Times New Roman" w:cs="Times New Roman"/>
          <w:i/>
          <w:szCs w:val="24"/>
          <w:u w:val="single"/>
        </w:rPr>
        <w:t>such further period as the Board may allow</w:t>
      </w:r>
      <w:r w:rsidRPr="00B77FAC">
        <w:rPr>
          <w:rFonts w:ascii="Times New Roman" w:hAnsi="Times New Roman" w:cs="Times New Roman"/>
          <w:i/>
          <w:szCs w:val="24"/>
        </w:rPr>
        <w:t xml:space="preserve"> under </w:t>
      </w:r>
      <w:r w:rsidRPr="00A11795">
        <w:rPr>
          <w:rFonts w:ascii="Times New Roman" w:hAnsi="Times New Roman" w:cs="Times New Roman"/>
          <w:i/>
          <w:szCs w:val="24"/>
        </w:rPr>
        <w:t>subsection</w:t>
      </w:r>
      <w:r w:rsidRPr="003E433F">
        <w:rPr>
          <w:rFonts w:ascii="Times New Roman" w:hAnsi="Times New Roman" w:cs="Times New Roman"/>
          <w:szCs w:val="24"/>
        </w:rPr>
        <w:t xml:space="preserve"> (1A),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A33E44">
      <w:pPr>
        <w:pStyle w:val="ac"/>
        <w:widowControl/>
        <w:tabs>
          <w:tab w:val="left" w:pos="1932"/>
        </w:tabs>
        <w:overflowPunct w:val="0"/>
        <w:autoSpaceDE w:val="0"/>
        <w:autoSpaceDN w:val="0"/>
        <w:ind w:leftChars="638" w:left="2059" w:hangingChars="220" w:hanging="528"/>
        <w:jc w:val="both"/>
        <w:rPr>
          <w:rFonts w:ascii="Times New Roman" w:hAnsi="Times New Roman" w:cs="Times New Roman"/>
          <w:szCs w:val="24"/>
        </w:rPr>
      </w:pPr>
      <w:r w:rsidRPr="003E433F">
        <w:rPr>
          <w:rFonts w:ascii="Times New Roman" w:hAnsi="Times New Roman" w:cs="Times New Roman"/>
          <w:szCs w:val="24"/>
        </w:rPr>
        <w:t>either himself or by his authorized representative give notice of appeal to the Board; but no such notice shall be entertained unless it is given in writing to the clerk to the Board and is accompanied by a copy of the Commissioner’s written determination together with a copy of the reasons therefor and of the statement of facts and a statement of the grounds of appeal.</w:t>
      </w:r>
    </w:p>
    <w:p w:rsidR="00843132" w:rsidRPr="003E433F" w:rsidRDefault="00843132" w:rsidP="0035136E">
      <w:pPr>
        <w:overflowPunct w:val="0"/>
        <w:autoSpaceDE w:val="0"/>
        <w:autoSpaceDN w:val="0"/>
        <w:jc w:val="both"/>
        <w:rPr>
          <w:rFonts w:ascii="Times New Roman" w:hAnsi="Times New Roman" w:cs="Times New Roman"/>
          <w:szCs w:val="24"/>
        </w:rPr>
      </w:pPr>
      <w:r w:rsidRPr="003E433F">
        <w:rPr>
          <w:rFonts w:ascii="Times New Roman" w:hAnsi="Times New Roman" w:cs="Times New Roman"/>
          <w:szCs w:val="24"/>
        </w:rPr>
        <w:t xml:space="preserve"> </w:t>
      </w:r>
    </w:p>
    <w:p w:rsidR="00843132" w:rsidRPr="003E433F" w:rsidRDefault="00843132" w:rsidP="00A33E44">
      <w:pPr>
        <w:pStyle w:val="ac"/>
        <w:widowControl/>
        <w:tabs>
          <w:tab w:val="left" w:pos="1932"/>
        </w:tabs>
        <w:overflowPunct w:val="0"/>
        <w:autoSpaceDE w:val="0"/>
        <w:autoSpaceDN w:val="0"/>
        <w:ind w:leftChars="638" w:left="2059" w:hangingChars="220" w:hanging="528"/>
        <w:jc w:val="both"/>
        <w:rPr>
          <w:rFonts w:ascii="Times New Roman" w:hAnsi="Times New Roman" w:cs="Times New Roman"/>
          <w:szCs w:val="24"/>
        </w:rPr>
      </w:pPr>
      <w:r w:rsidRPr="003E433F">
        <w:rPr>
          <w:rFonts w:ascii="Times New Roman" w:hAnsi="Times New Roman" w:cs="Times New Roman"/>
          <w:szCs w:val="24"/>
        </w:rPr>
        <w:t xml:space="preserve">(1A) </w:t>
      </w:r>
      <w:r w:rsidRPr="00A11795">
        <w:rPr>
          <w:rFonts w:ascii="Times New Roman" w:hAnsi="Times New Roman" w:cs="Times New Roman"/>
          <w:i/>
          <w:szCs w:val="24"/>
        </w:rPr>
        <w:t xml:space="preserve">If the Board is satisfied that </w:t>
      </w:r>
      <w:r w:rsidRPr="00B77FAC">
        <w:rPr>
          <w:rFonts w:ascii="Times New Roman" w:hAnsi="Times New Roman" w:cs="Times New Roman"/>
          <w:i/>
          <w:szCs w:val="24"/>
          <w:u w:val="single"/>
        </w:rPr>
        <w:t>an appellant was prevented by illness or absence from Hong Kong or other reasonable cause from giving notice of appeal</w:t>
      </w:r>
      <w:r w:rsidRPr="00B77FAC">
        <w:rPr>
          <w:rFonts w:ascii="Times New Roman" w:hAnsi="Times New Roman" w:cs="Times New Roman"/>
          <w:i/>
          <w:szCs w:val="24"/>
        </w:rPr>
        <w:t xml:space="preserve"> in accordance with subsection (1)(a), </w:t>
      </w:r>
      <w:r w:rsidRPr="00B77FAC">
        <w:rPr>
          <w:rFonts w:ascii="Times New Roman" w:hAnsi="Times New Roman" w:cs="Times New Roman"/>
          <w:i/>
          <w:szCs w:val="24"/>
          <w:u w:val="single"/>
        </w:rPr>
        <w:t>the Board may extend for such period as it thinks fit</w:t>
      </w:r>
      <w:r w:rsidRPr="00B77FAC">
        <w:rPr>
          <w:rFonts w:ascii="Times New Roman" w:hAnsi="Times New Roman" w:cs="Times New Roman"/>
          <w:i/>
          <w:szCs w:val="24"/>
        </w:rPr>
        <w:t xml:space="preserve"> th</w:t>
      </w:r>
      <w:r w:rsidRPr="00A11795">
        <w:rPr>
          <w:rFonts w:ascii="Times New Roman" w:hAnsi="Times New Roman" w:cs="Times New Roman"/>
          <w:i/>
          <w:szCs w:val="24"/>
        </w:rPr>
        <w:t xml:space="preserve">e time within which notice of appeal may be given under subsection (1) </w:t>
      </w:r>
      <w:r w:rsidRPr="00B77FAC">
        <w:rPr>
          <w:rFonts w:ascii="Times New Roman" w:hAnsi="Times New Roman" w:cs="Times New Roman"/>
          <w:i/>
          <w:szCs w:val="24"/>
        </w:rPr>
        <w:t>(emphasis added)</w:t>
      </w:r>
      <w:r w:rsidR="00A11795">
        <w:rPr>
          <w:rFonts w:ascii="Times New Roman" w:hAnsi="Times New Roman" w:cs="Times New Roman"/>
          <w:i/>
          <w:szCs w:val="24"/>
        </w:rPr>
        <w:t>.’</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As can be seen, pursuant to section 66(1A) of the Ordinance, the Board of Review may exercise discretion to extend time for an appellant to file a notice of appeal if it is satisfied that the appellant was prevented by illness or absence from Hong Kong or </w:t>
      </w:r>
      <w:r w:rsidRPr="003E433F">
        <w:rPr>
          <w:rFonts w:ascii="Times New Roman" w:hAnsi="Times New Roman" w:cs="Times New Roman"/>
          <w:szCs w:val="24"/>
        </w:rPr>
        <w:lastRenderedPageBreak/>
        <w:t>other reasonable cause from giving a notice of appeal within the time period stipulated by section 66(1)(a) of the Ordinance.  The focus is on the reasons why the appellant was prevented from filing a notice of appeal on time.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Absent a qualifying reason, namely, the appellant’s illness, the appellant’s absence from Hong Kong or some other reasonable cause, which prevented the filing of a notice of the appeal, the Board of Review has no power to extend time.  The grounds of appeal and its merits are not matters that relate to those reasons and as such are not relevant matters for consideration: see </w:t>
      </w:r>
      <w:r w:rsidRPr="003E433F">
        <w:rPr>
          <w:rFonts w:ascii="Times New Roman" w:hAnsi="Times New Roman" w:cs="Times New Roman"/>
          <w:b/>
          <w:i/>
          <w:szCs w:val="24"/>
        </w:rPr>
        <w:t xml:space="preserve">Excelter </w:t>
      </w:r>
      <w:r w:rsidRPr="003E433F">
        <w:rPr>
          <w:rFonts w:ascii="Times New Roman" w:hAnsi="Times New Roman" w:cs="Times New Roman"/>
          <w:szCs w:val="24"/>
        </w:rPr>
        <w:t>(</w:t>
      </w:r>
      <w:r w:rsidRPr="003E433F">
        <w:rPr>
          <w:rFonts w:ascii="Times New Roman" w:hAnsi="Times New Roman" w:cs="Times New Roman"/>
          <w:i/>
          <w:szCs w:val="24"/>
        </w:rPr>
        <w:t>supra.</w:t>
      </w:r>
      <w:r w:rsidRPr="003E433F">
        <w:rPr>
          <w:rFonts w:ascii="Times New Roman" w:hAnsi="Times New Roman" w:cs="Times New Roman"/>
          <w:szCs w:val="24"/>
        </w:rPr>
        <w:t xml:space="preserve">) at </w:t>
      </w:r>
      <w:r w:rsidRPr="003E433F">
        <w:rPr>
          <w:rFonts w:ascii="Times New Roman" w:eastAsia="新細明體" w:hAnsi="Times New Roman" w:cs="Times New Roman"/>
          <w:szCs w:val="24"/>
        </w:rPr>
        <w:t xml:space="preserve">§23 </w:t>
      </w:r>
      <w:r w:rsidRPr="003E433F">
        <w:rPr>
          <w:rFonts w:ascii="Times New Roman" w:eastAsia="新細明體" w:hAnsi="Times New Roman" w:cs="Times New Roman"/>
          <w:i/>
          <w:szCs w:val="24"/>
        </w:rPr>
        <w:t>per</w:t>
      </w:r>
      <w:r w:rsidRPr="003E433F">
        <w:rPr>
          <w:rFonts w:ascii="Times New Roman" w:eastAsia="新細明體" w:hAnsi="Times New Roman" w:cs="Times New Roman"/>
          <w:szCs w:val="24"/>
        </w:rPr>
        <w:t xml:space="preserve"> Barma JA</w:t>
      </w:r>
      <w:r w:rsidRPr="003E433F">
        <w:rPr>
          <w:rFonts w:ascii="Times New Roman" w:hAnsi="Times New Roman" w:cs="Times New Roman"/>
          <w:szCs w:val="24"/>
        </w:rPr>
        <w:t xml:space="preserve">.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Furthermore, it is also common ground that even if the above criteria are satisfied, the Board of Review still retains a residual discretion as to whether or not to grant the extension of time: see </w:t>
      </w:r>
      <w:r w:rsidRPr="004522A6">
        <w:rPr>
          <w:rFonts w:ascii="Times New Roman" w:hAnsi="Times New Roman" w:cs="Times New Roman"/>
          <w:szCs w:val="24"/>
        </w:rPr>
        <w:t>Re Wan Wah Shing</w:t>
      </w:r>
      <w:r w:rsidRPr="003E433F">
        <w:rPr>
          <w:rFonts w:ascii="Times New Roman" w:hAnsi="Times New Roman" w:cs="Times New Roman"/>
          <w:szCs w:val="24"/>
        </w:rPr>
        <w:t xml:space="preserve"> [2005] 4 HKLRD 674 at </w:t>
      </w:r>
      <w:r w:rsidRPr="003E433F">
        <w:rPr>
          <w:rFonts w:ascii="Times New Roman" w:eastAsia="新細明體" w:hAnsi="Times New Roman" w:cs="Times New Roman"/>
          <w:szCs w:val="24"/>
        </w:rPr>
        <w:t>§§16-17</w:t>
      </w:r>
      <w:r w:rsidRPr="003E433F">
        <w:rPr>
          <w:rFonts w:ascii="Times New Roman" w:hAnsi="Times New Roman" w:cs="Times New Roman"/>
          <w:szCs w:val="24"/>
        </w:rPr>
        <w:t xml:space="preserve"> </w:t>
      </w:r>
      <w:r w:rsidRPr="003E433F">
        <w:rPr>
          <w:rFonts w:ascii="Times New Roman" w:hAnsi="Times New Roman" w:cs="Times New Roman"/>
          <w:i/>
          <w:szCs w:val="24"/>
        </w:rPr>
        <w:t>per</w:t>
      </w:r>
      <w:r w:rsidRPr="003E433F">
        <w:rPr>
          <w:rFonts w:ascii="Times New Roman" w:hAnsi="Times New Roman" w:cs="Times New Roman"/>
          <w:szCs w:val="24"/>
        </w:rPr>
        <w:t xml:space="preserve"> M Ng J</w:t>
      </w:r>
      <w:r w:rsidRPr="003E433F">
        <w:rPr>
          <w:rStyle w:val="aa"/>
          <w:rFonts w:ascii="Times New Roman" w:hAnsi="Times New Roman" w:cs="Times New Roman"/>
          <w:szCs w:val="24"/>
        </w:rPr>
        <w:footnoteReference w:id="1"/>
      </w:r>
      <w:r w:rsidRPr="003E433F">
        <w:rPr>
          <w:rFonts w:ascii="Times New Roman" w:hAnsi="Times New Roman" w:cs="Times New Roman"/>
          <w:szCs w:val="24"/>
        </w:rPr>
        <w:t xml:space="preserve">.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4522A6" w:rsidRDefault="009C7CD1" w:rsidP="009C7CD1">
      <w:pPr>
        <w:pStyle w:val="ac"/>
        <w:numPr>
          <w:ilvl w:val="0"/>
          <w:numId w:val="16"/>
        </w:numPr>
        <w:overflowPunct w:val="0"/>
        <w:autoSpaceDE w:val="0"/>
        <w:autoSpaceDN w:val="0"/>
        <w:ind w:leftChars="0"/>
        <w:jc w:val="both"/>
        <w:rPr>
          <w:rFonts w:ascii="Times New Roman" w:hAnsi="Times New Roman" w:cs="Times New Roman"/>
          <w:b/>
          <w:szCs w:val="24"/>
        </w:rPr>
      </w:pPr>
      <w:r>
        <w:rPr>
          <w:rFonts w:ascii="Times New Roman" w:hAnsi="Times New Roman" w:cs="Times New Roman"/>
          <w:b/>
          <w:szCs w:val="24"/>
        </w:rPr>
        <w:t xml:space="preserve">         </w:t>
      </w:r>
      <w:r w:rsidR="004522A6">
        <w:rPr>
          <w:rFonts w:ascii="Times New Roman" w:hAnsi="Times New Roman" w:cs="Times New Roman"/>
          <w:b/>
          <w:szCs w:val="24"/>
        </w:rPr>
        <w:t>‘ABSENCE FROM HONG KONG’</w:t>
      </w:r>
    </w:p>
    <w:p w:rsidR="00843132" w:rsidRPr="004522A6" w:rsidRDefault="00843132" w:rsidP="0035136E">
      <w:pPr>
        <w:overflowPunct w:val="0"/>
        <w:autoSpaceDE w:val="0"/>
        <w:autoSpaceDN w:val="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In the present case, th</w:t>
      </w:r>
      <w:r w:rsidR="004522A6">
        <w:rPr>
          <w:rFonts w:ascii="Times New Roman" w:hAnsi="Times New Roman" w:cs="Times New Roman"/>
          <w:szCs w:val="24"/>
        </w:rPr>
        <w:t>e Taxpayer alleges that Mr C</w:t>
      </w:r>
      <w:r w:rsidRPr="003E433F">
        <w:rPr>
          <w:rFonts w:ascii="Times New Roman" w:hAnsi="Times New Roman" w:cs="Times New Roman"/>
          <w:szCs w:val="24"/>
        </w:rPr>
        <w:t xml:space="preserve"> absence from Hong Kong was the primary reason preventing the Taxpayer from filing the Notice of Appeal in accordance with section 66(1)(a) of the Ordinance.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In this connection, </w:t>
      </w:r>
      <w:r w:rsidR="004522A6">
        <w:rPr>
          <w:rFonts w:ascii="Times New Roman" w:hAnsi="Times New Roman" w:cs="Times New Roman"/>
          <w:szCs w:val="24"/>
        </w:rPr>
        <w:t>the Taxpayer submits that Mr C</w:t>
      </w:r>
      <w:r w:rsidRPr="003E433F">
        <w:rPr>
          <w:rFonts w:ascii="Times New Roman" w:hAnsi="Times New Roman" w:cs="Times New Roman"/>
          <w:szCs w:val="24"/>
        </w:rPr>
        <w:t xml:space="preserve"> was the sole director of the Taxpayer and the principal point of contact in the Taxpayer’s communication</w:t>
      </w:r>
      <w:r w:rsidR="004522A6">
        <w:rPr>
          <w:rFonts w:ascii="Times New Roman" w:hAnsi="Times New Roman" w:cs="Times New Roman"/>
          <w:szCs w:val="24"/>
        </w:rPr>
        <w:t>s with the Commissioner.  Mr C</w:t>
      </w:r>
      <w:r w:rsidRPr="003E433F">
        <w:rPr>
          <w:rFonts w:ascii="Times New Roman" w:hAnsi="Times New Roman" w:cs="Times New Roman"/>
          <w:szCs w:val="24"/>
        </w:rPr>
        <w:t xml:space="preserve"> was ordinarily resident in the </w:t>
      </w:r>
      <w:r w:rsidR="004522A6">
        <w:rPr>
          <w:rFonts w:ascii="Times New Roman" w:hAnsi="Times New Roman" w:cs="Times New Roman"/>
          <w:szCs w:val="24"/>
        </w:rPr>
        <w:t>Country K</w:t>
      </w:r>
      <w:r w:rsidRPr="003E433F">
        <w:rPr>
          <w:rFonts w:ascii="Times New Roman" w:hAnsi="Times New Roman" w:cs="Times New Roman"/>
          <w:szCs w:val="24"/>
        </w:rPr>
        <w:t xml:space="preserve"> and was physically absent from Hong Kong in 2020 and 2021.  The Commissioner however did not b</w:t>
      </w:r>
      <w:r w:rsidR="004522A6">
        <w:rPr>
          <w:rFonts w:ascii="Times New Roman" w:hAnsi="Times New Roman" w:cs="Times New Roman"/>
          <w:szCs w:val="24"/>
        </w:rPr>
        <w:t>ring the Determination to Mr C</w:t>
      </w:r>
      <w:r w:rsidRPr="003E433F">
        <w:rPr>
          <w:rFonts w:ascii="Times New Roman" w:hAnsi="Times New Roman" w:cs="Times New Roman"/>
          <w:szCs w:val="24"/>
        </w:rPr>
        <w:t xml:space="preserve"> attention, whether by way of email, fax or phone.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 Taxp</w:t>
      </w:r>
      <w:r w:rsidR="004522A6">
        <w:rPr>
          <w:rFonts w:ascii="Times New Roman" w:hAnsi="Times New Roman" w:cs="Times New Roman"/>
          <w:szCs w:val="24"/>
        </w:rPr>
        <w:t>ayer argues that the reason of ‘absence from Hong Kong’</w:t>
      </w:r>
      <w:r w:rsidRPr="003E433F">
        <w:rPr>
          <w:rFonts w:ascii="Times New Roman" w:hAnsi="Times New Roman" w:cs="Times New Roman"/>
          <w:szCs w:val="24"/>
        </w:rPr>
        <w:t xml:space="preserve"> in section 66(1A) of the Ordinance refers to absence in general, and does not necessarily need to be referring to the absence of an appellant.  According to the Taxpayer, the omission by the leg</w:t>
      </w:r>
      <w:r w:rsidR="00235A72">
        <w:rPr>
          <w:rFonts w:ascii="Times New Roman" w:hAnsi="Times New Roman" w:cs="Times New Roman"/>
          <w:szCs w:val="24"/>
        </w:rPr>
        <w:t>islative draftsman of the word ‘his’ before the reasons of ‘</w:t>
      </w:r>
      <w:r w:rsidRPr="003E433F">
        <w:rPr>
          <w:rFonts w:ascii="Times New Roman" w:hAnsi="Times New Roman" w:cs="Times New Roman"/>
          <w:szCs w:val="24"/>
        </w:rPr>
        <w:t>illness or absence fro</w:t>
      </w:r>
      <w:r w:rsidR="00235A72">
        <w:rPr>
          <w:rFonts w:ascii="Times New Roman" w:hAnsi="Times New Roman" w:cs="Times New Roman"/>
          <w:szCs w:val="24"/>
        </w:rPr>
        <w:t>m Hong Kong’</w:t>
      </w:r>
      <w:r w:rsidRPr="003E433F">
        <w:rPr>
          <w:rFonts w:ascii="Times New Roman" w:hAnsi="Times New Roman" w:cs="Times New Roman"/>
          <w:szCs w:val="24"/>
        </w:rPr>
        <w:t xml:space="preserve"> in section 66(1A) of the Ordinance provides support for this argument.  The Taxpayer also relies on the fact that a company cannot act but through an agent; following from this is that if an individual taxpayer may be excused for a delay by virtue of being himself physically absent from Hong Kong, then</w:t>
      </w:r>
      <w:r w:rsidRPr="003E433F">
        <w:rPr>
          <w:rFonts w:ascii="Times New Roman" w:hAnsi="Times New Roman" w:cs="Times New Roman"/>
          <w:i/>
          <w:szCs w:val="24"/>
        </w:rPr>
        <w:t xml:space="preserve"> </w:t>
      </w:r>
      <w:r w:rsidRPr="003E433F">
        <w:rPr>
          <w:rFonts w:ascii="Times New Roman" w:hAnsi="Times New Roman" w:cs="Times New Roman"/>
          <w:szCs w:val="24"/>
        </w:rPr>
        <w:t xml:space="preserve">by parity of reasoning, a body corporate may likewise be excused if its sole function agent is absent from Hong Kong.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It is plain that time may be extended in favour of an appellant who was prevented by,</w:t>
      </w:r>
      <w:r w:rsidRPr="003E433F">
        <w:rPr>
          <w:rFonts w:ascii="Times New Roman" w:hAnsi="Times New Roman" w:cs="Times New Roman"/>
          <w:i/>
          <w:szCs w:val="24"/>
        </w:rPr>
        <w:t xml:space="preserve"> inter alia</w:t>
      </w:r>
      <w:r w:rsidR="00235A72">
        <w:rPr>
          <w:rFonts w:ascii="Times New Roman" w:hAnsi="Times New Roman" w:cs="Times New Roman"/>
          <w:szCs w:val="24"/>
        </w:rPr>
        <w:t>, ‘…absence from Hong Kong…’</w:t>
      </w:r>
      <w:r w:rsidRPr="003E433F">
        <w:rPr>
          <w:rFonts w:ascii="Times New Roman" w:hAnsi="Times New Roman" w:cs="Times New Roman"/>
          <w:szCs w:val="24"/>
        </w:rPr>
        <w:t xml:space="preserve"> from giving notice of appeal in accordance with section 66(1)(a) of the Ordinance.  As an appellant is defined under section 2 of the Ordinance to include a corporation, it becomes relevant to ask whether or not a corporate appellant can</w:t>
      </w:r>
      <w:r w:rsidR="00235A72">
        <w:rPr>
          <w:rFonts w:ascii="Times New Roman" w:hAnsi="Times New Roman" w:cs="Times New Roman"/>
          <w:szCs w:val="24"/>
        </w:rPr>
        <w:t xml:space="preserve"> equally rely on the reason of ‘absence from Hong Kong’</w:t>
      </w:r>
      <w:r w:rsidRPr="003E433F">
        <w:rPr>
          <w:rFonts w:ascii="Times New Roman" w:hAnsi="Times New Roman" w:cs="Times New Roman"/>
          <w:szCs w:val="24"/>
        </w:rPr>
        <w:t xml:space="preserve"> in section 66(1A) of the Ordinance to seek extension of time in the same way as an appellant who is a natural person, and if so, whose absence and how such absence should be counted </w:t>
      </w:r>
      <w:r w:rsidRPr="003E433F">
        <w:rPr>
          <w:rFonts w:ascii="Times New Roman" w:hAnsi="Times New Roman" w:cs="Times New Roman"/>
          <w:szCs w:val="24"/>
        </w:rPr>
        <w:lastRenderedPageBreak/>
        <w:t>etc. for that purpose.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These are all matters requiring proper statutory interpretation of section 66(1A) of the Ordinance to be answered.</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The Taxpayer’s current submissions would not provide a full and complete answer as they do not contain comprehensive examination of the statutory language of section 66(1A) of the Ordinance taking into account the legislative purposes and history and other relevant provisions as a whole etc.  On this point, </w:t>
      </w:r>
      <w:r w:rsidR="00642553">
        <w:rPr>
          <w:rFonts w:ascii="Times New Roman" w:hAnsi="Times New Roman" w:cs="Times New Roman"/>
          <w:szCs w:val="24"/>
        </w:rPr>
        <w:t>the Commissioner contends that ‘</w:t>
      </w:r>
      <w:r w:rsidRPr="003E433F">
        <w:rPr>
          <w:rFonts w:ascii="Times New Roman" w:hAnsi="Times New Roman" w:cs="Times New Roman"/>
          <w:szCs w:val="24"/>
        </w:rPr>
        <w:t>a narrow and restr</w:t>
      </w:r>
      <w:r w:rsidR="00642553">
        <w:rPr>
          <w:rFonts w:ascii="Times New Roman" w:hAnsi="Times New Roman" w:cs="Times New Roman"/>
          <w:szCs w:val="24"/>
        </w:rPr>
        <w:t>ictive interpretation’</w:t>
      </w:r>
      <w:r w:rsidRPr="003E433F">
        <w:rPr>
          <w:rFonts w:ascii="Times New Roman" w:hAnsi="Times New Roman" w:cs="Times New Roman"/>
          <w:szCs w:val="24"/>
        </w:rPr>
        <w:t xml:space="preserve"> ought t</w:t>
      </w:r>
      <w:r w:rsidR="00642553">
        <w:rPr>
          <w:rFonts w:ascii="Times New Roman" w:hAnsi="Times New Roman" w:cs="Times New Roman"/>
          <w:szCs w:val="24"/>
        </w:rPr>
        <w:t>o be adopted and the reason of ‘absence from Hong Kong’</w:t>
      </w:r>
      <w:r w:rsidRPr="003E433F">
        <w:rPr>
          <w:rFonts w:ascii="Times New Roman" w:hAnsi="Times New Roman" w:cs="Times New Roman"/>
          <w:szCs w:val="24"/>
        </w:rPr>
        <w:t xml:space="preserve"> in th</w:t>
      </w:r>
      <w:r w:rsidR="00642553">
        <w:rPr>
          <w:rFonts w:ascii="Times New Roman" w:hAnsi="Times New Roman" w:cs="Times New Roman"/>
          <w:szCs w:val="24"/>
        </w:rPr>
        <w:t>at section should be construed ‘literally’</w:t>
      </w:r>
      <w:r w:rsidRPr="003E433F">
        <w:rPr>
          <w:rFonts w:ascii="Times New Roman" w:hAnsi="Times New Roman" w:cs="Times New Roman"/>
          <w:szCs w:val="24"/>
        </w:rPr>
        <w:t>.</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The principles for statutory interpretation are well-established.  The modern approach is to adopt a purposive interpretation.  The statutory language is construed, having regard to its context and purpose.  Words are given their ordinary and natural meaning, unless the context or purpose points to a different meaning.  Context and purpose are considered when interpreting the words used and not only when an ambiguity may be thought to arise: see </w:t>
      </w:r>
      <w:r w:rsidRPr="00642553">
        <w:rPr>
          <w:rFonts w:ascii="Times New Roman" w:hAnsi="Times New Roman" w:cs="Times New Roman"/>
          <w:szCs w:val="24"/>
        </w:rPr>
        <w:t>HKSAR v Cheung Kwun Yin</w:t>
      </w:r>
      <w:r w:rsidRPr="003E433F">
        <w:rPr>
          <w:rFonts w:ascii="Times New Roman" w:hAnsi="Times New Roman" w:cs="Times New Roman"/>
          <w:szCs w:val="24"/>
        </w:rPr>
        <w:t xml:space="preserve"> (2009) 12 HKCFAR 568 at </w:t>
      </w:r>
      <w:r w:rsidRPr="003E433F">
        <w:rPr>
          <w:rFonts w:ascii="Times New Roman" w:eastAsia="新細明體" w:hAnsi="Times New Roman" w:cs="Times New Roman"/>
          <w:szCs w:val="24"/>
        </w:rPr>
        <w:t>§</w:t>
      </w:r>
      <w:r w:rsidRPr="003E433F">
        <w:rPr>
          <w:rFonts w:ascii="Times New Roman" w:hAnsi="Times New Roman" w:cs="Times New Roman"/>
          <w:szCs w:val="24"/>
        </w:rPr>
        <w:t xml:space="preserve">12 </w:t>
      </w:r>
      <w:r w:rsidRPr="003E433F">
        <w:rPr>
          <w:rFonts w:ascii="Times New Roman" w:hAnsi="Times New Roman" w:cs="Times New Roman"/>
          <w:i/>
          <w:szCs w:val="24"/>
        </w:rPr>
        <w:t>per</w:t>
      </w:r>
      <w:r w:rsidRPr="003E433F">
        <w:rPr>
          <w:rFonts w:ascii="Times New Roman" w:hAnsi="Times New Roman" w:cs="Times New Roman"/>
          <w:szCs w:val="24"/>
        </w:rPr>
        <w:t xml:space="preserve"> Li CJ</w:t>
      </w:r>
      <w:r w:rsidRPr="003E433F">
        <w:rPr>
          <w:rFonts w:ascii="Times New Roman" w:hAnsi="Times New Roman" w:cs="Times New Roman"/>
          <w:color w:val="000000"/>
          <w:szCs w:val="24"/>
        </w:rPr>
        <w:t>.</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 Ordinance provides for an exclusive code for the determination of tax liabilities.  T</w:t>
      </w:r>
      <w:r w:rsidRPr="003E433F">
        <w:rPr>
          <w:rFonts w:ascii="Times New Roman" w:hAnsi="Times New Roman" w:cs="Times New Roman"/>
          <w:color w:val="000000"/>
          <w:szCs w:val="24"/>
        </w:rPr>
        <w:t xml:space="preserve">he long title of the </w:t>
      </w:r>
      <w:r w:rsidR="00642553">
        <w:rPr>
          <w:rFonts w:ascii="Times New Roman" w:hAnsi="Times New Roman" w:cs="Times New Roman"/>
          <w:color w:val="000000"/>
          <w:szCs w:val="24"/>
        </w:rPr>
        <w:t>Ordinance is ‘</w:t>
      </w:r>
      <w:r w:rsidRPr="003E433F">
        <w:rPr>
          <w:rFonts w:ascii="Times New Roman" w:hAnsi="Times New Roman" w:cs="Times New Roman"/>
          <w:color w:val="000000"/>
          <w:szCs w:val="24"/>
        </w:rPr>
        <w:t>to impose a tax on</w:t>
      </w:r>
      <w:r w:rsidR="00642553">
        <w:rPr>
          <w:rFonts w:ascii="Times New Roman" w:hAnsi="Times New Roman" w:cs="Times New Roman"/>
          <w:color w:val="000000"/>
          <w:szCs w:val="24"/>
        </w:rPr>
        <w:t xml:space="preserve"> property, earnings and profits’</w:t>
      </w:r>
      <w:r w:rsidRPr="003E433F">
        <w:rPr>
          <w:rFonts w:ascii="Times New Roman" w:hAnsi="Times New Roman" w:cs="Times New Roman"/>
          <w:color w:val="000000"/>
          <w:szCs w:val="24"/>
        </w:rPr>
        <w:t>.  </w:t>
      </w:r>
      <w:r w:rsidRPr="003E433F">
        <w:rPr>
          <w:rFonts w:ascii="Times New Roman" w:hAnsi="Times New Roman" w:cs="Times New Roman"/>
          <w:szCs w:val="24"/>
        </w:rPr>
        <w:t xml:space="preserve">Section 66 falls under Part 11 of the Ordinance on objections and appeals.  In </w:t>
      </w:r>
      <w:r w:rsidRPr="00642553">
        <w:rPr>
          <w:rFonts w:ascii="Times New Roman" w:hAnsi="Times New Roman" w:cs="Times New Roman"/>
          <w:szCs w:val="24"/>
        </w:rPr>
        <w:t>Moulin Global Eyecare Trading Ltd v Commissioner of Inland Revenue</w:t>
      </w:r>
      <w:r w:rsidRPr="003E433F">
        <w:rPr>
          <w:rFonts w:ascii="Times New Roman" w:hAnsi="Times New Roman" w:cs="Times New Roman"/>
          <w:szCs w:val="24"/>
        </w:rPr>
        <w:t xml:space="preserve"> (2014) 17 HKCFAR 218, the scheme and policy of the Ordinance were set out as follows: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642553" w:rsidRDefault="00642553" w:rsidP="00A33E44">
      <w:pPr>
        <w:pStyle w:val="ac"/>
        <w:widowControl/>
        <w:tabs>
          <w:tab w:val="left" w:pos="1932"/>
        </w:tabs>
        <w:overflowPunct w:val="0"/>
        <w:autoSpaceDE w:val="0"/>
        <w:autoSpaceDN w:val="0"/>
        <w:ind w:leftChars="638" w:left="2059" w:hangingChars="220" w:hanging="528"/>
        <w:jc w:val="both"/>
        <w:rPr>
          <w:rFonts w:ascii="Times New Roman" w:hAnsi="Times New Roman" w:cs="Times New Roman"/>
          <w:i/>
          <w:szCs w:val="24"/>
        </w:rPr>
      </w:pPr>
      <w:r w:rsidRPr="00642553">
        <w:rPr>
          <w:rFonts w:ascii="Times New Roman" w:hAnsi="Times New Roman" w:cs="Times New Roman"/>
          <w:i/>
          <w:szCs w:val="24"/>
        </w:rPr>
        <w:t>‘</w:t>
      </w:r>
      <w:r w:rsidR="00843132" w:rsidRPr="00642553">
        <w:rPr>
          <w:rFonts w:ascii="Times New Roman" w:hAnsi="Times New Roman" w:cs="Times New Roman"/>
          <w:i/>
          <w:szCs w:val="24"/>
        </w:rPr>
        <w:t xml:space="preserve">119. For any government, faced with ever-increasing financial responsibilities and obligations, it is of the highest importance to have a fair and efficient tax system which can be expected, year on year, to produce public revenue to a more or less predictable level. </w:t>
      </w:r>
      <w:r w:rsidR="00843132" w:rsidRPr="00642553">
        <w:rPr>
          <w:rFonts w:ascii="Times New Roman" w:hAnsi="Times New Roman" w:cs="Times New Roman"/>
          <w:b/>
          <w:i/>
          <w:szCs w:val="24"/>
          <w:u w:val="single"/>
        </w:rPr>
        <w:t>Annual taxes should be levied so as to ensure prompt payment and so as to achieve finality within a reasonably short time.</w:t>
      </w:r>
      <w:r w:rsidR="00843132" w:rsidRPr="00642553">
        <w:rPr>
          <w:rFonts w:ascii="Times New Roman" w:hAnsi="Times New Roman" w:cs="Times New Roman"/>
          <w:i/>
          <w:szCs w:val="24"/>
        </w:rPr>
        <w:t xml:space="preserve"> As Arden LJ observed in Monro v Revenue and Customs Commissioners [2009] Ch 69, [32], “</w:t>
      </w:r>
      <w:r w:rsidR="00843132" w:rsidRPr="00642553">
        <w:rPr>
          <w:rFonts w:ascii="Times New Roman" w:hAnsi="Times New Roman" w:cs="Times New Roman"/>
          <w:b/>
          <w:i/>
          <w:szCs w:val="24"/>
          <w:u w:val="single"/>
        </w:rPr>
        <w:t>The state has a legitimate interest in ensuring finality in fiscal transactions</w:t>
      </w:r>
      <w:r w:rsidR="00843132" w:rsidRPr="00642553">
        <w:rPr>
          <w:rFonts w:ascii="Times New Roman" w:hAnsi="Times New Roman" w:cs="Times New Roman"/>
          <w:i/>
          <w:szCs w:val="24"/>
        </w:rPr>
        <w:t xml:space="preserve">”; see also the citation from Chow Kwong Fai v Commissioner of Inland Revenue in [55] above. </w:t>
      </w:r>
      <w:r w:rsidR="00843132" w:rsidRPr="00642553">
        <w:rPr>
          <w:rFonts w:ascii="Times New Roman" w:hAnsi="Times New Roman" w:cs="Times New Roman"/>
          <w:b/>
          <w:i/>
          <w:szCs w:val="24"/>
          <w:u w:val="single"/>
        </w:rPr>
        <w:t>Those are the policy aims of Parts</w:t>
      </w:r>
      <w:r w:rsidR="00843132" w:rsidRPr="00642553">
        <w:rPr>
          <w:rFonts w:ascii="Times New Roman" w:hAnsi="Times New Roman" w:cs="Times New Roman"/>
          <w:i/>
          <w:szCs w:val="24"/>
        </w:rPr>
        <w:t xml:space="preserve"> 9 (Returns, etc.), 10 (Assessments), </w:t>
      </w:r>
      <w:r w:rsidR="00843132" w:rsidRPr="00642553">
        <w:rPr>
          <w:rFonts w:ascii="Times New Roman" w:hAnsi="Times New Roman" w:cs="Times New Roman"/>
          <w:b/>
          <w:i/>
          <w:szCs w:val="24"/>
          <w:u w:val="single"/>
        </w:rPr>
        <w:t>11 (Objections and Appeals)</w:t>
      </w:r>
      <w:r w:rsidR="00843132" w:rsidRPr="00642553">
        <w:rPr>
          <w:rFonts w:ascii="Times New Roman" w:hAnsi="Times New Roman" w:cs="Times New Roman"/>
          <w:i/>
          <w:szCs w:val="24"/>
        </w:rPr>
        <w:t xml:space="preserve">, 12 (Payment and Recovery of Tax), 13 (Repayment) and 14 (Penalties and Offences) of the IRO. </w:t>
      </w:r>
      <w:r w:rsidR="00843132" w:rsidRPr="00642553">
        <w:rPr>
          <w:rFonts w:ascii="Times New Roman" w:hAnsi="Times New Roman" w:cs="Times New Roman"/>
          <w:b/>
          <w:i/>
          <w:szCs w:val="24"/>
          <w:u w:val="single"/>
        </w:rPr>
        <w:t>They apply for the purposes of property tax, salaries tax and profits tax, all annual taxes.</w:t>
      </w:r>
      <w:r w:rsidRPr="00642553">
        <w:rPr>
          <w:rFonts w:ascii="Times New Roman" w:hAnsi="Times New Roman" w:cs="Times New Roman"/>
          <w:i/>
          <w:szCs w:val="24"/>
        </w:rPr>
        <w:t>’</w:t>
      </w:r>
      <w:r w:rsidR="00843132" w:rsidRPr="00642553">
        <w:rPr>
          <w:rFonts w:ascii="Times New Roman" w:hAnsi="Times New Roman" w:cs="Times New Roman"/>
          <w:i/>
          <w:szCs w:val="24"/>
        </w:rPr>
        <w:t xml:space="preserve">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Section 64 is the first section in Part 11 of the Ordinance relating to objections and appeals.  A notice of objection is in effect the first step in the appeal process.  It leads to a re-consideration by the Commissioner.  If there is no agreement, the taxpayer will appeal to the Board of Review under section 66 of the Ordinance.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On the one hand, it is of importance to ensure finality in fiscal transactions, </w:t>
      </w:r>
      <w:r w:rsidRPr="003E433F">
        <w:rPr>
          <w:rFonts w:ascii="Times New Roman" w:hAnsi="Times New Roman" w:cs="Times New Roman"/>
          <w:szCs w:val="24"/>
        </w:rPr>
        <w:lastRenderedPageBreak/>
        <w:t>and hence a time limit is imposed in Part 11 of the Ordinance on objections and appeals.  I</w:t>
      </w:r>
      <w:r w:rsidRPr="003E433F">
        <w:rPr>
          <w:rFonts w:ascii="Times New Roman" w:hAnsi="Times New Roman" w:cs="Times New Roman"/>
          <w:color w:val="000000"/>
          <w:szCs w:val="24"/>
        </w:rPr>
        <w:t xml:space="preserve">f late applications for objections and revision of assessments are to be permitted, this would undermine the statutory regime, expose the government to claims and increase the risk of disruption to public finances and the burden of taxation on other groups.  The courts have recognized the need for taxation revenue to flow in predictable amounts according to projections as to cash flow, such that disputes as to the claims made by the tax authority upon taxpayers have been treated differently from other classes of disputes within the community: see </w:t>
      </w:r>
      <w:r w:rsidRPr="00642553">
        <w:rPr>
          <w:rFonts w:ascii="Times New Roman" w:hAnsi="Times New Roman" w:cs="Times New Roman"/>
          <w:szCs w:val="24"/>
        </w:rPr>
        <w:t>Moulin Global Eyecare Trading Ltd v Commissioner of Inland Revenue</w:t>
      </w:r>
      <w:r w:rsidRPr="003E433F">
        <w:rPr>
          <w:rFonts w:ascii="Times New Roman" w:hAnsi="Times New Roman" w:cs="Times New Roman"/>
          <w:color w:val="000000"/>
          <w:szCs w:val="24"/>
        </w:rPr>
        <w:t xml:space="preserve"> [2012] 2 HKLRD 911 (CA) at </w:t>
      </w:r>
      <w:r w:rsidRPr="003E433F">
        <w:rPr>
          <w:rFonts w:ascii="Times New Roman" w:eastAsia="新細明體" w:hAnsi="Times New Roman" w:cs="Times New Roman"/>
          <w:color w:val="000000"/>
          <w:szCs w:val="24"/>
        </w:rPr>
        <w:t>§54</w:t>
      </w:r>
      <w:r w:rsidRPr="003E433F">
        <w:rPr>
          <w:rFonts w:ascii="Times New Roman" w:hAnsi="Times New Roman" w:cs="Times New Roman"/>
          <w:color w:val="000000"/>
          <w:szCs w:val="24"/>
        </w:rPr>
        <w:t xml:space="preserve"> </w:t>
      </w:r>
      <w:r w:rsidRPr="003E433F">
        <w:rPr>
          <w:rFonts w:ascii="Times New Roman" w:hAnsi="Times New Roman" w:cs="Times New Roman"/>
          <w:i/>
          <w:color w:val="000000"/>
          <w:szCs w:val="24"/>
        </w:rPr>
        <w:t>per</w:t>
      </w:r>
      <w:r w:rsidRPr="003E433F">
        <w:rPr>
          <w:rFonts w:ascii="Times New Roman" w:hAnsi="Times New Roman" w:cs="Times New Roman"/>
          <w:color w:val="000000"/>
          <w:szCs w:val="24"/>
        </w:rPr>
        <w:t xml:space="preserve"> Kwan JA (as her Ladyship then was),</w:t>
      </w:r>
      <w:r w:rsidRPr="003E433F">
        <w:rPr>
          <w:rFonts w:ascii="Times New Roman" w:hAnsi="Times New Roman" w:cs="Times New Roman"/>
          <w:b/>
          <w:iCs/>
          <w:color w:val="000000"/>
          <w:szCs w:val="24"/>
        </w:rPr>
        <w:t xml:space="preserve"> </w:t>
      </w:r>
      <w:r w:rsidRPr="003E433F">
        <w:rPr>
          <w:rFonts w:ascii="Times New Roman" w:hAnsi="Times New Roman" w:cs="Times New Roman"/>
          <w:iCs/>
          <w:color w:val="000000"/>
          <w:szCs w:val="24"/>
        </w:rPr>
        <w:t xml:space="preserve">citing </w:t>
      </w:r>
      <w:r w:rsidRPr="00642553">
        <w:rPr>
          <w:rFonts w:ascii="Times New Roman" w:hAnsi="Times New Roman" w:cs="Times New Roman"/>
          <w:iCs/>
          <w:color w:val="000000"/>
          <w:szCs w:val="24"/>
        </w:rPr>
        <w:t>Chow Kwong Fai v Commissioner of Inland Revenue</w:t>
      </w:r>
      <w:r w:rsidRPr="003E433F">
        <w:rPr>
          <w:rFonts w:ascii="Times New Roman" w:hAnsi="Times New Roman" w:cs="Times New Roman"/>
          <w:i/>
          <w:iCs/>
          <w:color w:val="000000"/>
          <w:szCs w:val="24"/>
        </w:rPr>
        <w:t xml:space="preserve"> </w:t>
      </w:r>
      <w:r w:rsidRPr="003E433F">
        <w:rPr>
          <w:rFonts w:ascii="Times New Roman" w:hAnsi="Times New Roman" w:cs="Times New Roman"/>
          <w:iCs/>
          <w:color w:val="000000"/>
          <w:szCs w:val="24"/>
        </w:rPr>
        <w:t xml:space="preserve">[2005] 4 HKLRD 687 </w:t>
      </w:r>
      <w:r w:rsidRPr="003E433F">
        <w:rPr>
          <w:rFonts w:ascii="Times New Roman" w:hAnsi="Times New Roman" w:cs="Times New Roman"/>
          <w:color w:val="000000"/>
          <w:szCs w:val="24"/>
        </w:rPr>
        <w:t xml:space="preserve">at </w:t>
      </w:r>
      <w:r w:rsidRPr="003E433F">
        <w:rPr>
          <w:rFonts w:ascii="Times New Roman" w:eastAsia="新細明體" w:hAnsi="Times New Roman" w:cs="Times New Roman"/>
          <w:color w:val="000000"/>
          <w:szCs w:val="24"/>
        </w:rPr>
        <w:t>§</w:t>
      </w:r>
      <w:r w:rsidRPr="003E433F">
        <w:rPr>
          <w:rFonts w:ascii="Times New Roman" w:hAnsi="Times New Roman" w:cs="Times New Roman"/>
          <w:color w:val="000000"/>
          <w:szCs w:val="24"/>
        </w:rPr>
        <w:t xml:space="preserve">20 </w:t>
      </w:r>
      <w:r w:rsidRPr="003E433F">
        <w:rPr>
          <w:rFonts w:ascii="Times New Roman" w:hAnsi="Times New Roman" w:cs="Times New Roman"/>
          <w:i/>
          <w:color w:val="000000"/>
          <w:szCs w:val="24"/>
        </w:rPr>
        <w:t>per</w:t>
      </w:r>
      <w:r w:rsidRPr="003E433F">
        <w:rPr>
          <w:rFonts w:ascii="Times New Roman" w:hAnsi="Times New Roman" w:cs="Times New Roman"/>
          <w:color w:val="000000"/>
          <w:szCs w:val="24"/>
        </w:rPr>
        <w:t xml:space="preserve"> Woo VP.</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On the other hand, to avoid hardship, a taxpayer should be given time and opportunities to object and appeal.  Hence a balance has to be struck between these different statutory aims and objectives: see </w:t>
      </w:r>
      <w:r w:rsidRPr="00642553">
        <w:rPr>
          <w:rFonts w:ascii="Times New Roman" w:hAnsi="Times New Roman" w:cs="Times New Roman"/>
          <w:szCs w:val="24"/>
        </w:rPr>
        <w:t>Moulin Global Eyecare</w:t>
      </w:r>
      <w:r w:rsidRPr="003E433F">
        <w:rPr>
          <w:rFonts w:ascii="Times New Roman" w:hAnsi="Times New Roman" w:cs="Times New Roman"/>
          <w:b/>
          <w:i/>
          <w:szCs w:val="24"/>
        </w:rPr>
        <w:t xml:space="preserve"> </w:t>
      </w:r>
      <w:r w:rsidRPr="003E433F">
        <w:rPr>
          <w:rFonts w:ascii="Times New Roman" w:hAnsi="Times New Roman" w:cs="Times New Roman"/>
          <w:szCs w:val="24"/>
        </w:rPr>
        <w:t>(CA) (</w:t>
      </w:r>
      <w:r w:rsidRPr="003E433F">
        <w:rPr>
          <w:rFonts w:ascii="Times New Roman" w:hAnsi="Times New Roman" w:cs="Times New Roman"/>
          <w:i/>
          <w:szCs w:val="24"/>
        </w:rPr>
        <w:t>supra.</w:t>
      </w:r>
      <w:r w:rsidRPr="003E433F">
        <w:rPr>
          <w:rFonts w:ascii="Times New Roman" w:hAnsi="Times New Roman" w:cs="Times New Roman"/>
          <w:szCs w:val="24"/>
        </w:rPr>
        <w:t xml:space="preserve">) </w:t>
      </w:r>
      <w:r w:rsidRPr="003E433F">
        <w:rPr>
          <w:rFonts w:ascii="Times New Roman" w:hAnsi="Times New Roman" w:cs="Times New Roman"/>
          <w:color w:val="000000"/>
          <w:szCs w:val="24"/>
        </w:rPr>
        <w:t xml:space="preserve">at </w:t>
      </w:r>
      <w:r w:rsidRPr="003E433F">
        <w:rPr>
          <w:rFonts w:ascii="Times New Roman" w:eastAsia="新細明體" w:hAnsi="Times New Roman" w:cs="Times New Roman"/>
          <w:color w:val="000000"/>
          <w:szCs w:val="24"/>
        </w:rPr>
        <w:t>§53.</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In the recent decision of the Court of Final Appeal in </w:t>
      </w:r>
      <w:r w:rsidRPr="00642553">
        <w:rPr>
          <w:rFonts w:ascii="Times New Roman" w:hAnsi="Times New Roman" w:cs="Times New Roman"/>
          <w:szCs w:val="24"/>
        </w:rPr>
        <w:t>Koo Ming Kown &amp; Another v The Commissioner of Inland Revenue</w:t>
      </w:r>
      <w:r w:rsidRPr="003E433F">
        <w:rPr>
          <w:rFonts w:ascii="Times New Roman" w:hAnsi="Times New Roman" w:cs="Times New Roman"/>
          <w:szCs w:val="24"/>
        </w:rPr>
        <w:t xml:space="preserve">, FACV 1/2022 (unreported, 5 August 2022) [2022] HKCFA 18, Gleeson NPJ observed as follows: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642553" w:rsidP="002E6E5E">
      <w:pPr>
        <w:pStyle w:val="ac"/>
        <w:widowControl/>
        <w:tabs>
          <w:tab w:val="left" w:pos="1932"/>
        </w:tabs>
        <w:overflowPunct w:val="0"/>
        <w:autoSpaceDE w:val="0"/>
        <w:autoSpaceDN w:val="0"/>
        <w:ind w:leftChars="638" w:left="2059" w:hangingChars="220" w:hanging="528"/>
        <w:jc w:val="both"/>
        <w:rPr>
          <w:rFonts w:ascii="Times New Roman" w:hAnsi="Times New Roman" w:cs="Times New Roman"/>
          <w:szCs w:val="24"/>
        </w:rPr>
      </w:pPr>
      <w:r>
        <w:rPr>
          <w:rFonts w:ascii="Times New Roman" w:hAnsi="Times New Roman" w:cs="Times New Roman"/>
          <w:szCs w:val="24"/>
        </w:rPr>
        <w:t>‘</w:t>
      </w:r>
      <w:r w:rsidR="00843132" w:rsidRPr="003E433F">
        <w:rPr>
          <w:rFonts w:ascii="Times New Roman" w:hAnsi="Times New Roman" w:cs="Times New Roman"/>
          <w:szCs w:val="24"/>
        </w:rPr>
        <w:t>63. In considering the above arguments, it is convenient to commence with that concerning legislative purpose. At one level of abstraction, it can be said that the purpose of the IRO is to raise revenue. No one would seriously suggest that it follows that the solution to any question about the meaning of a doubtful provision in the IRO is to construe it in the manner which will raise the most revenue. Taxing acts do not set out to raise revenue at all costs;</w:t>
      </w:r>
      <w:r w:rsidR="00843132" w:rsidRPr="00B77FAC">
        <w:rPr>
          <w:rFonts w:ascii="Times New Roman" w:hAnsi="Times New Roman" w:cs="Times New Roman"/>
          <w:szCs w:val="24"/>
        </w:rPr>
        <w:t xml:space="preserve"> </w:t>
      </w:r>
      <w:r w:rsidR="00843132" w:rsidRPr="00B77FAC">
        <w:rPr>
          <w:rFonts w:ascii="Times New Roman" w:hAnsi="Times New Roman" w:cs="Times New Roman"/>
          <w:szCs w:val="24"/>
          <w:u w:val="single"/>
        </w:rPr>
        <w:t>typically they involve a complex interplay of considerations of fiscal policy, administrative efficiency and fairness to, and as between, taxpayers.</w:t>
      </w:r>
      <w:r w:rsidR="00843132" w:rsidRPr="00B77FAC">
        <w:rPr>
          <w:rFonts w:ascii="Times New Roman" w:hAnsi="Times New Roman" w:cs="Times New Roman"/>
          <w:szCs w:val="24"/>
        </w:rPr>
        <w:t xml:space="preserve"> Ide</w:t>
      </w:r>
      <w:r w:rsidR="00843132" w:rsidRPr="003E433F">
        <w:rPr>
          <w:rFonts w:ascii="Times New Roman" w:hAnsi="Times New Roman" w:cs="Times New Roman"/>
          <w:szCs w:val="24"/>
        </w:rPr>
        <w:t xml:space="preserve">ntifying the purpose of one element of a scheme of taxation is likely to require attention to detail </w:t>
      </w:r>
      <w:r w:rsidR="00843132" w:rsidRPr="00B77FAC">
        <w:rPr>
          <w:rFonts w:ascii="Times New Roman" w:hAnsi="Times New Roman" w:cs="Times New Roman"/>
          <w:szCs w:val="24"/>
        </w:rPr>
        <w:t>(emphasis added</w:t>
      </w:r>
      <w:r w:rsidRPr="00B77FAC">
        <w:rPr>
          <w:rFonts w:ascii="Times New Roman" w:hAnsi="Times New Roman" w:cs="Times New Roman"/>
          <w:szCs w:val="24"/>
        </w:rPr>
        <w:t>)</w:t>
      </w:r>
      <w:r>
        <w:rPr>
          <w:rFonts w:ascii="Times New Roman" w:hAnsi="Times New Roman" w:cs="Times New Roman"/>
          <w:szCs w:val="24"/>
        </w:rPr>
        <w:t>.’</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 Taxpayer bearing the burden of proof has not shown as to why after balancing the different statutory aims and objectives, section 66(1A) of the Ordinance should be construed in its favour.  In these circumstances, the Board is not satisfied that for the reasons put forth by the Taxpayer, it should be able to rely on M</w:t>
      </w:r>
      <w:r w:rsidR="00FF4AA0">
        <w:rPr>
          <w:rFonts w:ascii="Times New Roman" w:hAnsi="Times New Roman" w:cs="Times New Roman"/>
          <w:szCs w:val="24"/>
        </w:rPr>
        <w:t>r C</w:t>
      </w:r>
      <w:r w:rsidRPr="003E433F">
        <w:rPr>
          <w:rFonts w:ascii="Times New Roman" w:hAnsi="Times New Roman" w:cs="Times New Roman"/>
          <w:szCs w:val="24"/>
        </w:rPr>
        <w:t xml:space="preserve">’s absence from Hong Kong to seek extension of time for filing of the Notice of Appeal late under that section.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It must however be made explicit, out of abundance of caution, that the Board should not be seen as making any definitive ruling on the statutory i</w:t>
      </w:r>
      <w:r w:rsidR="00EF5465">
        <w:rPr>
          <w:rFonts w:ascii="Times New Roman" w:hAnsi="Times New Roman" w:cs="Times New Roman"/>
          <w:szCs w:val="24"/>
        </w:rPr>
        <w:t>nterpretation of the reason of ‘absence from Hong Kong’</w:t>
      </w:r>
      <w:r w:rsidRPr="003E433F">
        <w:rPr>
          <w:rFonts w:ascii="Times New Roman" w:hAnsi="Times New Roman" w:cs="Times New Roman"/>
          <w:szCs w:val="24"/>
        </w:rPr>
        <w:t xml:space="preserve"> in section 66(1A) of the Ordinance in an appeal involving a corporate appellant.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For the sake of argument, even assuming that the Board errs on this and the Taxpayer should be entitled to rely on </w:t>
      </w:r>
      <w:r w:rsidR="00FF4AA0">
        <w:rPr>
          <w:rFonts w:ascii="Times New Roman" w:hAnsi="Times New Roman" w:cs="Times New Roman"/>
          <w:szCs w:val="24"/>
        </w:rPr>
        <w:t>Mr C</w:t>
      </w:r>
      <w:r w:rsidRPr="003E433F">
        <w:rPr>
          <w:rFonts w:ascii="Times New Roman" w:hAnsi="Times New Roman" w:cs="Times New Roman"/>
          <w:szCs w:val="24"/>
        </w:rPr>
        <w:t xml:space="preserve">’s absence from Hong Kong to seek an extension of time, the Taxpayer has in any event failed to show that it was such absence which prevented the Taxpayer from giving the Notice of Appeal in accordance with section </w:t>
      </w:r>
      <w:r w:rsidRPr="003E433F">
        <w:rPr>
          <w:rFonts w:ascii="Times New Roman" w:hAnsi="Times New Roman" w:cs="Times New Roman"/>
          <w:szCs w:val="24"/>
        </w:rPr>
        <w:lastRenderedPageBreak/>
        <w:t>66(1)(a) of the Ordinance to be discussed further below.</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EF5465" w:rsidRDefault="009C7CD1" w:rsidP="009C7CD1">
      <w:pPr>
        <w:pStyle w:val="ac"/>
        <w:numPr>
          <w:ilvl w:val="0"/>
          <w:numId w:val="16"/>
        </w:numPr>
        <w:overflowPunct w:val="0"/>
        <w:autoSpaceDE w:val="0"/>
        <w:autoSpaceDN w:val="0"/>
        <w:ind w:leftChars="0"/>
        <w:jc w:val="both"/>
        <w:rPr>
          <w:rFonts w:ascii="Times New Roman" w:hAnsi="Times New Roman" w:cs="Times New Roman"/>
          <w:b/>
          <w:szCs w:val="24"/>
        </w:rPr>
      </w:pPr>
      <w:r>
        <w:rPr>
          <w:rFonts w:ascii="Times New Roman" w:hAnsi="Times New Roman" w:cs="Times New Roman"/>
          <w:b/>
          <w:szCs w:val="24"/>
        </w:rPr>
        <w:t xml:space="preserve">         </w:t>
      </w:r>
      <w:r w:rsidR="00EF5465">
        <w:rPr>
          <w:rFonts w:ascii="Times New Roman" w:hAnsi="Times New Roman" w:cs="Times New Roman"/>
          <w:b/>
          <w:szCs w:val="24"/>
        </w:rPr>
        <w:t>‘OTHER REASONABLE CAUSE’</w:t>
      </w:r>
    </w:p>
    <w:p w:rsidR="00843132" w:rsidRPr="00EF5465"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In view of the above, the next question for consideration is whether or not, as submitted by the Taxp</w:t>
      </w:r>
      <w:r w:rsidR="00EF5465">
        <w:rPr>
          <w:rFonts w:ascii="Times New Roman" w:hAnsi="Times New Roman" w:cs="Times New Roman"/>
          <w:szCs w:val="24"/>
        </w:rPr>
        <w:t xml:space="preserve">ayer, (1) the misdirection by </w:t>
      </w:r>
      <w:r w:rsidRPr="003E433F">
        <w:rPr>
          <w:rFonts w:ascii="Times New Roman" w:hAnsi="Times New Roman" w:cs="Times New Roman"/>
          <w:szCs w:val="24"/>
        </w:rPr>
        <w:t>C</w:t>
      </w:r>
      <w:r w:rsidR="00EF5465">
        <w:rPr>
          <w:rFonts w:ascii="Times New Roman" w:hAnsi="Times New Roman" w:cs="Times New Roman"/>
          <w:szCs w:val="24"/>
        </w:rPr>
        <w:t>ompany F of the Determination to Ms J</w:t>
      </w:r>
      <w:r w:rsidRPr="003E433F">
        <w:rPr>
          <w:rFonts w:ascii="Times New Roman" w:hAnsi="Times New Roman" w:cs="Times New Roman"/>
          <w:szCs w:val="24"/>
        </w:rPr>
        <w:t>; and (</w:t>
      </w:r>
      <w:r w:rsidR="00EF5465">
        <w:rPr>
          <w:rFonts w:ascii="Times New Roman" w:hAnsi="Times New Roman" w:cs="Times New Roman"/>
          <w:szCs w:val="24"/>
        </w:rPr>
        <w:t>2) the subsequent failure by Ms J</w:t>
      </w:r>
      <w:r w:rsidRPr="003E433F">
        <w:rPr>
          <w:rFonts w:ascii="Times New Roman" w:hAnsi="Times New Roman" w:cs="Times New Roman"/>
          <w:szCs w:val="24"/>
        </w:rPr>
        <w:t xml:space="preserve"> to bring the Determin</w:t>
      </w:r>
      <w:r w:rsidR="00EF5465">
        <w:rPr>
          <w:rFonts w:ascii="Times New Roman" w:hAnsi="Times New Roman" w:cs="Times New Roman"/>
          <w:szCs w:val="24"/>
        </w:rPr>
        <w:t>ation to the attention of Mr C</w:t>
      </w:r>
      <w:r w:rsidRPr="003E433F">
        <w:rPr>
          <w:rFonts w:ascii="Times New Roman" w:hAnsi="Times New Roman" w:cs="Times New Roman"/>
          <w:szCs w:val="24"/>
        </w:rPr>
        <w:t xml:space="preserve">, would </w:t>
      </w:r>
      <w:r w:rsidR="00EF5465">
        <w:rPr>
          <w:rFonts w:ascii="Times New Roman" w:hAnsi="Times New Roman" w:cs="Times New Roman"/>
          <w:szCs w:val="24"/>
        </w:rPr>
        <w:t>singly or jointly constitute a ‘reasonable cause’</w:t>
      </w:r>
      <w:r w:rsidRPr="003E433F">
        <w:rPr>
          <w:rFonts w:ascii="Times New Roman" w:hAnsi="Times New Roman" w:cs="Times New Roman"/>
          <w:szCs w:val="24"/>
        </w:rPr>
        <w:t xml:space="preserve"> for the Taxpayer’s purpose of seeking an extension of time pursuant to section 66(1A) of the Ordinance.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 Board is unable to accept these submissions of the Taxpayer for the following reasons.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First of all, the question of whether a cause was reasonable would undoubtedly depend on the facts on an individual case.  However, there is no doubt that any unilateral mistakes of an appellant cannot be properly described as a reasonable cause preventing him from giving the notice of appeal within time: see </w:t>
      </w:r>
      <w:r w:rsidRPr="00EF5465">
        <w:rPr>
          <w:rFonts w:ascii="Times New Roman" w:hAnsi="Times New Roman" w:cs="Times New Roman"/>
          <w:iCs/>
          <w:color w:val="000000"/>
          <w:szCs w:val="24"/>
        </w:rPr>
        <w:t>Chow Kwong Fai</w:t>
      </w:r>
      <w:r w:rsidRPr="003E433F">
        <w:rPr>
          <w:rFonts w:ascii="Times New Roman" w:hAnsi="Times New Roman" w:cs="Times New Roman"/>
          <w:b/>
          <w:i/>
          <w:iCs/>
          <w:color w:val="000000"/>
          <w:szCs w:val="24"/>
        </w:rPr>
        <w:t xml:space="preserve"> </w:t>
      </w:r>
      <w:r w:rsidRPr="003E433F">
        <w:rPr>
          <w:rFonts w:ascii="Times New Roman" w:hAnsi="Times New Roman" w:cs="Times New Roman"/>
          <w:iCs/>
          <w:color w:val="000000"/>
          <w:szCs w:val="24"/>
        </w:rPr>
        <w:t>(</w:t>
      </w:r>
      <w:r w:rsidRPr="003E433F">
        <w:rPr>
          <w:rFonts w:ascii="Times New Roman" w:hAnsi="Times New Roman" w:cs="Times New Roman"/>
          <w:i/>
          <w:iCs/>
          <w:color w:val="000000"/>
          <w:szCs w:val="24"/>
        </w:rPr>
        <w:t>supra.</w:t>
      </w:r>
      <w:r w:rsidRPr="003E433F">
        <w:rPr>
          <w:rFonts w:ascii="Times New Roman" w:hAnsi="Times New Roman" w:cs="Times New Roman"/>
          <w:iCs/>
          <w:color w:val="000000"/>
          <w:szCs w:val="24"/>
        </w:rPr>
        <w:t xml:space="preserve">) </w:t>
      </w:r>
      <w:r w:rsidRPr="003E433F">
        <w:rPr>
          <w:rFonts w:ascii="Times New Roman" w:hAnsi="Times New Roman" w:cs="Times New Roman"/>
          <w:color w:val="000000"/>
          <w:szCs w:val="24"/>
        </w:rPr>
        <w:t xml:space="preserve">at </w:t>
      </w:r>
      <w:r w:rsidRPr="003E433F">
        <w:rPr>
          <w:rFonts w:ascii="Times New Roman" w:eastAsia="新細明體" w:hAnsi="Times New Roman" w:cs="Times New Roman"/>
          <w:color w:val="000000"/>
          <w:szCs w:val="24"/>
        </w:rPr>
        <w:t>§§</w:t>
      </w:r>
      <w:r w:rsidRPr="003E433F">
        <w:rPr>
          <w:rFonts w:ascii="Times New Roman" w:hAnsi="Times New Roman" w:cs="Times New Roman"/>
          <w:color w:val="000000"/>
          <w:szCs w:val="24"/>
        </w:rPr>
        <w:t xml:space="preserve">41, 45 </w:t>
      </w:r>
      <w:r w:rsidRPr="003E433F">
        <w:rPr>
          <w:rFonts w:ascii="Times New Roman" w:hAnsi="Times New Roman" w:cs="Times New Roman"/>
          <w:i/>
          <w:color w:val="000000"/>
          <w:szCs w:val="24"/>
        </w:rPr>
        <w:t>per</w:t>
      </w:r>
      <w:r w:rsidRPr="003E433F">
        <w:rPr>
          <w:rFonts w:ascii="Times New Roman" w:hAnsi="Times New Roman" w:cs="Times New Roman"/>
          <w:color w:val="000000"/>
          <w:szCs w:val="24"/>
        </w:rPr>
        <w:t xml:space="preserve"> Cheung JA</w:t>
      </w:r>
      <w:r w:rsidRPr="003E433F">
        <w:rPr>
          <w:rFonts w:ascii="Times New Roman" w:hAnsi="Times New Roman" w:cs="Times New Roman"/>
          <w:szCs w:val="24"/>
        </w:rPr>
        <w:t xml:space="preserve">.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In addition, in the context of the consideration of the proviso to section 64(1) of the Ordinance </w:t>
      </w:r>
      <w:r w:rsidR="00EF5465">
        <w:rPr>
          <w:rFonts w:ascii="Times New Roman" w:hAnsi="Times New Roman" w:cs="Times New Roman"/>
          <w:szCs w:val="24"/>
        </w:rPr>
        <w:t>containing ‘</w:t>
      </w:r>
      <w:r w:rsidRPr="003E433F">
        <w:rPr>
          <w:rFonts w:ascii="Times New Roman" w:hAnsi="Times New Roman" w:cs="Times New Roman"/>
          <w:szCs w:val="24"/>
        </w:rPr>
        <w:t>absence from Hong Kong, sic</w:t>
      </w:r>
      <w:r w:rsidR="00EF5465">
        <w:rPr>
          <w:rFonts w:ascii="Times New Roman" w:hAnsi="Times New Roman" w:cs="Times New Roman"/>
          <w:szCs w:val="24"/>
        </w:rPr>
        <w:t>kness or other reasonable cause’</w:t>
      </w:r>
      <w:r w:rsidRPr="003E433F">
        <w:rPr>
          <w:rFonts w:ascii="Times New Roman" w:hAnsi="Times New Roman" w:cs="Times New Roman"/>
          <w:szCs w:val="24"/>
        </w:rPr>
        <w:t xml:space="preserve">, which are substantially the same reasons as in the case of section 66(1A) of the Ordinance, it was held that considering the language used, coupled with the context of a short time limit for a step to be taken to commence the appeal process, </w:t>
      </w:r>
      <w:r w:rsidR="00EF5465">
        <w:rPr>
          <w:rFonts w:ascii="Times New Roman" w:hAnsi="Times New Roman" w:cs="Times New Roman"/>
          <w:szCs w:val="24"/>
        </w:rPr>
        <w:t>the proviso should contemplate ‘</w:t>
      </w:r>
      <w:r w:rsidRPr="003E433F">
        <w:rPr>
          <w:rFonts w:ascii="Times New Roman" w:hAnsi="Times New Roman" w:cs="Times New Roman"/>
          <w:szCs w:val="24"/>
        </w:rPr>
        <w:t xml:space="preserve">some temporary impediment of </w:t>
      </w:r>
      <w:r w:rsidR="00EF5465">
        <w:rPr>
          <w:rFonts w:ascii="Times New Roman" w:hAnsi="Times New Roman" w:cs="Times New Roman"/>
          <w:szCs w:val="24"/>
        </w:rPr>
        <w:t>an external and physical nature’</w:t>
      </w:r>
      <w:r w:rsidRPr="003E433F">
        <w:rPr>
          <w:rFonts w:ascii="Times New Roman" w:hAnsi="Times New Roman" w:cs="Times New Roman"/>
          <w:szCs w:val="24"/>
        </w:rPr>
        <w:t xml:space="preserve">, rather than “something internal and psychological”: see </w:t>
      </w:r>
      <w:r w:rsidRPr="00EF5465">
        <w:rPr>
          <w:rFonts w:ascii="Times New Roman" w:hAnsi="Times New Roman" w:cs="Times New Roman"/>
          <w:szCs w:val="24"/>
        </w:rPr>
        <w:t>Moulin Global Eyecare</w:t>
      </w:r>
      <w:r w:rsidRPr="003E433F">
        <w:rPr>
          <w:rFonts w:ascii="Times New Roman" w:hAnsi="Times New Roman" w:cs="Times New Roman"/>
          <w:szCs w:val="24"/>
        </w:rPr>
        <w:t xml:space="preserve"> (CFA) (</w:t>
      </w:r>
      <w:r w:rsidRPr="003E433F">
        <w:rPr>
          <w:rFonts w:ascii="Times New Roman" w:hAnsi="Times New Roman" w:cs="Times New Roman"/>
          <w:i/>
          <w:szCs w:val="24"/>
        </w:rPr>
        <w:t>supra.</w:t>
      </w:r>
      <w:r w:rsidRPr="003E433F">
        <w:rPr>
          <w:rFonts w:ascii="Times New Roman" w:hAnsi="Times New Roman" w:cs="Times New Roman"/>
          <w:szCs w:val="24"/>
        </w:rPr>
        <w:t xml:space="preserve">) at </w:t>
      </w:r>
      <w:r w:rsidRPr="003E433F">
        <w:rPr>
          <w:rFonts w:ascii="Times New Roman" w:eastAsia="新細明體" w:hAnsi="Times New Roman" w:cs="Times New Roman"/>
          <w:color w:val="000000"/>
          <w:szCs w:val="24"/>
        </w:rPr>
        <w:t>§§123-124</w:t>
      </w:r>
      <w:r w:rsidRPr="003E433F">
        <w:rPr>
          <w:rFonts w:ascii="Times New Roman" w:hAnsi="Times New Roman" w:cs="Times New Roman"/>
          <w:color w:val="000000"/>
          <w:szCs w:val="24"/>
        </w:rPr>
        <w:t xml:space="preserve"> </w:t>
      </w:r>
      <w:r w:rsidRPr="003E433F">
        <w:rPr>
          <w:rFonts w:ascii="Times New Roman" w:hAnsi="Times New Roman" w:cs="Times New Roman"/>
          <w:i/>
          <w:color w:val="000000"/>
          <w:szCs w:val="24"/>
        </w:rPr>
        <w:t>per</w:t>
      </w:r>
      <w:r w:rsidRPr="003E433F">
        <w:rPr>
          <w:rFonts w:ascii="Times New Roman" w:hAnsi="Times New Roman" w:cs="Times New Roman"/>
          <w:color w:val="000000"/>
          <w:szCs w:val="24"/>
        </w:rPr>
        <w:t xml:space="preserve"> Lord Walker</w:t>
      </w:r>
      <w:r w:rsidRPr="003E433F">
        <w:rPr>
          <w:rFonts w:ascii="Times New Roman" w:hAnsi="Times New Roman" w:cs="Times New Roman"/>
          <w:szCs w:val="24"/>
        </w:rPr>
        <w:t xml:space="preserve">.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It is also relevant to note that the Taxpayer accepts that the specified reasonable causes in section 66(1A) of the Ordinance describe a class of causes</w:t>
      </w:r>
      <w:r w:rsidR="00EF5465">
        <w:rPr>
          <w:rFonts w:ascii="Times New Roman" w:hAnsi="Times New Roman" w:cs="Times New Roman"/>
          <w:szCs w:val="24"/>
        </w:rPr>
        <w:t xml:space="preserve"> that arise from contingencies ‘</w:t>
      </w:r>
      <w:r w:rsidRPr="003E433F">
        <w:rPr>
          <w:rFonts w:ascii="Times New Roman" w:hAnsi="Times New Roman" w:cs="Times New Roman"/>
          <w:szCs w:val="24"/>
        </w:rPr>
        <w:t>beyond the immediate control of the taxpaye</w:t>
      </w:r>
      <w:r w:rsidR="00EF5465">
        <w:rPr>
          <w:rFonts w:ascii="Times New Roman" w:hAnsi="Times New Roman" w:cs="Times New Roman"/>
          <w:szCs w:val="24"/>
        </w:rPr>
        <w:t>r’ and are ‘</w:t>
      </w:r>
      <w:r w:rsidRPr="003E433F">
        <w:rPr>
          <w:rFonts w:ascii="Times New Roman" w:hAnsi="Times New Roman" w:cs="Times New Roman"/>
          <w:szCs w:val="24"/>
        </w:rPr>
        <w:t>not directly due to his negligence</w:t>
      </w:r>
      <w:r w:rsidR="00EF5465">
        <w:rPr>
          <w:rFonts w:ascii="Times New Roman" w:hAnsi="Times New Roman" w:cs="Times New Roman"/>
          <w:szCs w:val="24"/>
        </w:rPr>
        <w:t>, inadvertence, or carelessness’</w:t>
      </w:r>
      <w:r w:rsidRPr="003E433F">
        <w:rPr>
          <w:rFonts w:ascii="Times New Roman" w:hAnsi="Times New Roman" w:cs="Times New Roman"/>
          <w:szCs w:val="24"/>
        </w:rPr>
        <w:t>.</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Bearing these legal principles in mind, the Board rejects the Taxpayer’s argument t</w:t>
      </w:r>
      <w:r w:rsidR="00EF5465">
        <w:rPr>
          <w:rFonts w:ascii="Times New Roman" w:hAnsi="Times New Roman" w:cs="Times New Roman"/>
          <w:szCs w:val="24"/>
        </w:rPr>
        <w:t xml:space="preserve">hat the acts and omissions of </w:t>
      </w:r>
      <w:r w:rsidRPr="003E433F">
        <w:rPr>
          <w:rFonts w:ascii="Times New Roman" w:hAnsi="Times New Roman" w:cs="Times New Roman"/>
          <w:szCs w:val="24"/>
        </w:rPr>
        <w:t>C</w:t>
      </w:r>
      <w:r w:rsidR="00EF5465">
        <w:rPr>
          <w:rFonts w:ascii="Times New Roman" w:hAnsi="Times New Roman" w:cs="Times New Roman"/>
          <w:szCs w:val="24"/>
        </w:rPr>
        <w:t>ompany F and Ms J</w:t>
      </w:r>
      <w:r w:rsidRPr="003E433F">
        <w:rPr>
          <w:rFonts w:ascii="Times New Roman" w:hAnsi="Times New Roman" w:cs="Times New Roman"/>
          <w:szCs w:val="24"/>
        </w:rPr>
        <w:t xml:space="preserve"> cannot be imputed onto the Taxpayer, or that the Taxpayer should not be faulted for not having a more substantive presence of agents and/or professional advisors in Hong Kong.  Contrary to the Taxpayer’s submissions, there were obviously steps or measures that could have been undertaken by the Taxpayer in the circumstances of the present case to procure the Determination to be properly and timely brought to its attention.</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These few broad matters are highlighted as follows.</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i/>
          <w:szCs w:val="24"/>
        </w:rPr>
        <w:t>First</w:t>
      </w:r>
      <w:r w:rsidRPr="003E433F">
        <w:rPr>
          <w:rFonts w:ascii="Times New Roman" w:hAnsi="Times New Roman" w:cs="Times New Roman"/>
          <w:szCs w:val="24"/>
        </w:rPr>
        <w:t>, the Taxpayer has the duty to understand its tax obligations under the Ordinance in Hong Kong, including the following provisions and requirements.</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szCs w:val="24"/>
        </w:rPr>
        <w:t xml:space="preserve">Pursuant to section 58(2) of the Ordinance, every notice given by virtue of </w:t>
      </w:r>
      <w:r w:rsidRPr="003E433F">
        <w:rPr>
          <w:rFonts w:ascii="Times New Roman" w:hAnsi="Times New Roman" w:cs="Times New Roman"/>
          <w:szCs w:val="24"/>
        </w:rPr>
        <w:lastRenderedPageBreak/>
        <w:t>the Ordinance may be served on a person either personally or</w:t>
      </w:r>
      <w:r w:rsidRPr="003E433F">
        <w:rPr>
          <w:rFonts w:ascii="Times New Roman" w:hAnsi="Times New Roman" w:cs="Times New Roman"/>
          <w:i/>
          <w:szCs w:val="24"/>
        </w:rPr>
        <w:t xml:space="preserve"> </w:t>
      </w:r>
      <w:r w:rsidRPr="003E433F">
        <w:rPr>
          <w:rFonts w:ascii="Times New Roman" w:hAnsi="Times New Roman" w:cs="Times New Roman"/>
          <w:szCs w:val="24"/>
        </w:rPr>
        <w:t>by being delivered at, or sent by post to, his last known postal address, place of abode, business or employment or any place at which he is, or was during the year to which the notice relates, employed or carrying on business or the land or buildings or land and buildings in respect of which is chargeable to tax under Part 2 of the Ordinance.</w:t>
      </w: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szCs w:val="24"/>
        </w:rPr>
        <w:t>Unless the contrary is shown, any notice sent by post shall be deemed to have been served on the day succeeding the day on which it would have been received in the ordinary course by post under section 58(3) of the Ordinance.</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szCs w:val="24"/>
        </w:rPr>
        <w:t xml:space="preserve">It is further provided by section 58(4) of the Ordinance that in proving service by post, it shall be sufficient to prove that the letter containing the notice was duly addressed and posted.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Pursuant to section 8 of the Interpretation and General Clauses Ordinance</w:t>
      </w:r>
      <w:r w:rsidRPr="003E433F">
        <w:rPr>
          <w:rFonts w:ascii="Times New Roman" w:hAnsi="Times New Roman" w:cs="Times New Roman"/>
          <w:b/>
          <w:szCs w:val="24"/>
        </w:rPr>
        <w:t xml:space="preserve"> </w:t>
      </w:r>
      <w:r w:rsidRPr="003E433F">
        <w:rPr>
          <w:rFonts w:ascii="Times New Roman" w:hAnsi="Times New Roman" w:cs="Times New Roman"/>
          <w:szCs w:val="24"/>
        </w:rPr>
        <w:t>(Cap 1):</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EF5465" w:rsidRDefault="00EF5465" w:rsidP="00A33E44">
      <w:pPr>
        <w:pStyle w:val="ac"/>
        <w:widowControl/>
        <w:tabs>
          <w:tab w:val="left" w:pos="1932"/>
        </w:tabs>
        <w:overflowPunct w:val="0"/>
        <w:autoSpaceDE w:val="0"/>
        <w:autoSpaceDN w:val="0"/>
        <w:ind w:leftChars="638" w:left="2059" w:hangingChars="220" w:hanging="528"/>
        <w:jc w:val="both"/>
        <w:rPr>
          <w:rFonts w:ascii="Times New Roman" w:hAnsi="Times New Roman" w:cs="Times New Roman"/>
          <w:i/>
          <w:szCs w:val="24"/>
        </w:rPr>
      </w:pPr>
      <w:r>
        <w:rPr>
          <w:rFonts w:ascii="Times New Roman" w:hAnsi="Times New Roman" w:cs="Times New Roman"/>
          <w:i/>
          <w:szCs w:val="24"/>
        </w:rPr>
        <w:t>‘</w:t>
      </w:r>
      <w:r w:rsidR="00843132" w:rsidRPr="00EF5465">
        <w:rPr>
          <w:rFonts w:ascii="Times New Roman" w:hAnsi="Times New Roman" w:cs="Times New Roman"/>
          <w:i/>
          <w:szCs w:val="24"/>
        </w:rPr>
        <w:t xml:space="preserve">Where any Ordinance authorizes or requires any documents to be served or any notice to be given by post or by registered post, whether the expression “serve” or “give” or “send” or any other expression is used, </w:t>
      </w:r>
      <w:r w:rsidR="00843132" w:rsidRPr="00B77FAC">
        <w:rPr>
          <w:rFonts w:ascii="Times New Roman" w:hAnsi="Times New Roman" w:cs="Times New Roman"/>
          <w:i/>
          <w:szCs w:val="24"/>
          <w:u w:val="single"/>
        </w:rPr>
        <w:t>the service or notice shall be deemed to be effected by properly addressing, pre-paying the postage thereon and dispatching it by post or by registered post, as the case may be, to the last known postal address of the person to be served or given notice</w:t>
      </w:r>
      <w:r w:rsidR="00843132" w:rsidRPr="00B77FAC">
        <w:rPr>
          <w:rFonts w:ascii="Times New Roman" w:hAnsi="Times New Roman" w:cs="Times New Roman"/>
          <w:i/>
          <w:szCs w:val="24"/>
        </w:rPr>
        <w:t>, and unless the contrary is proved, such service or notice shall be deeme</w:t>
      </w:r>
      <w:r w:rsidR="00843132" w:rsidRPr="00EF5465">
        <w:rPr>
          <w:rFonts w:ascii="Times New Roman" w:hAnsi="Times New Roman" w:cs="Times New Roman"/>
          <w:i/>
          <w:szCs w:val="24"/>
        </w:rPr>
        <w:t>d to have been effected at the time at which the document or notice would be delivered in the ordinary course of post</w:t>
      </w:r>
      <w:r w:rsidR="00843132" w:rsidRPr="00B77FAC">
        <w:rPr>
          <w:rFonts w:ascii="Times New Roman" w:hAnsi="Times New Roman" w:cs="Times New Roman"/>
          <w:i/>
          <w:szCs w:val="24"/>
        </w:rPr>
        <w:t xml:space="preserve"> (emphasis added)</w:t>
      </w:r>
      <w:r w:rsidRPr="00B77FAC">
        <w:rPr>
          <w:rFonts w:ascii="Times New Roman" w:hAnsi="Times New Roman" w:cs="Times New Roman"/>
          <w:i/>
          <w:szCs w:val="24"/>
        </w:rPr>
        <w:t>.</w:t>
      </w:r>
      <w:r>
        <w:rPr>
          <w:rFonts w:ascii="Times New Roman" w:hAnsi="Times New Roman" w:cs="Times New Roman"/>
          <w:i/>
          <w:szCs w:val="24"/>
        </w:rPr>
        <w:t>’</w:t>
      </w:r>
      <w:r w:rsidR="00843132" w:rsidRPr="00EF5465">
        <w:rPr>
          <w:rFonts w:ascii="Times New Roman" w:hAnsi="Times New Roman" w:cs="Times New Roman"/>
          <w:i/>
          <w:szCs w:val="24"/>
        </w:rPr>
        <w:t xml:space="preserve">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According to section 51(8) of the Ordinance, any person chargeable to tax under Part 2 (profits tax) among other parts who changes his address shall within one month inform the Commissioner in writing of the particulars of the change.  The statutory duty is reinforced with criminal sanction under section 80(1)(c) of the Ordinance.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Second, it was</w:t>
      </w:r>
      <w:r w:rsidRPr="003E433F">
        <w:rPr>
          <w:rFonts w:ascii="Times New Roman" w:hAnsi="Times New Roman" w:cs="Times New Roman"/>
          <w:szCs w:val="24"/>
        </w:rPr>
        <w:t xml:space="preserve"> the Taxpayer’s own c</w:t>
      </w:r>
      <w:r w:rsidR="006544AE">
        <w:rPr>
          <w:rFonts w:ascii="Times New Roman" w:hAnsi="Times New Roman" w:cs="Times New Roman"/>
          <w:szCs w:val="24"/>
        </w:rPr>
        <w:t xml:space="preserve">hoice to adopt the address of </w:t>
      </w:r>
      <w:r w:rsidRPr="003E433F">
        <w:rPr>
          <w:rFonts w:ascii="Times New Roman" w:hAnsi="Times New Roman" w:cs="Times New Roman"/>
          <w:szCs w:val="24"/>
        </w:rPr>
        <w:t>C</w:t>
      </w:r>
      <w:r w:rsidR="006544AE">
        <w:rPr>
          <w:rFonts w:ascii="Times New Roman" w:hAnsi="Times New Roman" w:cs="Times New Roman"/>
          <w:szCs w:val="24"/>
        </w:rPr>
        <w:t xml:space="preserve">ompany F, sharing with </w:t>
      </w:r>
      <w:r w:rsidRPr="003E433F">
        <w:rPr>
          <w:rFonts w:ascii="Times New Roman" w:hAnsi="Times New Roman" w:cs="Times New Roman"/>
          <w:szCs w:val="24"/>
        </w:rPr>
        <w:t>C</w:t>
      </w:r>
      <w:r w:rsidR="006544AE">
        <w:rPr>
          <w:rFonts w:ascii="Times New Roman" w:hAnsi="Times New Roman" w:cs="Times New Roman"/>
          <w:szCs w:val="24"/>
        </w:rPr>
        <w:t>ompany G</w:t>
      </w:r>
      <w:r w:rsidRPr="003E433F">
        <w:rPr>
          <w:rFonts w:ascii="Times New Roman" w:hAnsi="Times New Roman" w:cs="Times New Roman"/>
          <w:szCs w:val="24"/>
        </w:rPr>
        <w:t xml:space="preserve"> being the Taxpayer’s auditors, as the Registered Address.  Taking the Taxpayer’s case to the highest, it well kn</w:t>
      </w:r>
      <w:r w:rsidR="006544AE">
        <w:rPr>
          <w:rFonts w:ascii="Times New Roman" w:hAnsi="Times New Roman" w:cs="Times New Roman"/>
          <w:szCs w:val="24"/>
        </w:rPr>
        <w:t xml:space="preserve">ew at all material times that </w:t>
      </w:r>
      <w:r w:rsidRPr="003E433F">
        <w:rPr>
          <w:rFonts w:ascii="Times New Roman" w:hAnsi="Times New Roman" w:cs="Times New Roman"/>
          <w:szCs w:val="24"/>
        </w:rPr>
        <w:t>C</w:t>
      </w:r>
      <w:r w:rsidR="006544AE">
        <w:rPr>
          <w:rFonts w:ascii="Times New Roman" w:hAnsi="Times New Roman" w:cs="Times New Roman"/>
          <w:szCs w:val="24"/>
        </w:rPr>
        <w:t>ompany F</w:t>
      </w:r>
      <w:r w:rsidRPr="003E433F">
        <w:rPr>
          <w:rFonts w:ascii="Times New Roman" w:hAnsi="Times New Roman" w:cs="Times New Roman"/>
          <w:szCs w:val="24"/>
        </w:rPr>
        <w:t xml:space="preserve"> was not an association of professionals, a company secretary or a tax representative but merely a provider of forwarding address.</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Third, as acc</w:t>
      </w:r>
      <w:r w:rsidRPr="003E433F">
        <w:rPr>
          <w:rFonts w:ascii="Times New Roman" w:hAnsi="Times New Roman" w:cs="Times New Roman"/>
          <w:szCs w:val="24"/>
        </w:rPr>
        <w:t>epted by the Taxpayer, the parcel containing the Determination was indeed sent by the Commissioner to the Registered Address.  Under section 58(2) of the Ordinance, it is sufficient for notice given by virtue of the Ordinance to be served by post to the last known place of business.  The Commissioner had no duty in the present case to transmit the Determination to</w:t>
      </w:r>
      <w:r w:rsidR="006544AE">
        <w:rPr>
          <w:rFonts w:ascii="Times New Roman" w:hAnsi="Times New Roman" w:cs="Times New Roman"/>
          <w:szCs w:val="24"/>
        </w:rPr>
        <w:t xml:space="preserve"> Mr C</w:t>
      </w:r>
      <w:r w:rsidRPr="003E433F">
        <w:rPr>
          <w:rFonts w:ascii="Times New Roman" w:hAnsi="Times New Roman" w:cs="Times New Roman"/>
          <w:szCs w:val="24"/>
        </w:rPr>
        <w:t xml:space="preserve"> or otherwise bring it to his actual attention as contended by the Taxpayer.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 xml:space="preserve">Fourth, again </w:t>
      </w:r>
      <w:r w:rsidRPr="003E433F">
        <w:rPr>
          <w:rFonts w:ascii="Times New Roman" w:hAnsi="Times New Roman" w:cs="Times New Roman"/>
          <w:szCs w:val="24"/>
        </w:rPr>
        <w:t>putting the Taxpayer’s case to the</w:t>
      </w:r>
      <w:r w:rsidR="006544AE">
        <w:rPr>
          <w:rFonts w:ascii="Times New Roman" w:hAnsi="Times New Roman" w:cs="Times New Roman"/>
          <w:szCs w:val="24"/>
        </w:rPr>
        <w:t xml:space="preserve"> highest, it could have given </w:t>
      </w:r>
      <w:r w:rsidRPr="003E433F">
        <w:rPr>
          <w:rFonts w:ascii="Times New Roman" w:hAnsi="Times New Roman" w:cs="Times New Roman"/>
          <w:szCs w:val="24"/>
        </w:rPr>
        <w:t>C</w:t>
      </w:r>
      <w:r w:rsidR="006544AE">
        <w:rPr>
          <w:rFonts w:ascii="Times New Roman" w:hAnsi="Times New Roman" w:cs="Times New Roman"/>
          <w:szCs w:val="24"/>
        </w:rPr>
        <w:t>ompany F</w:t>
      </w:r>
      <w:r w:rsidRPr="003E433F">
        <w:rPr>
          <w:rFonts w:ascii="Times New Roman" w:hAnsi="Times New Roman" w:cs="Times New Roman"/>
          <w:szCs w:val="24"/>
        </w:rPr>
        <w:t xml:space="preserve"> authorization to access to its incoming correspondence and documents </w:t>
      </w:r>
      <w:r w:rsidRPr="003E433F">
        <w:rPr>
          <w:rFonts w:ascii="Times New Roman" w:hAnsi="Times New Roman" w:cs="Times New Roman"/>
          <w:szCs w:val="24"/>
        </w:rPr>
        <w:lastRenderedPageBreak/>
        <w:t>including the Determination but it did not do so.  It is part of the</w:t>
      </w:r>
      <w:r w:rsidR="006544AE">
        <w:rPr>
          <w:rFonts w:ascii="Times New Roman" w:hAnsi="Times New Roman" w:cs="Times New Roman"/>
          <w:szCs w:val="24"/>
        </w:rPr>
        <w:t xml:space="preserve"> Taxpayer’s own case that Mr C</w:t>
      </w:r>
      <w:r w:rsidRPr="003E433F">
        <w:rPr>
          <w:rFonts w:ascii="Times New Roman" w:hAnsi="Times New Roman" w:cs="Times New Roman"/>
          <w:szCs w:val="24"/>
        </w:rPr>
        <w:t xml:space="preserve"> was at the material times well aware that there was an ongoing tax dispute with the Commissioner.</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Fifth, the Tax</w:t>
      </w:r>
      <w:r w:rsidRPr="003E433F">
        <w:rPr>
          <w:rFonts w:ascii="Times New Roman" w:hAnsi="Times New Roman" w:cs="Times New Roman"/>
          <w:szCs w:val="24"/>
        </w:rPr>
        <w:t>payer could al</w:t>
      </w:r>
      <w:r w:rsidR="005C2E41">
        <w:rPr>
          <w:rFonts w:ascii="Times New Roman" w:hAnsi="Times New Roman" w:cs="Times New Roman"/>
          <w:szCs w:val="24"/>
        </w:rPr>
        <w:t xml:space="preserve">so have given instructions to </w:t>
      </w:r>
      <w:r w:rsidRPr="003E433F">
        <w:rPr>
          <w:rFonts w:ascii="Times New Roman" w:hAnsi="Times New Roman" w:cs="Times New Roman"/>
          <w:szCs w:val="24"/>
        </w:rPr>
        <w:t>C</w:t>
      </w:r>
      <w:r w:rsidR="005C2E41">
        <w:rPr>
          <w:rFonts w:ascii="Times New Roman" w:hAnsi="Times New Roman" w:cs="Times New Roman"/>
          <w:szCs w:val="24"/>
        </w:rPr>
        <w:t xml:space="preserve">ompany F or </w:t>
      </w:r>
      <w:r w:rsidRPr="003E433F">
        <w:rPr>
          <w:rFonts w:ascii="Times New Roman" w:hAnsi="Times New Roman" w:cs="Times New Roman"/>
          <w:szCs w:val="24"/>
        </w:rPr>
        <w:t>C</w:t>
      </w:r>
      <w:r w:rsidR="005C2E41">
        <w:rPr>
          <w:rFonts w:ascii="Times New Roman" w:hAnsi="Times New Roman" w:cs="Times New Roman"/>
          <w:szCs w:val="24"/>
        </w:rPr>
        <w:t>ompany G</w:t>
      </w:r>
      <w:r w:rsidRPr="003E433F">
        <w:rPr>
          <w:rFonts w:ascii="Times New Roman" w:hAnsi="Times New Roman" w:cs="Times New Roman"/>
          <w:szCs w:val="24"/>
        </w:rPr>
        <w:t xml:space="preserve"> to forward all incoming corres</w:t>
      </w:r>
      <w:r w:rsidR="005C2E41">
        <w:rPr>
          <w:rFonts w:ascii="Times New Roman" w:hAnsi="Times New Roman" w:cs="Times New Roman"/>
          <w:szCs w:val="24"/>
        </w:rPr>
        <w:t>pondence and documents to Mr C</w:t>
      </w:r>
      <w:r w:rsidRPr="003E433F">
        <w:rPr>
          <w:rFonts w:ascii="Times New Roman" w:hAnsi="Times New Roman" w:cs="Times New Roman"/>
          <w:szCs w:val="24"/>
        </w:rPr>
        <w:t xml:space="preserve"> direct in the first place.  The Taxpayer however chose to rely</w:t>
      </w:r>
      <w:r w:rsidR="005C2E41">
        <w:rPr>
          <w:rFonts w:ascii="Times New Roman" w:hAnsi="Times New Roman" w:cs="Times New Roman"/>
          <w:szCs w:val="24"/>
        </w:rPr>
        <w:t xml:space="preserve"> on the voluntary service of Ms J</w:t>
      </w:r>
      <w:r w:rsidRPr="003E433F">
        <w:rPr>
          <w:rFonts w:ascii="Times New Roman" w:hAnsi="Times New Roman" w:cs="Times New Roman"/>
          <w:szCs w:val="24"/>
        </w:rPr>
        <w:t>, who was neither an employee nor officer but had her own full-time j</w:t>
      </w:r>
      <w:r w:rsidR="005C2E41">
        <w:rPr>
          <w:rFonts w:ascii="Times New Roman" w:hAnsi="Times New Roman" w:cs="Times New Roman"/>
          <w:szCs w:val="24"/>
        </w:rPr>
        <w:t>ob.  On the Taxpayer’s case, Ms J</w:t>
      </w:r>
      <w:r w:rsidRPr="003E433F">
        <w:rPr>
          <w:rFonts w:ascii="Times New Roman" w:hAnsi="Times New Roman" w:cs="Times New Roman"/>
          <w:szCs w:val="24"/>
        </w:rPr>
        <w:t xml:space="preserve"> failed the function or role entrusted upon her.</w:t>
      </w:r>
    </w:p>
    <w:p w:rsidR="00843132" w:rsidRPr="003E433F" w:rsidRDefault="00843132" w:rsidP="0035136E">
      <w:pPr>
        <w:pStyle w:val="ac"/>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3E433F">
        <w:rPr>
          <w:rFonts w:ascii="Times New Roman" w:hAnsi="Times New Roman" w:cs="Times New Roman"/>
          <w:szCs w:val="24"/>
        </w:rPr>
        <w:t xml:space="preserve">Clearly, as to what were the most appropriate administrative measures to be adopted in the circumstances was entirely an internal matter for the Taxpayer to decide.  However, it should have been borne in mind by the Taxpayer that even though it had become dormant in practice and further closed the SRO in 2014, the tax dispute with the Commissioner was still ongoing.  The Taxpayer should have ensured proper arrangements were in place both for the Taxpayer to discharge its duties under the Ordinance and to safeguard its position, and even more so when </w:t>
      </w:r>
      <w:r w:rsidR="00FF4AA0">
        <w:rPr>
          <w:rFonts w:ascii="Times New Roman" w:hAnsi="Times New Roman" w:cs="Times New Roman"/>
          <w:szCs w:val="24"/>
        </w:rPr>
        <w:t>Mr C</w:t>
      </w:r>
      <w:r w:rsidRPr="003E433F">
        <w:rPr>
          <w:rFonts w:ascii="Times New Roman" w:hAnsi="Times New Roman" w:cs="Times New Roman"/>
          <w:szCs w:val="24"/>
        </w:rPr>
        <w:t xml:space="preserve">, the director of the Taxpayer, was not ordinarily resident in Hong Kong.  The Board is not satisfied that appropriate administrative measures were adopted.  The Taxpayer must bear full responsibilities for each and every step it took, and conversely what it did not appropriately take, as discussed above.  </w:t>
      </w:r>
    </w:p>
    <w:p w:rsidR="00843132" w:rsidRPr="003E433F" w:rsidRDefault="00843132" w:rsidP="0035136E">
      <w:pPr>
        <w:pStyle w:val="ac"/>
        <w:overflowPunct w:val="0"/>
        <w:autoSpaceDE w:val="0"/>
        <w:autoSpaceDN w:val="0"/>
        <w:ind w:leftChars="0" w:left="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Sixth, it might</w:t>
      </w:r>
      <w:r w:rsidRPr="003E433F">
        <w:rPr>
          <w:rFonts w:ascii="Times New Roman" w:hAnsi="Times New Roman" w:cs="Times New Roman"/>
          <w:szCs w:val="24"/>
        </w:rPr>
        <w:t xml:space="preserve"> be true that the Covid-19 pandemic was an extraneous, unforeseeable event.  The arrangements or measures that could be made in response were however within the control of the Taxpayer on the other hand.  For this reason, the Board does not accept that the deficiency (or, more accurately, complete failure in the present case) in the operation of the communication or forwarding system that was devised by t</w:t>
      </w:r>
      <w:r w:rsidR="00E625DA">
        <w:rPr>
          <w:rFonts w:ascii="Times New Roman" w:hAnsi="Times New Roman" w:cs="Times New Roman"/>
          <w:szCs w:val="24"/>
        </w:rPr>
        <w:t>he Taxpayer would constitute a ‘reasonable cause’</w:t>
      </w:r>
      <w:r w:rsidRPr="003E433F">
        <w:rPr>
          <w:rFonts w:ascii="Times New Roman" w:hAnsi="Times New Roman" w:cs="Times New Roman"/>
          <w:szCs w:val="24"/>
        </w:rPr>
        <w:t xml:space="preserve"> for its  delay in giving notice of appeal for the purposes of section 66(1A) of the Ordinance.  </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 xml:space="preserve">Seventh, whether </w:t>
      </w:r>
      <w:r w:rsidRPr="003E433F">
        <w:rPr>
          <w:rFonts w:ascii="Times New Roman" w:hAnsi="Times New Roman" w:cs="Times New Roman"/>
          <w:szCs w:val="24"/>
        </w:rPr>
        <w:t>or not there was any delay in the issue of the Determination by the Commissioner should not absolve the Taxpayer’s duty under the Ordinance or justify its default for the purpose of seeking an extension of time under section 66(1A) of the Ordinance.    In the premises, the Taxpayer has failed to establish that there was a reasonable cause which prevented it from giving the Notice of Appeal on time so as to enable the Board to consider whether or not to exercise the discretion to extend time under section 66(1A) of the Ordinance.</w:t>
      </w:r>
    </w:p>
    <w:p w:rsidR="00843132" w:rsidRPr="003E433F" w:rsidRDefault="00843132" w:rsidP="0035136E">
      <w:pPr>
        <w:overflowPunct w:val="0"/>
        <w:autoSpaceDE w:val="0"/>
        <w:autoSpaceDN w:val="0"/>
        <w:jc w:val="both"/>
        <w:rPr>
          <w:rFonts w:ascii="Times New Roman" w:hAnsi="Times New Roman" w:cs="Times New Roman"/>
          <w:szCs w:val="24"/>
        </w:rPr>
      </w:pPr>
    </w:p>
    <w:p w:rsidR="00843132" w:rsidRPr="00E625DA" w:rsidRDefault="009C7CD1" w:rsidP="009C7CD1">
      <w:pPr>
        <w:pStyle w:val="ac"/>
        <w:numPr>
          <w:ilvl w:val="0"/>
          <w:numId w:val="16"/>
        </w:numPr>
        <w:overflowPunct w:val="0"/>
        <w:autoSpaceDE w:val="0"/>
        <w:autoSpaceDN w:val="0"/>
        <w:ind w:leftChars="0"/>
        <w:jc w:val="both"/>
        <w:rPr>
          <w:rFonts w:ascii="Times New Roman" w:hAnsi="Times New Roman" w:cs="Times New Roman"/>
          <w:b/>
          <w:szCs w:val="24"/>
        </w:rPr>
      </w:pPr>
      <w:r>
        <w:rPr>
          <w:rFonts w:ascii="Times New Roman" w:hAnsi="Times New Roman" w:cs="Times New Roman"/>
          <w:b/>
          <w:szCs w:val="24"/>
        </w:rPr>
        <w:t xml:space="preserve">          </w:t>
      </w:r>
      <w:r w:rsidR="00E625DA">
        <w:rPr>
          <w:rFonts w:ascii="Times New Roman" w:hAnsi="Times New Roman" w:cs="Times New Roman"/>
          <w:b/>
          <w:szCs w:val="24"/>
        </w:rPr>
        <w:t>WHETHER OR NOT BEING ‘PREVENTED’</w:t>
      </w:r>
      <w:r w:rsidR="00843132" w:rsidRPr="00E625DA">
        <w:rPr>
          <w:rFonts w:ascii="Times New Roman" w:hAnsi="Times New Roman" w:cs="Times New Roman"/>
          <w:b/>
          <w:szCs w:val="24"/>
        </w:rPr>
        <w:t xml:space="preserve"> FROM GIVING NOTICE OF APPEAL ON TIME</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color w:val="000000"/>
          <w:szCs w:val="24"/>
        </w:rPr>
        <w:t>As already briefly mentioned above, the Board is in any event not satisfied that in the present circumstances of the case, the Taxpayer co</w:t>
      </w:r>
      <w:r w:rsidR="00E625DA">
        <w:rPr>
          <w:rFonts w:ascii="Times New Roman" w:hAnsi="Times New Roman" w:cs="Times New Roman"/>
          <w:color w:val="000000"/>
          <w:szCs w:val="24"/>
        </w:rPr>
        <w:t>uld be considered to have been ‘prevented’</w:t>
      </w:r>
      <w:r w:rsidRPr="003E433F">
        <w:rPr>
          <w:rFonts w:ascii="Times New Roman" w:hAnsi="Times New Roman" w:cs="Times New Roman"/>
          <w:color w:val="000000"/>
          <w:szCs w:val="24"/>
        </w:rPr>
        <w:t xml:space="preserve"> from giving the Notice of Appeal in accordance with section 66(1)(a) of the Ordinance.</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color w:val="000000"/>
          <w:szCs w:val="24"/>
        </w:rPr>
        <w:t xml:space="preserve">The </w:t>
      </w:r>
      <w:r w:rsidR="00E625DA">
        <w:rPr>
          <w:rFonts w:ascii="Times New Roman" w:hAnsi="Times New Roman" w:cs="Times New Roman"/>
          <w:color w:val="000000"/>
          <w:szCs w:val="24"/>
        </w:rPr>
        <w:t>Taxpayer accepts that the word ‘prevented’</w:t>
      </w:r>
      <w:r w:rsidRPr="003E433F">
        <w:rPr>
          <w:rFonts w:ascii="Times New Roman" w:hAnsi="Times New Roman" w:cs="Times New Roman"/>
          <w:color w:val="000000"/>
          <w:szCs w:val="24"/>
        </w:rPr>
        <w:t xml:space="preserve"> used in section 66(1A) of </w:t>
      </w:r>
      <w:r w:rsidRPr="003E433F">
        <w:rPr>
          <w:rFonts w:ascii="Times New Roman" w:hAnsi="Times New Roman" w:cs="Times New Roman"/>
          <w:color w:val="000000"/>
          <w:szCs w:val="24"/>
        </w:rPr>
        <w:lastRenderedPageBreak/>
        <w:t>the Ordinance should be best understood t</w:t>
      </w:r>
      <w:r w:rsidR="00E625DA">
        <w:rPr>
          <w:rFonts w:ascii="Times New Roman" w:hAnsi="Times New Roman" w:cs="Times New Roman"/>
          <w:color w:val="000000"/>
          <w:szCs w:val="24"/>
        </w:rPr>
        <w:t>o bear the meaning of the term ‘unable to’</w:t>
      </w:r>
      <w:r w:rsidRPr="003E433F">
        <w:rPr>
          <w:rFonts w:ascii="Times New Roman" w:hAnsi="Times New Roman" w:cs="Times New Roman"/>
          <w:color w:val="000000"/>
          <w:szCs w:val="24"/>
        </w:rPr>
        <w:t xml:space="preserve"> (</w:t>
      </w:r>
      <w:r w:rsidRPr="003E433F">
        <w:rPr>
          <w:rFonts w:ascii="Times New Roman" w:hAnsi="Times New Roman" w:cs="Times New Roman"/>
          <w:color w:val="000000"/>
          <w:szCs w:val="24"/>
        </w:rPr>
        <w:t>未能</w:t>
      </w:r>
      <w:r w:rsidRPr="003E433F">
        <w:rPr>
          <w:rFonts w:ascii="Times New Roman" w:hAnsi="Times New Roman" w:cs="Times New Roman"/>
          <w:color w:val="000000"/>
          <w:szCs w:val="24"/>
        </w:rPr>
        <w:t xml:space="preserve">) in the Chinese language version of the provision on the authority of </w:t>
      </w:r>
      <w:r w:rsidRPr="00E625DA">
        <w:rPr>
          <w:rFonts w:ascii="Times New Roman" w:hAnsi="Times New Roman" w:cs="Times New Roman"/>
          <w:iCs/>
          <w:color w:val="000000"/>
          <w:szCs w:val="24"/>
        </w:rPr>
        <w:t>Chow Kwong Fai</w:t>
      </w:r>
      <w:r w:rsidRPr="003E433F">
        <w:rPr>
          <w:rFonts w:ascii="Times New Roman" w:hAnsi="Times New Roman" w:cs="Times New Roman"/>
          <w:b/>
          <w:i/>
          <w:iCs/>
          <w:color w:val="000000"/>
          <w:szCs w:val="24"/>
        </w:rPr>
        <w:t xml:space="preserve"> </w:t>
      </w:r>
      <w:r w:rsidRPr="003E433F">
        <w:rPr>
          <w:rFonts w:ascii="Times New Roman" w:hAnsi="Times New Roman" w:cs="Times New Roman"/>
          <w:iCs/>
          <w:color w:val="000000"/>
          <w:szCs w:val="24"/>
        </w:rPr>
        <w:t>(</w:t>
      </w:r>
      <w:r w:rsidRPr="003E433F">
        <w:rPr>
          <w:rFonts w:ascii="Times New Roman" w:hAnsi="Times New Roman" w:cs="Times New Roman"/>
          <w:i/>
          <w:iCs/>
          <w:color w:val="000000"/>
          <w:szCs w:val="24"/>
        </w:rPr>
        <w:t>supra.</w:t>
      </w:r>
      <w:r w:rsidRPr="003E433F">
        <w:rPr>
          <w:rFonts w:ascii="Times New Roman" w:hAnsi="Times New Roman" w:cs="Times New Roman"/>
          <w:iCs/>
          <w:color w:val="000000"/>
          <w:szCs w:val="24"/>
        </w:rPr>
        <w:t xml:space="preserve">) </w:t>
      </w:r>
      <w:r w:rsidRPr="003E433F">
        <w:rPr>
          <w:rFonts w:ascii="Times New Roman" w:hAnsi="Times New Roman" w:cs="Times New Roman"/>
          <w:color w:val="000000"/>
          <w:szCs w:val="24"/>
        </w:rPr>
        <w:t xml:space="preserve">at </w:t>
      </w:r>
      <w:r w:rsidRPr="003E433F">
        <w:rPr>
          <w:rFonts w:ascii="Times New Roman" w:eastAsia="新細明體" w:hAnsi="Times New Roman" w:cs="Times New Roman"/>
          <w:color w:val="000000"/>
          <w:szCs w:val="24"/>
        </w:rPr>
        <w:t>§</w:t>
      </w:r>
      <w:r w:rsidRPr="003E433F">
        <w:rPr>
          <w:rFonts w:ascii="Times New Roman" w:hAnsi="Times New Roman" w:cs="Times New Roman"/>
          <w:color w:val="000000"/>
          <w:szCs w:val="24"/>
        </w:rPr>
        <w:t xml:space="preserve">20 </w:t>
      </w:r>
      <w:r w:rsidRPr="003E433F">
        <w:rPr>
          <w:rFonts w:ascii="Times New Roman" w:hAnsi="Times New Roman" w:cs="Times New Roman"/>
          <w:i/>
          <w:color w:val="000000"/>
          <w:szCs w:val="24"/>
        </w:rPr>
        <w:t xml:space="preserve">per </w:t>
      </w:r>
      <w:r w:rsidRPr="003E433F">
        <w:rPr>
          <w:rFonts w:ascii="Times New Roman" w:hAnsi="Times New Roman" w:cs="Times New Roman"/>
          <w:color w:val="000000"/>
          <w:szCs w:val="24"/>
        </w:rPr>
        <w:t>Woo VP.  The choice of that meaning not only has the advantage of reconciling the versions in the two languages if any reconciliation is needed, it also provides a les</w:t>
      </w:r>
      <w:r w:rsidR="00E625DA">
        <w:rPr>
          <w:rFonts w:ascii="Times New Roman" w:hAnsi="Times New Roman" w:cs="Times New Roman"/>
          <w:color w:val="000000"/>
          <w:szCs w:val="24"/>
        </w:rPr>
        <w:t>s stringent test than the word ‘prevented’.  On the other hand, the term ‘unable to’</w:t>
      </w:r>
      <w:r w:rsidRPr="003E433F">
        <w:rPr>
          <w:rFonts w:ascii="Times New Roman" w:hAnsi="Times New Roman" w:cs="Times New Roman"/>
          <w:color w:val="000000"/>
          <w:szCs w:val="24"/>
        </w:rPr>
        <w:t xml:space="preserve"> imposes a higher threshold than a mere excuse and would appear to give proper effect to the rigour of the time limit imposed by the Ordinance.</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color w:val="000000"/>
          <w:szCs w:val="24"/>
        </w:rPr>
        <w:t>In the present case, even assuming for the sake of argument that the Taxpayer is ab</w:t>
      </w:r>
      <w:r w:rsidR="00E625DA">
        <w:rPr>
          <w:rFonts w:ascii="Times New Roman" w:hAnsi="Times New Roman" w:cs="Times New Roman"/>
          <w:color w:val="000000"/>
          <w:szCs w:val="24"/>
        </w:rPr>
        <w:t>le to establish that there was ‘absence from Hong Kong’ or ‘other reasonable cause’</w:t>
      </w:r>
      <w:r w:rsidRPr="003E433F">
        <w:rPr>
          <w:rFonts w:ascii="Times New Roman" w:hAnsi="Times New Roman" w:cs="Times New Roman"/>
          <w:color w:val="000000"/>
          <w:szCs w:val="24"/>
        </w:rPr>
        <w:t xml:space="preserve"> as required under section 66(1A) of the Ordinance, such absence</w:t>
      </w:r>
      <w:r w:rsidR="00E625DA">
        <w:rPr>
          <w:rFonts w:ascii="Times New Roman" w:hAnsi="Times New Roman" w:cs="Times New Roman"/>
          <w:color w:val="000000"/>
          <w:szCs w:val="24"/>
        </w:rPr>
        <w:t xml:space="preserve"> or cause still would not have ‘prevented’</w:t>
      </w:r>
      <w:r w:rsidRPr="003E433F">
        <w:rPr>
          <w:rFonts w:ascii="Times New Roman" w:hAnsi="Times New Roman" w:cs="Times New Roman"/>
          <w:color w:val="000000"/>
          <w:szCs w:val="24"/>
        </w:rPr>
        <w:t xml:space="preserve"> it from giving the Notice of Appeal on time after </w:t>
      </w:r>
      <w:r w:rsidRPr="003E433F">
        <w:rPr>
          <w:rFonts w:ascii="Times New Roman" w:hAnsi="Times New Roman" w:cs="Times New Roman"/>
          <w:szCs w:val="24"/>
        </w:rPr>
        <w:t>receipt of the Determination</w:t>
      </w:r>
      <w:r w:rsidRPr="003E433F">
        <w:rPr>
          <w:rFonts w:ascii="Times New Roman" w:hAnsi="Times New Roman" w:cs="Times New Roman"/>
          <w:color w:val="000000"/>
          <w:szCs w:val="24"/>
        </w:rPr>
        <w:t>, as in the sense of being rendered unable to do so.  The Taxpayer’s argument seeking to rely upon M</w:t>
      </w:r>
      <w:r w:rsidR="00FF4AA0">
        <w:rPr>
          <w:rFonts w:ascii="Times New Roman" w:hAnsi="Times New Roman" w:cs="Times New Roman"/>
          <w:color w:val="000000"/>
          <w:szCs w:val="24"/>
        </w:rPr>
        <w:t>r C</w:t>
      </w:r>
      <w:r w:rsidRPr="003E433F">
        <w:rPr>
          <w:rFonts w:ascii="Times New Roman" w:hAnsi="Times New Roman" w:cs="Times New Roman"/>
          <w:color w:val="000000"/>
          <w:szCs w:val="24"/>
        </w:rPr>
        <w:t>’s lack of actual knowledge of the Determination until 27 July 2021 is untenable for the following reasons.</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Pr="007C1A14"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szCs w:val="24"/>
        </w:rPr>
        <w:t>Section 58(2) of the Ordinance is the governing provision for giving notice by way of post.  Under that section, the Commissioner does not need to sh</w:t>
      </w:r>
      <w:r w:rsidR="00E625DA">
        <w:rPr>
          <w:rFonts w:ascii="Times New Roman" w:hAnsi="Times New Roman" w:cs="Times New Roman"/>
          <w:szCs w:val="24"/>
        </w:rPr>
        <w:t>ow further that the notice had ‘actually’</w:t>
      </w:r>
      <w:r w:rsidRPr="003E433F">
        <w:rPr>
          <w:rFonts w:ascii="Times New Roman" w:hAnsi="Times New Roman" w:cs="Times New Roman"/>
          <w:szCs w:val="24"/>
        </w:rPr>
        <w:t xml:space="preserve"> come to the knowledge of a taxpayer.</w:t>
      </w:r>
    </w:p>
    <w:p w:rsidR="007C1A14" w:rsidRPr="003E433F" w:rsidRDefault="007C1A14" w:rsidP="007C1A14">
      <w:pPr>
        <w:pStyle w:val="ac"/>
        <w:overflowPunct w:val="0"/>
        <w:autoSpaceDE w:val="0"/>
        <w:autoSpaceDN w:val="0"/>
        <w:ind w:leftChars="0" w:left="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szCs w:val="24"/>
        </w:rPr>
        <w:t>The fact that a mode of service other than personal service is permitted is by itself an indication that service will be completed when the requirements stipulated for service have been fulfilled.  There is nothing in section 58(2) of the Ordinance either alone or taken together with any other sections of the Ordinance which requires actual knowledge of the taxpayer before the time starts to run.</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Pr="003E433F" w:rsidRDefault="00843132" w:rsidP="00361CA7">
      <w:pPr>
        <w:pStyle w:val="ac"/>
        <w:numPr>
          <w:ilvl w:val="0"/>
          <w:numId w:val="7"/>
        </w:numPr>
        <w:tabs>
          <w:tab w:val="clear" w:pos="3617"/>
        </w:tabs>
        <w:overflowPunct w:val="0"/>
        <w:autoSpaceDE w:val="0"/>
        <w:autoSpaceDN w:val="0"/>
        <w:ind w:leftChars="0"/>
        <w:jc w:val="both"/>
        <w:rPr>
          <w:rFonts w:ascii="Times New Roman" w:hAnsi="Times New Roman" w:cs="Times New Roman"/>
          <w:b/>
          <w:szCs w:val="24"/>
          <w:u w:val="single"/>
        </w:rPr>
      </w:pPr>
      <w:r w:rsidRPr="003E433F">
        <w:rPr>
          <w:rFonts w:ascii="Times New Roman" w:hAnsi="Times New Roman" w:cs="Times New Roman"/>
          <w:szCs w:val="24"/>
        </w:rPr>
        <w:t xml:space="preserve">Once a document is properly served under section 58(2) of the Ordinance, actual notice is treated to have been given to the taxpayer.  It is then up to the taxpayer to ensure that the document which he has chosen to be sent to a specified address would be brought to his attention: see </w:t>
      </w:r>
      <w:r w:rsidRPr="00E625DA">
        <w:rPr>
          <w:rFonts w:ascii="Times New Roman" w:hAnsi="Times New Roman" w:cs="Times New Roman"/>
          <w:szCs w:val="24"/>
        </w:rPr>
        <w:t>Chan Chun Chuen v The Commissioner of Inland Revenue</w:t>
      </w:r>
      <w:r w:rsidRPr="003E433F">
        <w:rPr>
          <w:rFonts w:ascii="Times New Roman" w:hAnsi="Times New Roman" w:cs="Times New Roman"/>
          <w:szCs w:val="24"/>
        </w:rPr>
        <w:t xml:space="preserve"> [2012] 2 HKLRD 379 at </w:t>
      </w:r>
      <w:r w:rsidRPr="003E433F">
        <w:rPr>
          <w:rFonts w:ascii="Times New Roman" w:eastAsia="新細明體" w:hAnsi="Times New Roman" w:cs="Times New Roman"/>
          <w:szCs w:val="24"/>
        </w:rPr>
        <w:t>§</w:t>
      </w:r>
      <w:r w:rsidRPr="003E433F">
        <w:rPr>
          <w:rFonts w:ascii="Times New Roman" w:hAnsi="Times New Roman" w:cs="Times New Roman"/>
          <w:szCs w:val="24"/>
        </w:rPr>
        <w:t xml:space="preserve">27 </w:t>
      </w:r>
      <w:r w:rsidRPr="003E433F">
        <w:rPr>
          <w:rFonts w:ascii="Times New Roman" w:hAnsi="Times New Roman" w:cs="Times New Roman"/>
          <w:i/>
          <w:szCs w:val="24"/>
        </w:rPr>
        <w:t>per</w:t>
      </w:r>
      <w:r w:rsidRPr="003E433F">
        <w:rPr>
          <w:rFonts w:ascii="Times New Roman" w:hAnsi="Times New Roman" w:cs="Times New Roman"/>
          <w:szCs w:val="24"/>
        </w:rPr>
        <w:t xml:space="preserve"> Cheung JA.</w:t>
      </w:r>
    </w:p>
    <w:p w:rsidR="00843132" w:rsidRPr="003E433F" w:rsidRDefault="00843132" w:rsidP="0035136E">
      <w:pPr>
        <w:overflowPunct w:val="0"/>
        <w:autoSpaceDE w:val="0"/>
        <w:autoSpaceDN w:val="0"/>
        <w:jc w:val="both"/>
        <w:rPr>
          <w:rFonts w:ascii="Times New Roman" w:hAnsi="Times New Roman" w:cs="Times New Roman"/>
          <w:b/>
          <w:szCs w:val="24"/>
          <w:u w:val="single"/>
        </w:rPr>
      </w:pPr>
    </w:p>
    <w:p w:rsidR="00843132" w:rsidRDefault="00843132" w:rsidP="00C26326">
      <w:pPr>
        <w:pStyle w:val="ac"/>
        <w:widowControl/>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In the present case, the T</w:t>
      </w:r>
      <w:r w:rsidR="00E625DA" w:rsidRPr="009C7CD1">
        <w:rPr>
          <w:rFonts w:ascii="Times New Roman" w:hAnsi="Times New Roman" w:cs="Times New Roman"/>
          <w:szCs w:val="24"/>
        </w:rPr>
        <w:t xml:space="preserve">axpayer does not dispute that </w:t>
      </w:r>
      <w:r w:rsidRPr="009C7CD1">
        <w:rPr>
          <w:rFonts w:ascii="Times New Roman" w:hAnsi="Times New Roman" w:cs="Times New Roman"/>
          <w:szCs w:val="24"/>
        </w:rPr>
        <w:t>C</w:t>
      </w:r>
      <w:r w:rsidR="00E625DA" w:rsidRPr="009C7CD1">
        <w:rPr>
          <w:rFonts w:ascii="Times New Roman" w:hAnsi="Times New Roman" w:cs="Times New Roman"/>
          <w:szCs w:val="24"/>
        </w:rPr>
        <w:t>ompany F</w:t>
      </w:r>
      <w:r w:rsidRPr="009C7CD1">
        <w:rPr>
          <w:rFonts w:ascii="Times New Roman" w:hAnsi="Times New Roman" w:cs="Times New Roman"/>
          <w:szCs w:val="24"/>
        </w:rPr>
        <w:t xml:space="preserve"> received the parcel containing the Determination from the Commissioner.  In fact, it is conceded further that the</w:t>
      </w:r>
      <w:r w:rsidR="00E625DA" w:rsidRPr="009C7CD1">
        <w:rPr>
          <w:rFonts w:ascii="Times New Roman" w:hAnsi="Times New Roman" w:cs="Times New Roman"/>
          <w:szCs w:val="24"/>
        </w:rPr>
        <w:t xml:space="preserve"> parcel was then forwarded by </w:t>
      </w:r>
      <w:r w:rsidRPr="009C7CD1">
        <w:rPr>
          <w:rFonts w:ascii="Times New Roman" w:hAnsi="Times New Roman" w:cs="Times New Roman"/>
          <w:szCs w:val="24"/>
        </w:rPr>
        <w:t>C</w:t>
      </w:r>
      <w:r w:rsidR="00E625DA" w:rsidRPr="009C7CD1">
        <w:rPr>
          <w:rFonts w:ascii="Times New Roman" w:hAnsi="Times New Roman" w:cs="Times New Roman"/>
          <w:szCs w:val="24"/>
        </w:rPr>
        <w:t>ompany F to Ms J</w:t>
      </w:r>
      <w:r w:rsidRPr="009C7CD1">
        <w:rPr>
          <w:rFonts w:ascii="Times New Roman" w:hAnsi="Times New Roman" w:cs="Times New Roman"/>
          <w:szCs w:val="24"/>
        </w:rPr>
        <w:t xml:space="preserve"> being the person intended by the Taxpayer to be dealing with the matters arisin</w:t>
      </w:r>
      <w:r w:rsidR="00E625DA" w:rsidRPr="009C7CD1">
        <w:rPr>
          <w:rFonts w:ascii="Times New Roman" w:hAnsi="Times New Roman" w:cs="Times New Roman"/>
          <w:szCs w:val="24"/>
        </w:rPr>
        <w:t>g from the operations of the D</w:t>
      </w:r>
      <w:r w:rsidRPr="009C7CD1">
        <w:rPr>
          <w:rFonts w:ascii="Times New Roman" w:hAnsi="Times New Roman" w:cs="Times New Roman"/>
          <w:szCs w:val="24"/>
        </w:rPr>
        <w:t xml:space="preserve"> Group and its affiliates in the </w:t>
      </w:r>
      <w:r w:rsidR="00E625DA" w:rsidRPr="009C7CD1">
        <w:rPr>
          <w:rFonts w:ascii="Times New Roman" w:hAnsi="Times New Roman" w:cs="Times New Roman"/>
          <w:szCs w:val="24"/>
        </w:rPr>
        <w:t>Greater China region in City E</w:t>
      </w:r>
      <w:r w:rsidRPr="009C7CD1">
        <w:rPr>
          <w:rFonts w:ascii="Times New Roman" w:hAnsi="Times New Roman" w:cs="Times New Roman"/>
          <w:szCs w:val="24"/>
        </w:rPr>
        <w:t xml:space="preserve">.  </w:t>
      </w:r>
    </w:p>
    <w:p w:rsidR="009C7CD1" w:rsidRPr="009C7CD1" w:rsidRDefault="009C7CD1" w:rsidP="009C7CD1">
      <w:pPr>
        <w:pStyle w:val="ac"/>
        <w:widowControl/>
        <w:overflowPunct w:val="0"/>
        <w:autoSpaceDE w:val="0"/>
        <w:autoSpaceDN w:val="0"/>
        <w:ind w:leftChars="0" w:left="0"/>
        <w:jc w:val="both"/>
        <w:rPr>
          <w:rFonts w:ascii="Times New Roman" w:hAnsi="Times New Roman" w:cs="Times New Roman"/>
          <w:szCs w:val="24"/>
        </w:rPr>
      </w:pPr>
    </w:p>
    <w:p w:rsidR="009C7CD1" w:rsidRDefault="009C7CD1" w:rsidP="009C7CD1">
      <w:pPr>
        <w:pStyle w:val="ac"/>
        <w:numPr>
          <w:ilvl w:val="0"/>
          <w:numId w:val="16"/>
        </w:numPr>
        <w:overflowPunct w:val="0"/>
        <w:autoSpaceDE w:val="0"/>
        <w:autoSpaceDN w:val="0"/>
        <w:ind w:leftChars="0"/>
        <w:jc w:val="both"/>
        <w:rPr>
          <w:rFonts w:ascii="Times New Roman" w:hAnsi="Times New Roman" w:cs="Times New Roman"/>
          <w:b/>
          <w:szCs w:val="24"/>
        </w:rPr>
      </w:pPr>
      <w:r>
        <w:rPr>
          <w:rFonts w:ascii="Times New Roman" w:hAnsi="Times New Roman" w:cs="Times New Roman"/>
          <w:b/>
          <w:szCs w:val="24"/>
        </w:rPr>
        <w:t xml:space="preserve">          </w:t>
      </w:r>
      <w:r w:rsidR="00843132" w:rsidRPr="00635417">
        <w:rPr>
          <w:rFonts w:ascii="Times New Roman" w:hAnsi="Times New Roman" w:cs="Times New Roman"/>
          <w:b/>
          <w:szCs w:val="24"/>
        </w:rPr>
        <w:t>CONCLUSION</w:t>
      </w:r>
    </w:p>
    <w:p w:rsidR="009C7CD1" w:rsidRDefault="009C7CD1" w:rsidP="009C7CD1">
      <w:pPr>
        <w:overflowPunct w:val="0"/>
        <w:autoSpaceDE w:val="0"/>
        <w:autoSpaceDN w:val="0"/>
        <w:jc w:val="both"/>
        <w:rPr>
          <w:rFonts w:ascii="Times New Roman" w:hAnsi="Times New Roman" w:cs="Times New Roman"/>
          <w:szCs w:val="24"/>
        </w:rPr>
      </w:pPr>
    </w:p>
    <w:p w:rsidR="009C7CD1" w:rsidRDefault="00843132" w:rsidP="009C7CD1">
      <w:pPr>
        <w:pStyle w:val="ac"/>
        <w:widowControl/>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 xml:space="preserve">In view of the aforesaid, there are no grounds for the Board to begin considering whether or not to exercise the discretion to extend time for the Taxpayer to file the Notice of Appeal under section 66(1A) of the Ordinance. </w:t>
      </w:r>
    </w:p>
    <w:p w:rsidR="009C7CD1" w:rsidRDefault="009C7CD1" w:rsidP="009C7CD1">
      <w:pPr>
        <w:pStyle w:val="ac"/>
        <w:widowControl/>
        <w:overflowPunct w:val="0"/>
        <w:autoSpaceDE w:val="0"/>
        <w:autoSpaceDN w:val="0"/>
        <w:ind w:leftChars="0" w:left="0"/>
        <w:jc w:val="both"/>
        <w:rPr>
          <w:rFonts w:ascii="Times New Roman" w:hAnsi="Times New Roman" w:cs="Times New Roman"/>
          <w:szCs w:val="24"/>
        </w:rPr>
      </w:pPr>
    </w:p>
    <w:p w:rsidR="00843132" w:rsidRPr="009C7CD1" w:rsidRDefault="00843132" w:rsidP="009C7CD1">
      <w:pPr>
        <w:pStyle w:val="ac"/>
        <w:widowControl/>
        <w:numPr>
          <w:ilvl w:val="0"/>
          <w:numId w:val="7"/>
        </w:numPr>
        <w:tabs>
          <w:tab w:val="clear" w:pos="3617"/>
        </w:tabs>
        <w:overflowPunct w:val="0"/>
        <w:autoSpaceDE w:val="0"/>
        <w:autoSpaceDN w:val="0"/>
        <w:ind w:leftChars="0"/>
        <w:jc w:val="both"/>
        <w:rPr>
          <w:rFonts w:ascii="Times New Roman" w:hAnsi="Times New Roman" w:cs="Times New Roman"/>
          <w:szCs w:val="24"/>
        </w:rPr>
      </w:pPr>
      <w:r w:rsidRPr="009C7CD1">
        <w:rPr>
          <w:rFonts w:ascii="Times New Roman" w:hAnsi="Times New Roman" w:cs="Times New Roman"/>
          <w:szCs w:val="24"/>
        </w:rPr>
        <w:t>For all these reasons, the Time Application is dismissed.  In coming to this conclusion, it is not necessary and the Board indeed has not considere</w:t>
      </w:r>
      <w:r w:rsidR="00635417" w:rsidRPr="009C7CD1">
        <w:rPr>
          <w:rFonts w:ascii="Times New Roman" w:hAnsi="Times New Roman" w:cs="Times New Roman"/>
          <w:szCs w:val="24"/>
        </w:rPr>
        <w:t xml:space="preserve">d the one-page </w:t>
      </w:r>
      <w:r w:rsidR="00635417" w:rsidRPr="009C7CD1">
        <w:rPr>
          <w:rFonts w:ascii="Times New Roman" w:hAnsi="Times New Roman" w:cs="Times New Roman"/>
          <w:szCs w:val="24"/>
        </w:rPr>
        <w:lastRenderedPageBreak/>
        <w:t>document titled ‘</w:t>
      </w:r>
      <w:r w:rsidRPr="009C7CD1">
        <w:rPr>
          <w:rFonts w:ascii="Times New Roman" w:hAnsi="Times New Roman" w:cs="Times New Roman"/>
          <w:szCs w:val="24"/>
        </w:rPr>
        <w:t>Explanatio</w:t>
      </w:r>
      <w:r w:rsidR="00635417" w:rsidRPr="009C7CD1">
        <w:rPr>
          <w:rFonts w:ascii="Times New Roman" w:hAnsi="Times New Roman" w:cs="Times New Roman"/>
          <w:szCs w:val="24"/>
        </w:rPr>
        <w:t>n of Codes for Assessor’s Notes’</w:t>
      </w:r>
      <w:r w:rsidRPr="009C7CD1">
        <w:rPr>
          <w:rFonts w:ascii="Times New Roman" w:hAnsi="Times New Roman" w:cs="Times New Roman"/>
          <w:szCs w:val="24"/>
        </w:rPr>
        <w:t xml:space="preserve"> intended to be adduced by the Commissioner but opposed by the Taxpayer.</w:t>
      </w:r>
    </w:p>
    <w:sectPr w:rsidR="00843132" w:rsidRPr="009C7CD1" w:rsidSect="0035136E">
      <w:headerReference w:type="default" r:id="rId8"/>
      <w:footerReference w:type="default" r:id="rId9"/>
      <w:pgSz w:w="11906" w:h="16838" w:code="9"/>
      <w:pgMar w:top="1985" w:right="1588" w:bottom="1701" w:left="1588" w:header="1361" w:footer="9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7A" w:rsidRDefault="00CE0D7A" w:rsidP="00CA6261">
      <w:r>
        <w:separator/>
      </w:r>
    </w:p>
  </w:endnote>
  <w:endnote w:type="continuationSeparator" w:id="0">
    <w:p w:rsidR="00CE0D7A" w:rsidRDefault="00CE0D7A"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華康楷書體W5">
    <w:altName w:val="微軟正黑體"/>
    <w:charset w:val="88"/>
    <w:family w:val="script"/>
    <w:pitch w:val="fixed"/>
    <w:sig w:usb0="00000000" w:usb1="38CFFDFA" w:usb2="00000016" w:usb3="00000000" w:csb0="0016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E34D3A" w:rsidRPr="00E34D3A">
      <w:rPr>
        <w:rFonts w:ascii="Times New Roman" w:hAnsi="Times New Roman" w:cs="Times New Roman"/>
        <w:noProof/>
        <w:lang w:val="zh-TW"/>
      </w:rPr>
      <w:t>15</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date</w:t>
    </w:r>
    <w:r w:rsidRPr="00A60C9F">
      <w:rPr>
        <w:rFonts w:ascii="Times New Roman" w:eastAsia="DengXian" w:hAnsi="Times New Roman" w:cs="Times New Roman"/>
      </w:rPr>
      <w:t xml:space="preserve">: </w:t>
    </w:r>
    <w:r w:rsidR="00A60C9F" w:rsidRPr="00A60C9F">
      <w:rPr>
        <w:rFonts w:ascii="Times New Roman" w:eastAsia="DengXian" w:hAnsi="Times New Roman" w:cs="Times New Roman"/>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7A" w:rsidRDefault="00CE0D7A" w:rsidP="00CA6261">
      <w:r>
        <w:separator/>
      </w:r>
    </w:p>
  </w:footnote>
  <w:footnote w:type="continuationSeparator" w:id="0">
    <w:p w:rsidR="00CE0D7A" w:rsidRDefault="00CE0D7A" w:rsidP="00CA6261">
      <w:r>
        <w:continuationSeparator/>
      </w:r>
    </w:p>
  </w:footnote>
  <w:footnote w:id="1">
    <w:p w:rsidR="00843132" w:rsidRPr="009C7CD1" w:rsidRDefault="00843132" w:rsidP="00843132">
      <w:pPr>
        <w:jc w:val="both"/>
        <w:rPr>
          <w:rFonts w:ascii="Times New Roman" w:hAnsi="Times New Roman" w:cs="Times New Roman"/>
        </w:rPr>
      </w:pPr>
      <w:r w:rsidRPr="009C7CD1">
        <w:rPr>
          <w:rFonts w:ascii="Times New Roman" w:hAnsi="Times New Roman" w:cs="Times New Roman"/>
          <w:sz w:val="20"/>
          <w:vertAlign w:val="superscript"/>
        </w:rPr>
        <w:footnoteRef/>
      </w:r>
      <w:r w:rsidRPr="009C7CD1">
        <w:rPr>
          <w:rFonts w:ascii="Times New Roman" w:hAnsi="Times New Roman" w:cs="Times New Roman"/>
          <w:sz w:val="20"/>
          <w:vertAlign w:val="superscript"/>
        </w:rPr>
        <w:t xml:space="preserve"> </w:t>
      </w:r>
      <w:r w:rsidRPr="009C7CD1">
        <w:rPr>
          <w:rFonts w:ascii="Times New Roman" w:hAnsi="Times New Roman" w:cs="Times New Roman"/>
          <w:sz w:val="20"/>
        </w:rPr>
        <w:t>A case on</w:t>
      </w:r>
      <w:r w:rsidRPr="009C7CD1">
        <w:rPr>
          <w:rFonts w:ascii="Times New Roman" w:hAnsi="Times New Roman" w:cs="Times New Roman"/>
          <w:i/>
          <w:sz w:val="20"/>
        </w:rPr>
        <w:t xml:space="preserve"> inter alia</w:t>
      </w:r>
      <w:r w:rsidRPr="009C7CD1">
        <w:rPr>
          <w:rFonts w:ascii="Times New Roman" w:hAnsi="Times New Roman" w:cs="Times New Roman"/>
          <w:sz w:val="20"/>
        </w:rPr>
        <w:t xml:space="preserve"> section 14(5B) of the</w:t>
      </w:r>
      <w:r w:rsidRPr="009C7CD1">
        <w:rPr>
          <w:rFonts w:ascii="Times New Roman" w:hAnsi="Times New Roman" w:cs="Times New Roman"/>
          <w:b/>
          <w:sz w:val="20"/>
        </w:rPr>
        <w:t xml:space="preserve"> </w:t>
      </w:r>
      <w:r w:rsidRPr="009C7CD1">
        <w:rPr>
          <w:rFonts w:ascii="Times New Roman" w:hAnsi="Times New Roman" w:cs="Times New Roman"/>
          <w:sz w:val="20"/>
        </w:rPr>
        <w:t>Stamp Duty Ordinance (Cap 117), which has almost the same wording as section 66(1A) of the Ordinance.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B845BF" w:rsidRDefault="00CA6261" w:rsidP="00B845BF">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264DF">
      <w:rPr>
        <w:rFonts w:ascii="Times New Roman" w:eastAsia="細明體" w:hAnsi="Times New Roman" w:cs="Times New Roman"/>
        <w:szCs w:val="20"/>
        <w:lang w:val="en-GB"/>
      </w:rPr>
      <w:t>(20</w:t>
    </w:r>
    <w:r w:rsidR="00C264DF" w:rsidRPr="00C264DF">
      <w:rPr>
        <w:rFonts w:ascii="Times New Roman" w:eastAsia="細明體" w:hAnsi="Times New Roman" w:cs="Times New Roman"/>
        <w:szCs w:val="20"/>
        <w:lang w:val="en-GB"/>
      </w:rPr>
      <w:t>22-23</w:t>
    </w:r>
    <w:r w:rsidRPr="00C264DF">
      <w:rPr>
        <w:rFonts w:ascii="Times New Roman" w:eastAsia="細明體" w:hAnsi="Times New Roman" w:cs="Times New Roman"/>
        <w:szCs w:val="20"/>
        <w:lang w:val="en-GB"/>
      </w:rPr>
      <w:t xml:space="preserve">) VOLUME </w:t>
    </w:r>
    <w:r w:rsidR="00972C1E" w:rsidRPr="00C264DF">
      <w:rPr>
        <w:rFonts w:ascii="Times New Roman" w:eastAsia="細明體" w:hAnsi="Times New Roman" w:cs="Times New Roman"/>
        <w:szCs w:val="20"/>
        <w:lang w:val="en-GB" w:eastAsia="zh-HK"/>
      </w:rPr>
      <w:t>37</w:t>
    </w:r>
    <w:r w:rsidRPr="00C264DF">
      <w:rPr>
        <w:rFonts w:ascii="Times New Roman" w:eastAsia="細明體" w:hAnsi="Times New Roman" w:cs="Times New Roman"/>
        <w:szCs w:val="20"/>
        <w:lang w:val="en-GB"/>
      </w:rPr>
      <w:t xml:space="preserve"> INLAND REVENUE BOARD OF REVIEW DECISIONS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03C"/>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6423C1"/>
    <w:multiLevelType w:val="hybridMultilevel"/>
    <w:tmpl w:val="9208C56A"/>
    <w:lvl w:ilvl="0" w:tplc="B9BAAE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9405E"/>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DD12DEA"/>
    <w:multiLevelType w:val="hybridMultilevel"/>
    <w:tmpl w:val="5C2C9134"/>
    <w:lvl w:ilvl="0" w:tplc="A81EF422">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FAC6E32"/>
    <w:multiLevelType w:val="hybridMultilevel"/>
    <w:tmpl w:val="D23E444C"/>
    <w:lvl w:ilvl="0" w:tplc="666CC4D6">
      <w:start w:val="1"/>
      <w:numFmt w:val="decimal"/>
      <w:lvlText w:val="%1."/>
      <w:lvlJc w:val="left"/>
      <w:pPr>
        <w:tabs>
          <w:tab w:val="num" w:pos="3617"/>
        </w:tabs>
        <w:ind w:left="0" w:firstLine="0"/>
      </w:pPr>
      <w:rPr>
        <w:rFonts w:hint="default"/>
        <w:b w:val="0"/>
      </w:rPr>
    </w:lvl>
    <w:lvl w:ilvl="1" w:tplc="04090019" w:tentative="1">
      <w:start w:val="1"/>
      <w:numFmt w:val="ideographTraditional"/>
      <w:lvlText w:val="%2、"/>
      <w:lvlJc w:val="left"/>
      <w:pPr>
        <w:ind w:left="2850" w:hanging="480"/>
      </w:pPr>
    </w:lvl>
    <w:lvl w:ilvl="2" w:tplc="0409001B" w:tentative="1">
      <w:start w:val="1"/>
      <w:numFmt w:val="lowerRoman"/>
      <w:lvlText w:val="%3."/>
      <w:lvlJc w:val="right"/>
      <w:pPr>
        <w:ind w:left="3330" w:hanging="480"/>
      </w:pPr>
    </w:lvl>
    <w:lvl w:ilvl="3" w:tplc="0409000F" w:tentative="1">
      <w:start w:val="1"/>
      <w:numFmt w:val="decimal"/>
      <w:lvlText w:val="%4."/>
      <w:lvlJc w:val="left"/>
      <w:pPr>
        <w:ind w:left="3810" w:hanging="480"/>
      </w:pPr>
    </w:lvl>
    <w:lvl w:ilvl="4" w:tplc="04090019" w:tentative="1">
      <w:start w:val="1"/>
      <w:numFmt w:val="ideographTraditional"/>
      <w:lvlText w:val="%5、"/>
      <w:lvlJc w:val="left"/>
      <w:pPr>
        <w:ind w:left="4290" w:hanging="480"/>
      </w:pPr>
    </w:lvl>
    <w:lvl w:ilvl="5" w:tplc="0409001B" w:tentative="1">
      <w:start w:val="1"/>
      <w:numFmt w:val="lowerRoman"/>
      <w:lvlText w:val="%6."/>
      <w:lvlJc w:val="right"/>
      <w:pPr>
        <w:ind w:left="4770" w:hanging="480"/>
      </w:pPr>
    </w:lvl>
    <w:lvl w:ilvl="6" w:tplc="0409000F" w:tentative="1">
      <w:start w:val="1"/>
      <w:numFmt w:val="decimal"/>
      <w:lvlText w:val="%7."/>
      <w:lvlJc w:val="left"/>
      <w:pPr>
        <w:ind w:left="5250" w:hanging="480"/>
      </w:pPr>
    </w:lvl>
    <w:lvl w:ilvl="7" w:tplc="04090019" w:tentative="1">
      <w:start w:val="1"/>
      <w:numFmt w:val="ideographTraditional"/>
      <w:lvlText w:val="%8、"/>
      <w:lvlJc w:val="left"/>
      <w:pPr>
        <w:ind w:left="5730" w:hanging="480"/>
      </w:pPr>
    </w:lvl>
    <w:lvl w:ilvl="8" w:tplc="0409001B" w:tentative="1">
      <w:start w:val="1"/>
      <w:numFmt w:val="lowerRoman"/>
      <w:lvlText w:val="%9."/>
      <w:lvlJc w:val="right"/>
      <w:pPr>
        <w:ind w:left="6210" w:hanging="480"/>
      </w:pPr>
    </w:lvl>
  </w:abstractNum>
  <w:abstractNum w:abstractNumId="5" w15:restartNumberingAfterBreak="0">
    <w:nsid w:val="1326413B"/>
    <w:multiLevelType w:val="hybridMultilevel"/>
    <w:tmpl w:val="5BE82E28"/>
    <w:lvl w:ilvl="0" w:tplc="275409D6">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168E9"/>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42C4016"/>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38EE41AD"/>
    <w:multiLevelType w:val="hybridMultilevel"/>
    <w:tmpl w:val="8064E740"/>
    <w:lvl w:ilvl="0" w:tplc="CF66384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2" w15:restartNumberingAfterBreak="0">
    <w:nsid w:val="5CF72D25"/>
    <w:multiLevelType w:val="hybridMultilevel"/>
    <w:tmpl w:val="25E2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5E5120B8"/>
    <w:multiLevelType w:val="hybridMultilevel"/>
    <w:tmpl w:val="FC3890E8"/>
    <w:lvl w:ilvl="0" w:tplc="D47E63B2">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F7311B4"/>
    <w:multiLevelType w:val="hybridMultilevel"/>
    <w:tmpl w:val="A2541DBA"/>
    <w:lvl w:ilvl="0" w:tplc="2E4ED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121644"/>
    <w:multiLevelType w:val="hybridMultilevel"/>
    <w:tmpl w:val="552012E8"/>
    <w:lvl w:ilvl="0" w:tplc="4E14D0D0">
      <w:start w:val="6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1"/>
  </w:num>
  <w:num w:numId="4">
    <w:abstractNumId w:val="13"/>
  </w:num>
  <w:num w:numId="5">
    <w:abstractNumId w:val="16"/>
  </w:num>
  <w:num w:numId="6">
    <w:abstractNumId w:val="15"/>
  </w:num>
  <w:num w:numId="7">
    <w:abstractNumId w:val="4"/>
  </w:num>
  <w:num w:numId="8">
    <w:abstractNumId w:val="3"/>
  </w:num>
  <w:num w:numId="9">
    <w:abstractNumId w:val="14"/>
  </w:num>
  <w:num w:numId="10">
    <w:abstractNumId w:val="10"/>
  </w:num>
  <w:num w:numId="11">
    <w:abstractNumId w:val="0"/>
  </w:num>
  <w:num w:numId="12">
    <w:abstractNumId w:val="7"/>
  </w:num>
  <w:num w:numId="13">
    <w:abstractNumId w:val="2"/>
  </w:num>
  <w:num w:numId="14">
    <w:abstractNumId w:val="1"/>
  </w:num>
  <w:num w:numId="15">
    <w:abstractNumId w:val="8"/>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ocumentProtection w:edit="readOnly" w:formatting="1" w:enforcement="1" w:cryptProviderType="rsaAES" w:cryptAlgorithmClass="hash" w:cryptAlgorithmType="typeAny" w:cryptAlgorithmSid="14" w:cryptSpinCount="100000" w:hash="4Ym4Sn03FxJUedp0aL4TMVKqNMXJedpnxb7U27a+Rzwrg7DYEgScJ38LUiXzm9W9TS83y7NmqvTzjYwNaTnG6A==" w:salt="yqcKmMbpMQcIzJn7dnArAQ=="/>
  <w:defaultTabStop w:val="1531"/>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BB"/>
    <w:rsid w:val="00063F23"/>
    <w:rsid w:val="001268F2"/>
    <w:rsid w:val="0016646F"/>
    <w:rsid w:val="002227BB"/>
    <w:rsid w:val="00235A72"/>
    <w:rsid w:val="002E6E5E"/>
    <w:rsid w:val="002F0CEC"/>
    <w:rsid w:val="0035136E"/>
    <w:rsid w:val="00361CA7"/>
    <w:rsid w:val="0039248C"/>
    <w:rsid w:val="003A0692"/>
    <w:rsid w:val="003B2F11"/>
    <w:rsid w:val="003E433F"/>
    <w:rsid w:val="003F7082"/>
    <w:rsid w:val="004522A6"/>
    <w:rsid w:val="00493FF3"/>
    <w:rsid w:val="004972C4"/>
    <w:rsid w:val="004C2543"/>
    <w:rsid w:val="004D7F09"/>
    <w:rsid w:val="004F0BCD"/>
    <w:rsid w:val="005202D5"/>
    <w:rsid w:val="005331A1"/>
    <w:rsid w:val="00580F29"/>
    <w:rsid w:val="005C2E41"/>
    <w:rsid w:val="005E4203"/>
    <w:rsid w:val="005F12FE"/>
    <w:rsid w:val="00626338"/>
    <w:rsid w:val="00635417"/>
    <w:rsid w:val="00642553"/>
    <w:rsid w:val="006452BC"/>
    <w:rsid w:val="006544AE"/>
    <w:rsid w:val="006C6122"/>
    <w:rsid w:val="006C6786"/>
    <w:rsid w:val="007C1A14"/>
    <w:rsid w:val="007E5615"/>
    <w:rsid w:val="0083055E"/>
    <w:rsid w:val="00843132"/>
    <w:rsid w:val="008749FF"/>
    <w:rsid w:val="008833AA"/>
    <w:rsid w:val="00971344"/>
    <w:rsid w:val="00972C1E"/>
    <w:rsid w:val="00977262"/>
    <w:rsid w:val="00984A18"/>
    <w:rsid w:val="009C7CD1"/>
    <w:rsid w:val="00A11795"/>
    <w:rsid w:val="00A12C0F"/>
    <w:rsid w:val="00A21005"/>
    <w:rsid w:val="00A21614"/>
    <w:rsid w:val="00A33E44"/>
    <w:rsid w:val="00A60C9F"/>
    <w:rsid w:val="00A64722"/>
    <w:rsid w:val="00A74B10"/>
    <w:rsid w:val="00AE0298"/>
    <w:rsid w:val="00B12D73"/>
    <w:rsid w:val="00B77FAC"/>
    <w:rsid w:val="00B81A05"/>
    <w:rsid w:val="00B845BF"/>
    <w:rsid w:val="00B8732D"/>
    <w:rsid w:val="00C264DF"/>
    <w:rsid w:val="00C91C80"/>
    <w:rsid w:val="00CA279E"/>
    <w:rsid w:val="00CA6261"/>
    <w:rsid w:val="00CE0D7A"/>
    <w:rsid w:val="00D95B53"/>
    <w:rsid w:val="00DD6BA8"/>
    <w:rsid w:val="00E34D3A"/>
    <w:rsid w:val="00E625DA"/>
    <w:rsid w:val="00E71DBB"/>
    <w:rsid w:val="00EF5465"/>
    <w:rsid w:val="00EF614E"/>
    <w:rsid w:val="00F2052F"/>
    <w:rsid w:val="00F20FB2"/>
    <w:rsid w:val="00F43351"/>
    <w:rsid w:val="00F72A42"/>
    <w:rsid w:val="00FF4A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486B865-B8D4-46DC-BF4B-A2EF0F56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59"/>
    <w:rsid w:val="0084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43132"/>
    <w:rPr>
      <w:sz w:val="18"/>
      <w:szCs w:val="18"/>
    </w:rPr>
  </w:style>
  <w:style w:type="paragraph" w:styleId="af">
    <w:name w:val="annotation text"/>
    <w:basedOn w:val="a"/>
    <w:link w:val="af0"/>
    <w:uiPriority w:val="99"/>
    <w:semiHidden/>
    <w:unhideWhenUsed/>
    <w:rsid w:val="00843132"/>
    <w:rPr>
      <w:lang w:val="en-GB"/>
    </w:rPr>
  </w:style>
  <w:style w:type="character" w:customStyle="1" w:styleId="af0">
    <w:name w:val="註解文字 字元"/>
    <w:basedOn w:val="a0"/>
    <w:link w:val="af"/>
    <w:uiPriority w:val="99"/>
    <w:semiHidden/>
    <w:rsid w:val="00843132"/>
    <w:rPr>
      <w:lang w:val="en-GB"/>
    </w:rPr>
  </w:style>
  <w:style w:type="paragraph" w:styleId="af1">
    <w:name w:val="annotation subject"/>
    <w:basedOn w:val="af"/>
    <w:next w:val="af"/>
    <w:link w:val="af2"/>
    <w:uiPriority w:val="99"/>
    <w:semiHidden/>
    <w:unhideWhenUsed/>
    <w:rsid w:val="00843132"/>
    <w:rPr>
      <w:b/>
      <w:bCs/>
    </w:rPr>
  </w:style>
  <w:style w:type="character" w:customStyle="1" w:styleId="af2">
    <w:name w:val="註解主旨 字元"/>
    <w:basedOn w:val="af0"/>
    <w:link w:val="af1"/>
    <w:uiPriority w:val="99"/>
    <w:semiHidden/>
    <w:rsid w:val="00843132"/>
    <w:rPr>
      <w:b/>
      <w:bCs/>
      <w:lang w:val="en-GB"/>
    </w:rPr>
  </w:style>
  <w:style w:type="paragraph" w:styleId="af3">
    <w:name w:val="Revision"/>
    <w:hidden/>
    <w:uiPriority w:val="99"/>
    <w:semiHidden/>
    <w:rsid w:val="00843132"/>
    <w:rPr>
      <w:lang w:val="en-GB"/>
    </w:rPr>
  </w:style>
  <w:style w:type="paragraph" w:styleId="af4">
    <w:name w:val="Balloon Text"/>
    <w:basedOn w:val="a"/>
    <w:link w:val="af5"/>
    <w:uiPriority w:val="99"/>
    <w:semiHidden/>
    <w:unhideWhenUsed/>
    <w:rsid w:val="00843132"/>
    <w:rPr>
      <w:rFonts w:asciiTheme="majorHAnsi" w:eastAsiaTheme="majorEastAsia" w:hAnsiTheme="majorHAnsi" w:cstheme="majorBidi"/>
      <w:sz w:val="18"/>
      <w:szCs w:val="18"/>
      <w:lang w:val="en-GB"/>
    </w:rPr>
  </w:style>
  <w:style w:type="character" w:customStyle="1" w:styleId="af5">
    <w:name w:val="註解方塊文字 字元"/>
    <w:basedOn w:val="a0"/>
    <w:link w:val="af4"/>
    <w:uiPriority w:val="99"/>
    <w:semiHidden/>
    <w:rsid w:val="00843132"/>
    <w:rPr>
      <w:rFonts w:asciiTheme="majorHAnsi" w:eastAsiaTheme="majorEastAsia" w:hAnsiTheme="majorHAnsi" w:cstheme="majorBidi"/>
      <w:sz w:val="18"/>
      <w:szCs w:val="18"/>
      <w:lang w:val="en-GB"/>
    </w:rPr>
  </w:style>
  <w:style w:type="paragraph" w:styleId="af6">
    <w:name w:val="Title"/>
    <w:basedOn w:val="a"/>
    <w:link w:val="af7"/>
    <w:qFormat/>
    <w:rsid w:val="004D7F09"/>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7">
    <w:name w:val="標題 字元"/>
    <w:basedOn w:val="a0"/>
    <w:link w:val="af6"/>
    <w:rsid w:val="004D7F09"/>
    <w:rPr>
      <w:rFonts w:ascii="CG Times (W1)" w:eastAsia="細明體" w:hAnsi="CG Times (W1)" w:cs="Times New Roman"/>
      <w:b/>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A(G)2\CA2%20File%20as%20at%208%20Sep%202022\IRBRD\IRBRD%20-%20blank%20form.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9B7B-AE92-48B3-B62B-E5994BC7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IRBRD - blank form</Template>
  <TotalTime>52</TotalTime>
  <Pages>15</Pages>
  <Words>5840</Words>
  <Characters>33289</Characters>
  <Application>Microsoft Office Word</Application>
  <DocSecurity>8</DocSecurity>
  <Lines>277</Lines>
  <Paragraphs>78</Paragraphs>
  <ScaleCrop>false</ScaleCrop>
  <Company>HKSARG</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PK LAI</dc:creator>
  <cp:keywords/>
  <dc:description/>
  <cp:lastModifiedBy>Beryl PT WONG [ACO[G]1]_BOR]</cp:lastModifiedBy>
  <cp:revision>15</cp:revision>
  <dcterms:created xsi:type="dcterms:W3CDTF">2023-09-19T08:36:00Z</dcterms:created>
  <dcterms:modified xsi:type="dcterms:W3CDTF">2023-09-29T02:46:00Z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