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F8A9E" w14:textId="77777777" w:rsidR="009254E4" w:rsidRPr="009254E4" w:rsidRDefault="009254E4" w:rsidP="009A4A6A">
      <w:pPr>
        <w:pStyle w:val="ac"/>
        <w:tabs>
          <w:tab w:val="left" w:pos="1276"/>
        </w:tabs>
        <w:rPr>
          <w:rFonts w:ascii="Times New Roman" w:eastAsia="華康楷書體W5" w:hAnsi="Times New Roman"/>
          <w:szCs w:val="24"/>
        </w:rPr>
      </w:pPr>
      <w:r w:rsidRPr="009254E4">
        <w:rPr>
          <w:rFonts w:ascii="Times New Roman" w:eastAsia="華康楷書體W5" w:hAnsi="Times New Roman"/>
          <w:szCs w:val="24"/>
        </w:rPr>
        <w:t>Case No. D10</w:t>
      </w:r>
      <w:r w:rsidRPr="009254E4">
        <w:rPr>
          <w:rFonts w:ascii="Times New Roman" w:eastAsia="華康楷書體W5" w:hAnsi="Times New Roman"/>
          <w:szCs w:val="24"/>
          <w:lang w:eastAsia="zh-HK"/>
        </w:rPr>
        <w:t>/21</w:t>
      </w:r>
    </w:p>
    <w:p w14:paraId="2475AE56" w14:textId="77777777" w:rsidR="009254E4" w:rsidRPr="009254E4" w:rsidRDefault="009254E4" w:rsidP="009A4A6A">
      <w:pPr>
        <w:tabs>
          <w:tab w:val="left" w:pos="1276"/>
        </w:tabs>
        <w:spacing w:after="0" w:line="240" w:lineRule="auto"/>
        <w:jc w:val="both"/>
        <w:rPr>
          <w:rFonts w:ascii="Times New Roman" w:eastAsia="華康楷書體W5" w:hAnsi="Times New Roman"/>
          <w:sz w:val="24"/>
          <w:szCs w:val="24"/>
        </w:rPr>
      </w:pPr>
    </w:p>
    <w:p w14:paraId="51ADD209" w14:textId="77777777" w:rsidR="009254E4" w:rsidRPr="009254E4" w:rsidRDefault="009254E4" w:rsidP="009A4A6A">
      <w:pPr>
        <w:tabs>
          <w:tab w:val="left" w:pos="1276"/>
        </w:tabs>
        <w:spacing w:after="0" w:line="240" w:lineRule="auto"/>
        <w:jc w:val="both"/>
        <w:rPr>
          <w:rFonts w:ascii="Times New Roman" w:eastAsia="華康楷書體W5" w:hAnsi="Times New Roman"/>
          <w:sz w:val="24"/>
          <w:szCs w:val="24"/>
        </w:rPr>
      </w:pPr>
    </w:p>
    <w:p w14:paraId="145F9756" w14:textId="2BF3FEC1" w:rsidR="009254E4" w:rsidRDefault="009254E4" w:rsidP="009A4A6A">
      <w:pPr>
        <w:tabs>
          <w:tab w:val="left" w:pos="1276"/>
        </w:tabs>
        <w:overflowPunct w:val="0"/>
        <w:autoSpaceDE w:val="0"/>
        <w:autoSpaceDN w:val="0"/>
        <w:spacing w:after="0" w:line="240" w:lineRule="auto"/>
        <w:jc w:val="both"/>
        <w:rPr>
          <w:rFonts w:ascii="Times New Roman" w:eastAsia="華康楷書體W5" w:hAnsi="Times New Roman"/>
          <w:sz w:val="24"/>
          <w:szCs w:val="24"/>
        </w:rPr>
      </w:pPr>
      <w:bookmarkStart w:id="0" w:name="_GoBack"/>
      <w:bookmarkEnd w:id="0"/>
    </w:p>
    <w:p w14:paraId="4A80F300" w14:textId="77777777" w:rsidR="009A4A6A" w:rsidRPr="009254E4" w:rsidRDefault="009A4A6A" w:rsidP="009A4A6A">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430B84D7" w14:textId="48DA391B" w:rsidR="009A4A6A" w:rsidRPr="002E32AE" w:rsidRDefault="009A4A6A" w:rsidP="009A4A6A">
      <w:pPr>
        <w:overflowPunct w:val="0"/>
        <w:autoSpaceDE w:val="0"/>
        <w:autoSpaceDN w:val="0"/>
        <w:spacing w:after="0" w:line="240" w:lineRule="auto"/>
        <w:jc w:val="both"/>
        <w:rPr>
          <w:rFonts w:ascii="Times New Roman" w:hAnsi="Times New Roman"/>
          <w:sz w:val="24"/>
          <w:szCs w:val="24"/>
        </w:rPr>
      </w:pPr>
      <w:r>
        <w:rPr>
          <w:rFonts w:ascii="Times New Roman" w:hAnsi="Times New Roman"/>
          <w:b/>
          <w:sz w:val="24"/>
          <w:szCs w:val="24"/>
        </w:rPr>
        <w:t>Salarie</w:t>
      </w:r>
      <w:r w:rsidRPr="002E32AE">
        <w:rPr>
          <w:rFonts w:ascii="Times New Roman" w:hAnsi="Times New Roman"/>
          <w:b/>
          <w:sz w:val="24"/>
          <w:szCs w:val="24"/>
        </w:rPr>
        <w:t>s tax</w:t>
      </w:r>
      <w:r w:rsidRPr="002E32AE">
        <w:rPr>
          <w:rFonts w:ascii="Times New Roman" w:hAnsi="Times New Roman"/>
          <w:sz w:val="24"/>
          <w:szCs w:val="24"/>
        </w:rPr>
        <w:t xml:space="preserve"> – </w:t>
      </w:r>
      <w:r>
        <w:rPr>
          <w:rFonts w:ascii="Times New Roman" w:hAnsi="Times New Roman"/>
          <w:sz w:val="24"/>
          <w:szCs w:val="24"/>
        </w:rPr>
        <w:t xml:space="preserve">appeal against determination – appellant lodging appeal more than 3 years out of time – whether prevented by illness – whether other reasonable grounds for extension of time – </w:t>
      </w:r>
      <w:r w:rsidRPr="002E32AE">
        <w:rPr>
          <w:rFonts w:ascii="Times New Roman" w:hAnsi="Times New Roman"/>
          <w:sz w:val="24"/>
          <w:szCs w:val="24"/>
        </w:rPr>
        <w:t xml:space="preserve">sections </w:t>
      </w:r>
      <w:r>
        <w:rPr>
          <w:rFonts w:ascii="Times New Roman" w:hAnsi="Times New Roman"/>
          <w:sz w:val="24"/>
          <w:szCs w:val="24"/>
        </w:rPr>
        <w:t>64(4) and 66</w:t>
      </w:r>
      <w:r w:rsidRPr="002E32AE">
        <w:rPr>
          <w:rFonts w:ascii="Times New Roman" w:hAnsi="Times New Roman"/>
          <w:sz w:val="24"/>
          <w:szCs w:val="24"/>
        </w:rPr>
        <w:t xml:space="preserve"> of the Inland Revenue Ordinance (C</w:t>
      </w:r>
      <w:r>
        <w:rPr>
          <w:rFonts w:ascii="Times New Roman" w:hAnsi="Times New Roman"/>
          <w:sz w:val="24"/>
          <w:szCs w:val="24"/>
        </w:rPr>
        <w:t>h</w:t>
      </w:r>
      <w:r w:rsidRPr="002E32AE">
        <w:rPr>
          <w:rFonts w:ascii="Times New Roman" w:hAnsi="Times New Roman"/>
          <w:sz w:val="24"/>
          <w:szCs w:val="24"/>
        </w:rPr>
        <w:t>ap</w:t>
      </w:r>
      <w:r>
        <w:rPr>
          <w:rFonts w:ascii="Times New Roman" w:hAnsi="Times New Roman"/>
          <w:sz w:val="24"/>
          <w:szCs w:val="24"/>
        </w:rPr>
        <w:t xml:space="preserve">ter </w:t>
      </w:r>
      <w:r w:rsidRPr="002E32AE">
        <w:rPr>
          <w:rFonts w:ascii="Times New Roman" w:hAnsi="Times New Roman"/>
          <w:sz w:val="24"/>
          <w:szCs w:val="24"/>
        </w:rPr>
        <w:t>112) (‘</w:t>
      </w:r>
      <w:r w:rsidRPr="009A4A6A">
        <w:rPr>
          <w:rFonts w:ascii="Times New Roman" w:hAnsi="Times New Roman"/>
          <w:sz w:val="24"/>
          <w:szCs w:val="24"/>
        </w:rPr>
        <w:t>IRO</w:t>
      </w:r>
      <w:r w:rsidRPr="002E32AE">
        <w:rPr>
          <w:rFonts w:ascii="Times New Roman" w:hAnsi="Times New Roman"/>
          <w:sz w:val="24"/>
          <w:szCs w:val="24"/>
        </w:rPr>
        <w:t>’)</w:t>
      </w:r>
    </w:p>
    <w:p w14:paraId="323D7F95" w14:textId="77777777" w:rsidR="009254E4" w:rsidRPr="009A4A6A" w:rsidRDefault="009254E4" w:rsidP="009A4A6A">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7C543996" w14:textId="3152CB47" w:rsidR="009254E4" w:rsidRPr="009254E4" w:rsidRDefault="009254E4" w:rsidP="009A4A6A">
      <w:pPr>
        <w:tabs>
          <w:tab w:val="left" w:pos="0"/>
          <w:tab w:val="left" w:pos="1276"/>
        </w:tabs>
        <w:overflowPunct w:val="0"/>
        <w:autoSpaceDE w:val="0"/>
        <w:autoSpaceDN w:val="0"/>
        <w:spacing w:after="0" w:line="240" w:lineRule="auto"/>
        <w:jc w:val="both"/>
        <w:rPr>
          <w:rFonts w:ascii="Times New Roman" w:eastAsia="華康楷書體W5" w:hAnsi="Times New Roman"/>
          <w:sz w:val="24"/>
          <w:szCs w:val="24"/>
        </w:rPr>
      </w:pPr>
      <w:r w:rsidRPr="009254E4">
        <w:rPr>
          <w:rFonts w:ascii="Times New Roman" w:eastAsia="華康楷書體W5" w:hAnsi="Times New Roman"/>
          <w:sz w:val="24"/>
          <w:szCs w:val="24"/>
        </w:rPr>
        <w:t xml:space="preserve">Panel: </w:t>
      </w:r>
      <w:r w:rsidRPr="009254E4">
        <w:rPr>
          <w:rFonts w:ascii="Times New Roman" w:eastAsia="華康楷書體W5" w:hAnsi="Times New Roman"/>
          <w:sz w:val="24"/>
          <w:szCs w:val="24"/>
          <w:lang w:eastAsia="zh-HK"/>
        </w:rPr>
        <w:t xml:space="preserve">Chui Pak Ming Norman </w:t>
      </w:r>
      <w:r w:rsidRPr="009254E4">
        <w:rPr>
          <w:rFonts w:ascii="Times New Roman" w:eastAsia="華康楷書體W5" w:hAnsi="Times New Roman"/>
          <w:sz w:val="24"/>
          <w:szCs w:val="24"/>
        </w:rPr>
        <w:t>(chairm</w:t>
      </w:r>
      <w:r w:rsidRPr="009254E4">
        <w:rPr>
          <w:rFonts w:ascii="Times New Roman" w:eastAsia="華康楷書體W5" w:hAnsi="Times New Roman"/>
          <w:sz w:val="24"/>
          <w:szCs w:val="24"/>
          <w:lang w:eastAsia="zh-HK"/>
        </w:rPr>
        <w:t>an), Kwan Wai Yi Janet and Seto Sing</w:t>
      </w:r>
      <w:r w:rsidR="00B17949">
        <w:rPr>
          <w:rFonts w:ascii="Times New Roman" w:eastAsia="華康楷書體W5" w:hAnsi="Times New Roman"/>
          <w:sz w:val="24"/>
          <w:szCs w:val="24"/>
          <w:lang w:eastAsia="zh-HK"/>
        </w:rPr>
        <w:t xml:space="preserve"> T</w:t>
      </w:r>
      <w:r w:rsidRPr="009254E4">
        <w:rPr>
          <w:rFonts w:ascii="Times New Roman" w:eastAsia="華康楷書體W5" w:hAnsi="Times New Roman"/>
          <w:sz w:val="24"/>
          <w:szCs w:val="24"/>
          <w:lang w:eastAsia="zh-HK"/>
        </w:rPr>
        <w:t>ak.</w:t>
      </w:r>
    </w:p>
    <w:p w14:paraId="4632341D" w14:textId="77777777" w:rsidR="009254E4" w:rsidRPr="009254E4" w:rsidRDefault="009254E4" w:rsidP="009A4A6A">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p>
    <w:p w14:paraId="0F0629DC" w14:textId="77777777" w:rsidR="009254E4" w:rsidRPr="009254E4" w:rsidRDefault="009254E4" w:rsidP="009A4A6A">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9254E4">
        <w:rPr>
          <w:rFonts w:ascii="Times New Roman" w:eastAsia="華康楷書體W5" w:hAnsi="Times New Roman"/>
          <w:sz w:val="24"/>
          <w:szCs w:val="24"/>
        </w:rPr>
        <w:t>Date of hearing:</w:t>
      </w:r>
      <w:r w:rsidRPr="009254E4">
        <w:rPr>
          <w:rFonts w:ascii="Times New Roman" w:eastAsia="華康楷書體W5" w:hAnsi="Times New Roman"/>
          <w:sz w:val="24"/>
          <w:szCs w:val="24"/>
          <w:lang w:eastAsia="zh-HK"/>
        </w:rPr>
        <w:t xml:space="preserve"> 26 August 2021</w:t>
      </w:r>
      <w:r w:rsidRPr="009254E4">
        <w:rPr>
          <w:rFonts w:ascii="Times New Roman" w:hAnsi="Times New Roman"/>
          <w:sz w:val="24"/>
          <w:szCs w:val="24"/>
        </w:rPr>
        <w:t>.</w:t>
      </w:r>
    </w:p>
    <w:p w14:paraId="7A8090EB" w14:textId="77777777" w:rsidR="009254E4" w:rsidRPr="009254E4" w:rsidRDefault="009254E4" w:rsidP="009A4A6A">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9254E4">
        <w:rPr>
          <w:rFonts w:ascii="Times New Roman" w:eastAsia="華康楷書體W5" w:hAnsi="Times New Roman"/>
          <w:sz w:val="24"/>
          <w:szCs w:val="24"/>
        </w:rPr>
        <w:t xml:space="preserve">Date of decision: </w:t>
      </w:r>
      <w:r w:rsidRPr="009254E4">
        <w:rPr>
          <w:rFonts w:ascii="Times New Roman" w:hAnsi="Times New Roman"/>
          <w:sz w:val="24"/>
          <w:szCs w:val="24"/>
          <w:lang w:eastAsia="zh-HK"/>
        </w:rPr>
        <w:t>27 September 2021</w:t>
      </w:r>
      <w:r w:rsidRPr="009254E4">
        <w:rPr>
          <w:rFonts w:ascii="Times New Roman" w:hAnsi="Times New Roman"/>
          <w:sz w:val="24"/>
          <w:szCs w:val="24"/>
        </w:rPr>
        <w:t>.</w:t>
      </w:r>
    </w:p>
    <w:p w14:paraId="314489D3" w14:textId="77777777" w:rsidR="009254E4" w:rsidRPr="009254E4" w:rsidRDefault="009254E4" w:rsidP="009A4A6A">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2D682045" w14:textId="77777777" w:rsidR="009254E4" w:rsidRPr="009254E4" w:rsidRDefault="009254E4" w:rsidP="009A4A6A">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5AA13791" w14:textId="0FAE0A74" w:rsidR="009A4A6A" w:rsidRDefault="009A4A6A" w:rsidP="009A4A6A">
      <w:pPr>
        <w:overflowPunct w:val="0"/>
        <w:autoSpaceDE w:val="0"/>
        <w:autoSpaceDN w:val="0"/>
        <w:spacing w:after="0" w:line="240" w:lineRule="auto"/>
        <w:ind w:firstLineChars="414" w:firstLine="994"/>
        <w:jc w:val="both"/>
        <w:rPr>
          <w:rFonts w:ascii="Times New Roman" w:hAnsi="Times New Roman"/>
          <w:sz w:val="24"/>
          <w:szCs w:val="24"/>
          <w:lang w:eastAsia="zh-HK"/>
        </w:rPr>
      </w:pPr>
      <w:r w:rsidRPr="00D61E94">
        <w:rPr>
          <w:rFonts w:ascii="Times New Roman" w:hAnsi="Times New Roman"/>
          <w:sz w:val="24"/>
          <w:szCs w:val="24"/>
          <w:lang w:eastAsia="zh-HK"/>
        </w:rPr>
        <w:t xml:space="preserve">The Appellant objected to the Salaries Tax </w:t>
      </w:r>
      <w:r>
        <w:rPr>
          <w:rFonts w:ascii="Times New Roman" w:hAnsi="Times New Roman"/>
          <w:sz w:val="24"/>
          <w:szCs w:val="24"/>
          <w:lang w:eastAsia="zh-HK"/>
        </w:rPr>
        <w:t>A</w:t>
      </w:r>
      <w:r w:rsidRPr="00D61E94">
        <w:rPr>
          <w:rFonts w:ascii="Times New Roman" w:hAnsi="Times New Roman"/>
          <w:sz w:val="24"/>
          <w:szCs w:val="24"/>
          <w:lang w:eastAsia="zh-HK"/>
        </w:rPr>
        <w:t>ssessment raised on him that a sum received from his employer was not taxable</w:t>
      </w:r>
      <w:r>
        <w:rPr>
          <w:rFonts w:ascii="Times New Roman" w:hAnsi="Times New Roman"/>
          <w:sz w:val="24"/>
          <w:szCs w:val="24"/>
          <w:lang w:eastAsia="zh-HK"/>
        </w:rPr>
        <w:t>. On</w:t>
      </w:r>
      <w:r w:rsidRPr="00D61E94">
        <w:rPr>
          <w:rFonts w:ascii="Times New Roman" w:hAnsi="Times New Roman"/>
          <w:sz w:val="24"/>
          <w:szCs w:val="24"/>
          <w:lang w:eastAsia="zh-HK"/>
        </w:rPr>
        <w:t xml:space="preserve"> 30 October 2017, the Deputy Commissioner rejected the Appellant’s objection and confirmed the Salaries Tax Assessment </w:t>
      </w:r>
      <w:r>
        <w:rPr>
          <w:rFonts w:ascii="Times New Roman" w:hAnsi="Times New Roman"/>
          <w:sz w:val="24"/>
          <w:szCs w:val="24"/>
          <w:lang w:eastAsia="zh-HK"/>
        </w:rPr>
        <w:t>(‘</w:t>
      </w:r>
      <w:r w:rsidRPr="009A4A6A">
        <w:rPr>
          <w:rFonts w:ascii="Times New Roman" w:hAnsi="Times New Roman"/>
          <w:bCs/>
          <w:sz w:val="24"/>
          <w:szCs w:val="24"/>
          <w:lang w:eastAsia="zh-HK"/>
        </w:rPr>
        <w:t>Determination</w:t>
      </w:r>
      <w:r>
        <w:rPr>
          <w:rFonts w:ascii="Times New Roman" w:hAnsi="Times New Roman"/>
          <w:sz w:val="24"/>
          <w:szCs w:val="24"/>
          <w:lang w:eastAsia="zh-HK"/>
        </w:rPr>
        <w:t>’)</w:t>
      </w:r>
      <w:r w:rsidRPr="00D61E94">
        <w:rPr>
          <w:rFonts w:ascii="Times New Roman" w:hAnsi="Times New Roman"/>
          <w:sz w:val="24"/>
          <w:szCs w:val="24"/>
          <w:lang w:eastAsia="zh-HK"/>
        </w:rPr>
        <w:t>.</w:t>
      </w:r>
      <w:r>
        <w:rPr>
          <w:rFonts w:ascii="Times New Roman" w:hAnsi="Times New Roman"/>
          <w:sz w:val="24"/>
          <w:szCs w:val="24"/>
          <w:lang w:eastAsia="zh-HK"/>
        </w:rPr>
        <w:t xml:space="preserve"> </w:t>
      </w:r>
      <w:r w:rsidRPr="009E01D8">
        <w:rPr>
          <w:rFonts w:ascii="Times New Roman" w:hAnsi="Times New Roman"/>
          <w:sz w:val="24"/>
          <w:szCs w:val="24"/>
          <w:lang w:eastAsia="zh-HK"/>
        </w:rPr>
        <w:t>The Determination was delivered</w:t>
      </w:r>
      <w:r>
        <w:rPr>
          <w:rFonts w:ascii="Times New Roman" w:hAnsi="Times New Roman"/>
          <w:sz w:val="24"/>
          <w:szCs w:val="24"/>
          <w:lang w:eastAsia="zh-HK"/>
        </w:rPr>
        <w:t xml:space="preserve"> to the Appellant</w:t>
      </w:r>
      <w:r w:rsidRPr="009E01D8">
        <w:rPr>
          <w:rFonts w:ascii="Times New Roman" w:hAnsi="Times New Roman"/>
          <w:sz w:val="24"/>
          <w:szCs w:val="24"/>
          <w:lang w:eastAsia="zh-HK"/>
        </w:rPr>
        <w:t xml:space="preserve"> on 11 November 2017. In the </w:t>
      </w:r>
      <w:r>
        <w:rPr>
          <w:rFonts w:ascii="Times New Roman" w:hAnsi="Times New Roman"/>
          <w:sz w:val="24"/>
          <w:szCs w:val="24"/>
          <w:lang w:eastAsia="zh-HK"/>
        </w:rPr>
        <w:t>covering</w:t>
      </w:r>
      <w:r w:rsidRPr="009E01D8">
        <w:rPr>
          <w:rFonts w:ascii="Times New Roman" w:hAnsi="Times New Roman"/>
          <w:sz w:val="24"/>
          <w:szCs w:val="24"/>
          <w:lang w:eastAsia="zh-HK"/>
        </w:rPr>
        <w:t xml:space="preserve"> letter the Appellant was advised of his right to appeal</w:t>
      </w:r>
      <w:r>
        <w:rPr>
          <w:rFonts w:ascii="Times New Roman" w:hAnsi="Times New Roman"/>
          <w:sz w:val="24"/>
          <w:szCs w:val="24"/>
          <w:lang w:eastAsia="zh-HK"/>
        </w:rPr>
        <w:t>, with</w:t>
      </w:r>
      <w:r w:rsidRPr="002E21E9">
        <w:rPr>
          <w:rFonts w:ascii="Times New Roman" w:hAnsi="Times New Roman"/>
          <w:sz w:val="24"/>
          <w:szCs w:val="24"/>
          <w:lang w:eastAsia="zh-HK"/>
        </w:rPr>
        <w:t xml:space="preserve"> the procedure and time limit of lodging an appeal </w:t>
      </w:r>
      <w:r>
        <w:rPr>
          <w:rFonts w:ascii="Times New Roman" w:hAnsi="Times New Roman"/>
          <w:sz w:val="24"/>
          <w:szCs w:val="24"/>
          <w:lang w:eastAsia="zh-HK"/>
        </w:rPr>
        <w:t>set out in details</w:t>
      </w:r>
      <w:r w:rsidRPr="002E21E9">
        <w:rPr>
          <w:rFonts w:ascii="Times New Roman" w:hAnsi="Times New Roman"/>
          <w:sz w:val="24"/>
          <w:szCs w:val="24"/>
          <w:lang w:eastAsia="zh-HK"/>
        </w:rPr>
        <w:t>.</w:t>
      </w:r>
    </w:p>
    <w:p w14:paraId="4687DCF0" w14:textId="77777777" w:rsidR="009A4A6A" w:rsidRDefault="009A4A6A" w:rsidP="009A4A6A">
      <w:pPr>
        <w:overflowPunct w:val="0"/>
        <w:autoSpaceDE w:val="0"/>
        <w:autoSpaceDN w:val="0"/>
        <w:spacing w:after="0" w:line="240" w:lineRule="auto"/>
        <w:ind w:firstLineChars="450" w:firstLine="1080"/>
        <w:jc w:val="both"/>
        <w:rPr>
          <w:rFonts w:ascii="Times New Roman" w:hAnsi="Times New Roman"/>
          <w:sz w:val="24"/>
          <w:szCs w:val="24"/>
          <w:lang w:eastAsia="zh-HK"/>
        </w:rPr>
      </w:pPr>
    </w:p>
    <w:p w14:paraId="75DDAE28" w14:textId="19716C30" w:rsidR="009A4A6A" w:rsidRDefault="009A4A6A" w:rsidP="009A4A6A">
      <w:pPr>
        <w:overflowPunct w:val="0"/>
        <w:autoSpaceDE w:val="0"/>
        <w:autoSpaceDN w:val="0"/>
        <w:spacing w:after="0" w:line="240" w:lineRule="auto"/>
        <w:ind w:firstLineChars="414" w:firstLine="994"/>
        <w:jc w:val="both"/>
        <w:rPr>
          <w:rFonts w:ascii="Times New Roman" w:hAnsi="Times New Roman"/>
          <w:sz w:val="24"/>
          <w:szCs w:val="24"/>
          <w:lang w:eastAsia="zh-HK"/>
        </w:rPr>
      </w:pPr>
      <w:r>
        <w:rPr>
          <w:rFonts w:ascii="Times New Roman" w:hAnsi="Times New Roman"/>
          <w:sz w:val="24"/>
          <w:szCs w:val="24"/>
          <w:lang w:eastAsia="zh-HK"/>
        </w:rPr>
        <w:t>On 7 May 2021, the Appellant lodged an appeal to the Board of Review (‘</w:t>
      </w:r>
      <w:r w:rsidRPr="009A4A6A">
        <w:rPr>
          <w:rFonts w:ascii="Times New Roman" w:hAnsi="Times New Roman"/>
          <w:bCs/>
          <w:sz w:val="24"/>
          <w:szCs w:val="24"/>
          <w:lang w:eastAsia="zh-HK"/>
        </w:rPr>
        <w:t>Board</w:t>
      </w:r>
      <w:r>
        <w:rPr>
          <w:rFonts w:ascii="Times New Roman" w:hAnsi="Times New Roman"/>
          <w:sz w:val="24"/>
          <w:szCs w:val="24"/>
          <w:lang w:eastAsia="zh-HK"/>
        </w:rPr>
        <w:t xml:space="preserve">’) </w:t>
      </w:r>
      <w:r w:rsidRPr="00D61E94">
        <w:rPr>
          <w:rFonts w:ascii="Times New Roman" w:hAnsi="Times New Roman"/>
          <w:sz w:val="24"/>
          <w:szCs w:val="24"/>
          <w:lang w:eastAsia="zh-HK"/>
        </w:rPr>
        <w:t>against the Determination by way of an e-mail</w:t>
      </w:r>
      <w:r>
        <w:rPr>
          <w:rFonts w:ascii="Times New Roman" w:hAnsi="Times New Roman"/>
          <w:sz w:val="24"/>
          <w:szCs w:val="24"/>
          <w:lang w:eastAsia="zh-HK"/>
        </w:rPr>
        <w:t xml:space="preserve"> enclosing</w:t>
      </w:r>
      <w:r w:rsidRPr="00D61E94">
        <w:rPr>
          <w:rFonts w:ascii="Times New Roman" w:hAnsi="Times New Roman"/>
          <w:sz w:val="24"/>
          <w:szCs w:val="24"/>
          <w:lang w:eastAsia="zh-HK"/>
        </w:rPr>
        <w:t xml:space="preserve"> </w:t>
      </w:r>
      <w:r>
        <w:rPr>
          <w:rFonts w:ascii="Times New Roman" w:hAnsi="Times New Roman"/>
          <w:sz w:val="24"/>
          <w:szCs w:val="24"/>
          <w:lang w:eastAsia="zh-HK"/>
        </w:rPr>
        <w:t>the</w:t>
      </w:r>
      <w:r w:rsidRPr="00D61E94">
        <w:rPr>
          <w:rFonts w:ascii="Times New Roman" w:hAnsi="Times New Roman"/>
          <w:sz w:val="24"/>
          <w:szCs w:val="24"/>
          <w:lang w:eastAsia="zh-HK"/>
        </w:rPr>
        <w:t xml:space="preserve"> notice of appeal </w:t>
      </w:r>
      <w:r>
        <w:rPr>
          <w:rFonts w:ascii="Times New Roman" w:hAnsi="Times New Roman"/>
          <w:sz w:val="24"/>
          <w:szCs w:val="24"/>
          <w:lang w:eastAsia="zh-HK"/>
        </w:rPr>
        <w:t>(‘</w:t>
      </w:r>
      <w:r w:rsidRPr="009A4A6A">
        <w:rPr>
          <w:rFonts w:ascii="Times New Roman" w:hAnsi="Times New Roman"/>
          <w:bCs/>
          <w:sz w:val="24"/>
          <w:szCs w:val="24"/>
          <w:lang w:eastAsia="zh-HK"/>
        </w:rPr>
        <w:t>NOA</w:t>
      </w:r>
      <w:r>
        <w:rPr>
          <w:rFonts w:ascii="Times New Roman" w:hAnsi="Times New Roman"/>
          <w:sz w:val="24"/>
          <w:szCs w:val="24"/>
          <w:lang w:eastAsia="zh-HK"/>
        </w:rPr>
        <w:t xml:space="preserve">’). </w:t>
      </w:r>
      <w:r w:rsidRPr="00D61E94">
        <w:rPr>
          <w:rFonts w:ascii="Times New Roman" w:hAnsi="Times New Roman"/>
          <w:sz w:val="24"/>
          <w:szCs w:val="24"/>
          <w:lang w:eastAsia="zh-HK"/>
        </w:rPr>
        <w:t>By an</w:t>
      </w:r>
      <w:r>
        <w:rPr>
          <w:rFonts w:ascii="Times New Roman" w:hAnsi="Times New Roman"/>
          <w:sz w:val="24"/>
          <w:szCs w:val="24"/>
          <w:lang w:eastAsia="zh-HK"/>
        </w:rPr>
        <w:t>other</w:t>
      </w:r>
      <w:r w:rsidRPr="00D61E94">
        <w:rPr>
          <w:rFonts w:ascii="Times New Roman" w:hAnsi="Times New Roman"/>
          <w:sz w:val="24"/>
          <w:szCs w:val="24"/>
          <w:lang w:eastAsia="zh-HK"/>
        </w:rPr>
        <w:t xml:space="preserve"> e-mail sent to the Board on 10 May 2021, the Appellant explained that the delay in lodging the appeal was due to</w:t>
      </w:r>
      <w:r>
        <w:rPr>
          <w:rFonts w:ascii="Times New Roman" w:hAnsi="Times New Roman"/>
          <w:sz w:val="24"/>
          <w:szCs w:val="24"/>
          <w:lang w:eastAsia="zh-HK"/>
        </w:rPr>
        <w:t xml:space="preserve"> his medical conditions including </w:t>
      </w:r>
      <w:r w:rsidRPr="002E21E9">
        <w:rPr>
          <w:rFonts w:ascii="Times New Roman" w:hAnsi="Times New Roman"/>
          <w:sz w:val="24"/>
          <w:szCs w:val="24"/>
          <w:lang w:eastAsia="zh-HK"/>
        </w:rPr>
        <w:t>bilateral knee pain</w:t>
      </w:r>
      <w:r>
        <w:rPr>
          <w:rFonts w:ascii="Times New Roman" w:hAnsi="Times New Roman"/>
          <w:sz w:val="24"/>
          <w:szCs w:val="24"/>
          <w:lang w:eastAsia="zh-HK"/>
        </w:rPr>
        <w:t xml:space="preserve">, </w:t>
      </w:r>
      <w:r w:rsidRPr="002E21E9">
        <w:rPr>
          <w:rFonts w:ascii="Times New Roman" w:hAnsi="Times New Roman"/>
          <w:sz w:val="24"/>
          <w:szCs w:val="24"/>
          <w:lang w:eastAsia="zh-HK"/>
        </w:rPr>
        <w:t>hypertension, high blood sugar, hyperlipidemia</w:t>
      </w:r>
      <w:r>
        <w:rPr>
          <w:rFonts w:ascii="Times New Roman" w:hAnsi="Times New Roman"/>
          <w:sz w:val="24"/>
          <w:szCs w:val="24"/>
          <w:lang w:eastAsia="zh-HK"/>
        </w:rPr>
        <w:t>,</w:t>
      </w:r>
      <w:r w:rsidRPr="002E21E9">
        <w:rPr>
          <w:rFonts w:ascii="Times New Roman" w:hAnsi="Times New Roman"/>
          <w:sz w:val="24"/>
          <w:szCs w:val="24"/>
          <w:lang w:eastAsia="zh-HK"/>
        </w:rPr>
        <w:t xml:space="preserve"> early atherosclerotic coronary</w:t>
      </w:r>
      <w:r>
        <w:rPr>
          <w:rFonts w:ascii="Times New Roman" w:hAnsi="Times New Roman"/>
          <w:sz w:val="24"/>
          <w:szCs w:val="24"/>
          <w:lang w:eastAsia="zh-HK"/>
        </w:rPr>
        <w:t xml:space="preserve"> and </w:t>
      </w:r>
      <w:r w:rsidRPr="002E21E9">
        <w:rPr>
          <w:rFonts w:ascii="Times New Roman" w:hAnsi="Times New Roman"/>
          <w:sz w:val="24"/>
          <w:szCs w:val="24"/>
          <w:lang w:eastAsia="zh-HK"/>
        </w:rPr>
        <w:t>sudden onset of Right cubital tunnel syndrome</w:t>
      </w:r>
      <w:r>
        <w:rPr>
          <w:rFonts w:ascii="Times New Roman" w:hAnsi="Times New Roman"/>
          <w:sz w:val="24"/>
          <w:szCs w:val="24"/>
          <w:lang w:eastAsia="zh-HK"/>
        </w:rPr>
        <w:t xml:space="preserve"> which he received an operation</w:t>
      </w:r>
      <w:r w:rsidRPr="002E21E9">
        <w:rPr>
          <w:rFonts w:ascii="Times New Roman" w:hAnsi="Times New Roman"/>
          <w:sz w:val="24"/>
          <w:szCs w:val="24"/>
          <w:lang w:eastAsia="zh-HK"/>
        </w:rPr>
        <w:t xml:space="preserve"> 8 Dec</w:t>
      </w:r>
      <w:r>
        <w:rPr>
          <w:rFonts w:ascii="Times New Roman" w:hAnsi="Times New Roman"/>
          <w:sz w:val="24"/>
          <w:szCs w:val="24"/>
          <w:lang w:eastAsia="zh-HK"/>
        </w:rPr>
        <w:t>ember</w:t>
      </w:r>
      <w:r w:rsidRPr="002E21E9">
        <w:rPr>
          <w:rFonts w:ascii="Times New Roman" w:hAnsi="Times New Roman"/>
          <w:sz w:val="24"/>
          <w:szCs w:val="24"/>
          <w:lang w:eastAsia="zh-HK"/>
        </w:rPr>
        <w:t xml:space="preserve"> 2017</w:t>
      </w:r>
      <w:r>
        <w:rPr>
          <w:rFonts w:ascii="Times New Roman" w:hAnsi="Times New Roman"/>
          <w:sz w:val="24"/>
          <w:szCs w:val="24"/>
          <w:lang w:eastAsia="zh-HK"/>
        </w:rPr>
        <w:t xml:space="preserve"> (‘</w:t>
      </w:r>
      <w:r w:rsidRPr="009A4A6A">
        <w:rPr>
          <w:rFonts w:ascii="Times New Roman" w:hAnsi="Times New Roman"/>
          <w:bCs/>
          <w:sz w:val="24"/>
          <w:szCs w:val="24"/>
          <w:lang w:eastAsia="zh-HK"/>
        </w:rPr>
        <w:t>Operation</w:t>
      </w:r>
      <w:r>
        <w:rPr>
          <w:rFonts w:ascii="Times New Roman" w:hAnsi="Times New Roman"/>
          <w:sz w:val="24"/>
          <w:szCs w:val="24"/>
          <w:lang w:eastAsia="zh-HK"/>
        </w:rPr>
        <w:t>’)</w:t>
      </w:r>
      <w:r w:rsidRPr="002E21E9">
        <w:rPr>
          <w:rFonts w:ascii="Times New Roman" w:hAnsi="Times New Roman"/>
          <w:sz w:val="24"/>
          <w:szCs w:val="24"/>
          <w:lang w:eastAsia="zh-HK"/>
        </w:rPr>
        <w:t>.</w:t>
      </w:r>
    </w:p>
    <w:p w14:paraId="29E4388B" w14:textId="77777777" w:rsidR="009A4A6A" w:rsidRDefault="009A4A6A" w:rsidP="009A4A6A">
      <w:pPr>
        <w:overflowPunct w:val="0"/>
        <w:autoSpaceDE w:val="0"/>
        <w:autoSpaceDN w:val="0"/>
        <w:spacing w:after="0" w:line="240" w:lineRule="auto"/>
        <w:ind w:firstLineChars="450" w:firstLine="1080"/>
        <w:jc w:val="both"/>
        <w:rPr>
          <w:rFonts w:ascii="Times New Roman" w:hAnsi="Times New Roman"/>
          <w:sz w:val="24"/>
          <w:szCs w:val="24"/>
          <w:lang w:eastAsia="zh-HK"/>
        </w:rPr>
      </w:pPr>
    </w:p>
    <w:p w14:paraId="546F37BB" w14:textId="24F8EA97" w:rsidR="009A4A6A" w:rsidRDefault="009A4A6A" w:rsidP="009A4A6A">
      <w:pPr>
        <w:overflowPunct w:val="0"/>
        <w:autoSpaceDE w:val="0"/>
        <w:autoSpaceDN w:val="0"/>
        <w:spacing w:after="0" w:line="240" w:lineRule="auto"/>
        <w:ind w:firstLineChars="414" w:firstLine="994"/>
        <w:jc w:val="both"/>
        <w:rPr>
          <w:rFonts w:ascii="Times New Roman" w:hAnsi="Times New Roman"/>
          <w:sz w:val="24"/>
          <w:szCs w:val="24"/>
          <w:lang w:eastAsia="zh-HK"/>
        </w:rPr>
      </w:pPr>
      <w:r w:rsidRPr="00D61E94">
        <w:rPr>
          <w:rFonts w:ascii="Times New Roman" w:hAnsi="Times New Roman"/>
          <w:sz w:val="24"/>
          <w:szCs w:val="24"/>
          <w:lang w:eastAsia="zh-HK"/>
        </w:rPr>
        <w:t>At the hearing, the Appellant confirmed that he</w:t>
      </w:r>
      <w:r>
        <w:rPr>
          <w:rFonts w:ascii="Times New Roman" w:hAnsi="Times New Roman"/>
          <w:sz w:val="24"/>
          <w:szCs w:val="24"/>
          <w:lang w:eastAsia="zh-HK"/>
        </w:rPr>
        <w:t xml:space="preserve"> would neither </w:t>
      </w:r>
      <w:r w:rsidRPr="00D61E94">
        <w:rPr>
          <w:rFonts w:ascii="Times New Roman" w:hAnsi="Times New Roman"/>
          <w:sz w:val="24"/>
          <w:szCs w:val="24"/>
          <w:lang w:eastAsia="zh-HK"/>
        </w:rPr>
        <w:t>give evidence</w:t>
      </w:r>
      <w:r>
        <w:rPr>
          <w:rFonts w:ascii="Times New Roman" w:hAnsi="Times New Roman"/>
          <w:sz w:val="24"/>
          <w:szCs w:val="24"/>
          <w:lang w:eastAsia="zh-HK"/>
        </w:rPr>
        <w:t xml:space="preserve"> nor call any witness</w:t>
      </w:r>
      <w:r w:rsidRPr="00D61E94">
        <w:rPr>
          <w:rFonts w:ascii="Times New Roman" w:hAnsi="Times New Roman"/>
          <w:sz w:val="24"/>
          <w:szCs w:val="24"/>
          <w:lang w:eastAsia="zh-HK"/>
        </w:rPr>
        <w:t xml:space="preserve">. The Appellant did not dispute that he was in Hong Kong </w:t>
      </w:r>
      <w:r>
        <w:rPr>
          <w:rFonts w:ascii="Times New Roman" w:hAnsi="Times New Roman"/>
          <w:sz w:val="24"/>
          <w:szCs w:val="24"/>
          <w:lang w:eastAsia="zh-HK"/>
        </w:rPr>
        <w:t>between</w:t>
      </w:r>
      <w:r w:rsidRPr="00D61E94">
        <w:rPr>
          <w:rFonts w:ascii="Times New Roman" w:hAnsi="Times New Roman"/>
          <w:sz w:val="24"/>
          <w:szCs w:val="24"/>
          <w:lang w:eastAsia="zh-HK"/>
        </w:rPr>
        <w:t xml:space="preserve"> 30 October 2017 </w:t>
      </w:r>
      <w:r>
        <w:rPr>
          <w:rFonts w:ascii="Times New Roman" w:hAnsi="Times New Roman"/>
          <w:sz w:val="24"/>
          <w:szCs w:val="24"/>
          <w:lang w:eastAsia="zh-HK"/>
        </w:rPr>
        <w:t>and</w:t>
      </w:r>
      <w:r w:rsidRPr="00D61E94">
        <w:rPr>
          <w:rFonts w:ascii="Times New Roman" w:hAnsi="Times New Roman"/>
          <w:sz w:val="24"/>
          <w:szCs w:val="24"/>
          <w:lang w:eastAsia="zh-HK"/>
        </w:rPr>
        <w:t xml:space="preserve"> 11 December 2017</w:t>
      </w:r>
      <w:r>
        <w:rPr>
          <w:rFonts w:ascii="Times New Roman" w:hAnsi="Times New Roman"/>
          <w:sz w:val="24"/>
          <w:szCs w:val="24"/>
          <w:lang w:eastAsia="zh-HK"/>
        </w:rPr>
        <w:t xml:space="preserve">, but claimed that his case was similar to </w:t>
      </w:r>
      <w:r w:rsidRPr="00982ECC">
        <w:rPr>
          <w:rFonts w:ascii="Times New Roman" w:eastAsia="華康楷書體W5" w:hAnsi="Times New Roman"/>
          <w:sz w:val="24"/>
          <w:szCs w:val="24"/>
          <w:u w:val="single"/>
          <w:lang w:eastAsia="zh-HK"/>
        </w:rPr>
        <w:t>Honorable Leung Ka-lau v The Commissioner of Inland Revenue</w:t>
      </w:r>
      <w:r w:rsidRPr="009254E4">
        <w:rPr>
          <w:rFonts w:ascii="Times New Roman" w:eastAsia="華康楷書體W5" w:hAnsi="Times New Roman"/>
          <w:sz w:val="24"/>
          <w:szCs w:val="24"/>
          <w:lang w:eastAsia="zh-HK"/>
        </w:rPr>
        <w:t xml:space="preserve"> </w:t>
      </w:r>
      <w:r>
        <w:rPr>
          <w:rFonts w:ascii="Times New Roman" w:eastAsia="華康楷書體W5" w:hAnsi="Times New Roman"/>
          <w:sz w:val="24"/>
          <w:szCs w:val="24"/>
          <w:lang w:eastAsia="zh-HK"/>
        </w:rPr>
        <w:t xml:space="preserve">[2021] </w:t>
      </w:r>
      <w:r w:rsidRPr="009254E4">
        <w:rPr>
          <w:rFonts w:ascii="Times New Roman" w:eastAsia="華康楷書體W5" w:hAnsi="Times New Roman"/>
          <w:sz w:val="24"/>
          <w:szCs w:val="24"/>
          <w:lang w:eastAsia="zh-HK"/>
        </w:rPr>
        <w:t>HKCFI 1177</w:t>
      </w:r>
      <w:r>
        <w:rPr>
          <w:rFonts w:ascii="Times New Roman" w:eastAsia="華康楷書體W5" w:hAnsi="Times New Roman"/>
          <w:sz w:val="24"/>
          <w:szCs w:val="24"/>
          <w:lang w:eastAsia="zh-HK"/>
        </w:rPr>
        <w:t xml:space="preserve"> (‘</w:t>
      </w:r>
      <w:r w:rsidRPr="009A4A6A">
        <w:rPr>
          <w:rFonts w:ascii="Times New Roman" w:eastAsia="華康楷書體W5" w:hAnsi="Times New Roman"/>
          <w:bCs/>
          <w:sz w:val="24"/>
          <w:szCs w:val="24"/>
          <w:u w:val="single"/>
          <w:lang w:eastAsia="zh-HK"/>
        </w:rPr>
        <w:t>Leung</w:t>
      </w:r>
      <w:r w:rsidRPr="009A4A6A">
        <w:rPr>
          <w:rFonts w:ascii="Times New Roman" w:eastAsia="華康楷書體W5" w:hAnsi="Times New Roman"/>
          <w:bCs/>
          <w:sz w:val="24"/>
          <w:szCs w:val="24"/>
          <w:lang w:eastAsia="zh-HK"/>
        </w:rPr>
        <w:t>’s Case</w:t>
      </w:r>
      <w:r>
        <w:rPr>
          <w:rFonts w:ascii="Times New Roman" w:eastAsia="華康楷書體W5" w:hAnsi="Times New Roman"/>
          <w:sz w:val="24"/>
          <w:szCs w:val="24"/>
          <w:lang w:eastAsia="zh-HK"/>
        </w:rPr>
        <w:t>’) which was favourable to him.</w:t>
      </w:r>
      <w:r>
        <w:rPr>
          <w:rFonts w:ascii="Times New Roman" w:hAnsi="Times New Roman"/>
          <w:sz w:val="24"/>
          <w:szCs w:val="24"/>
          <w:lang w:eastAsia="zh-HK"/>
        </w:rPr>
        <w:t xml:space="preserve"> Movement records also showed that: (a) the Appellant </w:t>
      </w:r>
      <w:r w:rsidRPr="00D61E94">
        <w:rPr>
          <w:rFonts w:ascii="Times New Roman" w:hAnsi="Times New Roman"/>
          <w:sz w:val="24"/>
          <w:szCs w:val="24"/>
          <w:lang w:eastAsia="zh-HK"/>
        </w:rPr>
        <w:t xml:space="preserve">was in Hong Kong </w:t>
      </w:r>
      <w:r>
        <w:rPr>
          <w:rFonts w:ascii="Times New Roman" w:hAnsi="Times New Roman"/>
          <w:sz w:val="24"/>
          <w:szCs w:val="24"/>
          <w:lang w:eastAsia="zh-HK"/>
        </w:rPr>
        <w:t>during</w:t>
      </w:r>
      <w:r w:rsidRPr="00D61E94">
        <w:rPr>
          <w:rFonts w:ascii="Times New Roman" w:hAnsi="Times New Roman"/>
          <w:sz w:val="24"/>
          <w:szCs w:val="24"/>
          <w:lang w:eastAsia="zh-HK"/>
        </w:rPr>
        <w:t xml:space="preserve"> 30 October 2017 </w:t>
      </w:r>
      <w:r>
        <w:rPr>
          <w:rFonts w:ascii="Times New Roman" w:hAnsi="Times New Roman"/>
          <w:sz w:val="24"/>
          <w:szCs w:val="24"/>
          <w:lang w:eastAsia="zh-HK"/>
        </w:rPr>
        <w:t>and</w:t>
      </w:r>
      <w:r w:rsidRPr="00D61E94">
        <w:rPr>
          <w:rFonts w:ascii="Times New Roman" w:hAnsi="Times New Roman"/>
          <w:sz w:val="24"/>
          <w:szCs w:val="24"/>
          <w:lang w:eastAsia="zh-HK"/>
        </w:rPr>
        <w:t xml:space="preserve"> 5 March 2018</w:t>
      </w:r>
      <w:r>
        <w:rPr>
          <w:rFonts w:ascii="Times New Roman" w:hAnsi="Times New Roman"/>
          <w:sz w:val="24"/>
          <w:szCs w:val="24"/>
          <w:lang w:eastAsia="zh-HK"/>
        </w:rPr>
        <w:t>; (b)</w:t>
      </w:r>
      <w:r w:rsidRPr="00D61E94">
        <w:rPr>
          <w:rFonts w:ascii="Times New Roman" w:hAnsi="Times New Roman"/>
          <w:sz w:val="24"/>
          <w:szCs w:val="24"/>
          <w:lang w:eastAsia="zh-HK"/>
        </w:rPr>
        <w:t xml:space="preserve"> </w:t>
      </w:r>
      <w:r>
        <w:rPr>
          <w:rFonts w:ascii="Times New Roman" w:hAnsi="Times New Roman"/>
          <w:sz w:val="24"/>
          <w:szCs w:val="24"/>
          <w:lang w:eastAsia="zh-HK"/>
        </w:rPr>
        <w:t>t</w:t>
      </w:r>
      <w:r w:rsidRPr="00D61E94">
        <w:rPr>
          <w:rFonts w:ascii="Times New Roman" w:hAnsi="Times New Roman"/>
          <w:sz w:val="24"/>
          <w:szCs w:val="24"/>
          <w:lang w:eastAsia="zh-HK"/>
        </w:rPr>
        <w:t xml:space="preserve">he Appellant left Hong Kong on 5 March 2018 and returned to Hong Kong on 8 March 2018. </w:t>
      </w:r>
    </w:p>
    <w:p w14:paraId="49B9DCDF" w14:textId="77777777" w:rsidR="009A4A6A" w:rsidRPr="00D61E94" w:rsidRDefault="009A4A6A" w:rsidP="009A4A6A">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A5B2BFA" w14:textId="77777777" w:rsidR="009A4A6A" w:rsidRDefault="009A4A6A" w:rsidP="009A4A6A">
      <w:pPr>
        <w:overflowPunct w:val="0"/>
        <w:autoSpaceDE w:val="0"/>
        <w:autoSpaceDN w:val="0"/>
        <w:spacing w:after="0" w:line="240" w:lineRule="auto"/>
        <w:jc w:val="both"/>
        <w:rPr>
          <w:rFonts w:ascii="Times New Roman" w:hAnsi="Times New Roman"/>
          <w:b/>
          <w:bCs/>
          <w:sz w:val="24"/>
          <w:szCs w:val="24"/>
          <w:u w:val="single"/>
          <w:lang w:eastAsia="zh-HK"/>
        </w:rPr>
      </w:pPr>
    </w:p>
    <w:p w14:paraId="16B31547" w14:textId="0742F93C" w:rsidR="009A4A6A" w:rsidRDefault="009A4A6A" w:rsidP="009A4A6A">
      <w:pPr>
        <w:overflowPunct w:val="0"/>
        <w:autoSpaceDE w:val="0"/>
        <w:autoSpaceDN w:val="0"/>
        <w:spacing w:after="0" w:line="240" w:lineRule="auto"/>
        <w:ind w:leftChars="450" w:left="990"/>
        <w:jc w:val="both"/>
        <w:rPr>
          <w:rFonts w:ascii="Times New Roman" w:hAnsi="Times New Roman"/>
          <w:b/>
          <w:sz w:val="24"/>
          <w:szCs w:val="24"/>
        </w:rPr>
      </w:pPr>
      <w:r w:rsidRPr="002E32AE">
        <w:rPr>
          <w:rFonts w:ascii="Times New Roman" w:hAnsi="Times New Roman"/>
          <w:b/>
          <w:sz w:val="24"/>
          <w:szCs w:val="24"/>
        </w:rPr>
        <w:t>Held:</w:t>
      </w:r>
    </w:p>
    <w:p w14:paraId="2F602FB7" w14:textId="77777777" w:rsidR="009A4A6A" w:rsidRPr="00837280" w:rsidRDefault="009A4A6A" w:rsidP="009A4A6A">
      <w:pPr>
        <w:overflowPunct w:val="0"/>
        <w:autoSpaceDE w:val="0"/>
        <w:autoSpaceDN w:val="0"/>
        <w:spacing w:after="0" w:line="240" w:lineRule="auto"/>
        <w:jc w:val="both"/>
        <w:rPr>
          <w:rFonts w:ascii="Times New Roman" w:hAnsi="Times New Roman"/>
          <w:b/>
          <w:sz w:val="24"/>
          <w:szCs w:val="24"/>
        </w:rPr>
      </w:pPr>
    </w:p>
    <w:p w14:paraId="6F43F738" w14:textId="77777777" w:rsidR="009A4A6A" w:rsidRDefault="009A4A6A" w:rsidP="009A4A6A">
      <w:pPr>
        <w:numPr>
          <w:ilvl w:val="0"/>
          <w:numId w:val="32"/>
        </w:numPr>
        <w:tabs>
          <w:tab w:val="left" w:pos="1430"/>
        </w:tabs>
        <w:overflowPunct w:val="0"/>
        <w:autoSpaceDE w:val="0"/>
        <w:autoSpaceDN w:val="0"/>
        <w:spacing w:after="0" w:line="240" w:lineRule="auto"/>
        <w:ind w:leftChars="450" w:left="1422" w:hangingChars="180" w:hanging="432"/>
        <w:jc w:val="both"/>
        <w:rPr>
          <w:rFonts w:ascii="Times New Roman" w:hAnsi="Times New Roman"/>
          <w:sz w:val="24"/>
          <w:szCs w:val="24"/>
          <w:lang w:eastAsia="zh-HK"/>
        </w:rPr>
      </w:pPr>
      <w:r>
        <w:rPr>
          <w:rFonts w:ascii="Times New Roman" w:hAnsi="Times New Roman"/>
          <w:sz w:val="24"/>
          <w:szCs w:val="24"/>
        </w:rPr>
        <w:t>The</w:t>
      </w:r>
      <w:r w:rsidRPr="005B37B7">
        <w:rPr>
          <w:rFonts w:ascii="Times New Roman" w:hAnsi="Times New Roman"/>
          <w:sz w:val="24"/>
          <w:szCs w:val="24"/>
          <w:lang w:eastAsia="zh-HK"/>
        </w:rPr>
        <w:t xml:space="preserve"> appeal </w:t>
      </w:r>
      <w:r>
        <w:rPr>
          <w:rFonts w:ascii="Times New Roman" w:hAnsi="Times New Roman"/>
          <w:sz w:val="24"/>
          <w:szCs w:val="24"/>
          <w:lang w:eastAsia="zh-HK"/>
        </w:rPr>
        <w:t>wa</w:t>
      </w:r>
      <w:r w:rsidRPr="005B37B7">
        <w:rPr>
          <w:rFonts w:ascii="Times New Roman" w:hAnsi="Times New Roman"/>
          <w:sz w:val="24"/>
          <w:szCs w:val="24"/>
          <w:lang w:eastAsia="zh-HK"/>
        </w:rPr>
        <w:t xml:space="preserve">s </w:t>
      </w:r>
      <w:r w:rsidRPr="005E536F">
        <w:rPr>
          <w:rFonts w:ascii="Times New Roman" w:hAnsi="Times New Roman"/>
          <w:i/>
          <w:sz w:val="24"/>
          <w:szCs w:val="24"/>
          <w:lang w:eastAsia="zh-HK"/>
        </w:rPr>
        <w:t>prima facie</w:t>
      </w:r>
      <w:r w:rsidRPr="005B37B7">
        <w:rPr>
          <w:rFonts w:ascii="Times New Roman" w:hAnsi="Times New Roman"/>
          <w:sz w:val="24"/>
          <w:szCs w:val="24"/>
          <w:lang w:eastAsia="zh-HK"/>
        </w:rPr>
        <w:t xml:space="preserve"> invalid as the </w:t>
      </w:r>
      <w:r>
        <w:rPr>
          <w:rFonts w:ascii="Times New Roman" w:hAnsi="Times New Roman"/>
          <w:sz w:val="24"/>
          <w:szCs w:val="24"/>
          <w:lang w:eastAsia="zh-HK"/>
        </w:rPr>
        <w:t>NOA</w:t>
      </w:r>
      <w:r w:rsidRPr="005B37B7">
        <w:rPr>
          <w:rFonts w:ascii="Times New Roman" w:hAnsi="Times New Roman"/>
          <w:sz w:val="24"/>
          <w:szCs w:val="24"/>
          <w:lang w:eastAsia="zh-HK"/>
        </w:rPr>
        <w:t xml:space="preserve"> was given outside the 1-month period stipulated under section 66(1) of </w:t>
      </w:r>
      <w:r>
        <w:rPr>
          <w:rFonts w:ascii="Times New Roman" w:hAnsi="Times New Roman"/>
          <w:sz w:val="24"/>
          <w:szCs w:val="24"/>
          <w:lang w:eastAsia="zh-HK"/>
        </w:rPr>
        <w:t>IRO</w:t>
      </w:r>
      <w:r w:rsidRPr="005B37B7">
        <w:rPr>
          <w:rFonts w:ascii="Times New Roman" w:hAnsi="Times New Roman"/>
          <w:sz w:val="24"/>
          <w:szCs w:val="24"/>
          <w:lang w:eastAsia="zh-HK"/>
        </w:rPr>
        <w:t xml:space="preserve">. </w:t>
      </w:r>
      <w:r w:rsidRPr="00E46238">
        <w:rPr>
          <w:rFonts w:ascii="Times New Roman" w:hAnsi="Times New Roman"/>
          <w:sz w:val="24"/>
          <w:szCs w:val="24"/>
          <w:lang w:eastAsia="zh-HK"/>
        </w:rPr>
        <w:t>The grounds relied on by the Appellant for extension of time fell only on</w:t>
      </w:r>
      <w:r>
        <w:rPr>
          <w:rFonts w:ascii="Times New Roman" w:hAnsi="Times New Roman"/>
          <w:sz w:val="24"/>
          <w:szCs w:val="24"/>
          <w:lang w:eastAsia="zh-HK"/>
        </w:rPr>
        <w:t>:</w:t>
      </w:r>
      <w:r w:rsidRPr="00E46238">
        <w:rPr>
          <w:rFonts w:ascii="Times New Roman" w:hAnsi="Times New Roman"/>
          <w:sz w:val="24"/>
          <w:szCs w:val="24"/>
          <w:lang w:eastAsia="zh-HK"/>
        </w:rPr>
        <w:t xml:space="preserve"> (a) his illness; or (b) other reasonable grounds. </w:t>
      </w:r>
    </w:p>
    <w:p w14:paraId="1D70028D" w14:textId="77777777" w:rsidR="009A4A6A" w:rsidRDefault="009A4A6A" w:rsidP="009A4A6A">
      <w:pPr>
        <w:tabs>
          <w:tab w:val="left" w:pos="1430"/>
        </w:tabs>
        <w:overflowPunct w:val="0"/>
        <w:autoSpaceDE w:val="0"/>
        <w:autoSpaceDN w:val="0"/>
        <w:spacing w:after="0" w:line="240" w:lineRule="auto"/>
        <w:ind w:leftChars="450" w:left="1422" w:hangingChars="180" w:hanging="432"/>
        <w:jc w:val="both"/>
        <w:rPr>
          <w:rFonts w:ascii="Times New Roman" w:hAnsi="Times New Roman"/>
          <w:sz w:val="24"/>
          <w:szCs w:val="24"/>
          <w:lang w:eastAsia="zh-HK"/>
        </w:rPr>
      </w:pPr>
    </w:p>
    <w:p w14:paraId="6D1EA194" w14:textId="77777777" w:rsidR="009A4A6A" w:rsidRDefault="009A4A6A" w:rsidP="009A4A6A">
      <w:pPr>
        <w:numPr>
          <w:ilvl w:val="0"/>
          <w:numId w:val="32"/>
        </w:numPr>
        <w:tabs>
          <w:tab w:val="left" w:pos="1430"/>
        </w:tabs>
        <w:overflowPunct w:val="0"/>
        <w:autoSpaceDE w:val="0"/>
        <w:autoSpaceDN w:val="0"/>
        <w:spacing w:after="0" w:line="240" w:lineRule="auto"/>
        <w:ind w:leftChars="450" w:left="1422" w:hangingChars="180" w:hanging="432"/>
        <w:jc w:val="both"/>
        <w:rPr>
          <w:rFonts w:ascii="Times New Roman" w:hAnsi="Times New Roman"/>
          <w:sz w:val="24"/>
          <w:szCs w:val="24"/>
          <w:lang w:eastAsia="zh-HK"/>
        </w:rPr>
      </w:pPr>
      <w:r w:rsidRPr="00E46238">
        <w:rPr>
          <w:rFonts w:ascii="Times New Roman" w:hAnsi="Times New Roman"/>
          <w:sz w:val="24"/>
          <w:szCs w:val="24"/>
          <w:lang w:eastAsia="zh-HK"/>
        </w:rPr>
        <w:lastRenderedPageBreak/>
        <w:t>The Appellant chose not to give evidence at the hearing</w:t>
      </w:r>
      <w:r>
        <w:rPr>
          <w:rFonts w:ascii="Times New Roman" w:hAnsi="Times New Roman"/>
          <w:sz w:val="24"/>
          <w:szCs w:val="24"/>
          <w:lang w:eastAsia="zh-HK"/>
        </w:rPr>
        <w:t xml:space="preserve"> and t</w:t>
      </w:r>
      <w:r w:rsidRPr="00E46238">
        <w:rPr>
          <w:rFonts w:ascii="Times New Roman" w:hAnsi="Times New Roman"/>
          <w:sz w:val="24"/>
          <w:szCs w:val="24"/>
          <w:lang w:eastAsia="zh-HK"/>
        </w:rPr>
        <w:t xml:space="preserve">he Board could not know whether </w:t>
      </w:r>
      <w:r>
        <w:rPr>
          <w:rFonts w:ascii="Times New Roman" w:hAnsi="Times New Roman"/>
          <w:sz w:val="24"/>
          <w:szCs w:val="24"/>
          <w:lang w:eastAsia="zh-HK"/>
        </w:rPr>
        <w:t>the O</w:t>
      </w:r>
      <w:r w:rsidRPr="00E46238">
        <w:rPr>
          <w:rFonts w:ascii="Times New Roman" w:hAnsi="Times New Roman"/>
          <w:sz w:val="24"/>
          <w:szCs w:val="24"/>
          <w:lang w:eastAsia="zh-HK"/>
        </w:rPr>
        <w:t xml:space="preserve">peration would prevent him from filing </w:t>
      </w:r>
      <w:r>
        <w:rPr>
          <w:rFonts w:ascii="Times New Roman" w:hAnsi="Times New Roman"/>
          <w:sz w:val="24"/>
          <w:szCs w:val="24"/>
          <w:lang w:eastAsia="zh-HK"/>
        </w:rPr>
        <w:t>the NOA</w:t>
      </w:r>
      <w:r w:rsidRPr="00E46238">
        <w:rPr>
          <w:rFonts w:ascii="Times New Roman" w:hAnsi="Times New Roman"/>
          <w:sz w:val="24"/>
          <w:szCs w:val="24"/>
          <w:lang w:eastAsia="zh-HK"/>
        </w:rPr>
        <w:t xml:space="preserve">. </w:t>
      </w:r>
      <w:r>
        <w:rPr>
          <w:rFonts w:ascii="Times New Roman" w:hAnsi="Times New Roman"/>
          <w:sz w:val="24"/>
          <w:szCs w:val="24"/>
          <w:lang w:eastAsia="zh-HK"/>
        </w:rPr>
        <w:t xml:space="preserve">However, even assuming </w:t>
      </w:r>
      <w:r w:rsidRPr="00E46238">
        <w:rPr>
          <w:rFonts w:ascii="Times New Roman" w:hAnsi="Times New Roman"/>
          <w:sz w:val="24"/>
          <w:szCs w:val="24"/>
          <w:lang w:eastAsia="zh-HK"/>
        </w:rPr>
        <w:t xml:space="preserve">that the Appellant was prevented </w:t>
      </w:r>
      <w:r>
        <w:rPr>
          <w:rFonts w:ascii="Times New Roman" w:hAnsi="Times New Roman"/>
          <w:sz w:val="24"/>
          <w:szCs w:val="24"/>
          <w:lang w:eastAsia="zh-HK"/>
        </w:rPr>
        <w:t xml:space="preserve">by the Operation </w:t>
      </w:r>
      <w:r w:rsidRPr="00E46238">
        <w:rPr>
          <w:rFonts w:ascii="Times New Roman" w:hAnsi="Times New Roman"/>
          <w:sz w:val="24"/>
          <w:szCs w:val="24"/>
          <w:lang w:eastAsia="zh-HK"/>
        </w:rPr>
        <w:t xml:space="preserve">from filing </w:t>
      </w:r>
      <w:r>
        <w:rPr>
          <w:rFonts w:ascii="Times New Roman" w:hAnsi="Times New Roman"/>
          <w:sz w:val="24"/>
          <w:szCs w:val="24"/>
          <w:lang w:eastAsia="zh-HK"/>
        </w:rPr>
        <w:t xml:space="preserve">the NOA </w:t>
      </w:r>
      <w:r w:rsidRPr="00E46238">
        <w:rPr>
          <w:rFonts w:ascii="Times New Roman" w:hAnsi="Times New Roman"/>
          <w:sz w:val="24"/>
          <w:szCs w:val="24"/>
          <w:lang w:eastAsia="zh-HK"/>
        </w:rPr>
        <w:t>on or before 11 December 2017</w:t>
      </w:r>
      <w:r>
        <w:rPr>
          <w:rFonts w:ascii="Times New Roman" w:hAnsi="Times New Roman"/>
          <w:sz w:val="24"/>
          <w:szCs w:val="24"/>
          <w:lang w:eastAsia="zh-HK"/>
        </w:rPr>
        <w:t xml:space="preserve">, it was clear that the Appellant was not prevented from filing the NOA within the 1-month period from the end of February 2018: (a) </w:t>
      </w:r>
      <w:r w:rsidRPr="00E46238">
        <w:rPr>
          <w:rFonts w:ascii="Times New Roman" w:hAnsi="Times New Roman"/>
          <w:sz w:val="24"/>
          <w:szCs w:val="24"/>
          <w:lang w:eastAsia="zh-HK"/>
        </w:rPr>
        <w:t xml:space="preserve">there should be a point of time that the Appellant was no longer affected by the </w:t>
      </w:r>
      <w:r>
        <w:rPr>
          <w:rFonts w:ascii="Times New Roman" w:hAnsi="Times New Roman"/>
          <w:sz w:val="24"/>
          <w:szCs w:val="24"/>
          <w:lang w:eastAsia="zh-HK"/>
        </w:rPr>
        <w:t>O</w:t>
      </w:r>
      <w:r w:rsidRPr="00E46238">
        <w:rPr>
          <w:rFonts w:ascii="Times New Roman" w:hAnsi="Times New Roman"/>
          <w:sz w:val="24"/>
          <w:szCs w:val="24"/>
          <w:lang w:eastAsia="zh-HK"/>
        </w:rPr>
        <w:t xml:space="preserve">peration and could file </w:t>
      </w:r>
      <w:r>
        <w:rPr>
          <w:rFonts w:ascii="Times New Roman" w:hAnsi="Times New Roman"/>
          <w:sz w:val="24"/>
          <w:szCs w:val="24"/>
          <w:lang w:eastAsia="zh-HK"/>
        </w:rPr>
        <w:t>the NOA; (b)</w:t>
      </w:r>
      <w:r w:rsidRPr="00E46238">
        <w:rPr>
          <w:rFonts w:ascii="Times New Roman" w:hAnsi="Times New Roman"/>
          <w:sz w:val="24"/>
          <w:szCs w:val="24"/>
          <w:lang w:eastAsia="zh-HK"/>
        </w:rPr>
        <w:t xml:space="preserve"> the Appellant was able to travel in March 2018</w:t>
      </w:r>
      <w:r>
        <w:rPr>
          <w:rFonts w:ascii="Times New Roman" w:hAnsi="Times New Roman"/>
          <w:sz w:val="24"/>
          <w:szCs w:val="24"/>
          <w:lang w:eastAsia="zh-HK"/>
        </w:rPr>
        <w:t xml:space="preserve">; (c) the Appellant acknowledged during the hearing that he was not prevented from filing the NOA in March 2018, but that he forgot to do so </w:t>
      </w:r>
      <w:r w:rsidRPr="00886FD7">
        <w:rPr>
          <w:rFonts w:ascii="Times New Roman" w:hAnsi="Times New Roman"/>
          <w:sz w:val="24"/>
          <w:szCs w:val="24"/>
          <w:lang w:eastAsia="zh-HK"/>
        </w:rPr>
        <w:t>until the release of the judgement on</w:t>
      </w:r>
      <w:r>
        <w:rPr>
          <w:rFonts w:ascii="Times New Roman" w:hAnsi="Times New Roman"/>
          <w:sz w:val="24"/>
          <w:szCs w:val="24"/>
          <w:lang w:eastAsia="zh-HK"/>
        </w:rPr>
        <w:t xml:space="preserve"> the </w:t>
      </w:r>
      <w:r w:rsidRPr="009A4A6A">
        <w:rPr>
          <w:rFonts w:ascii="Times New Roman" w:hAnsi="Times New Roman"/>
          <w:sz w:val="24"/>
          <w:szCs w:val="24"/>
          <w:u w:val="single"/>
          <w:lang w:eastAsia="zh-HK"/>
        </w:rPr>
        <w:t>Leung</w:t>
      </w:r>
      <w:r>
        <w:rPr>
          <w:rFonts w:ascii="Times New Roman" w:hAnsi="Times New Roman"/>
          <w:sz w:val="24"/>
          <w:szCs w:val="24"/>
          <w:lang w:eastAsia="zh-HK"/>
        </w:rPr>
        <w:t>’s Case</w:t>
      </w:r>
      <w:r w:rsidRPr="00886FD7">
        <w:rPr>
          <w:rFonts w:ascii="Times New Roman" w:hAnsi="Times New Roman"/>
          <w:sz w:val="24"/>
          <w:szCs w:val="24"/>
          <w:lang w:eastAsia="zh-HK"/>
        </w:rPr>
        <w:t xml:space="preserve"> on 27 April 2021.</w:t>
      </w:r>
    </w:p>
    <w:p w14:paraId="4B299A1C" w14:textId="77777777" w:rsidR="009A4A6A" w:rsidRDefault="009A4A6A" w:rsidP="009A4A6A">
      <w:pPr>
        <w:pStyle w:val="a3"/>
        <w:tabs>
          <w:tab w:val="left" w:pos="1430"/>
        </w:tabs>
        <w:overflowPunct w:val="0"/>
        <w:autoSpaceDE w:val="0"/>
        <w:autoSpaceDN w:val="0"/>
        <w:spacing w:after="0" w:line="240" w:lineRule="auto"/>
        <w:ind w:leftChars="450" w:left="1422" w:hangingChars="180" w:hanging="432"/>
        <w:rPr>
          <w:rFonts w:ascii="Times New Roman" w:hAnsi="Times New Roman"/>
          <w:sz w:val="24"/>
          <w:szCs w:val="24"/>
          <w:lang w:eastAsia="zh-HK"/>
        </w:rPr>
      </w:pPr>
    </w:p>
    <w:p w14:paraId="1609FB04" w14:textId="77777777" w:rsidR="009A4A6A" w:rsidRPr="009C7EB1" w:rsidRDefault="009A4A6A" w:rsidP="009A4A6A">
      <w:pPr>
        <w:numPr>
          <w:ilvl w:val="0"/>
          <w:numId w:val="32"/>
        </w:numPr>
        <w:tabs>
          <w:tab w:val="left" w:pos="1430"/>
        </w:tabs>
        <w:overflowPunct w:val="0"/>
        <w:autoSpaceDE w:val="0"/>
        <w:autoSpaceDN w:val="0"/>
        <w:spacing w:after="0" w:line="240" w:lineRule="auto"/>
        <w:ind w:leftChars="450" w:left="1422" w:hangingChars="180" w:hanging="432"/>
        <w:jc w:val="both"/>
        <w:rPr>
          <w:rFonts w:ascii="Times New Roman" w:hAnsi="Times New Roman"/>
          <w:sz w:val="24"/>
          <w:szCs w:val="24"/>
          <w:lang w:eastAsia="zh-HK"/>
        </w:rPr>
      </w:pPr>
      <w:r>
        <w:rPr>
          <w:rFonts w:ascii="Times New Roman" w:hAnsi="Times New Roman"/>
          <w:sz w:val="24"/>
          <w:szCs w:val="24"/>
          <w:lang w:eastAsia="zh-HK"/>
        </w:rPr>
        <w:t>It was unknown</w:t>
      </w:r>
      <w:r w:rsidRPr="009C7EB1">
        <w:rPr>
          <w:rFonts w:ascii="Times New Roman" w:hAnsi="Times New Roman"/>
          <w:sz w:val="24"/>
          <w:szCs w:val="24"/>
          <w:lang w:eastAsia="zh-HK"/>
        </w:rPr>
        <w:t xml:space="preserve"> whether the </w:t>
      </w:r>
      <w:r w:rsidRPr="005E536F">
        <w:rPr>
          <w:rFonts w:ascii="Times New Roman" w:hAnsi="Times New Roman"/>
          <w:sz w:val="24"/>
          <w:szCs w:val="24"/>
          <w:u w:val="single"/>
          <w:lang w:eastAsia="zh-HK"/>
        </w:rPr>
        <w:t>Leung</w:t>
      </w:r>
      <w:r>
        <w:rPr>
          <w:rFonts w:ascii="Times New Roman" w:hAnsi="Times New Roman"/>
          <w:sz w:val="24"/>
          <w:szCs w:val="24"/>
          <w:lang w:eastAsia="zh-HK"/>
        </w:rPr>
        <w:t>’s Case</w:t>
      </w:r>
      <w:r w:rsidRPr="009C7EB1">
        <w:rPr>
          <w:rFonts w:ascii="Times New Roman" w:hAnsi="Times New Roman"/>
          <w:sz w:val="24"/>
          <w:szCs w:val="24"/>
          <w:lang w:eastAsia="zh-HK"/>
        </w:rPr>
        <w:t xml:space="preserve"> would assist the Appellant in its appeal proper. </w:t>
      </w:r>
      <w:r>
        <w:rPr>
          <w:rFonts w:ascii="Times New Roman" w:hAnsi="Times New Roman"/>
          <w:sz w:val="24"/>
          <w:szCs w:val="24"/>
          <w:lang w:eastAsia="zh-HK"/>
        </w:rPr>
        <w:t>Even</w:t>
      </w:r>
      <w:r w:rsidRPr="009C7EB1">
        <w:rPr>
          <w:rFonts w:ascii="Times New Roman" w:hAnsi="Times New Roman"/>
          <w:sz w:val="24"/>
          <w:szCs w:val="24"/>
          <w:lang w:eastAsia="zh-HK"/>
        </w:rPr>
        <w:t xml:space="preserve"> </w:t>
      </w:r>
      <w:r>
        <w:rPr>
          <w:rFonts w:ascii="Times New Roman" w:hAnsi="Times New Roman"/>
          <w:sz w:val="24"/>
          <w:szCs w:val="24"/>
          <w:lang w:eastAsia="zh-HK"/>
        </w:rPr>
        <w:t>assuming</w:t>
      </w:r>
      <w:r w:rsidRPr="009C7EB1">
        <w:rPr>
          <w:rFonts w:ascii="Times New Roman" w:hAnsi="Times New Roman"/>
          <w:sz w:val="24"/>
          <w:szCs w:val="24"/>
          <w:lang w:eastAsia="zh-HK"/>
        </w:rPr>
        <w:t xml:space="preserve"> that the decision </w:t>
      </w:r>
      <w:r>
        <w:rPr>
          <w:rFonts w:ascii="Times New Roman" w:hAnsi="Times New Roman"/>
          <w:sz w:val="24"/>
          <w:szCs w:val="24"/>
          <w:lang w:eastAsia="zh-HK"/>
        </w:rPr>
        <w:t>might</w:t>
      </w:r>
      <w:r w:rsidRPr="009C7EB1">
        <w:rPr>
          <w:rFonts w:ascii="Times New Roman" w:hAnsi="Times New Roman"/>
          <w:sz w:val="24"/>
          <w:szCs w:val="24"/>
          <w:lang w:eastAsia="zh-HK"/>
        </w:rPr>
        <w:t xml:space="preserve"> assist the Appellant</w:t>
      </w:r>
      <w:r>
        <w:rPr>
          <w:rFonts w:ascii="Times New Roman" w:hAnsi="Times New Roman"/>
          <w:sz w:val="24"/>
          <w:szCs w:val="24"/>
          <w:lang w:eastAsia="zh-HK"/>
        </w:rPr>
        <w:t>: (a) that case was</w:t>
      </w:r>
      <w:r w:rsidRPr="009C7EB1">
        <w:rPr>
          <w:rFonts w:ascii="Times New Roman" w:hAnsi="Times New Roman"/>
          <w:sz w:val="24"/>
          <w:szCs w:val="24"/>
          <w:lang w:eastAsia="zh-HK"/>
        </w:rPr>
        <w:t xml:space="preserve"> not finalized</w:t>
      </w:r>
      <w:r>
        <w:rPr>
          <w:rFonts w:ascii="Times New Roman" w:hAnsi="Times New Roman"/>
          <w:sz w:val="24"/>
          <w:szCs w:val="24"/>
          <w:lang w:eastAsia="zh-HK"/>
        </w:rPr>
        <w:t xml:space="preserve"> as an appeal was underway; (b) </w:t>
      </w:r>
      <w:r w:rsidRPr="009C7EB1">
        <w:rPr>
          <w:rFonts w:ascii="Times New Roman" w:hAnsi="Times New Roman"/>
          <w:sz w:val="24"/>
          <w:szCs w:val="24"/>
          <w:lang w:eastAsia="zh-HK"/>
        </w:rPr>
        <w:t>it remain</w:t>
      </w:r>
      <w:r>
        <w:rPr>
          <w:rFonts w:ascii="Times New Roman" w:hAnsi="Times New Roman"/>
          <w:sz w:val="24"/>
          <w:szCs w:val="24"/>
          <w:lang w:eastAsia="zh-HK"/>
        </w:rPr>
        <w:t>ed</w:t>
      </w:r>
      <w:r w:rsidRPr="009C7EB1">
        <w:rPr>
          <w:rFonts w:ascii="Times New Roman" w:hAnsi="Times New Roman"/>
          <w:sz w:val="24"/>
          <w:szCs w:val="24"/>
          <w:lang w:eastAsia="zh-HK"/>
        </w:rPr>
        <w:t xml:space="preserve"> the Appellant’s duty to show any exceptional circumstances to justify an extension of time</w:t>
      </w:r>
      <w:r>
        <w:rPr>
          <w:rFonts w:ascii="Times New Roman" w:hAnsi="Times New Roman"/>
          <w:sz w:val="24"/>
          <w:szCs w:val="24"/>
          <w:lang w:eastAsia="zh-HK"/>
        </w:rPr>
        <w:t>, which the Appellant failed to do</w:t>
      </w:r>
      <w:r w:rsidRPr="009C7EB1">
        <w:rPr>
          <w:rFonts w:ascii="Times New Roman" w:hAnsi="Times New Roman"/>
          <w:sz w:val="24"/>
          <w:szCs w:val="24"/>
          <w:lang w:eastAsia="zh-HK"/>
        </w:rPr>
        <w:t xml:space="preserve"> </w:t>
      </w:r>
      <w:r>
        <w:rPr>
          <w:rFonts w:ascii="Times New Roman" w:hAnsi="Times New Roman"/>
          <w:sz w:val="24"/>
          <w:szCs w:val="24"/>
          <w:lang w:eastAsia="zh-HK"/>
        </w:rPr>
        <w:t>(</w:t>
      </w:r>
      <w:r w:rsidRPr="00982ECC">
        <w:rPr>
          <w:rFonts w:ascii="Times New Roman" w:eastAsia="華康楷書體W5" w:hAnsi="Times New Roman"/>
          <w:sz w:val="24"/>
          <w:szCs w:val="24"/>
          <w:u w:val="single"/>
          <w:lang w:eastAsia="zh-HK"/>
        </w:rPr>
        <w:t>Chau Cheuk Yiu v Poon Kit Sang</w:t>
      </w:r>
      <w:r w:rsidRPr="009254E4">
        <w:rPr>
          <w:rFonts w:ascii="Times New Roman" w:eastAsia="華康楷書體W5" w:hAnsi="Times New Roman"/>
          <w:sz w:val="24"/>
          <w:szCs w:val="24"/>
          <w:lang w:eastAsia="zh-HK"/>
        </w:rPr>
        <w:t xml:space="preserve"> (2012) 15 HKCFAR 460</w:t>
      </w:r>
      <w:r>
        <w:rPr>
          <w:rFonts w:ascii="Times New Roman" w:eastAsia="華康楷書體W5" w:hAnsi="Times New Roman"/>
          <w:sz w:val="24"/>
          <w:szCs w:val="24"/>
          <w:lang w:eastAsia="zh-HK"/>
        </w:rPr>
        <w:t xml:space="preserve"> and </w:t>
      </w:r>
      <w:r w:rsidRPr="00982ECC">
        <w:rPr>
          <w:rFonts w:ascii="Times New Roman" w:eastAsia="華康楷書體W5" w:hAnsi="Times New Roman"/>
          <w:sz w:val="24"/>
          <w:szCs w:val="24"/>
          <w:u w:val="single"/>
          <w:lang w:eastAsia="zh-HK"/>
        </w:rPr>
        <w:t>Excelter Investment Limited v Inland Revenue Board of Review</w:t>
      </w:r>
      <w:r w:rsidRPr="009254E4">
        <w:rPr>
          <w:rFonts w:ascii="Times New Roman" w:eastAsia="華康楷書體W5" w:hAnsi="Times New Roman"/>
          <w:sz w:val="24"/>
          <w:szCs w:val="24"/>
          <w:lang w:eastAsia="zh-HK"/>
        </w:rPr>
        <w:t xml:space="preserve"> [2021] HKCA 1049</w:t>
      </w:r>
      <w:r>
        <w:rPr>
          <w:rFonts w:ascii="Times New Roman" w:eastAsia="華康楷書體W5" w:hAnsi="Times New Roman"/>
          <w:sz w:val="24"/>
          <w:szCs w:val="24"/>
          <w:lang w:eastAsia="zh-HK"/>
        </w:rPr>
        <w:t xml:space="preserve"> considered).</w:t>
      </w:r>
    </w:p>
    <w:p w14:paraId="17EF8FF0" w14:textId="77777777" w:rsidR="009A4A6A" w:rsidRDefault="009A4A6A" w:rsidP="009A4A6A">
      <w:pPr>
        <w:overflowPunct w:val="0"/>
        <w:autoSpaceDE w:val="0"/>
        <w:autoSpaceDN w:val="0"/>
        <w:spacing w:after="0" w:line="240" w:lineRule="auto"/>
        <w:jc w:val="both"/>
        <w:rPr>
          <w:rFonts w:ascii="Times New Roman" w:hAnsi="Times New Roman"/>
          <w:sz w:val="24"/>
          <w:szCs w:val="24"/>
        </w:rPr>
      </w:pPr>
    </w:p>
    <w:p w14:paraId="71DF7D23" w14:textId="7C4C7918" w:rsidR="009254E4" w:rsidRPr="009254E4" w:rsidRDefault="009254E4" w:rsidP="009A4A6A">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25D0AD50" w14:textId="77777777" w:rsidR="009254E4" w:rsidRPr="009254E4" w:rsidRDefault="009254E4" w:rsidP="009A4A6A">
      <w:pPr>
        <w:tabs>
          <w:tab w:val="left" w:pos="1276"/>
        </w:tabs>
        <w:overflowPunct w:val="0"/>
        <w:autoSpaceDE w:val="0"/>
        <w:autoSpaceDN w:val="0"/>
        <w:spacing w:after="0" w:line="240" w:lineRule="auto"/>
        <w:jc w:val="both"/>
        <w:rPr>
          <w:rFonts w:ascii="Times New Roman" w:eastAsia="華康楷書體W5" w:hAnsi="Times New Roman"/>
          <w:b/>
          <w:sz w:val="24"/>
          <w:szCs w:val="24"/>
          <w:lang w:eastAsia="zh-HK"/>
        </w:rPr>
      </w:pPr>
      <w:r w:rsidRPr="009254E4">
        <w:rPr>
          <w:rFonts w:ascii="Times New Roman" w:eastAsia="華康楷書體W5" w:hAnsi="Times New Roman"/>
          <w:b/>
          <w:sz w:val="24"/>
          <w:szCs w:val="24"/>
          <w:lang w:eastAsia="zh-HK"/>
        </w:rPr>
        <w:t>Appeal dismissed.</w:t>
      </w:r>
    </w:p>
    <w:p w14:paraId="5195AACE" w14:textId="77777777" w:rsidR="009254E4" w:rsidRPr="009254E4" w:rsidRDefault="009254E4" w:rsidP="009A4A6A">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75C68B62" w14:textId="77777777" w:rsidR="009254E4" w:rsidRPr="009254E4" w:rsidRDefault="009254E4" w:rsidP="009A4A6A">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Cases referred to:</w:t>
      </w:r>
    </w:p>
    <w:p w14:paraId="5CDE13AE" w14:textId="77777777" w:rsidR="009254E4" w:rsidRPr="009254E4" w:rsidRDefault="009254E4" w:rsidP="009A4A6A">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4EA5D566"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Honorable Leung Ka-lau v The Commissioner of Inland Revenue HKCFI 1177</w:t>
      </w:r>
    </w:p>
    <w:p w14:paraId="4AF88611"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Chow Kwong Fai v Commissioner of Inland Revenue [2005] 4 HKLRD 687</w:t>
      </w:r>
    </w:p>
    <w:p w14:paraId="3B3C161D"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HKSAR v Hung Chan Wa &amp; Another (2006) 9 HKCFAR 614</w:t>
      </w:r>
    </w:p>
    <w:p w14:paraId="0B292B82"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Chau Cheuk Yiu v Poon Kit Sang (2012) 15 HKCFAR 460</w:t>
      </w:r>
    </w:p>
    <w:p w14:paraId="4576CCF4"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Excelter Investment Limited v Inland Revenue Board of Review [2021] HKCA 1049</w:t>
      </w:r>
    </w:p>
    <w:p w14:paraId="79A1855A"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D9/79, IRBRD, vol 1, 354</w:t>
      </w:r>
    </w:p>
    <w:p w14:paraId="4485D04C"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D3/91, IRBRD, vol 5, 537</w:t>
      </w:r>
    </w:p>
    <w:p w14:paraId="5C94BE29"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D19/01, IRBRD, vol 16, 183</w:t>
      </w:r>
    </w:p>
    <w:p w14:paraId="515020D5" w14:textId="77777777" w:rsidR="009254E4" w:rsidRPr="009254E4" w:rsidRDefault="009254E4" w:rsidP="009254E4">
      <w:pPr>
        <w:tabs>
          <w:tab w:val="left" w:pos="1276"/>
        </w:tabs>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D13/11, (2011-12) IRBRD, vol 26, 232</w:t>
      </w:r>
    </w:p>
    <w:p w14:paraId="0A08617A" w14:textId="77777777" w:rsidR="009254E4" w:rsidRPr="009254E4" w:rsidRDefault="009254E4" w:rsidP="009254E4">
      <w:pPr>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D31/12, (2012-13) IRBRD, vol 27, 667</w:t>
      </w:r>
    </w:p>
    <w:p w14:paraId="7E902D7A" w14:textId="77777777" w:rsidR="009254E4" w:rsidRPr="009254E4" w:rsidRDefault="009254E4" w:rsidP="009254E4">
      <w:pPr>
        <w:tabs>
          <w:tab w:val="left" w:pos="1155"/>
        </w:tabs>
        <w:spacing w:after="0" w:line="240" w:lineRule="auto"/>
        <w:ind w:leftChars="355" w:left="1141"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D36/12, (2012-13) IRBRD, vol 27, 791</w:t>
      </w:r>
    </w:p>
    <w:p w14:paraId="7C2DAF4E" w14:textId="77777777" w:rsidR="009254E4" w:rsidRPr="009254E4" w:rsidRDefault="009254E4" w:rsidP="009254E4">
      <w:pPr>
        <w:tabs>
          <w:tab w:val="left" w:pos="1276"/>
        </w:tabs>
        <w:spacing w:after="0" w:line="240" w:lineRule="auto"/>
        <w:ind w:left="360" w:hangingChars="150" w:hanging="360"/>
        <w:jc w:val="both"/>
        <w:rPr>
          <w:rFonts w:ascii="Times New Roman" w:eastAsia="華康楷書體W5" w:hAnsi="Times New Roman"/>
          <w:sz w:val="24"/>
          <w:szCs w:val="24"/>
          <w:lang w:eastAsia="zh-HK"/>
        </w:rPr>
      </w:pPr>
    </w:p>
    <w:p w14:paraId="7FAB4BA0" w14:textId="77777777" w:rsidR="009254E4" w:rsidRPr="009254E4" w:rsidRDefault="009254E4" w:rsidP="009254E4">
      <w:pPr>
        <w:tabs>
          <w:tab w:val="left" w:pos="1276"/>
        </w:tabs>
        <w:spacing w:after="0" w:line="240" w:lineRule="auto"/>
        <w:ind w:left="360"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Appellant in person.</w:t>
      </w:r>
    </w:p>
    <w:p w14:paraId="698148E9" w14:textId="77777777" w:rsidR="009254E4" w:rsidRPr="009254E4" w:rsidRDefault="009254E4" w:rsidP="009254E4">
      <w:pPr>
        <w:tabs>
          <w:tab w:val="left" w:pos="1276"/>
        </w:tabs>
        <w:spacing w:after="0" w:line="240" w:lineRule="auto"/>
        <w:ind w:left="360" w:hangingChars="150" w:hanging="360"/>
        <w:jc w:val="both"/>
        <w:rPr>
          <w:rFonts w:ascii="Times New Roman" w:eastAsia="華康楷書體W5" w:hAnsi="Times New Roman"/>
          <w:sz w:val="24"/>
          <w:szCs w:val="24"/>
          <w:lang w:eastAsia="zh-HK"/>
        </w:rPr>
      </w:pPr>
      <w:r w:rsidRPr="009254E4">
        <w:rPr>
          <w:rFonts w:ascii="Times New Roman" w:eastAsia="華康楷書體W5" w:hAnsi="Times New Roman"/>
          <w:sz w:val="24"/>
          <w:szCs w:val="24"/>
          <w:lang w:eastAsia="zh-HK"/>
        </w:rPr>
        <w:t>Ching Wa Kong, Fung Chi Keung and Yau Yuen Chun, for the Commissioner of Inland Revenue.</w:t>
      </w:r>
    </w:p>
    <w:p w14:paraId="6CE729B3" w14:textId="77777777" w:rsidR="009254E4" w:rsidRDefault="009254E4" w:rsidP="009254E4">
      <w:pPr>
        <w:overflowPunct w:val="0"/>
        <w:autoSpaceDE w:val="0"/>
        <w:autoSpaceDN w:val="0"/>
        <w:spacing w:after="0" w:line="240" w:lineRule="auto"/>
        <w:jc w:val="both"/>
        <w:rPr>
          <w:rFonts w:ascii="Times New Roman" w:hAnsi="Times New Roman"/>
          <w:b/>
          <w:sz w:val="24"/>
          <w:szCs w:val="24"/>
          <w:lang w:eastAsia="zh-HK"/>
        </w:rPr>
      </w:pPr>
    </w:p>
    <w:p w14:paraId="2B4EF89C" w14:textId="4F051341" w:rsidR="009254E4" w:rsidRDefault="009254E4" w:rsidP="009254E4">
      <w:pPr>
        <w:overflowPunct w:val="0"/>
        <w:autoSpaceDE w:val="0"/>
        <w:autoSpaceDN w:val="0"/>
        <w:spacing w:after="0" w:line="240" w:lineRule="auto"/>
        <w:jc w:val="both"/>
        <w:rPr>
          <w:rFonts w:ascii="Times New Roman" w:hAnsi="Times New Roman"/>
          <w:b/>
          <w:sz w:val="24"/>
          <w:szCs w:val="24"/>
          <w:lang w:eastAsia="zh-HK"/>
        </w:rPr>
      </w:pPr>
    </w:p>
    <w:p w14:paraId="10C094EF" w14:textId="471E5304" w:rsidR="009A4A6A" w:rsidRDefault="009A4A6A" w:rsidP="009254E4">
      <w:pPr>
        <w:overflowPunct w:val="0"/>
        <w:autoSpaceDE w:val="0"/>
        <w:autoSpaceDN w:val="0"/>
        <w:spacing w:after="0" w:line="240" w:lineRule="auto"/>
        <w:jc w:val="both"/>
        <w:rPr>
          <w:rFonts w:ascii="Times New Roman" w:hAnsi="Times New Roman"/>
          <w:b/>
          <w:sz w:val="24"/>
          <w:szCs w:val="24"/>
          <w:lang w:eastAsia="zh-HK"/>
        </w:rPr>
      </w:pPr>
    </w:p>
    <w:p w14:paraId="71639126" w14:textId="13C450B3" w:rsidR="009A4A6A" w:rsidRDefault="009A4A6A" w:rsidP="009254E4">
      <w:pPr>
        <w:overflowPunct w:val="0"/>
        <w:autoSpaceDE w:val="0"/>
        <w:autoSpaceDN w:val="0"/>
        <w:spacing w:after="0" w:line="240" w:lineRule="auto"/>
        <w:jc w:val="both"/>
        <w:rPr>
          <w:rFonts w:ascii="Times New Roman" w:hAnsi="Times New Roman"/>
          <w:b/>
          <w:sz w:val="24"/>
          <w:szCs w:val="24"/>
          <w:lang w:eastAsia="zh-HK"/>
        </w:rPr>
      </w:pPr>
    </w:p>
    <w:p w14:paraId="6D589A19" w14:textId="7B1C9E53" w:rsidR="009A4A6A" w:rsidRDefault="009A4A6A" w:rsidP="009254E4">
      <w:pPr>
        <w:overflowPunct w:val="0"/>
        <w:autoSpaceDE w:val="0"/>
        <w:autoSpaceDN w:val="0"/>
        <w:spacing w:after="0" w:line="240" w:lineRule="auto"/>
        <w:jc w:val="both"/>
        <w:rPr>
          <w:rFonts w:ascii="Times New Roman" w:hAnsi="Times New Roman"/>
          <w:b/>
          <w:sz w:val="24"/>
          <w:szCs w:val="24"/>
          <w:lang w:eastAsia="zh-HK"/>
        </w:rPr>
      </w:pPr>
    </w:p>
    <w:p w14:paraId="13F2D010" w14:textId="77777777" w:rsidR="009A4A6A" w:rsidRDefault="009A4A6A" w:rsidP="009254E4">
      <w:pPr>
        <w:overflowPunct w:val="0"/>
        <w:autoSpaceDE w:val="0"/>
        <w:autoSpaceDN w:val="0"/>
        <w:spacing w:after="0" w:line="240" w:lineRule="auto"/>
        <w:jc w:val="both"/>
        <w:rPr>
          <w:rFonts w:ascii="Times New Roman" w:hAnsi="Times New Roman"/>
          <w:b/>
          <w:sz w:val="24"/>
          <w:szCs w:val="24"/>
          <w:lang w:eastAsia="zh-HK"/>
        </w:rPr>
      </w:pPr>
    </w:p>
    <w:p w14:paraId="3D09804E" w14:textId="4D89675B" w:rsidR="006A1DC5" w:rsidRPr="00D61E94" w:rsidRDefault="00D61E94" w:rsidP="009254E4">
      <w:pPr>
        <w:overflowPunct w:val="0"/>
        <w:autoSpaceDE w:val="0"/>
        <w:autoSpaceDN w:val="0"/>
        <w:spacing w:after="0" w:line="240" w:lineRule="auto"/>
        <w:jc w:val="both"/>
        <w:rPr>
          <w:rFonts w:ascii="Times New Roman" w:hAnsi="Times New Roman"/>
          <w:b/>
          <w:sz w:val="24"/>
          <w:szCs w:val="24"/>
          <w:lang w:eastAsia="zh-HK"/>
        </w:rPr>
      </w:pPr>
      <w:r w:rsidRPr="00D61E94">
        <w:rPr>
          <w:rFonts w:ascii="Times New Roman" w:hAnsi="Times New Roman"/>
          <w:b/>
          <w:sz w:val="24"/>
          <w:szCs w:val="24"/>
          <w:lang w:eastAsia="zh-HK"/>
        </w:rPr>
        <w:lastRenderedPageBreak/>
        <w:t>Decision:</w:t>
      </w:r>
    </w:p>
    <w:p w14:paraId="308BFD24" w14:textId="344FF1CB" w:rsidR="006A1DC5" w:rsidRDefault="006A1DC5" w:rsidP="00D61E94">
      <w:pPr>
        <w:overflowPunct w:val="0"/>
        <w:autoSpaceDE w:val="0"/>
        <w:autoSpaceDN w:val="0"/>
        <w:spacing w:after="0" w:line="240" w:lineRule="auto"/>
        <w:jc w:val="both"/>
        <w:rPr>
          <w:rFonts w:ascii="Times New Roman" w:hAnsi="Times New Roman"/>
          <w:b/>
          <w:sz w:val="24"/>
          <w:szCs w:val="24"/>
          <w:lang w:eastAsia="zh-HK"/>
        </w:rPr>
      </w:pPr>
    </w:p>
    <w:p w14:paraId="79FBCEE9" w14:textId="77777777" w:rsidR="00D61E94" w:rsidRPr="00D61E94" w:rsidRDefault="00D61E94" w:rsidP="00D61E94">
      <w:pPr>
        <w:overflowPunct w:val="0"/>
        <w:autoSpaceDE w:val="0"/>
        <w:autoSpaceDN w:val="0"/>
        <w:spacing w:after="0" w:line="240" w:lineRule="auto"/>
        <w:jc w:val="both"/>
        <w:rPr>
          <w:rFonts w:ascii="Times New Roman" w:hAnsi="Times New Roman"/>
          <w:b/>
          <w:sz w:val="24"/>
          <w:szCs w:val="24"/>
          <w:lang w:eastAsia="zh-HK"/>
        </w:rPr>
      </w:pPr>
    </w:p>
    <w:p w14:paraId="057B0887" w14:textId="77777777" w:rsidR="006A1DC5" w:rsidRPr="00566472" w:rsidRDefault="006A1DC5" w:rsidP="00D61E94">
      <w:pPr>
        <w:overflowPunct w:val="0"/>
        <w:autoSpaceDE w:val="0"/>
        <w:autoSpaceDN w:val="0"/>
        <w:spacing w:after="0" w:line="240" w:lineRule="auto"/>
        <w:jc w:val="both"/>
        <w:rPr>
          <w:rFonts w:ascii="Times New Roman" w:hAnsi="Times New Roman"/>
          <w:b/>
          <w:sz w:val="24"/>
          <w:szCs w:val="24"/>
          <w:lang w:eastAsia="zh-HK"/>
        </w:rPr>
      </w:pPr>
      <w:r w:rsidRPr="00566472">
        <w:rPr>
          <w:rFonts w:ascii="Times New Roman" w:hAnsi="Times New Roman"/>
          <w:b/>
          <w:sz w:val="24"/>
          <w:szCs w:val="24"/>
          <w:lang w:eastAsia="zh-HK"/>
        </w:rPr>
        <w:t>Introduction</w:t>
      </w:r>
    </w:p>
    <w:p w14:paraId="5C02CA3B" w14:textId="77777777" w:rsidR="006A1DC5" w:rsidRPr="00D61E94" w:rsidRDefault="006A1DC5" w:rsidP="00D61E94">
      <w:pPr>
        <w:overflowPunct w:val="0"/>
        <w:autoSpaceDE w:val="0"/>
        <w:autoSpaceDN w:val="0"/>
        <w:spacing w:after="0" w:line="240" w:lineRule="auto"/>
        <w:jc w:val="both"/>
        <w:rPr>
          <w:rFonts w:ascii="Times New Roman" w:hAnsi="Times New Roman"/>
          <w:b/>
          <w:sz w:val="24"/>
          <w:szCs w:val="24"/>
          <w:u w:val="single"/>
          <w:lang w:eastAsia="zh-HK"/>
        </w:rPr>
      </w:pPr>
    </w:p>
    <w:p w14:paraId="72151332" w14:textId="0057A1B8" w:rsidR="006A1DC5" w:rsidRDefault="006A1DC5"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The Appellant objected to the </w:t>
      </w:r>
      <w:r w:rsidR="00125223" w:rsidRPr="00D61E94">
        <w:rPr>
          <w:rFonts w:ascii="Times New Roman" w:hAnsi="Times New Roman"/>
          <w:sz w:val="24"/>
          <w:szCs w:val="24"/>
          <w:lang w:eastAsia="zh-HK"/>
        </w:rPr>
        <w:t xml:space="preserve">Salaries Tax </w:t>
      </w:r>
      <w:r w:rsidR="00D61E94">
        <w:rPr>
          <w:rFonts w:ascii="Times New Roman" w:hAnsi="Times New Roman"/>
          <w:sz w:val="24"/>
          <w:szCs w:val="24"/>
          <w:lang w:eastAsia="zh-HK"/>
        </w:rPr>
        <w:t>A</w:t>
      </w:r>
      <w:r w:rsidR="00125223" w:rsidRPr="00D61E94">
        <w:rPr>
          <w:rFonts w:ascii="Times New Roman" w:hAnsi="Times New Roman"/>
          <w:sz w:val="24"/>
          <w:szCs w:val="24"/>
          <w:lang w:eastAsia="zh-HK"/>
        </w:rPr>
        <w:t>ssessment for the year of assessment 201</w:t>
      </w:r>
      <w:r w:rsidR="000C7D85" w:rsidRPr="00D61E94">
        <w:rPr>
          <w:rFonts w:ascii="Times New Roman" w:hAnsi="Times New Roman"/>
          <w:sz w:val="24"/>
          <w:szCs w:val="24"/>
          <w:lang w:eastAsia="zh-HK"/>
        </w:rPr>
        <w:t xml:space="preserve">2/13 raised on him on the ground that a sum received from his </w:t>
      </w:r>
      <w:r w:rsidR="00BA3764" w:rsidRPr="00D61E94">
        <w:rPr>
          <w:rFonts w:ascii="Times New Roman" w:hAnsi="Times New Roman"/>
          <w:sz w:val="24"/>
          <w:szCs w:val="24"/>
          <w:lang w:eastAsia="zh-HK"/>
        </w:rPr>
        <w:t>employer in</w:t>
      </w:r>
      <w:r w:rsidR="000C7D85" w:rsidRPr="00D61E94">
        <w:rPr>
          <w:rFonts w:ascii="Times New Roman" w:hAnsi="Times New Roman"/>
          <w:sz w:val="24"/>
          <w:szCs w:val="24"/>
          <w:lang w:eastAsia="zh-HK"/>
        </w:rPr>
        <w:t xml:space="preserve"> relation to settlement of his claim on lost rest days and holidays was not taxable</w:t>
      </w:r>
      <w:r w:rsidR="00566472">
        <w:rPr>
          <w:rFonts w:ascii="Times New Roman" w:hAnsi="Times New Roman"/>
          <w:sz w:val="24"/>
          <w:szCs w:val="24"/>
          <w:lang w:eastAsia="zh-HK"/>
        </w:rPr>
        <w:t>.</w:t>
      </w:r>
    </w:p>
    <w:p w14:paraId="2F6FA215" w14:textId="77777777" w:rsidR="00566472" w:rsidRPr="00D61E94" w:rsidRDefault="00566472" w:rsidP="00566472">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D8E563B" w14:textId="0733A4B3" w:rsidR="006A1DC5" w:rsidRDefault="006A1DC5"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By the determination dated </w:t>
      </w:r>
      <w:r w:rsidR="000C7D85" w:rsidRPr="00D61E94">
        <w:rPr>
          <w:rFonts w:ascii="Times New Roman" w:hAnsi="Times New Roman"/>
          <w:sz w:val="24"/>
          <w:szCs w:val="24"/>
          <w:lang w:eastAsia="zh-HK"/>
        </w:rPr>
        <w:t>30 October 2017</w:t>
      </w:r>
      <w:r w:rsidRPr="00D61E94">
        <w:rPr>
          <w:rFonts w:ascii="Times New Roman" w:hAnsi="Times New Roman"/>
          <w:sz w:val="24"/>
          <w:szCs w:val="24"/>
          <w:lang w:eastAsia="zh-HK"/>
        </w:rPr>
        <w:t xml:space="preserve"> (</w:t>
      </w:r>
      <w:r w:rsidR="00D61E94">
        <w:rPr>
          <w:rFonts w:ascii="Times New Roman" w:hAnsi="Times New Roman"/>
          <w:sz w:val="24"/>
          <w:szCs w:val="24"/>
          <w:lang w:eastAsia="zh-HK"/>
        </w:rPr>
        <w:t>‘</w:t>
      </w:r>
      <w:r w:rsidRPr="00D61E94">
        <w:rPr>
          <w:rFonts w:ascii="Times New Roman" w:hAnsi="Times New Roman"/>
          <w:sz w:val="24"/>
          <w:szCs w:val="24"/>
          <w:lang w:eastAsia="zh-HK"/>
        </w:rPr>
        <w:t>Determination</w:t>
      </w:r>
      <w:r w:rsidR="00D61E94">
        <w:rPr>
          <w:rFonts w:ascii="Times New Roman" w:hAnsi="Times New Roman"/>
          <w:sz w:val="24"/>
          <w:szCs w:val="24"/>
          <w:lang w:eastAsia="zh-HK"/>
        </w:rPr>
        <w:t>’</w:t>
      </w:r>
      <w:r w:rsidRPr="00D61E94">
        <w:rPr>
          <w:rFonts w:ascii="Times New Roman" w:hAnsi="Times New Roman"/>
          <w:sz w:val="24"/>
          <w:szCs w:val="24"/>
          <w:lang w:eastAsia="zh-HK"/>
        </w:rPr>
        <w:t>), the Deputy Commissioner of Inland Revenue (</w:t>
      </w:r>
      <w:r w:rsidR="00D61E94">
        <w:rPr>
          <w:rFonts w:ascii="Times New Roman" w:hAnsi="Times New Roman"/>
          <w:sz w:val="24"/>
          <w:szCs w:val="24"/>
          <w:lang w:eastAsia="zh-HK"/>
        </w:rPr>
        <w:t>‘</w:t>
      </w:r>
      <w:r w:rsidRPr="00D61E94">
        <w:rPr>
          <w:rFonts w:ascii="Times New Roman" w:hAnsi="Times New Roman"/>
          <w:sz w:val="24"/>
          <w:szCs w:val="24"/>
          <w:lang w:eastAsia="zh-HK"/>
        </w:rPr>
        <w:t>Deputy Commissioner</w:t>
      </w:r>
      <w:r w:rsidR="00D61E94">
        <w:rPr>
          <w:rFonts w:ascii="Times New Roman" w:hAnsi="Times New Roman"/>
          <w:sz w:val="24"/>
          <w:szCs w:val="24"/>
          <w:lang w:eastAsia="zh-HK"/>
        </w:rPr>
        <w:t>’</w:t>
      </w:r>
      <w:r w:rsidRPr="00D61E94">
        <w:rPr>
          <w:rFonts w:ascii="Times New Roman" w:hAnsi="Times New Roman"/>
          <w:sz w:val="24"/>
          <w:szCs w:val="24"/>
          <w:lang w:eastAsia="zh-HK"/>
        </w:rPr>
        <w:t>) rejected the Appellant’s objection</w:t>
      </w:r>
      <w:r w:rsidR="00FB510E" w:rsidRPr="00D61E94">
        <w:rPr>
          <w:rFonts w:ascii="Times New Roman" w:hAnsi="Times New Roman"/>
          <w:sz w:val="24"/>
          <w:szCs w:val="24"/>
          <w:lang w:eastAsia="zh-HK"/>
        </w:rPr>
        <w:t xml:space="preserve"> and confirmed the </w:t>
      </w:r>
      <w:r w:rsidR="001C3A14" w:rsidRPr="00D61E94">
        <w:rPr>
          <w:rFonts w:ascii="Times New Roman" w:hAnsi="Times New Roman"/>
          <w:sz w:val="24"/>
          <w:szCs w:val="24"/>
          <w:lang w:eastAsia="zh-HK"/>
        </w:rPr>
        <w:t xml:space="preserve">Salaries Tax Assessment for the </w:t>
      </w:r>
      <w:r w:rsidR="00566472">
        <w:rPr>
          <w:rFonts w:ascii="Times New Roman" w:hAnsi="Times New Roman"/>
          <w:sz w:val="24"/>
          <w:szCs w:val="24"/>
          <w:lang w:eastAsia="zh-HK"/>
        </w:rPr>
        <w:t>a</w:t>
      </w:r>
      <w:r w:rsidR="001C1DCE" w:rsidRPr="00D61E94">
        <w:rPr>
          <w:rFonts w:ascii="Times New Roman" w:hAnsi="Times New Roman"/>
          <w:sz w:val="24"/>
          <w:szCs w:val="24"/>
          <w:lang w:eastAsia="zh-HK"/>
        </w:rPr>
        <w:t xml:space="preserve">ssessment </w:t>
      </w:r>
      <w:r w:rsidR="00566472">
        <w:rPr>
          <w:rFonts w:ascii="Times New Roman" w:hAnsi="Times New Roman"/>
          <w:sz w:val="24"/>
          <w:szCs w:val="24"/>
          <w:lang w:eastAsia="zh-HK"/>
        </w:rPr>
        <w:t>y</w:t>
      </w:r>
      <w:r w:rsidR="001C1DCE" w:rsidRPr="00D61E94">
        <w:rPr>
          <w:rFonts w:ascii="Times New Roman" w:hAnsi="Times New Roman"/>
          <w:sz w:val="24"/>
          <w:szCs w:val="24"/>
          <w:lang w:eastAsia="zh-HK"/>
        </w:rPr>
        <w:t xml:space="preserve">ear </w:t>
      </w:r>
      <w:r w:rsidR="009F30E1">
        <w:rPr>
          <w:rFonts w:ascii="Times New Roman" w:hAnsi="Times New Roman" w:hint="eastAsia"/>
          <w:sz w:val="24"/>
          <w:szCs w:val="24"/>
          <w:lang w:eastAsia="zh-TW"/>
        </w:rPr>
        <w:t>2012/13</w:t>
      </w:r>
      <w:r w:rsidR="009F30E1">
        <w:rPr>
          <w:rFonts w:ascii="Times New Roman" w:hAnsi="Times New Roman"/>
          <w:sz w:val="24"/>
          <w:szCs w:val="24"/>
          <w:lang w:eastAsia="zh-HK"/>
        </w:rPr>
        <w:t xml:space="preserve"> </w:t>
      </w:r>
      <w:r w:rsidR="001C3A14" w:rsidRPr="00D61E94">
        <w:rPr>
          <w:rFonts w:ascii="Times New Roman" w:hAnsi="Times New Roman"/>
          <w:sz w:val="24"/>
          <w:szCs w:val="24"/>
          <w:lang w:eastAsia="zh-HK"/>
        </w:rPr>
        <w:t xml:space="preserve">under Charge Number </w:t>
      </w:r>
      <w:r w:rsidR="00D61E94">
        <w:rPr>
          <w:rFonts w:ascii="Times New Roman" w:hAnsi="Times New Roman"/>
          <w:sz w:val="24"/>
          <w:szCs w:val="24"/>
          <w:lang w:eastAsia="zh-HK"/>
        </w:rPr>
        <w:t>X</w:t>
      </w:r>
      <w:r w:rsidR="001C3A14" w:rsidRPr="00D61E94">
        <w:rPr>
          <w:rFonts w:ascii="Times New Roman" w:hAnsi="Times New Roman"/>
          <w:sz w:val="24"/>
          <w:szCs w:val="24"/>
          <w:lang w:eastAsia="zh-HK"/>
        </w:rPr>
        <w:t>-</w:t>
      </w:r>
      <w:r w:rsidR="00D61E94">
        <w:rPr>
          <w:rFonts w:ascii="Times New Roman" w:hAnsi="Times New Roman"/>
          <w:sz w:val="24"/>
          <w:szCs w:val="24"/>
          <w:lang w:eastAsia="zh-HK"/>
        </w:rPr>
        <w:t>XXXXXXX</w:t>
      </w:r>
      <w:r w:rsidR="00B839F0" w:rsidRPr="00D61E94">
        <w:rPr>
          <w:rFonts w:ascii="Times New Roman" w:hAnsi="Times New Roman"/>
          <w:sz w:val="24"/>
          <w:szCs w:val="24"/>
          <w:lang w:eastAsia="zh-HK"/>
        </w:rPr>
        <w:t>-</w:t>
      </w:r>
      <w:r w:rsidR="00D61E94">
        <w:rPr>
          <w:rFonts w:ascii="Times New Roman" w:hAnsi="Times New Roman"/>
          <w:sz w:val="24"/>
          <w:szCs w:val="24"/>
          <w:lang w:eastAsia="zh-HK"/>
        </w:rPr>
        <w:t>XX</w:t>
      </w:r>
      <w:r w:rsidR="00B839F0" w:rsidRPr="00D61E94">
        <w:rPr>
          <w:rFonts w:ascii="Times New Roman" w:hAnsi="Times New Roman"/>
          <w:sz w:val="24"/>
          <w:szCs w:val="24"/>
          <w:lang w:eastAsia="zh-HK"/>
        </w:rPr>
        <w:t>-</w:t>
      </w:r>
      <w:r w:rsidR="00D61E94">
        <w:rPr>
          <w:rFonts w:ascii="Times New Roman" w:hAnsi="Times New Roman"/>
          <w:sz w:val="24"/>
          <w:szCs w:val="24"/>
          <w:lang w:eastAsia="zh-HK"/>
        </w:rPr>
        <w:t>X</w:t>
      </w:r>
      <w:r w:rsidR="001C3A14" w:rsidRPr="00D61E94">
        <w:rPr>
          <w:rFonts w:ascii="Times New Roman" w:hAnsi="Times New Roman"/>
          <w:sz w:val="24"/>
          <w:szCs w:val="24"/>
          <w:lang w:eastAsia="zh-HK"/>
        </w:rPr>
        <w:t xml:space="preserve">, dated </w:t>
      </w:r>
      <w:r w:rsidR="00B839F0" w:rsidRPr="00D61E94">
        <w:rPr>
          <w:rFonts w:ascii="Times New Roman" w:hAnsi="Times New Roman"/>
          <w:sz w:val="24"/>
          <w:szCs w:val="24"/>
          <w:lang w:eastAsia="zh-HK"/>
        </w:rPr>
        <w:t>24 July 2013</w:t>
      </w:r>
      <w:r w:rsidR="001C3A14" w:rsidRPr="00D61E94">
        <w:rPr>
          <w:rFonts w:ascii="Times New Roman" w:hAnsi="Times New Roman"/>
          <w:sz w:val="24"/>
          <w:szCs w:val="24"/>
          <w:lang w:eastAsia="zh-HK"/>
        </w:rPr>
        <w:t xml:space="preserve">, showing </w:t>
      </w:r>
      <w:r w:rsidR="00B839F0" w:rsidRPr="00D61E94">
        <w:rPr>
          <w:rFonts w:ascii="Times New Roman" w:hAnsi="Times New Roman"/>
          <w:sz w:val="24"/>
          <w:szCs w:val="24"/>
          <w:lang w:eastAsia="zh-HK"/>
        </w:rPr>
        <w:t>Net Chargeable Income of HK$2,517,827</w:t>
      </w:r>
      <w:r w:rsidR="009F30E1">
        <w:rPr>
          <w:rFonts w:ascii="Times New Roman" w:hAnsi="Times New Roman" w:hint="eastAsia"/>
          <w:sz w:val="24"/>
          <w:szCs w:val="24"/>
          <w:lang w:eastAsia="zh-TW"/>
        </w:rPr>
        <w:t>.00</w:t>
      </w:r>
      <w:r w:rsidR="00B839F0" w:rsidRPr="00D61E94">
        <w:rPr>
          <w:rFonts w:ascii="Times New Roman" w:hAnsi="Times New Roman"/>
          <w:sz w:val="24"/>
          <w:szCs w:val="24"/>
          <w:lang w:eastAsia="zh-HK"/>
        </w:rPr>
        <w:t xml:space="preserve"> with Tax </w:t>
      </w:r>
      <w:r w:rsidR="00CD4FAB" w:rsidRPr="00D61E94">
        <w:rPr>
          <w:rFonts w:ascii="Times New Roman" w:hAnsi="Times New Roman"/>
          <w:sz w:val="24"/>
          <w:szCs w:val="24"/>
          <w:lang w:eastAsia="zh-HK"/>
        </w:rPr>
        <w:t>Payable thereon of HK$</w:t>
      </w:r>
      <w:r w:rsidR="00B839F0" w:rsidRPr="00D61E94">
        <w:rPr>
          <w:rFonts w:ascii="Times New Roman" w:hAnsi="Times New Roman"/>
          <w:sz w:val="24"/>
          <w:szCs w:val="24"/>
          <w:lang w:eastAsia="zh-HK"/>
        </w:rPr>
        <w:t>406,030</w:t>
      </w:r>
      <w:r w:rsidR="00CD4FAB" w:rsidRPr="00D61E94">
        <w:rPr>
          <w:rFonts w:ascii="Times New Roman" w:hAnsi="Times New Roman"/>
          <w:sz w:val="24"/>
          <w:szCs w:val="24"/>
          <w:lang w:eastAsia="zh-HK"/>
        </w:rPr>
        <w:t>.00</w:t>
      </w:r>
      <w:r w:rsidR="00FB510E" w:rsidRPr="00D61E94">
        <w:rPr>
          <w:rFonts w:ascii="Times New Roman" w:hAnsi="Times New Roman"/>
          <w:sz w:val="24"/>
          <w:szCs w:val="24"/>
          <w:lang w:eastAsia="zh-HK"/>
        </w:rPr>
        <w:t xml:space="preserve">. </w:t>
      </w:r>
    </w:p>
    <w:p w14:paraId="6266CEDE" w14:textId="77777777" w:rsidR="00566472" w:rsidRPr="00D61E94" w:rsidRDefault="00566472" w:rsidP="00566472">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88EF305" w14:textId="2ED188CC" w:rsidR="006A1DC5" w:rsidRPr="00D61E94" w:rsidRDefault="000E4E05"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The Appellant was not satisfied with the Determination and lodged this</w:t>
      </w:r>
      <w:r w:rsidR="006A1DC5" w:rsidRPr="00D61E94">
        <w:rPr>
          <w:rFonts w:ascii="Times New Roman" w:hAnsi="Times New Roman"/>
          <w:sz w:val="24"/>
          <w:szCs w:val="24"/>
          <w:lang w:eastAsia="zh-HK"/>
        </w:rPr>
        <w:t xml:space="preserve"> appeal against the Determination</w:t>
      </w:r>
      <w:r w:rsidRPr="00D61E94">
        <w:rPr>
          <w:rFonts w:ascii="Times New Roman" w:hAnsi="Times New Roman"/>
          <w:sz w:val="24"/>
          <w:szCs w:val="24"/>
          <w:lang w:eastAsia="zh-HK"/>
        </w:rPr>
        <w:t xml:space="preserve"> to the Board of Review (</w:t>
      </w:r>
      <w:r w:rsidR="00D61E94">
        <w:rPr>
          <w:rFonts w:ascii="Times New Roman" w:hAnsi="Times New Roman"/>
          <w:sz w:val="24"/>
          <w:szCs w:val="24"/>
          <w:lang w:eastAsia="zh-HK"/>
        </w:rPr>
        <w:t>‘</w:t>
      </w:r>
      <w:r w:rsidRPr="00D61E94">
        <w:rPr>
          <w:rFonts w:ascii="Times New Roman" w:hAnsi="Times New Roman"/>
          <w:sz w:val="24"/>
          <w:szCs w:val="24"/>
          <w:lang w:eastAsia="zh-HK"/>
        </w:rPr>
        <w:t>Board</w:t>
      </w:r>
      <w:r w:rsidR="00D61E94">
        <w:rPr>
          <w:rFonts w:ascii="Times New Roman" w:hAnsi="Times New Roman"/>
          <w:sz w:val="24"/>
          <w:szCs w:val="24"/>
          <w:lang w:eastAsia="zh-HK"/>
        </w:rPr>
        <w:t>’</w:t>
      </w:r>
      <w:r w:rsidRPr="00D61E94">
        <w:rPr>
          <w:rFonts w:ascii="Times New Roman" w:hAnsi="Times New Roman"/>
          <w:sz w:val="24"/>
          <w:szCs w:val="24"/>
          <w:lang w:eastAsia="zh-HK"/>
        </w:rPr>
        <w:t>)</w:t>
      </w:r>
      <w:r w:rsidR="006A1DC5" w:rsidRPr="00D61E94">
        <w:rPr>
          <w:rFonts w:ascii="Times New Roman" w:hAnsi="Times New Roman"/>
          <w:sz w:val="24"/>
          <w:szCs w:val="24"/>
          <w:lang w:eastAsia="zh-HK"/>
        </w:rPr>
        <w:t xml:space="preserve"> pursuant to the provisions of section 66 of the Inland Revenue Ordinance, C</w:t>
      </w:r>
      <w:r w:rsidR="00D61E94">
        <w:rPr>
          <w:rFonts w:ascii="Times New Roman" w:hAnsi="Times New Roman"/>
          <w:sz w:val="24"/>
          <w:szCs w:val="24"/>
          <w:lang w:eastAsia="zh-HK"/>
        </w:rPr>
        <w:t>h</w:t>
      </w:r>
      <w:r w:rsidR="006A1DC5" w:rsidRPr="00D61E94">
        <w:rPr>
          <w:rFonts w:ascii="Times New Roman" w:hAnsi="Times New Roman"/>
          <w:sz w:val="24"/>
          <w:szCs w:val="24"/>
          <w:lang w:eastAsia="zh-HK"/>
        </w:rPr>
        <w:t>ap</w:t>
      </w:r>
      <w:r w:rsidR="00D61E94">
        <w:rPr>
          <w:rFonts w:ascii="Times New Roman" w:hAnsi="Times New Roman"/>
          <w:sz w:val="24"/>
          <w:szCs w:val="24"/>
          <w:lang w:eastAsia="zh-HK"/>
        </w:rPr>
        <w:t>ter</w:t>
      </w:r>
      <w:r w:rsidR="006A1DC5" w:rsidRPr="00D61E94">
        <w:rPr>
          <w:rFonts w:ascii="Times New Roman" w:hAnsi="Times New Roman"/>
          <w:sz w:val="24"/>
          <w:szCs w:val="24"/>
          <w:lang w:eastAsia="zh-HK"/>
        </w:rPr>
        <w:t xml:space="preserve"> 112 (</w:t>
      </w:r>
      <w:r w:rsidR="00D61E94">
        <w:rPr>
          <w:rFonts w:ascii="Times New Roman" w:hAnsi="Times New Roman"/>
          <w:sz w:val="24"/>
          <w:szCs w:val="24"/>
          <w:lang w:eastAsia="zh-HK"/>
        </w:rPr>
        <w:t>‘</w:t>
      </w:r>
      <w:r w:rsidR="006A1DC5" w:rsidRPr="00D61E94">
        <w:rPr>
          <w:rFonts w:ascii="Times New Roman" w:hAnsi="Times New Roman"/>
          <w:sz w:val="24"/>
          <w:szCs w:val="24"/>
          <w:lang w:eastAsia="zh-HK"/>
        </w:rPr>
        <w:t>the Ordinance</w:t>
      </w:r>
      <w:r w:rsidR="00D61E94">
        <w:rPr>
          <w:rFonts w:ascii="Times New Roman" w:hAnsi="Times New Roman"/>
          <w:sz w:val="24"/>
          <w:szCs w:val="24"/>
          <w:lang w:eastAsia="zh-HK"/>
        </w:rPr>
        <w:t>’</w:t>
      </w:r>
      <w:r w:rsidR="006A1DC5" w:rsidRPr="00D61E94">
        <w:rPr>
          <w:rFonts w:ascii="Times New Roman" w:hAnsi="Times New Roman"/>
          <w:sz w:val="24"/>
          <w:szCs w:val="24"/>
          <w:lang w:eastAsia="zh-HK"/>
        </w:rPr>
        <w:t>)</w:t>
      </w:r>
      <w:r w:rsidR="00CD4FAB" w:rsidRPr="00D61E94">
        <w:rPr>
          <w:rFonts w:ascii="Times New Roman" w:hAnsi="Times New Roman"/>
          <w:sz w:val="24"/>
          <w:szCs w:val="24"/>
          <w:lang w:eastAsia="zh-HK"/>
        </w:rPr>
        <w:t xml:space="preserve"> on 7 </w:t>
      </w:r>
      <w:r w:rsidR="00B839F0" w:rsidRPr="00D61E94">
        <w:rPr>
          <w:rFonts w:ascii="Times New Roman" w:hAnsi="Times New Roman"/>
          <w:sz w:val="24"/>
          <w:szCs w:val="24"/>
          <w:lang w:eastAsia="zh-HK"/>
        </w:rPr>
        <w:t>May 2021</w:t>
      </w:r>
      <w:r w:rsidR="006A1DC5" w:rsidRPr="00D61E94">
        <w:rPr>
          <w:rFonts w:ascii="Times New Roman" w:hAnsi="Times New Roman"/>
          <w:sz w:val="24"/>
          <w:szCs w:val="24"/>
          <w:lang w:eastAsia="zh-HK"/>
        </w:rPr>
        <w:t xml:space="preserve">. </w:t>
      </w:r>
    </w:p>
    <w:p w14:paraId="55D24100" w14:textId="77777777" w:rsidR="00D61E94" w:rsidRDefault="00D61E94" w:rsidP="00D61E94">
      <w:pPr>
        <w:overflowPunct w:val="0"/>
        <w:autoSpaceDE w:val="0"/>
        <w:autoSpaceDN w:val="0"/>
        <w:spacing w:after="0" w:line="240" w:lineRule="auto"/>
        <w:jc w:val="both"/>
        <w:rPr>
          <w:rFonts w:ascii="Times New Roman" w:hAnsi="Times New Roman"/>
          <w:b/>
          <w:sz w:val="24"/>
          <w:szCs w:val="24"/>
          <w:u w:val="single"/>
          <w:lang w:eastAsia="zh-HK"/>
        </w:rPr>
      </w:pPr>
    </w:p>
    <w:p w14:paraId="2F0DDBA3" w14:textId="273C77F2" w:rsidR="006A1DC5" w:rsidRPr="00566472" w:rsidRDefault="00DC58FC" w:rsidP="00D61E94">
      <w:pPr>
        <w:overflowPunct w:val="0"/>
        <w:autoSpaceDE w:val="0"/>
        <w:autoSpaceDN w:val="0"/>
        <w:spacing w:after="0" w:line="240" w:lineRule="auto"/>
        <w:jc w:val="both"/>
        <w:rPr>
          <w:rFonts w:ascii="Times New Roman" w:hAnsi="Times New Roman"/>
          <w:b/>
          <w:sz w:val="24"/>
          <w:szCs w:val="24"/>
          <w:lang w:eastAsia="zh-HK"/>
        </w:rPr>
      </w:pPr>
      <w:r w:rsidRPr="00566472">
        <w:rPr>
          <w:rFonts w:ascii="Times New Roman" w:hAnsi="Times New Roman"/>
          <w:b/>
          <w:sz w:val="24"/>
          <w:szCs w:val="24"/>
          <w:lang w:eastAsia="zh-HK"/>
        </w:rPr>
        <w:t xml:space="preserve">Contention of the </w:t>
      </w:r>
      <w:r w:rsidR="00B839F0" w:rsidRPr="00566472">
        <w:rPr>
          <w:rFonts w:ascii="Times New Roman" w:hAnsi="Times New Roman"/>
          <w:b/>
          <w:sz w:val="24"/>
          <w:szCs w:val="24"/>
          <w:lang w:eastAsia="zh-HK"/>
        </w:rPr>
        <w:t xml:space="preserve">Validity of the </w:t>
      </w:r>
      <w:r w:rsidR="006A1DC5" w:rsidRPr="00566472">
        <w:rPr>
          <w:rFonts w:ascii="Times New Roman" w:hAnsi="Times New Roman"/>
          <w:b/>
          <w:sz w:val="24"/>
          <w:szCs w:val="24"/>
          <w:lang w:eastAsia="zh-HK"/>
        </w:rPr>
        <w:t>Appeal</w:t>
      </w:r>
    </w:p>
    <w:p w14:paraId="05BB5A96" w14:textId="77777777" w:rsidR="00D61E94" w:rsidRPr="00D61E94" w:rsidRDefault="00D61E94" w:rsidP="00D61E94">
      <w:pPr>
        <w:overflowPunct w:val="0"/>
        <w:autoSpaceDE w:val="0"/>
        <w:autoSpaceDN w:val="0"/>
        <w:spacing w:after="0" w:line="240" w:lineRule="auto"/>
        <w:jc w:val="both"/>
        <w:rPr>
          <w:rFonts w:ascii="Times New Roman" w:hAnsi="Times New Roman"/>
          <w:sz w:val="24"/>
          <w:szCs w:val="24"/>
          <w:lang w:eastAsia="zh-HK"/>
        </w:rPr>
      </w:pPr>
    </w:p>
    <w:p w14:paraId="0F80421C" w14:textId="6DC857C2" w:rsidR="006A1DC5" w:rsidRDefault="005475E9"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Section 66(1) of the Ordinance</w:t>
      </w:r>
      <w:r w:rsidR="00BA3764">
        <w:rPr>
          <w:rFonts w:ascii="Times New Roman" w:hAnsi="Times New Roman"/>
          <w:sz w:val="24"/>
          <w:szCs w:val="24"/>
          <w:lang w:eastAsia="zh-HK"/>
        </w:rPr>
        <w:t xml:space="preserve"> </w:t>
      </w:r>
      <w:r w:rsidRPr="00D61E94">
        <w:rPr>
          <w:rFonts w:ascii="Times New Roman" w:hAnsi="Times New Roman"/>
          <w:sz w:val="24"/>
          <w:szCs w:val="24"/>
          <w:lang w:eastAsia="zh-HK"/>
        </w:rPr>
        <w:t xml:space="preserve">provides </w:t>
      </w:r>
      <w:r w:rsidRPr="00D61E94">
        <w:rPr>
          <w:rFonts w:ascii="Times New Roman" w:hAnsi="Times New Roman"/>
          <w:i/>
          <w:sz w:val="24"/>
          <w:szCs w:val="24"/>
          <w:lang w:eastAsia="zh-HK"/>
        </w:rPr>
        <w:t>inter alia</w:t>
      </w:r>
      <w:r w:rsidRPr="00D61E94">
        <w:rPr>
          <w:rFonts w:ascii="Times New Roman" w:hAnsi="Times New Roman"/>
          <w:sz w:val="24"/>
          <w:szCs w:val="24"/>
          <w:lang w:eastAsia="zh-HK"/>
        </w:rPr>
        <w:t xml:space="preserve"> that </w:t>
      </w:r>
      <w:r w:rsidR="00D61E94">
        <w:rPr>
          <w:rFonts w:ascii="Times New Roman" w:hAnsi="Times New Roman"/>
          <w:sz w:val="24"/>
          <w:szCs w:val="24"/>
          <w:lang w:eastAsia="zh-HK"/>
        </w:rPr>
        <w:t>‘</w:t>
      </w:r>
      <w:r w:rsidRPr="00D61E94">
        <w:rPr>
          <w:rFonts w:ascii="Times New Roman" w:hAnsi="Times New Roman"/>
          <w:i/>
          <w:sz w:val="24"/>
          <w:szCs w:val="24"/>
          <w:lang w:eastAsia="zh-HK"/>
        </w:rPr>
        <w:t xml:space="preserve">any person </w:t>
      </w:r>
      <w:r w:rsidR="00566472">
        <w:rPr>
          <w:rFonts w:ascii="Times New Roman" w:hAnsi="Times New Roman"/>
          <w:i/>
          <w:sz w:val="24"/>
          <w:szCs w:val="24"/>
          <w:lang w:eastAsia="zh-HK"/>
        </w:rPr>
        <w:t xml:space="preserve">(hereinafter referred to as the appellant) </w:t>
      </w:r>
      <w:r w:rsidRPr="00D61E94">
        <w:rPr>
          <w:rFonts w:ascii="Times New Roman" w:hAnsi="Times New Roman"/>
          <w:i/>
          <w:sz w:val="24"/>
          <w:szCs w:val="24"/>
          <w:lang w:eastAsia="zh-HK"/>
        </w:rPr>
        <w:t xml:space="preserve">who has validly objected to an assessment but with whom the Commissioner in considering the objection has failed to agree may within (a) </w:t>
      </w:r>
      <w:r w:rsidR="00566472">
        <w:rPr>
          <w:rFonts w:ascii="Times New Roman" w:hAnsi="Times New Roman"/>
          <w:i/>
          <w:sz w:val="24"/>
          <w:szCs w:val="24"/>
          <w:lang w:eastAsia="zh-HK"/>
        </w:rPr>
        <w:t>1</w:t>
      </w:r>
      <w:r w:rsidRPr="00D61E94">
        <w:rPr>
          <w:rFonts w:ascii="Times New Roman" w:hAnsi="Times New Roman"/>
          <w:i/>
          <w:sz w:val="24"/>
          <w:szCs w:val="24"/>
          <w:lang w:eastAsia="zh-HK"/>
        </w:rPr>
        <w:t xml:space="preserve"> month after the transmission to him under section 64(4) of the Commissioner’s written determination tog</w:t>
      </w:r>
      <w:r w:rsidR="00566472">
        <w:rPr>
          <w:rFonts w:ascii="Times New Roman" w:hAnsi="Times New Roman"/>
          <w:i/>
          <w:sz w:val="24"/>
          <w:szCs w:val="24"/>
          <w:lang w:eastAsia="zh-HK"/>
        </w:rPr>
        <w:t>ether with the reasons therefor</w:t>
      </w:r>
      <w:r w:rsidRPr="00D61E94">
        <w:rPr>
          <w:rFonts w:ascii="Times New Roman" w:hAnsi="Times New Roman"/>
          <w:i/>
          <w:sz w:val="24"/>
          <w:szCs w:val="24"/>
          <w:lang w:eastAsia="zh-HK"/>
        </w:rPr>
        <w:t xml:space="preserve"> and the statement of facts; or (b) such further period as the Board may allow under su</w:t>
      </w:r>
      <w:r w:rsidR="00DC58FC" w:rsidRPr="00D61E94">
        <w:rPr>
          <w:rFonts w:ascii="Times New Roman" w:hAnsi="Times New Roman"/>
          <w:i/>
          <w:sz w:val="24"/>
          <w:szCs w:val="24"/>
          <w:lang w:eastAsia="zh-HK"/>
        </w:rPr>
        <w:t>bsection (1A)</w:t>
      </w:r>
      <w:r w:rsidR="007D29A2" w:rsidRPr="00D61E94">
        <w:rPr>
          <w:rFonts w:ascii="Times New Roman" w:hAnsi="Times New Roman"/>
          <w:i/>
          <w:sz w:val="24"/>
          <w:szCs w:val="24"/>
          <w:lang w:eastAsia="zh-HK"/>
        </w:rPr>
        <w:t xml:space="preserve">, either himself or by his authorized representative give </w:t>
      </w:r>
      <w:r w:rsidR="00566472">
        <w:rPr>
          <w:rFonts w:ascii="Times New Roman" w:hAnsi="Times New Roman"/>
          <w:i/>
          <w:sz w:val="24"/>
          <w:szCs w:val="24"/>
          <w:lang w:eastAsia="zh-HK"/>
        </w:rPr>
        <w:t>notice of appeal to the Board…</w:t>
      </w:r>
      <w:r w:rsidR="00D61E94">
        <w:rPr>
          <w:rFonts w:ascii="Times New Roman" w:hAnsi="Times New Roman"/>
          <w:sz w:val="24"/>
          <w:szCs w:val="24"/>
          <w:lang w:eastAsia="zh-HK"/>
        </w:rPr>
        <w:t>’</w:t>
      </w:r>
      <w:r w:rsidR="00DC58FC" w:rsidRPr="00D61E94">
        <w:rPr>
          <w:rFonts w:ascii="Times New Roman" w:hAnsi="Times New Roman"/>
          <w:sz w:val="24"/>
          <w:szCs w:val="24"/>
          <w:lang w:eastAsia="zh-HK"/>
        </w:rPr>
        <w:t xml:space="preserve"> </w:t>
      </w:r>
    </w:p>
    <w:p w14:paraId="565A38A9"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6946C9A8" w14:textId="0E63E437" w:rsidR="00DC58FC" w:rsidRDefault="00DC58FC"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Section 66(1A)</w:t>
      </w:r>
      <w:r w:rsidR="009F30E1">
        <w:rPr>
          <w:rFonts w:ascii="Times New Roman" w:hAnsi="Times New Roman"/>
          <w:sz w:val="24"/>
          <w:szCs w:val="24"/>
          <w:lang w:eastAsia="zh-HK"/>
        </w:rPr>
        <w:t xml:space="preserve"> of the Ordinance</w:t>
      </w:r>
      <w:r w:rsidRPr="00D61E94">
        <w:rPr>
          <w:rFonts w:ascii="Times New Roman" w:hAnsi="Times New Roman"/>
          <w:sz w:val="24"/>
          <w:szCs w:val="24"/>
          <w:lang w:eastAsia="zh-HK"/>
        </w:rPr>
        <w:t xml:space="preserve"> provides </w:t>
      </w:r>
      <w:r w:rsidRPr="00566472">
        <w:rPr>
          <w:rFonts w:ascii="Times New Roman" w:hAnsi="Times New Roman"/>
          <w:i/>
          <w:sz w:val="24"/>
          <w:szCs w:val="24"/>
          <w:lang w:eastAsia="zh-HK"/>
        </w:rPr>
        <w:t>inter alia</w:t>
      </w:r>
      <w:r w:rsidRPr="00D61E94">
        <w:rPr>
          <w:rFonts w:ascii="Times New Roman" w:hAnsi="Times New Roman"/>
          <w:sz w:val="24"/>
          <w:szCs w:val="24"/>
          <w:lang w:eastAsia="zh-HK"/>
        </w:rPr>
        <w:t xml:space="preserve"> that </w:t>
      </w:r>
      <w:r w:rsidR="00566472">
        <w:rPr>
          <w:rFonts w:ascii="Times New Roman" w:hAnsi="Times New Roman"/>
          <w:sz w:val="24"/>
          <w:szCs w:val="24"/>
          <w:lang w:eastAsia="zh-HK"/>
        </w:rPr>
        <w:t>‘</w:t>
      </w:r>
      <w:r w:rsidRPr="00566472">
        <w:rPr>
          <w:rFonts w:ascii="Times New Roman" w:hAnsi="Times New Roman"/>
          <w:i/>
          <w:sz w:val="24"/>
          <w:szCs w:val="24"/>
          <w:lang w:eastAsia="zh-HK"/>
        </w:rPr>
        <w:t>if the Board is</w:t>
      </w:r>
      <w:r w:rsidR="00BA3764">
        <w:rPr>
          <w:rFonts w:ascii="Times New Roman" w:hAnsi="Times New Roman"/>
          <w:i/>
          <w:sz w:val="24"/>
          <w:szCs w:val="24"/>
          <w:lang w:eastAsia="zh-HK"/>
        </w:rPr>
        <w:t xml:space="preserve"> </w:t>
      </w:r>
      <w:r w:rsidRPr="00566472">
        <w:rPr>
          <w:rFonts w:ascii="Times New Roman" w:hAnsi="Times New Roman"/>
          <w:i/>
          <w:sz w:val="24"/>
          <w:szCs w:val="24"/>
          <w:lang w:eastAsia="zh-HK"/>
        </w:rPr>
        <w:t>satisfied that an appellant was prevented by illness or absence from Hong Kong or other reasonable cause from giving notice of appeal in accordance with subsection (1)(a), the Board may extend such period as it thinks fit the time within which notice of appeal may be given under subsection (1).</w:t>
      </w:r>
      <w:r w:rsidR="00566472">
        <w:rPr>
          <w:rFonts w:ascii="Times New Roman" w:hAnsi="Times New Roman"/>
          <w:sz w:val="24"/>
          <w:szCs w:val="24"/>
          <w:lang w:eastAsia="zh-HK"/>
        </w:rPr>
        <w:t>’</w:t>
      </w:r>
    </w:p>
    <w:p w14:paraId="7F21AB4D"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8108537" w14:textId="1765F464" w:rsidR="00DC58FC" w:rsidRDefault="00DC58FC"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From the date of the Determination and the date upon which the notice of appeal was filed with the Board, it appears that the appeal is </w:t>
      </w:r>
      <w:r w:rsidRPr="009B03B2">
        <w:rPr>
          <w:rFonts w:ascii="Times New Roman" w:hAnsi="Times New Roman"/>
          <w:i/>
          <w:sz w:val="24"/>
          <w:szCs w:val="24"/>
          <w:lang w:eastAsia="zh-HK"/>
        </w:rPr>
        <w:t>prima facie</w:t>
      </w:r>
      <w:r w:rsidRPr="0080477F">
        <w:rPr>
          <w:rFonts w:ascii="Times New Roman" w:hAnsi="Times New Roman"/>
          <w:sz w:val="24"/>
          <w:szCs w:val="24"/>
          <w:lang w:eastAsia="zh-HK"/>
        </w:rPr>
        <w:t xml:space="preserve"> </w:t>
      </w:r>
      <w:r w:rsidRPr="00D61E94">
        <w:rPr>
          <w:rFonts w:ascii="Times New Roman" w:hAnsi="Times New Roman"/>
          <w:sz w:val="24"/>
          <w:szCs w:val="24"/>
          <w:lang w:eastAsia="zh-HK"/>
        </w:rPr>
        <w:t xml:space="preserve">invalid as the notice of appeal was given outside the 1-month statutory period stipulated under section 66(1) of the Ordinance. </w:t>
      </w:r>
    </w:p>
    <w:p w14:paraId="3D5D6FFA"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C86D493" w14:textId="15956B57" w:rsidR="00DC58FC" w:rsidRPr="00D61E94" w:rsidRDefault="00DC58FC"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By </w:t>
      </w:r>
      <w:r w:rsidR="00280E27" w:rsidRPr="00D61E94">
        <w:rPr>
          <w:rFonts w:ascii="Times New Roman" w:hAnsi="Times New Roman"/>
          <w:sz w:val="24"/>
          <w:szCs w:val="24"/>
          <w:lang w:eastAsia="zh-HK"/>
        </w:rPr>
        <w:t>the</w:t>
      </w:r>
      <w:r w:rsidRPr="00D61E94">
        <w:rPr>
          <w:rFonts w:ascii="Times New Roman" w:hAnsi="Times New Roman"/>
          <w:sz w:val="24"/>
          <w:szCs w:val="24"/>
          <w:lang w:eastAsia="zh-HK"/>
        </w:rPr>
        <w:t xml:space="preserve"> letter dated 28 May 2021 to the Board, the </w:t>
      </w:r>
      <w:r w:rsidR="009F30E1">
        <w:rPr>
          <w:rFonts w:ascii="Times New Roman" w:hAnsi="Times New Roman"/>
          <w:sz w:val="24"/>
          <w:szCs w:val="24"/>
          <w:lang w:eastAsia="zh-HK"/>
        </w:rPr>
        <w:t xml:space="preserve">Respondent </w:t>
      </w:r>
      <w:r w:rsidRPr="00D61E94">
        <w:rPr>
          <w:rFonts w:ascii="Times New Roman" w:hAnsi="Times New Roman"/>
          <w:sz w:val="24"/>
          <w:szCs w:val="24"/>
          <w:lang w:eastAsia="zh-HK"/>
        </w:rPr>
        <w:t xml:space="preserve">indicated that it intended to contest the validity of the appeal. </w:t>
      </w:r>
    </w:p>
    <w:p w14:paraId="7D6F2F35" w14:textId="3B9F9C3D" w:rsidR="00EE5459" w:rsidRDefault="00EE5459"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2DAD908D" w14:textId="77777777" w:rsidR="005E536F" w:rsidRDefault="005E536F"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51B35939" w14:textId="77777777" w:rsidR="005E536F" w:rsidRDefault="005E536F"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4DE71F2B" w14:textId="77777777" w:rsidR="005E536F" w:rsidRDefault="005E536F"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54E8F8B6" w14:textId="3C2761FE" w:rsidR="00DC58FC" w:rsidRPr="00566472" w:rsidRDefault="00DC58FC" w:rsidP="00D61E94">
      <w:pPr>
        <w:overflowPunct w:val="0"/>
        <w:autoSpaceDE w:val="0"/>
        <w:autoSpaceDN w:val="0"/>
        <w:spacing w:after="0" w:line="240" w:lineRule="auto"/>
        <w:jc w:val="both"/>
        <w:rPr>
          <w:rFonts w:ascii="Times New Roman" w:hAnsi="Times New Roman"/>
          <w:b/>
          <w:bCs/>
          <w:sz w:val="24"/>
          <w:szCs w:val="24"/>
          <w:lang w:eastAsia="zh-HK"/>
        </w:rPr>
      </w:pPr>
      <w:r w:rsidRPr="00566472">
        <w:rPr>
          <w:rFonts w:ascii="Times New Roman" w:hAnsi="Times New Roman"/>
          <w:b/>
          <w:bCs/>
          <w:sz w:val="24"/>
          <w:szCs w:val="24"/>
          <w:lang w:eastAsia="zh-HK"/>
        </w:rPr>
        <w:lastRenderedPageBreak/>
        <w:t>The Preliminary Issue for the Board</w:t>
      </w:r>
    </w:p>
    <w:p w14:paraId="5E52A2D6" w14:textId="77777777" w:rsidR="00D61E94" w:rsidRPr="00D61E94" w:rsidRDefault="00D61E9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2DB56E66" w14:textId="5BDF6D33" w:rsidR="00DC58FC" w:rsidRPr="00D61E94" w:rsidRDefault="00DC58FC"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rPr>
        <w:t xml:space="preserve">The preliminary issue for this appeal is, therefore, whether the Appellants’ late appeal could and should be entertained. This depends on whether the statutory period for lodging an appeal against the Determination should be extended. If the Board decides that the </w:t>
      </w:r>
      <w:r w:rsidR="00E50C55" w:rsidRPr="00D61E94">
        <w:rPr>
          <w:rFonts w:ascii="Times New Roman" w:hAnsi="Times New Roman"/>
          <w:sz w:val="24"/>
          <w:szCs w:val="24"/>
        </w:rPr>
        <w:t>statutory period for lodging an appeal against the Determination in favor of the Appellant, the Board will proceed with the appeal further. If at the end of the day the Board decides that no extension is granted for lodging an appeal in favor of the Appellant, it will be the end of the case.</w:t>
      </w:r>
    </w:p>
    <w:p w14:paraId="1ACFCADE" w14:textId="77777777" w:rsidR="00D61E94" w:rsidRDefault="00D61E9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3FCA5342" w14:textId="7A04E415" w:rsidR="008760FB" w:rsidRPr="00566472" w:rsidRDefault="008760FB" w:rsidP="00D61E94">
      <w:pPr>
        <w:overflowPunct w:val="0"/>
        <w:autoSpaceDE w:val="0"/>
        <w:autoSpaceDN w:val="0"/>
        <w:spacing w:after="0" w:line="240" w:lineRule="auto"/>
        <w:jc w:val="both"/>
        <w:rPr>
          <w:rFonts w:ascii="Times New Roman" w:hAnsi="Times New Roman"/>
          <w:b/>
          <w:bCs/>
          <w:sz w:val="24"/>
          <w:szCs w:val="24"/>
          <w:lang w:eastAsia="zh-HK"/>
        </w:rPr>
      </w:pPr>
      <w:r w:rsidRPr="00566472">
        <w:rPr>
          <w:rFonts w:ascii="Times New Roman" w:hAnsi="Times New Roman"/>
          <w:b/>
          <w:bCs/>
          <w:sz w:val="24"/>
          <w:szCs w:val="24"/>
          <w:lang w:eastAsia="zh-HK"/>
        </w:rPr>
        <w:t xml:space="preserve">The </w:t>
      </w:r>
      <w:r w:rsidR="005E536F">
        <w:rPr>
          <w:rFonts w:ascii="Times New Roman" w:hAnsi="Times New Roman"/>
          <w:b/>
          <w:bCs/>
          <w:sz w:val="24"/>
          <w:szCs w:val="24"/>
          <w:lang w:eastAsia="zh-HK"/>
        </w:rPr>
        <w:t>H</w:t>
      </w:r>
      <w:r w:rsidRPr="00566472">
        <w:rPr>
          <w:rFonts w:ascii="Times New Roman" w:hAnsi="Times New Roman"/>
          <w:b/>
          <w:bCs/>
          <w:sz w:val="24"/>
          <w:szCs w:val="24"/>
          <w:lang w:eastAsia="zh-HK"/>
        </w:rPr>
        <w:t>earing</w:t>
      </w:r>
    </w:p>
    <w:p w14:paraId="7457B0A3" w14:textId="77777777" w:rsidR="00D61E94" w:rsidRPr="00D61E94" w:rsidRDefault="00D61E94" w:rsidP="00D61E94">
      <w:pPr>
        <w:overflowPunct w:val="0"/>
        <w:autoSpaceDE w:val="0"/>
        <w:autoSpaceDN w:val="0"/>
        <w:spacing w:after="0" w:line="240" w:lineRule="auto"/>
        <w:jc w:val="both"/>
        <w:rPr>
          <w:rFonts w:ascii="Times New Roman" w:hAnsi="Times New Roman"/>
          <w:sz w:val="24"/>
          <w:szCs w:val="24"/>
          <w:lang w:eastAsia="zh-HK"/>
        </w:rPr>
      </w:pPr>
    </w:p>
    <w:p w14:paraId="238253FA" w14:textId="2B3F1D23" w:rsidR="00E50C55" w:rsidRPr="00D61E94" w:rsidRDefault="00E50C55"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At the hearing, the Appellant confirmed that he had no witness to call. The Appellant also confirmed that he would not give evidence under oath. He had no further documents or other evidence to submit but relied on the documents in the hearing bundles. </w:t>
      </w:r>
    </w:p>
    <w:p w14:paraId="7CFB3FD5" w14:textId="77777777" w:rsidR="00D61E94" w:rsidRDefault="00D61E9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2F4D9EDC" w14:textId="4DCCBDDF" w:rsidR="00E50C55" w:rsidRPr="00566472" w:rsidRDefault="00E50C55" w:rsidP="00D61E94">
      <w:pPr>
        <w:overflowPunct w:val="0"/>
        <w:autoSpaceDE w:val="0"/>
        <w:autoSpaceDN w:val="0"/>
        <w:spacing w:after="0" w:line="240" w:lineRule="auto"/>
        <w:jc w:val="both"/>
        <w:rPr>
          <w:rFonts w:ascii="Times New Roman" w:hAnsi="Times New Roman"/>
          <w:b/>
          <w:bCs/>
          <w:sz w:val="24"/>
          <w:szCs w:val="24"/>
          <w:lang w:eastAsia="zh-HK"/>
        </w:rPr>
      </w:pPr>
      <w:r w:rsidRPr="00566472">
        <w:rPr>
          <w:rFonts w:ascii="Times New Roman" w:hAnsi="Times New Roman"/>
          <w:b/>
          <w:bCs/>
          <w:sz w:val="24"/>
          <w:szCs w:val="24"/>
          <w:lang w:eastAsia="zh-HK"/>
        </w:rPr>
        <w:t>Facts of the Case</w:t>
      </w:r>
    </w:p>
    <w:p w14:paraId="429CF8A4" w14:textId="77777777" w:rsidR="00D61E94" w:rsidRPr="00D61E94" w:rsidRDefault="00D61E9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543D038B" w14:textId="7E0D6403" w:rsidR="00E50C55" w:rsidRDefault="00E50C55"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On the documents in the hearing bundles, we find the following facts relevant to the preliminary issue of the case:</w:t>
      </w:r>
    </w:p>
    <w:p w14:paraId="62C2D1B5"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1BB5C846" w14:textId="06D855BB" w:rsidR="00D427A0" w:rsidRDefault="00E50C55" w:rsidP="00D61E94">
      <w:pPr>
        <w:pStyle w:val="a3"/>
        <w:numPr>
          <w:ilvl w:val="0"/>
          <w:numId w:val="29"/>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The Determination was sent under cover of a letter dated 30 October 2017 from the Deputy Commissioner to the Appellant by registered post. </w:t>
      </w:r>
      <w:r w:rsidR="00937168" w:rsidRPr="00D61E94">
        <w:rPr>
          <w:rFonts w:ascii="Times New Roman" w:hAnsi="Times New Roman"/>
          <w:sz w:val="24"/>
          <w:szCs w:val="24"/>
          <w:lang w:eastAsia="zh-HK"/>
        </w:rPr>
        <w:t xml:space="preserve">According to Hongkong Post, the Determination was delivered to the Appellant on 11 November 2017. </w:t>
      </w:r>
      <w:r w:rsidRPr="00D61E94">
        <w:rPr>
          <w:rFonts w:ascii="Times New Roman" w:hAnsi="Times New Roman"/>
          <w:sz w:val="24"/>
          <w:szCs w:val="24"/>
          <w:lang w:eastAsia="zh-HK"/>
        </w:rPr>
        <w:t xml:space="preserve">In the said letter the Appellant was advised of his right to appeal against the Determination under section 66 of the Ordinance. </w:t>
      </w:r>
    </w:p>
    <w:p w14:paraId="63740968" w14:textId="77777777" w:rsidR="00D61E94" w:rsidRPr="00D61E94" w:rsidRDefault="00D61E94" w:rsidP="00D61E94">
      <w:pPr>
        <w:pStyle w:val="a3"/>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
    <w:p w14:paraId="5B46D2D7" w14:textId="624724A7" w:rsidR="00E50C55" w:rsidRDefault="00E50C55" w:rsidP="00D61E94">
      <w:pPr>
        <w:pStyle w:val="a3"/>
        <w:numPr>
          <w:ilvl w:val="0"/>
          <w:numId w:val="29"/>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D61E94">
        <w:rPr>
          <w:rFonts w:ascii="Times New Roman" w:hAnsi="Times New Roman"/>
          <w:sz w:val="24"/>
          <w:szCs w:val="24"/>
          <w:lang w:eastAsia="zh-HK"/>
        </w:rPr>
        <w:t>The</w:t>
      </w:r>
      <w:r w:rsidR="00D427A0" w:rsidRPr="00D61E94">
        <w:rPr>
          <w:rFonts w:ascii="Times New Roman" w:hAnsi="Times New Roman"/>
          <w:sz w:val="24"/>
          <w:szCs w:val="24"/>
          <w:lang w:eastAsia="zh-HK"/>
        </w:rPr>
        <w:t xml:space="preserve"> said</w:t>
      </w:r>
      <w:r w:rsidRPr="00D61E94">
        <w:rPr>
          <w:rFonts w:ascii="Times New Roman" w:hAnsi="Times New Roman"/>
          <w:sz w:val="24"/>
          <w:szCs w:val="24"/>
          <w:lang w:eastAsia="zh-HK"/>
        </w:rPr>
        <w:t xml:space="preserve"> letter</w:t>
      </w:r>
      <w:r w:rsidR="00D427A0" w:rsidRPr="00D61E94">
        <w:rPr>
          <w:rFonts w:ascii="Times New Roman" w:hAnsi="Times New Roman"/>
          <w:sz w:val="24"/>
          <w:szCs w:val="24"/>
          <w:lang w:eastAsia="zh-HK"/>
        </w:rPr>
        <w:t xml:space="preserve"> set out in details the procedure and time limit of lodging an appeal to the Board. A full text of section 66 of the Ordinance was annexed with the letter.</w:t>
      </w:r>
    </w:p>
    <w:p w14:paraId="43D42667" w14:textId="77777777" w:rsidR="00D61E94" w:rsidRPr="00D61E94" w:rsidRDefault="00D61E94" w:rsidP="00D61E94">
      <w:pPr>
        <w:pStyle w:val="a3"/>
        <w:overflowPunct w:val="0"/>
        <w:autoSpaceDE w:val="0"/>
        <w:autoSpaceDN w:val="0"/>
        <w:spacing w:after="0" w:line="240" w:lineRule="auto"/>
        <w:contextualSpacing w:val="0"/>
        <w:jc w:val="both"/>
        <w:rPr>
          <w:rFonts w:ascii="Times New Roman" w:hAnsi="Times New Roman"/>
          <w:sz w:val="24"/>
          <w:szCs w:val="24"/>
          <w:lang w:eastAsia="zh-HK"/>
        </w:rPr>
      </w:pPr>
    </w:p>
    <w:p w14:paraId="581DE339" w14:textId="39DB9D92" w:rsidR="00E50C55" w:rsidRDefault="00D427A0"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By a notice dated 7 May 2021 sent by way of an e-mail on 7 May 2021, the Appellant sent its notice of appeal to the Board</w:t>
      </w:r>
      <w:r w:rsidR="00D61E94">
        <w:rPr>
          <w:rFonts w:ascii="Times New Roman" w:hAnsi="Times New Roman"/>
          <w:sz w:val="24"/>
          <w:szCs w:val="24"/>
          <w:lang w:eastAsia="zh-HK"/>
        </w:rPr>
        <w:t>.</w:t>
      </w:r>
    </w:p>
    <w:p w14:paraId="5655C0A0"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AF9E999" w14:textId="6F2F954C" w:rsidR="00D427A0" w:rsidRDefault="00D427A0"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By an e-mail sent to the Board on 10 May 2021, the Appellant explained </w:t>
      </w:r>
      <w:r w:rsidR="00937168" w:rsidRPr="00D61E94">
        <w:rPr>
          <w:rFonts w:ascii="Times New Roman" w:hAnsi="Times New Roman"/>
          <w:sz w:val="24"/>
          <w:szCs w:val="24"/>
          <w:lang w:eastAsia="zh-HK"/>
        </w:rPr>
        <w:t xml:space="preserve">that </w:t>
      </w:r>
      <w:r w:rsidRPr="00D61E94">
        <w:rPr>
          <w:rFonts w:ascii="Times New Roman" w:hAnsi="Times New Roman"/>
          <w:sz w:val="24"/>
          <w:szCs w:val="24"/>
          <w:lang w:eastAsia="zh-HK"/>
        </w:rPr>
        <w:t>the delay in lodging the appeal was due to the following reasons</w:t>
      </w:r>
      <w:r w:rsidR="00937168" w:rsidRPr="00D61E94">
        <w:rPr>
          <w:rFonts w:ascii="Times New Roman" w:hAnsi="Times New Roman"/>
          <w:sz w:val="24"/>
          <w:szCs w:val="24"/>
          <w:lang w:eastAsia="zh-HK"/>
        </w:rPr>
        <w:t>:</w:t>
      </w:r>
    </w:p>
    <w:p w14:paraId="361BA44E" w14:textId="77777777" w:rsidR="00D61E94" w:rsidRPr="00D61E94" w:rsidRDefault="00D61E94" w:rsidP="00D61E94">
      <w:pPr>
        <w:pStyle w:val="a3"/>
        <w:overflowPunct w:val="0"/>
        <w:autoSpaceDE w:val="0"/>
        <w:autoSpaceDN w:val="0"/>
        <w:spacing w:after="0" w:line="240" w:lineRule="auto"/>
        <w:ind w:left="360"/>
        <w:contextualSpacing w:val="0"/>
        <w:jc w:val="both"/>
        <w:rPr>
          <w:rFonts w:ascii="Times New Roman" w:hAnsi="Times New Roman"/>
          <w:sz w:val="24"/>
          <w:szCs w:val="24"/>
          <w:lang w:eastAsia="zh-HK"/>
        </w:rPr>
      </w:pPr>
    </w:p>
    <w:p w14:paraId="64989999" w14:textId="3F13AE9C" w:rsidR="00937168" w:rsidRDefault="00937168" w:rsidP="00D61E94">
      <w:pPr>
        <w:pStyle w:val="a3"/>
        <w:numPr>
          <w:ilvl w:val="0"/>
          <w:numId w:val="3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Suffering from bilateral knee pain due to severe degenerative osteoarthritis of both knees and surgery of both knees done before 2017, now regular follow up at </w:t>
      </w:r>
      <w:r w:rsidR="002B0D77">
        <w:rPr>
          <w:rFonts w:ascii="Times New Roman" w:hAnsi="Times New Roman"/>
          <w:sz w:val="24"/>
          <w:szCs w:val="24"/>
          <w:lang w:eastAsia="zh-HK"/>
        </w:rPr>
        <w:t>Hospital A</w:t>
      </w:r>
      <w:r w:rsidRPr="00D61E94">
        <w:rPr>
          <w:rFonts w:ascii="Times New Roman" w:hAnsi="Times New Roman"/>
          <w:sz w:val="24"/>
          <w:szCs w:val="24"/>
          <w:lang w:eastAsia="zh-HK"/>
        </w:rPr>
        <w:t xml:space="preserve"> Ortho</w:t>
      </w:r>
      <w:r w:rsidR="00EE5459">
        <w:rPr>
          <w:rFonts w:ascii="Times New Roman" w:hAnsi="Times New Roman"/>
          <w:sz w:val="24"/>
          <w:szCs w:val="24"/>
          <w:lang w:eastAsia="zh-HK"/>
        </w:rPr>
        <w:t>paedics Department</w:t>
      </w:r>
      <w:r w:rsidR="002B0D77">
        <w:rPr>
          <w:rFonts w:ascii="Times New Roman" w:hAnsi="Times New Roman"/>
          <w:sz w:val="24"/>
          <w:szCs w:val="24"/>
          <w:lang w:eastAsia="zh-HK"/>
        </w:rPr>
        <w:t>.</w:t>
      </w:r>
    </w:p>
    <w:p w14:paraId="385F4C94" w14:textId="77777777" w:rsidR="00D61E94" w:rsidRPr="00D61E94" w:rsidRDefault="00D61E94" w:rsidP="00D61E9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6D625DA" w14:textId="1D9BD960" w:rsidR="00937168" w:rsidRDefault="00937168" w:rsidP="00D61E94">
      <w:pPr>
        <w:pStyle w:val="a3"/>
        <w:numPr>
          <w:ilvl w:val="0"/>
          <w:numId w:val="3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Suffering from medical problems of hypertension, high blood sugar, hyperlipidemia and early atherosclerotic coronary, and regular follow up at </w:t>
      </w:r>
      <w:r w:rsidR="002B0D77">
        <w:rPr>
          <w:rFonts w:ascii="Times New Roman" w:hAnsi="Times New Roman"/>
          <w:sz w:val="24"/>
          <w:szCs w:val="24"/>
          <w:lang w:eastAsia="zh-HK"/>
        </w:rPr>
        <w:t>Hospital B</w:t>
      </w:r>
      <w:r w:rsidRPr="00D61E94">
        <w:rPr>
          <w:rFonts w:ascii="Times New Roman" w:hAnsi="Times New Roman"/>
          <w:sz w:val="24"/>
          <w:szCs w:val="24"/>
          <w:lang w:eastAsia="zh-HK"/>
        </w:rPr>
        <w:t xml:space="preserve"> Medical </w:t>
      </w:r>
      <w:r w:rsidR="00EE5459">
        <w:rPr>
          <w:rFonts w:ascii="Times New Roman" w:hAnsi="Times New Roman"/>
          <w:sz w:val="24"/>
          <w:szCs w:val="24"/>
          <w:lang w:eastAsia="zh-HK"/>
        </w:rPr>
        <w:t>Department</w:t>
      </w:r>
      <w:r w:rsidR="002B0D77">
        <w:rPr>
          <w:rFonts w:ascii="Times New Roman" w:hAnsi="Times New Roman"/>
          <w:sz w:val="24"/>
          <w:szCs w:val="24"/>
          <w:lang w:eastAsia="zh-HK"/>
        </w:rPr>
        <w:t>.</w:t>
      </w:r>
    </w:p>
    <w:p w14:paraId="55A44D97" w14:textId="77777777" w:rsidR="00D61E94" w:rsidRPr="00D61E94" w:rsidRDefault="00D61E94" w:rsidP="00D61E9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61178342" w14:textId="58BBE3A2" w:rsidR="00937168" w:rsidRDefault="00937168" w:rsidP="00D61E94">
      <w:pPr>
        <w:pStyle w:val="a3"/>
        <w:numPr>
          <w:ilvl w:val="0"/>
          <w:numId w:val="3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D61E94">
        <w:rPr>
          <w:rFonts w:ascii="Times New Roman" w:hAnsi="Times New Roman"/>
          <w:sz w:val="24"/>
          <w:szCs w:val="24"/>
          <w:lang w:eastAsia="zh-HK"/>
        </w:rPr>
        <w:lastRenderedPageBreak/>
        <w:t xml:space="preserve">Suffering from sudden onset of Right cubital tunnel syndrome, surgery done by </w:t>
      </w:r>
      <w:r w:rsidR="002B0D77">
        <w:rPr>
          <w:rFonts w:ascii="Times New Roman" w:hAnsi="Times New Roman"/>
          <w:sz w:val="24"/>
          <w:szCs w:val="24"/>
          <w:lang w:eastAsia="zh-HK"/>
        </w:rPr>
        <w:t>Hospital B</w:t>
      </w:r>
      <w:r w:rsidRPr="00D61E94">
        <w:rPr>
          <w:rFonts w:ascii="Times New Roman" w:hAnsi="Times New Roman"/>
          <w:sz w:val="24"/>
          <w:szCs w:val="24"/>
          <w:lang w:eastAsia="zh-HK"/>
        </w:rPr>
        <w:t xml:space="preserve"> </w:t>
      </w:r>
      <w:r w:rsidR="00EE5459" w:rsidRPr="00D61E94">
        <w:rPr>
          <w:rFonts w:ascii="Times New Roman" w:hAnsi="Times New Roman"/>
          <w:sz w:val="24"/>
          <w:szCs w:val="24"/>
          <w:lang w:eastAsia="zh-HK"/>
        </w:rPr>
        <w:t>Ortho</w:t>
      </w:r>
      <w:r w:rsidR="00EE5459">
        <w:rPr>
          <w:rFonts w:ascii="Times New Roman" w:hAnsi="Times New Roman"/>
          <w:sz w:val="24"/>
          <w:szCs w:val="24"/>
          <w:lang w:eastAsia="zh-HK"/>
        </w:rPr>
        <w:t>paedics Department</w:t>
      </w:r>
      <w:r w:rsidRPr="00D61E94">
        <w:rPr>
          <w:rFonts w:ascii="Times New Roman" w:hAnsi="Times New Roman"/>
          <w:sz w:val="24"/>
          <w:szCs w:val="24"/>
          <w:lang w:eastAsia="zh-HK"/>
        </w:rPr>
        <w:t xml:space="preserve"> on </w:t>
      </w:r>
      <w:r w:rsidR="00BA3764">
        <w:rPr>
          <w:rFonts w:ascii="Times New Roman" w:hAnsi="Times New Roman"/>
          <w:sz w:val="24"/>
          <w:szCs w:val="24"/>
          <w:lang w:eastAsia="zh-HK"/>
        </w:rPr>
        <w:t xml:space="preserve">8 December </w:t>
      </w:r>
      <w:r w:rsidR="00BA3764">
        <w:rPr>
          <w:rFonts w:ascii="Times New Roman" w:hAnsi="Times New Roman"/>
          <w:color w:val="000099"/>
          <w:sz w:val="24"/>
          <w:szCs w:val="24"/>
          <w:lang w:eastAsia="zh-HK"/>
        </w:rPr>
        <w:t>2017</w:t>
      </w:r>
      <w:r w:rsidRPr="00D61E94">
        <w:rPr>
          <w:rFonts w:ascii="Times New Roman" w:hAnsi="Times New Roman"/>
          <w:sz w:val="24"/>
          <w:szCs w:val="24"/>
          <w:lang w:eastAsia="zh-HK"/>
        </w:rPr>
        <w:t xml:space="preserve">. Please refer to the attached medication record. </w:t>
      </w:r>
    </w:p>
    <w:p w14:paraId="27D80B2D" w14:textId="77777777" w:rsidR="00D61E94" w:rsidRPr="00D61E94" w:rsidRDefault="00D61E94" w:rsidP="00D61E94">
      <w:pPr>
        <w:pStyle w:val="a3"/>
        <w:overflowPunct w:val="0"/>
        <w:autoSpaceDE w:val="0"/>
        <w:autoSpaceDN w:val="0"/>
        <w:spacing w:after="0" w:line="240" w:lineRule="auto"/>
        <w:ind w:left="1080"/>
        <w:contextualSpacing w:val="0"/>
        <w:jc w:val="both"/>
        <w:rPr>
          <w:rFonts w:ascii="Times New Roman" w:hAnsi="Times New Roman"/>
          <w:sz w:val="24"/>
          <w:szCs w:val="24"/>
          <w:lang w:eastAsia="zh-HK"/>
        </w:rPr>
      </w:pPr>
    </w:p>
    <w:p w14:paraId="7F098A3D" w14:textId="431222E2" w:rsidR="00AA600B" w:rsidRDefault="00AA600B"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The movement record of the Appellant issued by the Immigration Department </w:t>
      </w:r>
      <w:r w:rsidR="009F6E61" w:rsidRPr="00D61E94">
        <w:rPr>
          <w:rFonts w:ascii="Times New Roman" w:hAnsi="Times New Roman"/>
          <w:sz w:val="24"/>
          <w:szCs w:val="24"/>
          <w:lang w:eastAsia="zh-HK"/>
        </w:rPr>
        <w:t>(</w:t>
      </w:r>
      <w:r w:rsidR="00D61E94">
        <w:rPr>
          <w:rFonts w:ascii="Times New Roman" w:hAnsi="Times New Roman"/>
          <w:sz w:val="24"/>
          <w:szCs w:val="24"/>
          <w:lang w:eastAsia="zh-HK"/>
        </w:rPr>
        <w:t>‘</w:t>
      </w:r>
      <w:r w:rsidR="009F6E61" w:rsidRPr="00D61E94">
        <w:rPr>
          <w:rFonts w:ascii="Times New Roman" w:hAnsi="Times New Roman"/>
          <w:sz w:val="24"/>
          <w:szCs w:val="24"/>
          <w:lang w:eastAsia="zh-HK"/>
        </w:rPr>
        <w:t>Movement Record</w:t>
      </w:r>
      <w:r w:rsidR="00D61E94">
        <w:rPr>
          <w:rFonts w:ascii="Times New Roman" w:hAnsi="Times New Roman"/>
          <w:sz w:val="24"/>
          <w:szCs w:val="24"/>
          <w:lang w:eastAsia="zh-HK"/>
        </w:rPr>
        <w:t>’</w:t>
      </w:r>
      <w:r w:rsidR="009F6E61" w:rsidRPr="00D61E94">
        <w:rPr>
          <w:rFonts w:ascii="Times New Roman" w:hAnsi="Times New Roman"/>
          <w:sz w:val="24"/>
          <w:szCs w:val="24"/>
          <w:lang w:eastAsia="zh-HK"/>
        </w:rPr>
        <w:t xml:space="preserve">) </w:t>
      </w:r>
      <w:r w:rsidRPr="00D61E94">
        <w:rPr>
          <w:rFonts w:ascii="Times New Roman" w:hAnsi="Times New Roman"/>
          <w:sz w:val="24"/>
          <w:szCs w:val="24"/>
          <w:lang w:eastAsia="zh-HK"/>
        </w:rPr>
        <w:t>showed that the Appellant was in Hong Kong</w:t>
      </w:r>
      <w:r w:rsidR="00280E27" w:rsidRPr="00D61E94">
        <w:rPr>
          <w:rFonts w:ascii="Times New Roman" w:hAnsi="Times New Roman"/>
          <w:sz w:val="24"/>
          <w:szCs w:val="24"/>
          <w:lang w:eastAsia="zh-HK"/>
        </w:rPr>
        <w:t>,</w:t>
      </w:r>
      <w:r w:rsidRPr="00D61E94">
        <w:rPr>
          <w:rFonts w:ascii="Times New Roman" w:hAnsi="Times New Roman"/>
          <w:sz w:val="24"/>
          <w:szCs w:val="24"/>
          <w:lang w:eastAsia="zh-HK"/>
        </w:rPr>
        <w:t xml:space="preserve"> </w:t>
      </w:r>
      <w:r w:rsidR="00280E27" w:rsidRPr="002B0D77">
        <w:rPr>
          <w:rFonts w:ascii="Times New Roman" w:hAnsi="Times New Roman"/>
          <w:i/>
          <w:sz w:val="24"/>
          <w:szCs w:val="24"/>
          <w:lang w:eastAsia="zh-HK"/>
        </w:rPr>
        <w:t>inter alia</w:t>
      </w:r>
      <w:r w:rsidR="00280E27" w:rsidRPr="00D61E94">
        <w:rPr>
          <w:rFonts w:ascii="Times New Roman" w:hAnsi="Times New Roman"/>
          <w:sz w:val="24"/>
          <w:szCs w:val="24"/>
          <w:lang w:eastAsia="zh-HK"/>
        </w:rPr>
        <w:t xml:space="preserve">, </w:t>
      </w:r>
      <w:r w:rsidRPr="00D61E94">
        <w:rPr>
          <w:rFonts w:ascii="Times New Roman" w:hAnsi="Times New Roman"/>
          <w:sz w:val="24"/>
          <w:szCs w:val="24"/>
          <w:lang w:eastAsia="zh-HK"/>
        </w:rPr>
        <w:t xml:space="preserve">for the period from 30 October 2017 to 5 March 2018. The Appellant left Hong Kong on 5 March 2018 and returned to Hong Kong on 8 March 2018. </w:t>
      </w:r>
    </w:p>
    <w:p w14:paraId="22D88B52"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117CB10B" w14:textId="0BF32ADD" w:rsidR="00A444F6" w:rsidRDefault="00A444F6"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The </w:t>
      </w:r>
      <w:r w:rsidR="002B0D77">
        <w:rPr>
          <w:rFonts w:ascii="Times New Roman" w:hAnsi="Times New Roman"/>
          <w:sz w:val="24"/>
          <w:szCs w:val="24"/>
          <w:lang w:eastAsia="zh-HK"/>
        </w:rPr>
        <w:t>Hospital B</w:t>
      </w:r>
      <w:r w:rsidRPr="00D61E94">
        <w:rPr>
          <w:rFonts w:ascii="Times New Roman" w:hAnsi="Times New Roman"/>
          <w:sz w:val="24"/>
          <w:szCs w:val="24"/>
          <w:lang w:eastAsia="zh-HK"/>
        </w:rPr>
        <w:t xml:space="preserve">’s Operation Record shows that the Appellant had an operation on 8 December 2017 commencing at 8:59 hour and ending at 10:10 hour. The duration of the operation was 1 hour 11 minutes. </w:t>
      </w:r>
    </w:p>
    <w:p w14:paraId="7E6D52B8"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949DABC" w14:textId="0E516E77" w:rsidR="00937168" w:rsidRDefault="00937168"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By its letter dated 28 May 2021 to the Board, the Respondent indicated that it intended to contest the validity of the appeal.</w:t>
      </w:r>
    </w:p>
    <w:p w14:paraId="65077CD5" w14:textId="77777777" w:rsidR="00D61E94" w:rsidRPr="00D61E94" w:rsidRDefault="00D61E94" w:rsidP="00D61E9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F210AD0" w14:textId="28394363" w:rsidR="00937168" w:rsidRPr="00D61E94" w:rsidRDefault="00AA600B"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As shown in </w:t>
      </w:r>
      <w:r w:rsidR="00937168" w:rsidRPr="00D61E94">
        <w:rPr>
          <w:rFonts w:ascii="Times New Roman" w:hAnsi="Times New Roman"/>
          <w:sz w:val="24"/>
          <w:szCs w:val="24"/>
          <w:lang w:eastAsia="zh-HK"/>
        </w:rPr>
        <w:t>the Appellant’s Tax Return – Individual filed for the years of assessment of 2017/18, 2018/19, 2019/20 and 2020/21</w:t>
      </w:r>
      <w:r w:rsidRPr="00D61E94">
        <w:rPr>
          <w:rFonts w:ascii="Times New Roman" w:hAnsi="Times New Roman"/>
          <w:sz w:val="24"/>
          <w:szCs w:val="24"/>
          <w:lang w:eastAsia="zh-HK"/>
        </w:rPr>
        <w:t xml:space="preserve"> with the Respondent, the Appellant was in full time employment for the aforesaid financial years. </w:t>
      </w:r>
    </w:p>
    <w:p w14:paraId="7BDC02B8" w14:textId="77777777" w:rsidR="00D61E94" w:rsidRDefault="00D61E9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37DAF186" w14:textId="4261445B" w:rsidR="00A444F6" w:rsidRPr="002B0D77" w:rsidRDefault="00A444F6" w:rsidP="00D61E94">
      <w:pPr>
        <w:overflowPunct w:val="0"/>
        <w:autoSpaceDE w:val="0"/>
        <w:autoSpaceDN w:val="0"/>
        <w:spacing w:after="0" w:line="240" w:lineRule="auto"/>
        <w:jc w:val="both"/>
        <w:rPr>
          <w:rFonts w:ascii="Times New Roman" w:hAnsi="Times New Roman"/>
          <w:b/>
          <w:bCs/>
          <w:sz w:val="24"/>
          <w:szCs w:val="24"/>
          <w:lang w:eastAsia="zh-HK"/>
        </w:rPr>
      </w:pPr>
      <w:r w:rsidRPr="002B0D77">
        <w:rPr>
          <w:rFonts w:ascii="Times New Roman" w:hAnsi="Times New Roman"/>
          <w:b/>
          <w:bCs/>
          <w:sz w:val="24"/>
          <w:szCs w:val="24"/>
          <w:lang w:eastAsia="zh-HK"/>
        </w:rPr>
        <w:t>Appellant’s Submission</w:t>
      </w:r>
    </w:p>
    <w:p w14:paraId="2888261C" w14:textId="77777777" w:rsidR="00D61E94" w:rsidRPr="00D61E94" w:rsidRDefault="00D61E9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7E1B3FDA" w14:textId="4DFE0611" w:rsidR="00C97A2C" w:rsidRDefault="00A444F6"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The Appellant did not dispute the contents of </w:t>
      </w:r>
      <w:r w:rsidR="009F6E61" w:rsidRPr="00D61E94">
        <w:rPr>
          <w:rFonts w:ascii="Times New Roman" w:hAnsi="Times New Roman"/>
          <w:sz w:val="24"/>
          <w:szCs w:val="24"/>
          <w:lang w:eastAsia="zh-HK"/>
        </w:rPr>
        <w:t>the Movement</w:t>
      </w:r>
      <w:r w:rsidRPr="00D61E94">
        <w:rPr>
          <w:rFonts w:ascii="Times New Roman" w:hAnsi="Times New Roman"/>
          <w:sz w:val="24"/>
          <w:szCs w:val="24"/>
          <w:lang w:eastAsia="zh-HK"/>
        </w:rPr>
        <w:t xml:space="preserve"> Record and the fact that he was in Hong Kong for the period from 30 October 2017 to 11 December 2017. The Appellant submitted that he did not file the notice of appeal within the statutory period because of his sickness. He relied on the operation he had on 8 December 2017 at </w:t>
      </w:r>
      <w:r w:rsidR="002B0D77">
        <w:rPr>
          <w:rFonts w:ascii="Times New Roman" w:hAnsi="Times New Roman"/>
          <w:sz w:val="24"/>
          <w:szCs w:val="24"/>
          <w:lang w:eastAsia="zh-HK"/>
        </w:rPr>
        <w:t>Hospital B</w:t>
      </w:r>
      <w:r w:rsidR="00C97A2C" w:rsidRPr="00D61E94">
        <w:rPr>
          <w:rFonts w:ascii="Times New Roman" w:hAnsi="Times New Roman"/>
          <w:sz w:val="24"/>
          <w:szCs w:val="24"/>
          <w:lang w:eastAsia="zh-HK"/>
        </w:rPr>
        <w:t xml:space="preserve"> to support his application for an extension of time to file the notice of appeal. </w:t>
      </w:r>
    </w:p>
    <w:p w14:paraId="7D51FF9C"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B342D29" w14:textId="01E5F870" w:rsidR="00A444F6" w:rsidRDefault="00C97A2C"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Further he relied on the favorable judgment rendered by the Court of First Instance on the case </w:t>
      </w:r>
      <w:r w:rsidR="009B5334" w:rsidRPr="00D61E94">
        <w:rPr>
          <w:rFonts w:ascii="Times New Roman" w:hAnsi="Times New Roman"/>
          <w:sz w:val="24"/>
          <w:szCs w:val="24"/>
          <w:lang w:eastAsia="zh-HK"/>
        </w:rPr>
        <w:t>of</w:t>
      </w:r>
      <w:r w:rsidRPr="00D61E94">
        <w:rPr>
          <w:rFonts w:ascii="Times New Roman" w:hAnsi="Times New Roman"/>
          <w:sz w:val="24"/>
          <w:szCs w:val="24"/>
          <w:lang w:eastAsia="zh-HK"/>
        </w:rPr>
        <w:t xml:space="preserve"> </w:t>
      </w:r>
      <w:r w:rsidRPr="002B0D77">
        <w:rPr>
          <w:rFonts w:ascii="Times New Roman" w:hAnsi="Times New Roman"/>
          <w:iCs/>
          <w:sz w:val="24"/>
          <w:szCs w:val="24"/>
          <w:u w:val="single"/>
          <w:lang w:eastAsia="zh-HK"/>
        </w:rPr>
        <w:t>Honorable Leung Ka-lau v The Commissioner of Inland Revenue</w:t>
      </w:r>
      <w:r w:rsidRPr="00D61E94">
        <w:rPr>
          <w:rFonts w:ascii="Times New Roman" w:hAnsi="Times New Roman"/>
          <w:sz w:val="24"/>
          <w:szCs w:val="24"/>
          <w:lang w:eastAsia="zh-HK"/>
        </w:rPr>
        <w:t xml:space="preserve"> handed down on 27 April 2021. The Appellant claimed that his case was the same as </w:t>
      </w:r>
      <w:r w:rsidRPr="00690954">
        <w:rPr>
          <w:rFonts w:ascii="Times New Roman" w:hAnsi="Times New Roman"/>
          <w:iCs/>
          <w:sz w:val="24"/>
          <w:szCs w:val="24"/>
          <w:u w:val="single"/>
          <w:lang w:eastAsia="zh-HK"/>
        </w:rPr>
        <w:t>Leung Ka-lau</w:t>
      </w:r>
      <w:r w:rsidRPr="002B0D77">
        <w:rPr>
          <w:rFonts w:ascii="Times New Roman" w:hAnsi="Times New Roman"/>
          <w:iCs/>
          <w:sz w:val="24"/>
          <w:szCs w:val="24"/>
          <w:lang w:eastAsia="zh-HK"/>
        </w:rPr>
        <w:t>’s</w:t>
      </w:r>
      <w:r w:rsidRPr="00D61E94">
        <w:rPr>
          <w:rFonts w:ascii="Times New Roman" w:hAnsi="Times New Roman"/>
          <w:sz w:val="24"/>
          <w:szCs w:val="24"/>
          <w:lang w:eastAsia="zh-HK"/>
        </w:rPr>
        <w:t xml:space="preserve"> case.</w:t>
      </w:r>
    </w:p>
    <w:p w14:paraId="6E788B78"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234357C" w14:textId="34D1498C" w:rsidR="009E737C" w:rsidRPr="00D61E94" w:rsidRDefault="009E737C"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The Appellant did not submit any authorit</w:t>
      </w:r>
      <w:r w:rsidR="00280E27" w:rsidRPr="00D61E94">
        <w:rPr>
          <w:rFonts w:ascii="Times New Roman" w:hAnsi="Times New Roman"/>
          <w:sz w:val="24"/>
          <w:szCs w:val="24"/>
          <w:lang w:eastAsia="zh-HK"/>
        </w:rPr>
        <w:t>y</w:t>
      </w:r>
      <w:r w:rsidRPr="00D61E94">
        <w:rPr>
          <w:rFonts w:ascii="Times New Roman" w:hAnsi="Times New Roman"/>
          <w:sz w:val="24"/>
          <w:szCs w:val="24"/>
          <w:lang w:eastAsia="zh-HK"/>
        </w:rPr>
        <w:t xml:space="preserve"> to support his application.</w:t>
      </w:r>
    </w:p>
    <w:p w14:paraId="2CD364B6" w14:textId="77777777" w:rsidR="00690954" w:rsidRDefault="0069095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310371BA" w14:textId="44CB61F9" w:rsidR="00C97A2C" w:rsidRPr="002B0D77" w:rsidRDefault="00C97A2C" w:rsidP="00D61E94">
      <w:pPr>
        <w:overflowPunct w:val="0"/>
        <w:autoSpaceDE w:val="0"/>
        <w:autoSpaceDN w:val="0"/>
        <w:spacing w:after="0" w:line="240" w:lineRule="auto"/>
        <w:jc w:val="both"/>
        <w:rPr>
          <w:rFonts w:ascii="Times New Roman" w:hAnsi="Times New Roman"/>
          <w:b/>
          <w:bCs/>
          <w:sz w:val="24"/>
          <w:szCs w:val="24"/>
          <w:lang w:eastAsia="zh-HK"/>
        </w:rPr>
      </w:pPr>
      <w:r w:rsidRPr="002B0D77">
        <w:rPr>
          <w:rFonts w:ascii="Times New Roman" w:hAnsi="Times New Roman"/>
          <w:b/>
          <w:bCs/>
          <w:sz w:val="24"/>
          <w:szCs w:val="24"/>
          <w:lang w:eastAsia="zh-HK"/>
        </w:rPr>
        <w:t>The Respondent’s Submission</w:t>
      </w:r>
    </w:p>
    <w:p w14:paraId="497A6EB7" w14:textId="77777777" w:rsidR="00690954" w:rsidRPr="00D61E94" w:rsidRDefault="0069095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143F1438" w14:textId="37D22531" w:rsidR="00C97A2C" w:rsidRDefault="00C97A2C"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On this preliminary issue, the Respondent submitted that the Appellant’s failure to file its appeal in time was not prevented by absence from Hong Kong, illness or other reasonable cause. It follows that no extension of time should be granted to the Appellant. </w:t>
      </w:r>
    </w:p>
    <w:p w14:paraId="13E9AC15"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0A77FA83" w14:textId="3103C920" w:rsidR="00690954" w:rsidRDefault="009E737C" w:rsidP="005E536F">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BA3764">
        <w:rPr>
          <w:rFonts w:ascii="Times New Roman" w:hAnsi="Times New Roman"/>
          <w:sz w:val="24"/>
          <w:szCs w:val="24"/>
          <w:lang w:eastAsia="zh-HK"/>
        </w:rPr>
        <w:t xml:space="preserve">The Respondent, submitted, referred to and relied upon the following court cases and </w:t>
      </w:r>
      <w:r w:rsidR="009F30E1" w:rsidRPr="00BA3764">
        <w:rPr>
          <w:rFonts w:ascii="Times New Roman" w:hAnsi="Times New Roman"/>
          <w:sz w:val="24"/>
          <w:szCs w:val="24"/>
          <w:lang w:eastAsia="zh-HK"/>
        </w:rPr>
        <w:t xml:space="preserve">the </w:t>
      </w:r>
      <w:r w:rsidRPr="00BA3764">
        <w:rPr>
          <w:rFonts w:ascii="Times New Roman" w:hAnsi="Times New Roman"/>
          <w:sz w:val="24"/>
          <w:szCs w:val="24"/>
          <w:lang w:eastAsia="zh-HK"/>
        </w:rPr>
        <w:t>Board</w:t>
      </w:r>
      <w:r w:rsidR="005E536F">
        <w:rPr>
          <w:rFonts w:ascii="Times New Roman" w:hAnsi="Times New Roman"/>
          <w:sz w:val="24"/>
          <w:szCs w:val="24"/>
          <w:lang w:eastAsia="zh-HK"/>
        </w:rPr>
        <w:t>’s decisions</w:t>
      </w:r>
      <w:r w:rsidRPr="00BA3764">
        <w:rPr>
          <w:rFonts w:ascii="Times New Roman" w:hAnsi="Times New Roman"/>
          <w:sz w:val="24"/>
          <w:szCs w:val="24"/>
          <w:lang w:eastAsia="zh-HK"/>
        </w:rPr>
        <w:t>:</w:t>
      </w:r>
    </w:p>
    <w:p w14:paraId="79478C1D" w14:textId="448EB511" w:rsidR="005E536F" w:rsidRPr="005E536F" w:rsidRDefault="005E536F" w:rsidP="005E536F">
      <w:pPr>
        <w:overflowPunct w:val="0"/>
        <w:autoSpaceDE w:val="0"/>
        <w:autoSpaceDN w:val="0"/>
        <w:spacing w:after="0" w:line="240" w:lineRule="auto"/>
        <w:jc w:val="both"/>
        <w:rPr>
          <w:rFonts w:ascii="Times New Roman" w:hAnsi="Times New Roman"/>
          <w:sz w:val="24"/>
          <w:szCs w:val="24"/>
          <w:lang w:eastAsia="zh-HK"/>
        </w:rPr>
      </w:pPr>
    </w:p>
    <w:p w14:paraId="029AE0E5" w14:textId="351A59DB" w:rsidR="009E737C" w:rsidRDefault="009E737C"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Chow Kwong Fai v Commissioner of Inland Revenue</w:t>
      </w:r>
      <w:r w:rsidRPr="00D61E94">
        <w:rPr>
          <w:rFonts w:ascii="Times New Roman" w:hAnsi="Times New Roman"/>
          <w:sz w:val="24"/>
          <w:szCs w:val="24"/>
          <w:lang w:eastAsia="zh-HK"/>
        </w:rPr>
        <w:t xml:space="preserve"> [2005] 4 HKLRD 687</w:t>
      </w:r>
    </w:p>
    <w:p w14:paraId="4EF5EAF8"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F7F5BFC" w14:textId="3C1E55AC" w:rsidR="009E737C" w:rsidRDefault="009E737C"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HKSAR v Hung Chan Wa &amp; Another</w:t>
      </w:r>
      <w:r w:rsidRPr="00D61E94">
        <w:rPr>
          <w:rFonts w:ascii="Times New Roman" w:hAnsi="Times New Roman"/>
          <w:sz w:val="24"/>
          <w:szCs w:val="24"/>
          <w:lang w:eastAsia="zh-HK"/>
        </w:rPr>
        <w:t xml:space="preserve"> (2006) 9 HKCFAR 614</w:t>
      </w:r>
    </w:p>
    <w:p w14:paraId="72C971A9"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B2C5F03" w14:textId="6B603F9C" w:rsidR="009E737C" w:rsidRDefault="009E737C"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Chau Cheuk Yiu v Poon Kit Sang</w:t>
      </w:r>
      <w:r w:rsidRPr="00D61E94">
        <w:rPr>
          <w:rFonts w:ascii="Times New Roman" w:hAnsi="Times New Roman"/>
          <w:sz w:val="24"/>
          <w:szCs w:val="24"/>
          <w:lang w:eastAsia="zh-HK"/>
        </w:rPr>
        <w:t xml:space="preserve"> (2012) 15 HKCFAR 460</w:t>
      </w:r>
    </w:p>
    <w:p w14:paraId="6675467F"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6118A4B" w14:textId="23E2B516" w:rsidR="009E737C" w:rsidRDefault="009E737C"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Excelter Investment Limited v Inland Revenue Board of Review</w:t>
      </w:r>
      <w:r w:rsidRPr="00D61E94">
        <w:rPr>
          <w:rFonts w:ascii="Times New Roman" w:hAnsi="Times New Roman"/>
          <w:sz w:val="24"/>
          <w:szCs w:val="24"/>
          <w:lang w:eastAsia="zh-HK"/>
        </w:rPr>
        <w:t xml:space="preserve"> [2021] HKCA 1049</w:t>
      </w:r>
    </w:p>
    <w:p w14:paraId="4B49DAEB"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011F5834" w14:textId="34AC8AB1" w:rsidR="009E737C" w:rsidRDefault="009E737C"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D9/79</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w:t>
      </w:r>
      <w:r w:rsidR="00690954" w:rsidRPr="00D61E94">
        <w:rPr>
          <w:rFonts w:ascii="Times New Roman" w:hAnsi="Times New Roman"/>
          <w:sz w:val="24"/>
          <w:szCs w:val="24"/>
          <w:lang w:eastAsia="zh-HK"/>
        </w:rPr>
        <w:t>IRBRD</w:t>
      </w:r>
      <w:r w:rsidR="00690954">
        <w:rPr>
          <w:rFonts w:ascii="Times New Roman" w:hAnsi="Times New Roman"/>
          <w:sz w:val="24"/>
          <w:szCs w:val="24"/>
          <w:lang w:eastAsia="zh-HK"/>
        </w:rPr>
        <w:t>, vol</w:t>
      </w:r>
      <w:r w:rsidR="00690954" w:rsidRPr="00D61E94">
        <w:rPr>
          <w:rFonts w:ascii="Times New Roman" w:hAnsi="Times New Roman"/>
          <w:sz w:val="24"/>
          <w:szCs w:val="24"/>
          <w:lang w:eastAsia="zh-HK"/>
        </w:rPr>
        <w:t xml:space="preserve"> </w:t>
      </w:r>
      <w:r w:rsidRPr="00D61E94">
        <w:rPr>
          <w:rFonts w:ascii="Times New Roman" w:hAnsi="Times New Roman"/>
          <w:sz w:val="24"/>
          <w:szCs w:val="24"/>
          <w:lang w:eastAsia="zh-HK"/>
        </w:rPr>
        <w:t>1</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354</w:t>
      </w:r>
    </w:p>
    <w:p w14:paraId="541E279E"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9FB06E9" w14:textId="35123379" w:rsidR="009E737C" w:rsidRDefault="009E737C"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D3/91</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w:t>
      </w:r>
      <w:r w:rsidR="00690954" w:rsidRPr="00D61E94">
        <w:rPr>
          <w:rFonts w:ascii="Times New Roman" w:hAnsi="Times New Roman"/>
          <w:sz w:val="24"/>
          <w:szCs w:val="24"/>
          <w:lang w:eastAsia="zh-HK"/>
        </w:rPr>
        <w:t>IRBRD</w:t>
      </w:r>
      <w:r w:rsidR="00690954">
        <w:rPr>
          <w:rFonts w:ascii="Times New Roman" w:hAnsi="Times New Roman"/>
          <w:sz w:val="24"/>
          <w:szCs w:val="24"/>
          <w:lang w:eastAsia="zh-HK"/>
        </w:rPr>
        <w:t>, vol</w:t>
      </w:r>
      <w:r w:rsidR="00690954" w:rsidRPr="00D61E94">
        <w:rPr>
          <w:rFonts w:ascii="Times New Roman" w:hAnsi="Times New Roman"/>
          <w:sz w:val="24"/>
          <w:szCs w:val="24"/>
          <w:lang w:eastAsia="zh-HK"/>
        </w:rPr>
        <w:t xml:space="preserve"> </w:t>
      </w:r>
      <w:r w:rsidR="00EF3706" w:rsidRPr="00D61E94">
        <w:rPr>
          <w:rFonts w:ascii="Times New Roman" w:hAnsi="Times New Roman"/>
          <w:sz w:val="24"/>
          <w:szCs w:val="24"/>
          <w:lang w:eastAsia="zh-HK"/>
        </w:rPr>
        <w:t>5</w:t>
      </w:r>
      <w:r w:rsidR="00690954">
        <w:rPr>
          <w:rFonts w:ascii="Times New Roman" w:hAnsi="Times New Roman"/>
          <w:sz w:val="24"/>
          <w:szCs w:val="24"/>
          <w:lang w:eastAsia="zh-HK"/>
        </w:rPr>
        <w:t>,</w:t>
      </w:r>
      <w:r w:rsidR="00EF3706" w:rsidRPr="00D61E94">
        <w:rPr>
          <w:rFonts w:ascii="Times New Roman" w:hAnsi="Times New Roman"/>
          <w:sz w:val="24"/>
          <w:szCs w:val="24"/>
          <w:lang w:eastAsia="zh-HK"/>
        </w:rPr>
        <w:t xml:space="preserve"> 537</w:t>
      </w:r>
    </w:p>
    <w:p w14:paraId="3F67647B"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7F2870D" w14:textId="56976173" w:rsidR="00EF3706" w:rsidRDefault="00EF3706"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D19/01</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w:t>
      </w:r>
      <w:r w:rsidR="00690954" w:rsidRPr="00D61E94">
        <w:rPr>
          <w:rFonts w:ascii="Times New Roman" w:hAnsi="Times New Roman"/>
          <w:sz w:val="24"/>
          <w:szCs w:val="24"/>
          <w:lang w:eastAsia="zh-HK"/>
        </w:rPr>
        <w:t>IRBRD</w:t>
      </w:r>
      <w:r w:rsidR="00690954">
        <w:rPr>
          <w:rFonts w:ascii="Times New Roman" w:hAnsi="Times New Roman"/>
          <w:sz w:val="24"/>
          <w:szCs w:val="24"/>
          <w:lang w:eastAsia="zh-HK"/>
        </w:rPr>
        <w:t>, vol</w:t>
      </w:r>
      <w:r w:rsidR="00690954" w:rsidRPr="00D61E94">
        <w:rPr>
          <w:rFonts w:ascii="Times New Roman" w:hAnsi="Times New Roman"/>
          <w:sz w:val="24"/>
          <w:szCs w:val="24"/>
          <w:lang w:eastAsia="zh-HK"/>
        </w:rPr>
        <w:t xml:space="preserve"> </w:t>
      </w:r>
      <w:r w:rsidRPr="00D61E94">
        <w:rPr>
          <w:rFonts w:ascii="Times New Roman" w:hAnsi="Times New Roman"/>
          <w:sz w:val="24"/>
          <w:szCs w:val="24"/>
          <w:lang w:eastAsia="zh-HK"/>
        </w:rPr>
        <w:t>16</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183</w:t>
      </w:r>
    </w:p>
    <w:p w14:paraId="5476502F"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925147D" w14:textId="6936176E" w:rsidR="00EF3706" w:rsidRDefault="00EF3706"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D13/11</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(2011-12) </w:t>
      </w:r>
      <w:r w:rsidR="00690954" w:rsidRPr="00D61E94">
        <w:rPr>
          <w:rFonts w:ascii="Times New Roman" w:hAnsi="Times New Roman"/>
          <w:sz w:val="24"/>
          <w:szCs w:val="24"/>
          <w:lang w:eastAsia="zh-HK"/>
        </w:rPr>
        <w:t>IRBRD</w:t>
      </w:r>
      <w:r w:rsidR="00690954">
        <w:rPr>
          <w:rFonts w:ascii="Times New Roman" w:hAnsi="Times New Roman"/>
          <w:sz w:val="24"/>
          <w:szCs w:val="24"/>
          <w:lang w:eastAsia="zh-HK"/>
        </w:rPr>
        <w:t>, vol</w:t>
      </w:r>
      <w:r w:rsidR="00690954" w:rsidRPr="00D61E94">
        <w:rPr>
          <w:rFonts w:ascii="Times New Roman" w:hAnsi="Times New Roman"/>
          <w:sz w:val="24"/>
          <w:szCs w:val="24"/>
          <w:lang w:eastAsia="zh-HK"/>
        </w:rPr>
        <w:t xml:space="preserve"> </w:t>
      </w:r>
      <w:r w:rsidRPr="00D61E94">
        <w:rPr>
          <w:rFonts w:ascii="Times New Roman" w:hAnsi="Times New Roman"/>
          <w:sz w:val="24"/>
          <w:szCs w:val="24"/>
          <w:lang w:eastAsia="zh-HK"/>
        </w:rPr>
        <w:t>26</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232</w:t>
      </w:r>
    </w:p>
    <w:p w14:paraId="1C6B2FC8"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318CA89" w14:textId="3714A20C" w:rsidR="00EF3706" w:rsidRDefault="00EF3706"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D31/12</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(2012-13)</w:t>
      </w:r>
      <w:r w:rsidR="00690954" w:rsidRPr="00690954">
        <w:rPr>
          <w:rFonts w:ascii="Times New Roman" w:hAnsi="Times New Roman"/>
          <w:sz w:val="24"/>
          <w:szCs w:val="24"/>
          <w:lang w:eastAsia="zh-HK"/>
        </w:rPr>
        <w:t xml:space="preserve"> </w:t>
      </w:r>
      <w:r w:rsidR="00690954" w:rsidRPr="00D61E94">
        <w:rPr>
          <w:rFonts w:ascii="Times New Roman" w:hAnsi="Times New Roman"/>
          <w:sz w:val="24"/>
          <w:szCs w:val="24"/>
          <w:lang w:eastAsia="zh-HK"/>
        </w:rPr>
        <w:t>IRBRD</w:t>
      </w:r>
      <w:r w:rsidR="00690954">
        <w:rPr>
          <w:rFonts w:ascii="Times New Roman" w:hAnsi="Times New Roman"/>
          <w:sz w:val="24"/>
          <w:szCs w:val="24"/>
          <w:lang w:eastAsia="zh-HK"/>
        </w:rPr>
        <w:t>, vol</w:t>
      </w:r>
      <w:r w:rsidRPr="00D61E94">
        <w:rPr>
          <w:rFonts w:ascii="Times New Roman" w:hAnsi="Times New Roman"/>
          <w:sz w:val="24"/>
          <w:szCs w:val="24"/>
          <w:lang w:eastAsia="zh-HK"/>
        </w:rPr>
        <w:t xml:space="preserve"> 27</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667</w:t>
      </w:r>
    </w:p>
    <w:p w14:paraId="5AD4D3C4" w14:textId="77777777" w:rsidR="00690954" w:rsidRPr="00D61E94" w:rsidRDefault="00690954" w:rsidP="00690954">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8EF58AF" w14:textId="47BCFC1E" w:rsidR="00EF3706" w:rsidRPr="00D61E94" w:rsidRDefault="00EF3706" w:rsidP="00690954">
      <w:pPr>
        <w:pStyle w:val="a3"/>
        <w:numPr>
          <w:ilvl w:val="0"/>
          <w:numId w:val="3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690954">
        <w:rPr>
          <w:rFonts w:ascii="Times New Roman" w:hAnsi="Times New Roman"/>
          <w:sz w:val="24"/>
          <w:szCs w:val="24"/>
          <w:u w:val="single"/>
          <w:lang w:eastAsia="zh-HK"/>
        </w:rPr>
        <w:t>D36/12</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(2012-13) </w:t>
      </w:r>
      <w:r w:rsidR="00690954" w:rsidRPr="00D61E94">
        <w:rPr>
          <w:rFonts w:ascii="Times New Roman" w:hAnsi="Times New Roman"/>
          <w:sz w:val="24"/>
          <w:szCs w:val="24"/>
          <w:lang w:eastAsia="zh-HK"/>
        </w:rPr>
        <w:t>IRBRD</w:t>
      </w:r>
      <w:r w:rsidR="00690954">
        <w:rPr>
          <w:rFonts w:ascii="Times New Roman" w:hAnsi="Times New Roman"/>
          <w:sz w:val="24"/>
          <w:szCs w:val="24"/>
          <w:lang w:eastAsia="zh-HK"/>
        </w:rPr>
        <w:t>, vol</w:t>
      </w:r>
      <w:r w:rsidR="00690954" w:rsidRPr="00D61E94">
        <w:rPr>
          <w:rFonts w:ascii="Times New Roman" w:hAnsi="Times New Roman"/>
          <w:sz w:val="24"/>
          <w:szCs w:val="24"/>
          <w:lang w:eastAsia="zh-HK"/>
        </w:rPr>
        <w:t xml:space="preserve"> </w:t>
      </w:r>
      <w:r w:rsidRPr="00D61E94">
        <w:rPr>
          <w:rFonts w:ascii="Times New Roman" w:hAnsi="Times New Roman"/>
          <w:sz w:val="24"/>
          <w:szCs w:val="24"/>
          <w:lang w:eastAsia="zh-HK"/>
        </w:rPr>
        <w:t>27</w:t>
      </w:r>
      <w:r w:rsidR="00690954">
        <w:rPr>
          <w:rFonts w:ascii="Times New Roman" w:hAnsi="Times New Roman"/>
          <w:sz w:val="24"/>
          <w:szCs w:val="24"/>
          <w:lang w:eastAsia="zh-HK"/>
        </w:rPr>
        <w:t>,</w:t>
      </w:r>
      <w:r w:rsidRPr="00D61E94">
        <w:rPr>
          <w:rFonts w:ascii="Times New Roman" w:hAnsi="Times New Roman"/>
          <w:sz w:val="24"/>
          <w:szCs w:val="24"/>
          <w:lang w:eastAsia="zh-HK"/>
        </w:rPr>
        <w:t xml:space="preserve"> 791</w:t>
      </w:r>
    </w:p>
    <w:p w14:paraId="403CC708" w14:textId="77777777" w:rsidR="00690954" w:rsidRDefault="0069095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4D458EE4" w14:textId="76AC47B5" w:rsidR="009E737C" w:rsidRPr="002B0D77" w:rsidRDefault="00EF3706" w:rsidP="00D61E94">
      <w:pPr>
        <w:overflowPunct w:val="0"/>
        <w:autoSpaceDE w:val="0"/>
        <w:autoSpaceDN w:val="0"/>
        <w:spacing w:after="0" w:line="240" w:lineRule="auto"/>
        <w:jc w:val="both"/>
        <w:rPr>
          <w:rFonts w:ascii="Times New Roman" w:hAnsi="Times New Roman"/>
          <w:b/>
          <w:bCs/>
          <w:sz w:val="24"/>
          <w:szCs w:val="24"/>
          <w:lang w:eastAsia="zh-HK"/>
        </w:rPr>
      </w:pPr>
      <w:r w:rsidRPr="002B0D77">
        <w:rPr>
          <w:rFonts w:ascii="Times New Roman" w:hAnsi="Times New Roman"/>
          <w:b/>
          <w:bCs/>
          <w:sz w:val="24"/>
          <w:szCs w:val="24"/>
          <w:lang w:eastAsia="zh-HK"/>
        </w:rPr>
        <w:t>Analysis and Discussion</w:t>
      </w:r>
    </w:p>
    <w:p w14:paraId="4A47E7BC" w14:textId="77777777" w:rsidR="00690954" w:rsidRPr="00D61E94" w:rsidRDefault="00690954" w:rsidP="00D61E94">
      <w:pPr>
        <w:overflowPunct w:val="0"/>
        <w:autoSpaceDE w:val="0"/>
        <w:autoSpaceDN w:val="0"/>
        <w:spacing w:after="0" w:line="240" w:lineRule="auto"/>
        <w:jc w:val="both"/>
        <w:rPr>
          <w:rFonts w:ascii="Times New Roman" w:hAnsi="Times New Roman"/>
          <w:b/>
          <w:bCs/>
          <w:sz w:val="24"/>
          <w:szCs w:val="24"/>
          <w:u w:val="single"/>
          <w:lang w:eastAsia="zh-HK"/>
        </w:rPr>
      </w:pPr>
    </w:p>
    <w:p w14:paraId="32341F0B" w14:textId="0B242130" w:rsidR="00EF3706" w:rsidRDefault="00EF3706"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It is common ground that the Appellant was in Hong Kong during the statutory period within which to file the notice of appeal. </w:t>
      </w:r>
      <w:r w:rsidR="009F6E61" w:rsidRPr="00D61E94">
        <w:rPr>
          <w:rFonts w:ascii="Times New Roman" w:hAnsi="Times New Roman"/>
          <w:sz w:val="24"/>
          <w:szCs w:val="24"/>
          <w:lang w:eastAsia="zh-HK"/>
        </w:rPr>
        <w:t xml:space="preserve">It follows that </w:t>
      </w:r>
      <w:r w:rsidRPr="00D61E94">
        <w:rPr>
          <w:rFonts w:ascii="Times New Roman" w:hAnsi="Times New Roman"/>
          <w:sz w:val="24"/>
          <w:szCs w:val="24"/>
          <w:lang w:eastAsia="zh-HK"/>
        </w:rPr>
        <w:t>the grounds relied on by the Appellant in his application for extension of time fall</w:t>
      </w:r>
      <w:r w:rsidR="009F6E61" w:rsidRPr="00D61E94">
        <w:rPr>
          <w:rFonts w:ascii="Times New Roman" w:hAnsi="Times New Roman"/>
          <w:sz w:val="24"/>
          <w:szCs w:val="24"/>
          <w:lang w:eastAsia="zh-HK"/>
        </w:rPr>
        <w:t xml:space="preserve"> only</w:t>
      </w:r>
      <w:r w:rsidRPr="00D61E94">
        <w:rPr>
          <w:rFonts w:ascii="Times New Roman" w:hAnsi="Times New Roman"/>
          <w:sz w:val="24"/>
          <w:szCs w:val="24"/>
          <w:lang w:eastAsia="zh-HK"/>
        </w:rPr>
        <w:t xml:space="preserve"> on </w:t>
      </w:r>
      <w:r w:rsidR="00280E27" w:rsidRPr="00D61E94">
        <w:rPr>
          <w:rFonts w:ascii="Times New Roman" w:hAnsi="Times New Roman"/>
          <w:sz w:val="24"/>
          <w:szCs w:val="24"/>
          <w:lang w:eastAsia="zh-HK"/>
        </w:rPr>
        <w:t xml:space="preserve">(a) </w:t>
      </w:r>
      <w:r w:rsidRPr="00D61E94">
        <w:rPr>
          <w:rFonts w:ascii="Times New Roman" w:hAnsi="Times New Roman"/>
          <w:sz w:val="24"/>
          <w:szCs w:val="24"/>
          <w:lang w:eastAsia="zh-HK"/>
        </w:rPr>
        <w:t>the ground of his illness</w:t>
      </w:r>
      <w:r w:rsidR="00280E27" w:rsidRPr="00D61E94">
        <w:rPr>
          <w:rFonts w:ascii="Times New Roman" w:hAnsi="Times New Roman"/>
          <w:sz w:val="24"/>
          <w:szCs w:val="24"/>
          <w:lang w:eastAsia="zh-HK"/>
        </w:rPr>
        <w:t>;</w:t>
      </w:r>
      <w:r w:rsidRPr="00D61E94">
        <w:rPr>
          <w:rFonts w:ascii="Times New Roman" w:hAnsi="Times New Roman"/>
          <w:sz w:val="24"/>
          <w:szCs w:val="24"/>
          <w:lang w:eastAsia="zh-HK"/>
        </w:rPr>
        <w:t xml:space="preserve"> or </w:t>
      </w:r>
      <w:r w:rsidR="00280E27" w:rsidRPr="00D61E94">
        <w:rPr>
          <w:rFonts w:ascii="Times New Roman" w:hAnsi="Times New Roman"/>
          <w:sz w:val="24"/>
          <w:szCs w:val="24"/>
          <w:lang w:eastAsia="zh-HK"/>
        </w:rPr>
        <w:t xml:space="preserve">(b) </w:t>
      </w:r>
      <w:r w:rsidRPr="00D61E94">
        <w:rPr>
          <w:rFonts w:ascii="Times New Roman" w:hAnsi="Times New Roman"/>
          <w:sz w:val="24"/>
          <w:szCs w:val="24"/>
          <w:lang w:eastAsia="zh-HK"/>
        </w:rPr>
        <w:t>other reasonable grounds under section 66(1</w:t>
      </w:r>
      <w:r w:rsidR="00A749E1" w:rsidRPr="00D61E94">
        <w:rPr>
          <w:rFonts w:ascii="Times New Roman" w:hAnsi="Times New Roman"/>
          <w:sz w:val="24"/>
          <w:szCs w:val="24"/>
          <w:lang w:eastAsia="zh-HK"/>
        </w:rPr>
        <w:t>A</w:t>
      </w:r>
      <w:r w:rsidRPr="00D61E94">
        <w:rPr>
          <w:rFonts w:ascii="Times New Roman" w:hAnsi="Times New Roman"/>
          <w:sz w:val="24"/>
          <w:szCs w:val="24"/>
          <w:lang w:eastAsia="zh-HK"/>
        </w:rPr>
        <w:t>) of the Ordinance.</w:t>
      </w:r>
      <w:r w:rsidR="009F6E61" w:rsidRPr="00D61E94">
        <w:rPr>
          <w:rFonts w:ascii="Times New Roman" w:hAnsi="Times New Roman"/>
          <w:sz w:val="24"/>
          <w:szCs w:val="24"/>
          <w:lang w:eastAsia="zh-HK"/>
        </w:rPr>
        <w:t xml:space="preserve"> The ground of </w:t>
      </w:r>
      <w:r w:rsidR="002B0D77">
        <w:rPr>
          <w:rFonts w:ascii="Times New Roman" w:hAnsi="Times New Roman"/>
          <w:sz w:val="24"/>
          <w:szCs w:val="24"/>
          <w:lang w:eastAsia="zh-HK"/>
        </w:rPr>
        <w:t>‘</w:t>
      </w:r>
      <w:r w:rsidR="009F6E61" w:rsidRPr="00D61E94">
        <w:rPr>
          <w:rFonts w:ascii="Times New Roman" w:hAnsi="Times New Roman"/>
          <w:sz w:val="24"/>
          <w:szCs w:val="24"/>
          <w:lang w:eastAsia="zh-HK"/>
        </w:rPr>
        <w:t>not in Hong Kong</w:t>
      </w:r>
      <w:r w:rsidR="002B0D77">
        <w:rPr>
          <w:rFonts w:ascii="Times New Roman" w:hAnsi="Times New Roman"/>
          <w:sz w:val="24"/>
          <w:szCs w:val="24"/>
          <w:lang w:eastAsia="zh-HK"/>
        </w:rPr>
        <w:t>’</w:t>
      </w:r>
      <w:r w:rsidR="009F6E61" w:rsidRPr="00D61E94">
        <w:rPr>
          <w:rFonts w:ascii="Times New Roman" w:hAnsi="Times New Roman"/>
          <w:sz w:val="24"/>
          <w:szCs w:val="24"/>
          <w:lang w:eastAsia="zh-HK"/>
        </w:rPr>
        <w:t xml:space="preserve"> is not available to the Appellant.</w:t>
      </w:r>
    </w:p>
    <w:p w14:paraId="4FA85B8E"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57E67B2B" w14:textId="6B14174A" w:rsidR="00EF3706" w:rsidRDefault="00EF3706"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The </w:t>
      </w:r>
      <w:r w:rsidR="00BA3764" w:rsidRPr="00D61E94">
        <w:rPr>
          <w:rFonts w:ascii="Times New Roman" w:hAnsi="Times New Roman"/>
          <w:sz w:val="24"/>
          <w:szCs w:val="24"/>
          <w:lang w:eastAsia="zh-HK"/>
        </w:rPr>
        <w:t>Determination was</w:t>
      </w:r>
      <w:r w:rsidRPr="00D61E94">
        <w:rPr>
          <w:rFonts w:ascii="Times New Roman" w:hAnsi="Times New Roman"/>
          <w:sz w:val="24"/>
          <w:szCs w:val="24"/>
          <w:lang w:eastAsia="zh-HK"/>
        </w:rPr>
        <w:t xml:space="preserve"> </w:t>
      </w:r>
      <w:r w:rsidR="001B0197" w:rsidRPr="00D61E94">
        <w:rPr>
          <w:rFonts w:ascii="Times New Roman" w:hAnsi="Times New Roman"/>
          <w:sz w:val="24"/>
          <w:szCs w:val="24"/>
          <w:lang w:eastAsia="zh-HK"/>
        </w:rPr>
        <w:t xml:space="preserve">delivered to </w:t>
      </w:r>
      <w:r w:rsidRPr="00D61E94">
        <w:rPr>
          <w:rFonts w:ascii="Times New Roman" w:hAnsi="Times New Roman"/>
          <w:sz w:val="24"/>
          <w:szCs w:val="24"/>
          <w:lang w:eastAsia="zh-HK"/>
        </w:rPr>
        <w:t xml:space="preserve">the Appellant on </w:t>
      </w:r>
      <w:r w:rsidR="001B0197" w:rsidRPr="00D61E94">
        <w:rPr>
          <w:rFonts w:ascii="Times New Roman" w:hAnsi="Times New Roman"/>
          <w:sz w:val="24"/>
          <w:szCs w:val="24"/>
          <w:lang w:eastAsia="zh-HK"/>
        </w:rPr>
        <w:t>11 November 2017. It follows that the 1-month statutory period to file a notice of appeal ended on 11 December 2017. It is not disputed that the Appellant had an operation on 8 December 2017 (which was within the statutory period to file a notice of appeal).</w:t>
      </w:r>
    </w:p>
    <w:p w14:paraId="077AD7F6"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DC9FAE2" w14:textId="60D5766C" w:rsidR="00280E27" w:rsidRDefault="001B0197"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The Appellant chose not to give evidence at the hearing. The Board could not know whether such operation would prevent him from filing a notice of appeal. </w:t>
      </w:r>
      <w:r w:rsidR="00B64B92" w:rsidRPr="00D61E94">
        <w:rPr>
          <w:rFonts w:ascii="Times New Roman" w:hAnsi="Times New Roman"/>
          <w:sz w:val="24"/>
          <w:szCs w:val="24"/>
          <w:lang w:eastAsia="zh-HK"/>
        </w:rPr>
        <w:t xml:space="preserve">For the purpose of discussion, the Board assumes that due to the operation the Appellant was prevented from filing a notice of appeal </w:t>
      </w:r>
      <w:r w:rsidR="009F6E61" w:rsidRPr="00D61E94">
        <w:rPr>
          <w:rFonts w:ascii="Times New Roman" w:hAnsi="Times New Roman"/>
          <w:sz w:val="24"/>
          <w:szCs w:val="24"/>
          <w:lang w:eastAsia="zh-HK"/>
        </w:rPr>
        <w:t xml:space="preserve">on or before 11 December 2017. </w:t>
      </w:r>
      <w:r w:rsidR="00B64B92" w:rsidRPr="00D61E94">
        <w:rPr>
          <w:rFonts w:ascii="Times New Roman" w:hAnsi="Times New Roman"/>
          <w:sz w:val="24"/>
          <w:szCs w:val="24"/>
          <w:lang w:eastAsia="zh-HK"/>
        </w:rPr>
        <w:t xml:space="preserve"> </w:t>
      </w:r>
    </w:p>
    <w:p w14:paraId="782D03D8"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10DBF4A6" w14:textId="582ABDA7" w:rsidR="00B64B92" w:rsidRDefault="00B64B92"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However, there should be a point of time</w:t>
      </w:r>
      <w:r w:rsidR="009F6E61" w:rsidRPr="00D61E94">
        <w:rPr>
          <w:rFonts w:ascii="Times New Roman" w:hAnsi="Times New Roman"/>
          <w:sz w:val="24"/>
          <w:szCs w:val="24"/>
          <w:lang w:eastAsia="zh-HK"/>
        </w:rPr>
        <w:t xml:space="preserve"> that</w:t>
      </w:r>
      <w:r w:rsidRPr="00D61E94">
        <w:rPr>
          <w:rFonts w:ascii="Times New Roman" w:hAnsi="Times New Roman"/>
          <w:sz w:val="24"/>
          <w:szCs w:val="24"/>
          <w:lang w:eastAsia="zh-HK"/>
        </w:rPr>
        <w:t xml:space="preserve"> the Appellant was no</w:t>
      </w:r>
      <w:r w:rsidR="009F6E61" w:rsidRPr="00D61E94">
        <w:rPr>
          <w:rFonts w:ascii="Times New Roman" w:hAnsi="Times New Roman"/>
          <w:sz w:val="24"/>
          <w:szCs w:val="24"/>
          <w:lang w:eastAsia="zh-HK"/>
        </w:rPr>
        <w:t xml:space="preserve"> longer </w:t>
      </w:r>
      <w:r w:rsidRPr="00D61E94">
        <w:rPr>
          <w:rFonts w:ascii="Times New Roman" w:hAnsi="Times New Roman"/>
          <w:sz w:val="24"/>
          <w:szCs w:val="24"/>
          <w:lang w:eastAsia="zh-HK"/>
        </w:rPr>
        <w:t xml:space="preserve">affected by the operation and could file a notice of appeal thereafter if he wished to do so. </w:t>
      </w:r>
      <w:r w:rsidR="00280E27" w:rsidRPr="00D61E94">
        <w:rPr>
          <w:rFonts w:ascii="Times New Roman" w:hAnsi="Times New Roman"/>
          <w:sz w:val="24"/>
          <w:szCs w:val="24"/>
          <w:lang w:eastAsia="zh-HK"/>
        </w:rPr>
        <w:t xml:space="preserve">We note </w:t>
      </w:r>
      <w:r w:rsidR="009F6E61" w:rsidRPr="00D61E94">
        <w:rPr>
          <w:rFonts w:ascii="Times New Roman" w:hAnsi="Times New Roman"/>
          <w:sz w:val="24"/>
          <w:szCs w:val="24"/>
          <w:lang w:eastAsia="zh-HK"/>
        </w:rPr>
        <w:t xml:space="preserve">from the Movement Record </w:t>
      </w:r>
      <w:r w:rsidR="00280E27" w:rsidRPr="00D61E94">
        <w:rPr>
          <w:rFonts w:ascii="Times New Roman" w:hAnsi="Times New Roman"/>
          <w:sz w:val="24"/>
          <w:szCs w:val="24"/>
          <w:lang w:eastAsia="zh-HK"/>
        </w:rPr>
        <w:t>that the Appellant was able to travel in March 2018. For the purpose of discussion and t</w:t>
      </w:r>
      <w:r w:rsidRPr="00D61E94">
        <w:rPr>
          <w:rFonts w:ascii="Times New Roman" w:hAnsi="Times New Roman"/>
          <w:sz w:val="24"/>
          <w:szCs w:val="24"/>
          <w:lang w:eastAsia="zh-HK"/>
        </w:rPr>
        <w:t xml:space="preserve">o give the Appellant the benefit of doubt, </w:t>
      </w:r>
      <w:r w:rsidR="00280E27" w:rsidRPr="00D61E94">
        <w:rPr>
          <w:rFonts w:ascii="Times New Roman" w:hAnsi="Times New Roman"/>
          <w:sz w:val="24"/>
          <w:szCs w:val="24"/>
          <w:lang w:eastAsia="zh-HK"/>
        </w:rPr>
        <w:t xml:space="preserve">we assumed that </w:t>
      </w:r>
      <w:r w:rsidR="009F6E61" w:rsidRPr="00D61E94">
        <w:rPr>
          <w:rFonts w:ascii="Times New Roman" w:hAnsi="Times New Roman"/>
          <w:sz w:val="24"/>
          <w:szCs w:val="24"/>
          <w:lang w:eastAsia="zh-HK"/>
        </w:rPr>
        <w:t xml:space="preserve">due to the operation </w:t>
      </w:r>
      <w:r w:rsidRPr="00D61E94">
        <w:rPr>
          <w:rFonts w:ascii="Times New Roman" w:hAnsi="Times New Roman"/>
          <w:sz w:val="24"/>
          <w:szCs w:val="24"/>
          <w:lang w:eastAsia="zh-HK"/>
        </w:rPr>
        <w:t xml:space="preserve">the Appellant </w:t>
      </w:r>
      <w:r w:rsidR="000A00B4" w:rsidRPr="00D61E94">
        <w:rPr>
          <w:rFonts w:ascii="Times New Roman" w:hAnsi="Times New Roman"/>
          <w:sz w:val="24"/>
          <w:szCs w:val="24"/>
          <w:lang w:eastAsia="zh-HK"/>
        </w:rPr>
        <w:t>might be</w:t>
      </w:r>
      <w:r w:rsidRPr="00D61E94">
        <w:rPr>
          <w:rFonts w:ascii="Times New Roman" w:hAnsi="Times New Roman"/>
          <w:sz w:val="24"/>
          <w:szCs w:val="24"/>
          <w:lang w:eastAsia="zh-HK"/>
        </w:rPr>
        <w:t xml:space="preserve"> prevented from filing a notice of appeal </w:t>
      </w:r>
      <w:r w:rsidR="00280E27" w:rsidRPr="00D61E94">
        <w:rPr>
          <w:rFonts w:ascii="Times New Roman" w:hAnsi="Times New Roman"/>
          <w:sz w:val="24"/>
          <w:szCs w:val="24"/>
          <w:lang w:eastAsia="zh-HK"/>
        </w:rPr>
        <w:t xml:space="preserve">until </w:t>
      </w:r>
      <w:r w:rsidRPr="00D61E94">
        <w:rPr>
          <w:rFonts w:ascii="Times New Roman" w:hAnsi="Times New Roman"/>
          <w:sz w:val="24"/>
          <w:szCs w:val="24"/>
          <w:lang w:eastAsia="zh-HK"/>
        </w:rPr>
        <w:t xml:space="preserve">the end of February 2018. </w:t>
      </w:r>
      <w:r w:rsidR="00280E27" w:rsidRPr="00D61E94">
        <w:rPr>
          <w:rFonts w:ascii="Times New Roman" w:hAnsi="Times New Roman"/>
          <w:sz w:val="24"/>
          <w:szCs w:val="24"/>
          <w:lang w:eastAsia="zh-HK"/>
        </w:rPr>
        <w:t xml:space="preserve"> </w:t>
      </w:r>
    </w:p>
    <w:p w14:paraId="7ABA86E2"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2A86FA2" w14:textId="6ED5E814" w:rsidR="00DF151E" w:rsidRDefault="00DF151E"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As said, </w:t>
      </w:r>
      <w:r w:rsidR="00B64B92" w:rsidRPr="00D61E94">
        <w:rPr>
          <w:rFonts w:ascii="Times New Roman" w:hAnsi="Times New Roman"/>
          <w:sz w:val="24"/>
          <w:szCs w:val="24"/>
          <w:lang w:eastAsia="zh-HK"/>
        </w:rPr>
        <w:t>t</w:t>
      </w:r>
      <w:r w:rsidR="001B0197" w:rsidRPr="00D61E94">
        <w:rPr>
          <w:rFonts w:ascii="Times New Roman" w:hAnsi="Times New Roman"/>
          <w:sz w:val="24"/>
          <w:szCs w:val="24"/>
          <w:lang w:eastAsia="zh-HK"/>
        </w:rPr>
        <w:t xml:space="preserve">he Appellant was able to travel in March 2018. </w:t>
      </w:r>
      <w:r w:rsidRPr="00D61E94">
        <w:rPr>
          <w:rFonts w:ascii="Times New Roman" w:hAnsi="Times New Roman"/>
          <w:sz w:val="24"/>
          <w:szCs w:val="24"/>
          <w:lang w:eastAsia="zh-HK"/>
        </w:rPr>
        <w:t xml:space="preserve">As shown in </w:t>
      </w:r>
      <w:r w:rsidR="009F6E61" w:rsidRPr="00D61E94">
        <w:rPr>
          <w:rFonts w:ascii="Times New Roman" w:hAnsi="Times New Roman"/>
          <w:sz w:val="24"/>
          <w:szCs w:val="24"/>
          <w:lang w:eastAsia="zh-HK"/>
        </w:rPr>
        <w:t xml:space="preserve">the Movement </w:t>
      </w:r>
      <w:r w:rsidRPr="00D61E94">
        <w:rPr>
          <w:rFonts w:ascii="Times New Roman" w:hAnsi="Times New Roman"/>
          <w:sz w:val="24"/>
          <w:szCs w:val="24"/>
          <w:lang w:eastAsia="zh-HK"/>
        </w:rPr>
        <w:t xml:space="preserve">Record, </w:t>
      </w:r>
      <w:r w:rsidR="009F6E61" w:rsidRPr="00D61E94">
        <w:rPr>
          <w:rFonts w:ascii="Times New Roman" w:hAnsi="Times New Roman"/>
          <w:sz w:val="24"/>
          <w:szCs w:val="24"/>
          <w:lang w:eastAsia="zh-HK"/>
        </w:rPr>
        <w:t>t</w:t>
      </w:r>
      <w:r w:rsidRPr="00D61E94">
        <w:rPr>
          <w:rFonts w:ascii="Times New Roman" w:hAnsi="Times New Roman"/>
          <w:sz w:val="24"/>
          <w:szCs w:val="24"/>
          <w:lang w:eastAsia="zh-HK"/>
        </w:rPr>
        <w:t xml:space="preserve">he </w:t>
      </w:r>
      <w:r w:rsidR="009F6E61" w:rsidRPr="00D61E94">
        <w:rPr>
          <w:rFonts w:ascii="Times New Roman" w:hAnsi="Times New Roman"/>
          <w:sz w:val="24"/>
          <w:szCs w:val="24"/>
          <w:lang w:eastAsia="zh-HK"/>
        </w:rPr>
        <w:t xml:space="preserve">Appellant </w:t>
      </w:r>
      <w:r w:rsidR="001B0197" w:rsidRPr="00D61E94">
        <w:rPr>
          <w:rFonts w:ascii="Times New Roman" w:hAnsi="Times New Roman"/>
          <w:sz w:val="24"/>
          <w:szCs w:val="24"/>
          <w:lang w:eastAsia="zh-HK"/>
        </w:rPr>
        <w:t xml:space="preserve">left Hong Kong on 5 March 2018 and returned on 8 March </w:t>
      </w:r>
      <w:r w:rsidR="001B0197" w:rsidRPr="00D61E94">
        <w:rPr>
          <w:rFonts w:ascii="Times New Roman" w:hAnsi="Times New Roman"/>
          <w:sz w:val="24"/>
          <w:szCs w:val="24"/>
          <w:lang w:eastAsia="zh-HK"/>
        </w:rPr>
        <w:lastRenderedPageBreak/>
        <w:t xml:space="preserve">2018. </w:t>
      </w:r>
      <w:r w:rsidR="00B64B92" w:rsidRPr="00D61E94">
        <w:rPr>
          <w:rFonts w:ascii="Times New Roman" w:hAnsi="Times New Roman"/>
          <w:sz w:val="24"/>
          <w:szCs w:val="24"/>
          <w:lang w:eastAsia="zh-HK"/>
        </w:rPr>
        <w:t>He left Hong Kong again on 18 March 2018 and returned to Hong Kong on the same day.</w:t>
      </w:r>
    </w:p>
    <w:p w14:paraId="1F353B25"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0639D637" w14:textId="00B7E5C5" w:rsidR="00B64B92" w:rsidRDefault="00DF151E"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In the course of the Appellant’s submission, t</w:t>
      </w:r>
      <w:r w:rsidR="00B64B92" w:rsidRPr="00D61E94">
        <w:rPr>
          <w:rFonts w:ascii="Times New Roman" w:hAnsi="Times New Roman"/>
          <w:sz w:val="24"/>
          <w:szCs w:val="24"/>
          <w:lang w:eastAsia="zh-HK"/>
        </w:rPr>
        <w:t>he Appellant was asked by the Board if it is fair to say that he was not prevented from filing a notice of appeal in March 2018, the Appellant replied in the positive. When asked the reason why he did not file a notice of appeal once he was not prevented</w:t>
      </w:r>
      <w:r w:rsidR="009B5334" w:rsidRPr="00D61E94">
        <w:rPr>
          <w:rFonts w:ascii="Times New Roman" w:hAnsi="Times New Roman"/>
          <w:sz w:val="24"/>
          <w:szCs w:val="24"/>
          <w:lang w:eastAsia="zh-HK"/>
        </w:rPr>
        <w:t xml:space="preserve">, he said he forgot to do so until the release of the judgement on the case of </w:t>
      </w:r>
      <w:r w:rsidR="009B5334" w:rsidRPr="00690954">
        <w:rPr>
          <w:rFonts w:ascii="Times New Roman" w:hAnsi="Times New Roman"/>
          <w:iCs/>
          <w:sz w:val="24"/>
          <w:szCs w:val="24"/>
          <w:u w:val="single"/>
          <w:lang w:eastAsia="zh-HK"/>
        </w:rPr>
        <w:t>Honorable Leung Ka-lau v The Commissioner of Inland Revenue</w:t>
      </w:r>
      <w:r w:rsidR="009B5334" w:rsidRPr="00D61E94">
        <w:rPr>
          <w:rFonts w:ascii="Times New Roman" w:hAnsi="Times New Roman"/>
          <w:sz w:val="24"/>
          <w:szCs w:val="24"/>
          <w:lang w:eastAsia="zh-HK"/>
        </w:rPr>
        <w:t xml:space="preserve"> handed down on 27 April 2021.</w:t>
      </w:r>
    </w:p>
    <w:p w14:paraId="29F6743C"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7E7B5A8" w14:textId="57B9012A" w:rsidR="001B0197" w:rsidRDefault="009B5334"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By reason of the</w:t>
      </w:r>
      <w:r w:rsidR="000A00B4" w:rsidRPr="00D61E94">
        <w:rPr>
          <w:rFonts w:ascii="Times New Roman" w:hAnsi="Times New Roman"/>
          <w:sz w:val="24"/>
          <w:szCs w:val="24"/>
          <w:lang w:eastAsia="zh-HK"/>
        </w:rPr>
        <w:t xml:space="preserve"> Appellant’s traveling </w:t>
      </w:r>
      <w:r w:rsidRPr="00D61E94">
        <w:rPr>
          <w:rFonts w:ascii="Times New Roman" w:hAnsi="Times New Roman"/>
          <w:sz w:val="24"/>
          <w:szCs w:val="24"/>
          <w:lang w:eastAsia="zh-HK"/>
        </w:rPr>
        <w:t>activities</w:t>
      </w:r>
      <w:r w:rsidR="000A00B4" w:rsidRPr="00D61E94">
        <w:rPr>
          <w:rFonts w:ascii="Times New Roman" w:hAnsi="Times New Roman"/>
          <w:sz w:val="24"/>
          <w:szCs w:val="24"/>
          <w:lang w:eastAsia="zh-HK"/>
        </w:rPr>
        <w:t xml:space="preserve"> taken in March 2018</w:t>
      </w:r>
      <w:r w:rsidR="00DF151E" w:rsidRPr="00D61E94">
        <w:rPr>
          <w:rFonts w:ascii="Times New Roman" w:hAnsi="Times New Roman"/>
          <w:sz w:val="24"/>
          <w:szCs w:val="24"/>
          <w:lang w:eastAsia="zh-HK"/>
        </w:rPr>
        <w:t xml:space="preserve"> and by reason of the Appellant’s admission</w:t>
      </w:r>
      <w:r w:rsidRPr="00D61E94">
        <w:rPr>
          <w:rFonts w:ascii="Times New Roman" w:hAnsi="Times New Roman"/>
          <w:sz w:val="24"/>
          <w:szCs w:val="24"/>
          <w:lang w:eastAsia="zh-HK"/>
        </w:rPr>
        <w:t xml:space="preserve">, </w:t>
      </w:r>
      <w:r w:rsidR="000A00B4" w:rsidRPr="00D61E94">
        <w:rPr>
          <w:rFonts w:ascii="Times New Roman" w:hAnsi="Times New Roman"/>
          <w:sz w:val="24"/>
          <w:szCs w:val="24"/>
          <w:lang w:eastAsia="zh-HK"/>
        </w:rPr>
        <w:t xml:space="preserve">it </w:t>
      </w:r>
      <w:r w:rsidR="00DF151E" w:rsidRPr="00D61E94">
        <w:rPr>
          <w:rFonts w:ascii="Times New Roman" w:hAnsi="Times New Roman"/>
          <w:sz w:val="24"/>
          <w:szCs w:val="24"/>
          <w:lang w:eastAsia="zh-HK"/>
        </w:rPr>
        <w:t>is clear</w:t>
      </w:r>
      <w:r w:rsidR="000A00B4" w:rsidRPr="00D61E94">
        <w:rPr>
          <w:rFonts w:ascii="Times New Roman" w:hAnsi="Times New Roman"/>
          <w:sz w:val="24"/>
          <w:szCs w:val="24"/>
          <w:lang w:eastAsia="zh-HK"/>
        </w:rPr>
        <w:t xml:space="preserve"> to the Board that </w:t>
      </w:r>
      <w:r w:rsidR="001B0197" w:rsidRPr="00D61E94">
        <w:rPr>
          <w:rFonts w:ascii="Times New Roman" w:hAnsi="Times New Roman"/>
          <w:sz w:val="24"/>
          <w:szCs w:val="24"/>
          <w:lang w:eastAsia="zh-HK"/>
        </w:rPr>
        <w:t xml:space="preserve">the Appellant </w:t>
      </w:r>
      <w:r w:rsidR="000A00B4" w:rsidRPr="00D61E94">
        <w:rPr>
          <w:rFonts w:ascii="Times New Roman" w:hAnsi="Times New Roman"/>
          <w:sz w:val="24"/>
          <w:szCs w:val="24"/>
          <w:lang w:eastAsia="zh-HK"/>
        </w:rPr>
        <w:t xml:space="preserve">was not prevented from filing and failed to file </w:t>
      </w:r>
      <w:r w:rsidR="001B0197" w:rsidRPr="00D61E94">
        <w:rPr>
          <w:rFonts w:ascii="Times New Roman" w:hAnsi="Times New Roman"/>
          <w:sz w:val="24"/>
          <w:szCs w:val="24"/>
          <w:lang w:eastAsia="zh-HK"/>
        </w:rPr>
        <w:t xml:space="preserve">a notice of appeal </w:t>
      </w:r>
      <w:r w:rsidR="000A00B4" w:rsidRPr="00D61E94">
        <w:rPr>
          <w:rFonts w:ascii="Times New Roman" w:hAnsi="Times New Roman"/>
          <w:sz w:val="24"/>
          <w:szCs w:val="24"/>
          <w:lang w:eastAsia="zh-HK"/>
        </w:rPr>
        <w:t>within 1-month period from the end of February 2018</w:t>
      </w:r>
      <w:r w:rsidR="00DF151E" w:rsidRPr="00D61E94">
        <w:rPr>
          <w:rFonts w:ascii="Times New Roman" w:hAnsi="Times New Roman"/>
          <w:sz w:val="24"/>
          <w:szCs w:val="24"/>
          <w:lang w:eastAsia="zh-HK"/>
        </w:rPr>
        <w:t xml:space="preserve">. </w:t>
      </w:r>
      <w:r w:rsidR="000A00B4" w:rsidRPr="00D61E94">
        <w:rPr>
          <w:rFonts w:ascii="Times New Roman" w:hAnsi="Times New Roman"/>
          <w:sz w:val="24"/>
          <w:szCs w:val="24"/>
          <w:lang w:eastAsia="zh-HK"/>
        </w:rPr>
        <w:t xml:space="preserve">As confirmed by the Appellant, he failed to file a notice of appeal from </w:t>
      </w:r>
      <w:r w:rsidR="009F6E61" w:rsidRPr="00D61E94">
        <w:rPr>
          <w:rFonts w:ascii="Times New Roman" w:hAnsi="Times New Roman"/>
          <w:sz w:val="24"/>
          <w:szCs w:val="24"/>
          <w:lang w:eastAsia="zh-HK"/>
        </w:rPr>
        <w:t xml:space="preserve">by 31 </w:t>
      </w:r>
      <w:r w:rsidR="000A00B4" w:rsidRPr="00D61E94">
        <w:rPr>
          <w:rFonts w:ascii="Times New Roman" w:hAnsi="Times New Roman"/>
          <w:sz w:val="24"/>
          <w:szCs w:val="24"/>
          <w:lang w:eastAsia="zh-HK"/>
        </w:rPr>
        <w:t>March 2018</w:t>
      </w:r>
      <w:r w:rsidR="009F6E61" w:rsidRPr="00D61E94">
        <w:rPr>
          <w:rFonts w:ascii="Times New Roman" w:hAnsi="Times New Roman"/>
          <w:sz w:val="24"/>
          <w:szCs w:val="24"/>
          <w:lang w:eastAsia="zh-HK"/>
        </w:rPr>
        <w:t xml:space="preserve">. The Appellant only filed a notice of appeal </w:t>
      </w:r>
      <w:r w:rsidR="000A00B4" w:rsidRPr="00D61E94">
        <w:rPr>
          <w:rFonts w:ascii="Times New Roman" w:hAnsi="Times New Roman"/>
          <w:sz w:val="24"/>
          <w:szCs w:val="24"/>
          <w:lang w:eastAsia="zh-HK"/>
        </w:rPr>
        <w:t>about 3 years and two months</w:t>
      </w:r>
      <w:r w:rsidR="00740E71" w:rsidRPr="00D61E94">
        <w:rPr>
          <w:rFonts w:ascii="Times New Roman" w:hAnsi="Times New Roman"/>
          <w:sz w:val="24"/>
          <w:szCs w:val="24"/>
          <w:lang w:eastAsia="zh-HK"/>
        </w:rPr>
        <w:t xml:space="preserve"> thereafter</w:t>
      </w:r>
      <w:r w:rsidR="000A00B4" w:rsidRPr="00D61E94">
        <w:rPr>
          <w:rFonts w:ascii="Times New Roman" w:hAnsi="Times New Roman"/>
          <w:sz w:val="24"/>
          <w:szCs w:val="24"/>
          <w:lang w:eastAsia="zh-HK"/>
        </w:rPr>
        <w:t xml:space="preserve">. </w:t>
      </w:r>
    </w:p>
    <w:p w14:paraId="6F6E9786"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0A19B344" w14:textId="5931DFA8" w:rsidR="001B0197" w:rsidRDefault="001B0197"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T</w:t>
      </w:r>
      <w:r w:rsidR="00DB4AAC" w:rsidRPr="00D61E94">
        <w:rPr>
          <w:rFonts w:ascii="Times New Roman" w:hAnsi="Times New Roman"/>
          <w:sz w:val="24"/>
          <w:szCs w:val="24"/>
          <w:lang w:eastAsia="zh-HK"/>
        </w:rPr>
        <w:t>he Board does not consider that forgetfulness on the Appellant’s part in filing a notice of appeal within the statutory period is a reasonable cause for the Board to exercise its discretion under section 66</w:t>
      </w:r>
      <w:r w:rsidR="00DF151E" w:rsidRPr="00D61E94">
        <w:rPr>
          <w:rFonts w:ascii="Times New Roman" w:hAnsi="Times New Roman"/>
          <w:sz w:val="24"/>
          <w:szCs w:val="24"/>
          <w:lang w:eastAsia="zh-HK"/>
        </w:rPr>
        <w:t>(1A)</w:t>
      </w:r>
      <w:r w:rsidR="00DB4AAC" w:rsidRPr="00D61E94">
        <w:rPr>
          <w:rFonts w:ascii="Times New Roman" w:hAnsi="Times New Roman"/>
          <w:sz w:val="24"/>
          <w:szCs w:val="24"/>
          <w:lang w:eastAsia="zh-HK"/>
        </w:rPr>
        <w:t xml:space="preserve"> of the Ordinance to extend the filing period for the Appellant.</w:t>
      </w:r>
    </w:p>
    <w:p w14:paraId="695E0A2B"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5C8F4226" w14:textId="63F54E2B" w:rsidR="008C61D3" w:rsidRDefault="008C61D3"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We do not know whether the decision of </w:t>
      </w:r>
      <w:r w:rsidRPr="00690954">
        <w:rPr>
          <w:rFonts w:ascii="Times New Roman" w:hAnsi="Times New Roman"/>
          <w:iCs/>
          <w:sz w:val="24"/>
          <w:szCs w:val="24"/>
          <w:u w:val="single"/>
          <w:lang w:eastAsia="zh-HK"/>
        </w:rPr>
        <w:t>Leung Ka Lau</w:t>
      </w:r>
      <w:r w:rsidRPr="00690954">
        <w:rPr>
          <w:rFonts w:ascii="Times New Roman" w:hAnsi="Times New Roman"/>
          <w:iCs/>
          <w:sz w:val="24"/>
          <w:szCs w:val="24"/>
          <w:lang w:eastAsia="zh-HK"/>
        </w:rPr>
        <w:t>’s case</w:t>
      </w:r>
      <w:r w:rsidRPr="00690954">
        <w:rPr>
          <w:rFonts w:ascii="Times New Roman" w:hAnsi="Times New Roman"/>
          <w:sz w:val="24"/>
          <w:szCs w:val="24"/>
          <w:lang w:eastAsia="zh-HK"/>
        </w:rPr>
        <w:t xml:space="preserve"> </w:t>
      </w:r>
      <w:r w:rsidRPr="00D61E94">
        <w:rPr>
          <w:rFonts w:ascii="Times New Roman" w:hAnsi="Times New Roman"/>
          <w:sz w:val="24"/>
          <w:szCs w:val="24"/>
          <w:lang w:eastAsia="zh-HK"/>
        </w:rPr>
        <w:t>would assist the Appellant in its appeal proper (if there were a valid</w:t>
      </w:r>
      <w:r w:rsidR="00BA3764">
        <w:rPr>
          <w:rFonts w:ascii="Times New Roman" w:hAnsi="Times New Roman"/>
          <w:sz w:val="24"/>
          <w:szCs w:val="24"/>
          <w:lang w:eastAsia="zh-HK"/>
        </w:rPr>
        <w:t xml:space="preserve"> appeal proceeding in the Board</w:t>
      </w:r>
      <w:r w:rsidRPr="00D61E94">
        <w:rPr>
          <w:rFonts w:ascii="Times New Roman" w:hAnsi="Times New Roman"/>
          <w:sz w:val="24"/>
          <w:szCs w:val="24"/>
          <w:lang w:eastAsia="zh-HK"/>
        </w:rPr>
        <w:t>)</w:t>
      </w:r>
      <w:r w:rsidR="00740E71" w:rsidRPr="00D61E94">
        <w:rPr>
          <w:rFonts w:ascii="Times New Roman" w:hAnsi="Times New Roman"/>
          <w:sz w:val="24"/>
          <w:szCs w:val="24"/>
          <w:lang w:eastAsia="zh-HK"/>
        </w:rPr>
        <w:t>. T</w:t>
      </w:r>
      <w:r w:rsidRPr="00D61E94">
        <w:rPr>
          <w:rFonts w:ascii="Times New Roman" w:hAnsi="Times New Roman"/>
          <w:sz w:val="24"/>
          <w:szCs w:val="24"/>
          <w:lang w:eastAsia="zh-HK"/>
        </w:rPr>
        <w:t xml:space="preserve">he Board for the time being is to consider the Appellant’s application for an extension of time to file a notice of appeal and </w:t>
      </w:r>
      <w:r w:rsidR="00740E71" w:rsidRPr="00D61E94">
        <w:rPr>
          <w:rFonts w:ascii="Times New Roman" w:hAnsi="Times New Roman"/>
          <w:sz w:val="24"/>
          <w:szCs w:val="24"/>
          <w:lang w:eastAsia="zh-HK"/>
        </w:rPr>
        <w:t xml:space="preserve">is not to </w:t>
      </w:r>
      <w:r w:rsidRPr="00D61E94">
        <w:rPr>
          <w:rFonts w:ascii="Times New Roman" w:hAnsi="Times New Roman"/>
          <w:sz w:val="24"/>
          <w:szCs w:val="24"/>
          <w:lang w:eastAsia="zh-HK"/>
        </w:rPr>
        <w:t xml:space="preserve">consider the merit of the appeal proper. </w:t>
      </w:r>
    </w:p>
    <w:p w14:paraId="54A85781"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6DDC34F3" w14:textId="08CD3BF8" w:rsidR="008C61D3" w:rsidRDefault="008C61D3"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For discussion purpose, even if we assume that the decision of </w:t>
      </w:r>
      <w:r w:rsidRPr="00690954">
        <w:rPr>
          <w:rFonts w:ascii="Times New Roman" w:hAnsi="Times New Roman"/>
          <w:iCs/>
          <w:sz w:val="24"/>
          <w:szCs w:val="24"/>
          <w:u w:val="single"/>
          <w:lang w:eastAsia="zh-HK"/>
        </w:rPr>
        <w:t>Leung Ka Lau</w:t>
      </w:r>
      <w:r w:rsidRPr="00690954">
        <w:rPr>
          <w:rFonts w:ascii="Times New Roman" w:hAnsi="Times New Roman"/>
          <w:iCs/>
          <w:sz w:val="24"/>
          <w:szCs w:val="24"/>
          <w:lang w:eastAsia="zh-HK"/>
        </w:rPr>
        <w:t>’s case</w:t>
      </w:r>
      <w:r w:rsidRPr="00D61E94">
        <w:rPr>
          <w:rFonts w:ascii="Times New Roman" w:hAnsi="Times New Roman"/>
          <w:sz w:val="24"/>
          <w:szCs w:val="24"/>
          <w:lang w:eastAsia="zh-HK"/>
        </w:rPr>
        <w:t xml:space="preserve"> may assist the Appellant’s appeal proper, the case is not yet finalized. As submitted by the Respondent, the Respondent has filed a notice of appeal to the Court of Appeal agains</w:t>
      </w:r>
      <w:r w:rsidR="00BE3839" w:rsidRPr="00D61E94">
        <w:rPr>
          <w:rFonts w:ascii="Times New Roman" w:hAnsi="Times New Roman"/>
          <w:sz w:val="24"/>
          <w:szCs w:val="24"/>
          <w:lang w:eastAsia="zh-HK"/>
        </w:rPr>
        <w:t xml:space="preserve">t the decision of the Court of First Instance. The appeal case is assigned the case number of CACV </w:t>
      </w:r>
      <w:r w:rsidR="00A749E1" w:rsidRPr="00D61E94">
        <w:rPr>
          <w:rFonts w:ascii="Times New Roman" w:hAnsi="Times New Roman"/>
          <w:sz w:val="24"/>
          <w:szCs w:val="24"/>
          <w:lang w:eastAsia="zh-HK"/>
        </w:rPr>
        <w:t>278/2021</w:t>
      </w:r>
      <w:r w:rsidR="00BE3839" w:rsidRPr="00D61E94">
        <w:rPr>
          <w:rFonts w:ascii="Times New Roman" w:hAnsi="Times New Roman"/>
          <w:sz w:val="24"/>
          <w:szCs w:val="24"/>
          <w:lang w:eastAsia="zh-HK"/>
        </w:rPr>
        <w:t>.</w:t>
      </w:r>
    </w:p>
    <w:p w14:paraId="774ED013"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08EF7CEF" w14:textId="4EB17FDB" w:rsidR="00BE3839" w:rsidRPr="00D61E94" w:rsidRDefault="00BE3839"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In paragraph 55 of its decision in </w:t>
      </w:r>
      <w:r w:rsidRPr="00690954">
        <w:rPr>
          <w:rFonts w:ascii="Times New Roman" w:hAnsi="Times New Roman"/>
          <w:iCs/>
          <w:sz w:val="24"/>
          <w:szCs w:val="24"/>
          <w:u w:val="single"/>
          <w:lang w:eastAsia="zh-HK"/>
        </w:rPr>
        <w:t>Chau Cheuk Yiu v Poon Kit Sang</w:t>
      </w:r>
      <w:r w:rsidRPr="00D61E94">
        <w:rPr>
          <w:rFonts w:ascii="Times New Roman" w:hAnsi="Times New Roman"/>
          <w:sz w:val="24"/>
          <w:szCs w:val="24"/>
          <w:lang w:eastAsia="zh-HK"/>
        </w:rPr>
        <w:t>, the Court of Final Appeal said</w:t>
      </w:r>
      <w:r w:rsidR="00586E8E" w:rsidRPr="00D61E94">
        <w:rPr>
          <w:rFonts w:ascii="Times New Roman" w:hAnsi="Times New Roman"/>
          <w:sz w:val="24"/>
          <w:szCs w:val="24"/>
          <w:lang w:eastAsia="zh-HK"/>
        </w:rPr>
        <w:t>:</w:t>
      </w:r>
      <w:r w:rsidRPr="00D61E94">
        <w:rPr>
          <w:rFonts w:ascii="Times New Roman" w:hAnsi="Times New Roman"/>
          <w:sz w:val="24"/>
          <w:szCs w:val="24"/>
          <w:lang w:eastAsia="zh-HK"/>
        </w:rPr>
        <w:t xml:space="preserve"> </w:t>
      </w:r>
    </w:p>
    <w:p w14:paraId="752D8D40" w14:textId="77777777" w:rsidR="00690954" w:rsidRDefault="00690954" w:rsidP="00D61E94">
      <w:pPr>
        <w:pStyle w:val="a3"/>
        <w:overflowPunct w:val="0"/>
        <w:autoSpaceDE w:val="0"/>
        <w:autoSpaceDN w:val="0"/>
        <w:spacing w:after="0" w:line="240" w:lineRule="auto"/>
        <w:ind w:left="810"/>
        <w:contextualSpacing w:val="0"/>
        <w:jc w:val="both"/>
        <w:rPr>
          <w:rFonts w:ascii="Times New Roman" w:hAnsi="Times New Roman"/>
          <w:i/>
          <w:iCs/>
          <w:sz w:val="24"/>
          <w:szCs w:val="24"/>
          <w:lang w:eastAsia="zh-HK"/>
        </w:rPr>
      </w:pPr>
    </w:p>
    <w:p w14:paraId="785299D1" w14:textId="0CB7B31D" w:rsidR="00BE3839" w:rsidRDefault="00690954" w:rsidP="00690954">
      <w:pPr>
        <w:pStyle w:val="a3"/>
        <w:overflowPunct w:val="0"/>
        <w:autoSpaceDE w:val="0"/>
        <w:autoSpaceDN w:val="0"/>
        <w:spacing w:after="0" w:line="240" w:lineRule="auto"/>
        <w:ind w:leftChars="638" w:left="1404"/>
        <w:contextualSpacing w:val="0"/>
        <w:jc w:val="both"/>
        <w:rPr>
          <w:rFonts w:ascii="Times New Roman" w:hAnsi="Times New Roman"/>
          <w:i/>
          <w:iCs/>
          <w:sz w:val="24"/>
          <w:szCs w:val="24"/>
          <w:lang w:eastAsia="zh-HK"/>
        </w:rPr>
      </w:pPr>
      <w:r>
        <w:rPr>
          <w:rFonts w:ascii="Times New Roman" w:hAnsi="Times New Roman"/>
          <w:iCs/>
          <w:sz w:val="24"/>
          <w:szCs w:val="24"/>
          <w:lang w:eastAsia="zh-HK"/>
        </w:rPr>
        <w:t>‘</w:t>
      </w:r>
      <w:r w:rsidR="00BE3839" w:rsidRPr="00D61E94">
        <w:rPr>
          <w:rFonts w:ascii="Times New Roman" w:hAnsi="Times New Roman"/>
          <w:i/>
          <w:iCs/>
          <w:sz w:val="24"/>
          <w:szCs w:val="24"/>
          <w:lang w:eastAsia="zh-HK"/>
        </w:rPr>
        <w:t>It is acknowledged that in the majority of cases, this principle</w:t>
      </w:r>
      <w:r w:rsidR="00586E8E" w:rsidRPr="00D61E94">
        <w:rPr>
          <w:rStyle w:val="a7"/>
          <w:rFonts w:ascii="Times New Roman" w:hAnsi="Times New Roman"/>
          <w:i/>
          <w:iCs/>
          <w:sz w:val="24"/>
          <w:szCs w:val="24"/>
          <w:lang w:eastAsia="zh-HK"/>
        </w:rPr>
        <w:footnoteReference w:id="1"/>
      </w:r>
      <w:r w:rsidR="00BE3839" w:rsidRPr="00D61E94">
        <w:rPr>
          <w:rFonts w:ascii="Times New Roman" w:hAnsi="Times New Roman"/>
          <w:i/>
          <w:iCs/>
          <w:sz w:val="24"/>
          <w:szCs w:val="24"/>
          <w:lang w:eastAsia="zh-HK"/>
        </w:rPr>
        <w:t xml:space="preserve"> may create </w:t>
      </w:r>
      <w:r w:rsidR="00586E8E" w:rsidRPr="00D61E94">
        <w:rPr>
          <w:rFonts w:ascii="Times New Roman" w:hAnsi="Times New Roman"/>
          <w:i/>
          <w:iCs/>
          <w:sz w:val="24"/>
          <w:szCs w:val="24"/>
          <w:lang w:eastAsia="zh-HK"/>
        </w:rPr>
        <w:t>a sense of grievance for the parties concerned. However,</w:t>
      </w:r>
      <w:r w:rsidR="00BE3839" w:rsidRPr="00D61E94">
        <w:rPr>
          <w:rFonts w:ascii="Times New Roman" w:hAnsi="Times New Roman"/>
          <w:i/>
          <w:iCs/>
          <w:sz w:val="24"/>
          <w:szCs w:val="24"/>
          <w:lang w:eastAsia="zh-HK"/>
        </w:rPr>
        <w:t xml:space="preserve"> the finality principle is considered as of such critical importance to the overall administration of the justice system that </w:t>
      </w:r>
      <w:r w:rsidR="00586E8E" w:rsidRPr="00D61E94">
        <w:rPr>
          <w:rFonts w:ascii="Times New Roman" w:hAnsi="Times New Roman"/>
          <w:i/>
          <w:iCs/>
          <w:sz w:val="24"/>
          <w:szCs w:val="24"/>
          <w:lang w:eastAsia="zh-HK"/>
        </w:rPr>
        <w:t>this factor outweighs other factor save in exceptional circumstances in which case extension should be granted. Where such exceptional circumstances exist, one would expect that they would be plain and obvious and readily identifiable.</w:t>
      </w:r>
      <w:r>
        <w:rPr>
          <w:rFonts w:ascii="Times New Roman" w:hAnsi="Times New Roman"/>
          <w:iCs/>
          <w:sz w:val="24"/>
          <w:szCs w:val="24"/>
          <w:lang w:eastAsia="zh-HK"/>
        </w:rPr>
        <w:t>’</w:t>
      </w:r>
    </w:p>
    <w:p w14:paraId="1D4CD559" w14:textId="77777777" w:rsidR="00690954" w:rsidRPr="00D61E94" w:rsidRDefault="00690954" w:rsidP="00D61E94">
      <w:pPr>
        <w:pStyle w:val="a3"/>
        <w:overflowPunct w:val="0"/>
        <w:autoSpaceDE w:val="0"/>
        <w:autoSpaceDN w:val="0"/>
        <w:spacing w:after="0" w:line="240" w:lineRule="auto"/>
        <w:ind w:left="810"/>
        <w:contextualSpacing w:val="0"/>
        <w:jc w:val="both"/>
        <w:rPr>
          <w:rFonts w:ascii="Times New Roman" w:hAnsi="Times New Roman"/>
          <w:i/>
          <w:iCs/>
          <w:sz w:val="24"/>
          <w:szCs w:val="24"/>
          <w:lang w:eastAsia="zh-HK"/>
        </w:rPr>
      </w:pPr>
    </w:p>
    <w:p w14:paraId="57D1B50C" w14:textId="4FC5FB42" w:rsidR="00DB4AAC" w:rsidRPr="00D61E94" w:rsidRDefault="00B10908"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lastRenderedPageBreak/>
        <w:t xml:space="preserve">In its decision in </w:t>
      </w:r>
      <w:r w:rsidRPr="00690954">
        <w:rPr>
          <w:rFonts w:ascii="Times New Roman" w:hAnsi="Times New Roman"/>
          <w:iCs/>
          <w:sz w:val="24"/>
          <w:szCs w:val="24"/>
          <w:u w:val="single"/>
          <w:lang w:eastAsia="zh-HK"/>
        </w:rPr>
        <w:t>Excelter Investment Limited v I</w:t>
      </w:r>
      <w:r w:rsidR="00A749E1" w:rsidRPr="00690954">
        <w:rPr>
          <w:rFonts w:ascii="Times New Roman" w:hAnsi="Times New Roman"/>
          <w:iCs/>
          <w:sz w:val="24"/>
          <w:szCs w:val="24"/>
          <w:u w:val="single"/>
          <w:lang w:eastAsia="zh-HK"/>
        </w:rPr>
        <w:t>nland Revenue Board of Review</w:t>
      </w:r>
      <w:r w:rsidRPr="00D61E94">
        <w:rPr>
          <w:rFonts w:ascii="Times New Roman" w:hAnsi="Times New Roman"/>
          <w:sz w:val="24"/>
          <w:szCs w:val="24"/>
          <w:lang w:eastAsia="zh-HK"/>
        </w:rPr>
        <w:t xml:space="preserve"> [2021] HKCA 1049, Barma JA said in paragraph 23:</w:t>
      </w:r>
    </w:p>
    <w:p w14:paraId="3064EF7E" w14:textId="77777777" w:rsidR="00EE5459" w:rsidRDefault="00EE5459" w:rsidP="00690954">
      <w:pPr>
        <w:pStyle w:val="a3"/>
        <w:overflowPunct w:val="0"/>
        <w:autoSpaceDE w:val="0"/>
        <w:autoSpaceDN w:val="0"/>
        <w:spacing w:after="0" w:line="240" w:lineRule="auto"/>
        <w:ind w:leftChars="638" w:left="1404"/>
        <w:contextualSpacing w:val="0"/>
        <w:jc w:val="both"/>
        <w:rPr>
          <w:rFonts w:ascii="Times New Roman" w:hAnsi="Times New Roman"/>
          <w:iCs/>
          <w:sz w:val="24"/>
          <w:szCs w:val="24"/>
          <w:lang w:eastAsia="zh-HK"/>
        </w:rPr>
      </w:pPr>
    </w:p>
    <w:p w14:paraId="792027F3" w14:textId="2D7303C9" w:rsidR="008C61D3" w:rsidRDefault="00690954" w:rsidP="00690954">
      <w:pPr>
        <w:pStyle w:val="a3"/>
        <w:overflowPunct w:val="0"/>
        <w:autoSpaceDE w:val="0"/>
        <w:autoSpaceDN w:val="0"/>
        <w:spacing w:after="0" w:line="240" w:lineRule="auto"/>
        <w:ind w:leftChars="638" w:left="1404"/>
        <w:contextualSpacing w:val="0"/>
        <w:jc w:val="both"/>
        <w:rPr>
          <w:rFonts w:ascii="Times New Roman" w:hAnsi="Times New Roman"/>
          <w:sz w:val="24"/>
          <w:szCs w:val="24"/>
          <w:lang w:eastAsia="zh-HK"/>
        </w:rPr>
      </w:pPr>
      <w:r w:rsidRPr="00690954">
        <w:rPr>
          <w:rFonts w:ascii="Times New Roman" w:hAnsi="Times New Roman"/>
          <w:iCs/>
          <w:sz w:val="24"/>
          <w:szCs w:val="24"/>
          <w:lang w:eastAsia="zh-HK"/>
        </w:rPr>
        <w:t>‘</w:t>
      </w:r>
      <w:r w:rsidR="008C61D3" w:rsidRPr="00690954">
        <w:rPr>
          <w:rFonts w:ascii="Times New Roman" w:hAnsi="Times New Roman"/>
          <w:iCs/>
          <w:sz w:val="24"/>
          <w:szCs w:val="24"/>
          <w:lang w:eastAsia="zh-HK"/>
        </w:rPr>
        <w:t>…</w:t>
      </w:r>
      <w:r w:rsidR="008C61D3" w:rsidRPr="00D61E94">
        <w:rPr>
          <w:rFonts w:ascii="Times New Roman" w:hAnsi="Times New Roman"/>
          <w:sz w:val="24"/>
          <w:szCs w:val="24"/>
          <w:lang w:eastAsia="zh-HK"/>
        </w:rPr>
        <w:t xml:space="preserve">. </w:t>
      </w:r>
      <w:r w:rsidR="008C61D3" w:rsidRPr="00D61E94">
        <w:rPr>
          <w:rFonts w:ascii="Times New Roman" w:hAnsi="Times New Roman"/>
          <w:i/>
          <w:iCs/>
          <w:sz w:val="24"/>
          <w:szCs w:val="24"/>
          <w:lang w:eastAsia="zh-HK"/>
        </w:rPr>
        <w:t>The focus is on the reasons why the appellant taxpayer was prevented from filing a compliant notice of appeal on time. Absent a qualifying reason (appellant’s illness, appellant’s absence from Hong Kong, or some other reasonable cause) which prevented the filing of such notice, the Board of Review has no power to extend time.</w:t>
      </w:r>
      <w:r w:rsidR="008C61D3" w:rsidRPr="00D61E94">
        <w:rPr>
          <w:rFonts w:ascii="Times New Roman" w:hAnsi="Times New Roman"/>
          <w:sz w:val="24"/>
          <w:szCs w:val="24"/>
          <w:lang w:eastAsia="zh-HK"/>
        </w:rPr>
        <w:t xml:space="preserve"> </w:t>
      </w:r>
      <w:r w:rsidR="008C61D3" w:rsidRPr="00D61E94">
        <w:rPr>
          <w:rFonts w:ascii="Times New Roman" w:hAnsi="Times New Roman"/>
          <w:i/>
          <w:iCs/>
          <w:sz w:val="24"/>
          <w:szCs w:val="24"/>
          <w:u w:val="single"/>
          <w:lang w:eastAsia="zh-HK"/>
        </w:rPr>
        <w:t xml:space="preserve">The grounds of the taxpayer’s appeal, and its merit are not matters that relate to the reasons for his being prevented from filing a timely notice, and as such are not a relevant matter consideration </w:t>
      </w:r>
      <w:r w:rsidR="008C61D3" w:rsidRPr="00D61E94">
        <w:rPr>
          <w:rFonts w:ascii="Times New Roman" w:hAnsi="Times New Roman"/>
          <w:sz w:val="24"/>
          <w:szCs w:val="24"/>
          <w:lang w:eastAsia="zh-HK"/>
        </w:rPr>
        <w:t>(our emphasis)</w:t>
      </w:r>
      <w:r w:rsidR="00DF151E" w:rsidRPr="00D61E94">
        <w:rPr>
          <w:rFonts w:ascii="Times New Roman" w:hAnsi="Times New Roman"/>
          <w:sz w:val="24"/>
          <w:szCs w:val="24"/>
          <w:lang w:eastAsia="zh-HK"/>
        </w:rPr>
        <w:t>.</w:t>
      </w:r>
      <w:r>
        <w:rPr>
          <w:rFonts w:ascii="Times New Roman" w:hAnsi="Times New Roman"/>
          <w:sz w:val="24"/>
          <w:szCs w:val="24"/>
          <w:lang w:eastAsia="zh-HK"/>
        </w:rPr>
        <w:t>’</w:t>
      </w:r>
    </w:p>
    <w:p w14:paraId="7BFBF6D9" w14:textId="77777777" w:rsidR="00690954" w:rsidRPr="00D61E94" w:rsidRDefault="00690954" w:rsidP="00D61E94">
      <w:pPr>
        <w:pStyle w:val="a3"/>
        <w:overflowPunct w:val="0"/>
        <w:autoSpaceDE w:val="0"/>
        <w:autoSpaceDN w:val="0"/>
        <w:spacing w:after="0" w:line="240" w:lineRule="auto"/>
        <w:ind w:left="900" w:hanging="540"/>
        <w:jc w:val="both"/>
        <w:rPr>
          <w:rFonts w:ascii="Times New Roman" w:hAnsi="Times New Roman"/>
          <w:sz w:val="24"/>
          <w:szCs w:val="24"/>
          <w:lang w:eastAsia="zh-HK"/>
        </w:rPr>
      </w:pPr>
    </w:p>
    <w:p w14:paraId="3D6C26FA" w14:textId="736F8B6D" w:rsidR="008C61D3" w:rsidRDefault="008C61D3" w:rsidP="0069095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 xml:space="preserve">By reason of the aforesaid, </w:t>
      </w:r>
      <w:r w:rsidR="00586E8E" w:rsidRPr="00D61E94">
        <w:rPr>
          <w:rFonts w:ascii="Times New Roman" w:hAnsi="Times New Roman"/>
          <w:sz w:val="24"/>
          <w:szCs w:val="24"/>
          <w:lang w:eastAsia="zh-HK"/>
        </w:rPr>
        <w:t xml:space="preserve">even if </w:t>
      </w:r>
      <w:r w:rsidR="00586E8E" w:rsidRPr="002A36D7">
        <w:rPr>
          <w:rFonts w:ascii="Times New Roman" w:hAnsi="Times New Roman"/>
          <w:iCs/>
          <w:sz w:val="24"/>
          <w:szCs w:val="24"/>
          <w:u w:val="single"/>
          <w:lang w:eastAsia="zh-HK"/>
        </w:rPr>
        <w:t>Leung Ka Lau</w:t>
      </w:r>
      <w:r w:rsidR="00740E71" w:rsidRPr="002A36D7">
        <w:rPr>
          <w:rFonts w:ascii="Times New Roman" w:hAnsi="Times New Roman"/>
          <w:iCs/>
          <w:sz w:val="24"/>
          <w:szCs w:val="24"/>
          <w:lang w:eastAsia="zh-HK"/>
        </w:rPr>
        <w:t>’s case</w:t>
      </w:r>
      <w:r w:rsidR="00586E8E" w:rsidRPr="00D61E94">
        <w:rPr>
          <w:rFonts w:ascii="Times New Roman" w:hAnsi="Times New Roman"/>
          <w:sz w:val="24"/>
          <w:szCs w:val="24"/>
          <w:lang w:eastAsia="zh-HK"/>
        </w:rPr>
        <w:t xml:space="preserve"> could, on current status, assist the Appellant, it is not finally decided. The Board should not take this case into consideration. Even if it were finally decided in favor of the Appellant, </w:t>
      </w:r>
      <w:r w:rsidR="00B65347" w:rsidRPr="00D61E94">
        <w:rPr>
          <w:rFonts w:ascii="Times New Roman" w:hAnsi="Times New Roman"/>
          <w:sz w:val="24"/>
          <w:szCs w:val="24"/>
          <w:lang w:eastAsia="zh-HK"/>
        </w:rPr>
        <w:t xml:space="preserve">for finality principle, </w:t>
      </w:r>
      <w:r w:rsidR="00586E8E" w:rsidRPr="00D61E94">
        <w:rPr>
          <w:rFonts w:ascii="Times New Roman" w:hAnsi="Times New Roman"/>
          <w:sz w:val="24"/>
          <w:szCs w:val="24"/>
          <w:lang w:eastAsia="zh-HK"/>
        </w:rPr>
        <w:t xml:space="preserve">it remains </w:t>
      </w:r>
      <w:r w:rsidR="006C2C77" w:rsidRPr="00D61E94">
        <w:rPr>
          <w:rFonts w:ascii="Times New Roman" w:hAnsi="Times New Roman"/>
          <w:sz w:val="24"/>
          <w:szCs w:val="24"/>
          <w:lang w:eastAsia="zh-HK"/>
        </w:rPr>
        <w:t>the Appellant’s duty to show any exceptional circumstances to justify the Board to give an extension of time to him. In this connection, we agree with the Respondent’s submission that the Appellant did not show the existence of</w:t>
      </w:r>
      <w:r w:rsidR="00690954">
        <w:rPr>
          <w:rFonts w:ascii="Times New Roman" w:hAnsi="Times New Roman"/>
          <w:sz w:val="24"/>
          <w:szCs w:val="24"/>
          <w:lang w:eastAsia="zh-HK"/>
        </w:rPr>
        <w:t xml:space="preserve"> any exceptional circumstances.</w:t>
      </w:r>
    </w:p>
    <w:p w14:paraId="1944C152" w14:textId="77777777" w:rsidR="00690954" w:rsidRPr="00D61E94" w:rsidRDefault="00690954" w:rsidP="00690954">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B92A627" w14:textId="61D95521" w:rsidR="00223563" w:rsidRPr="00690954" w:rsidRDefault="00B65347" w:rsidP="00D61E94">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D61E94">
        <w:rPr>
          <w:rFonts w:ascii="Times New Roman" w:hAnsi="Times New Roman"/>
          <w:sz w:val="24"/>
          <w:szCs w:val="24"/>
          <w:lang w:eastAsia="zh-HK"/>
        </w:rPr>
        <w:t>Having said</w:t>
      </w:r>
      <w:r w:rsidR="00740E71" w:rsidRPr="00D61E94">
        <w:rPr>
          <w:rFonts w:ascii="Times New Roman" w:hAnsi="Times New Roman"/>
          <w:sz w:val="24"/>
          <w:szCs w:val="24"/>
          <w:lang w:eastAsia="zh-HK"/>
        </w:rPr>
        <w:t xml:space="preserve"> the above</w:t>
      </w:r>
      <w:r w:rsidRPr="00D61E94">
        <w:rPr>
          <w:rFonts w:ascii="Times New Roman" w:hAnsi="Times New Roman"/>
          <w:sz w:val="24"/>
          <w:szCs w:val="24"/>
          <w:lang w:eastAsia="zh-HK"/>
        </w:rPr>
        <w:t>, it</w:t>
      </w:r>
      <w:r w:rsidR="006C2C77" w:rsidRPr="00D61E94">
        <w:rPr>
          <w:rFonts w:ascii="Times New Roman" w:hAnsi="Times New Roman"/>
          <w:sz w:val="24"/>
          <w:szCs w:val="24"/>
          <w:lang w:eastAsia="zh-HK"/>
        </w:rPr>
        <w:t xml:space="preserve"> follows that </w:t>
      </w:r>
      <w:r w:rsidR="00F77D1C" w:rsidRPr="00D61E94">
        <w:rPr>
          <w:rFonts w:ascii="Times New Roman" w:hAnsi="Times New Roman"/>
          <w:sz w:val="24"/>
          <w:szCs w:val="24"/>
          <w:lang w:eastAsia="zh-HK"/>
        </w:rPr>
        <w:t>the</w:t>
      </w:r>
      <w:r w:rsidRPr="00D61E94">
        <w:rPr>
          <w:rFonts w:ascii="Times New Roman" w:hAnsi="Times New Roman"/>
          <w:sz w:val="24"/>
          <w:szCs w:val="24"/>
          <w:lang w:eastAsia="zh-HK"/>
        </w:rPr>
        <w:t>re is</w:t>
      </w:r>
      <w:r w:rsidR="00F77D1C" w:rsidRPr="00D61E94">
        <w:rPr>
          <w:rFonts w:ascii="Times New Roman" w:hAnsi="Times New Roman"/>
          <w:sz w:val="24"/>
          <w:szCs w:val="24"/>
          <w:lang w:eastAsia="zh-HK"/>
        </w:rPr>
        <w:t xml:space="preserve"> only</w:t>
      </w:r>
      <w:r w:rsidRPr="00D61E94">
        <w:rPr>
          <w:rFonts w:ascii="Times New Roman" w:hAnsi="Times New Roman"/>
          <w:sz w:val="24"/>
          <w:szCs w:val="24"/>
          <w:lang w:eastAsia="zh-HK"/>
        </w:rPr>
        <w:t xml:space="preserve"> one </w:t>
      </w:r>
      <w:r w:rsidR="00F77D1C" w:rsidRPr="00D61E94">
        <w:rPr>
          <w:rFonts w:ascii="Times New Roman" w:hAnsi="Times New Roman"/>
          <w:sz w:val="24"/>
          <w:szCs w:val="24"/>
          <w:lang w:eastAsia="zh-HK"/>
        </w:rPr>
        <w:t xml:space="preserve">option for the </w:t>
      </w:r>
      <w:r w:rsidR="006C2C77" w:rsidRPr="00D61E94">
        <w:rPr>
          <w:rFonts w:ascii="Times New Roman" w:hAnsi="Times New Roman"/>
          <w:sz w:val="24"/>
          <w:szCs w:val="24"/>
          <w:lang w:eastAsia="zh-HK"/>
        </w:rPr>
        <w:t xml:space="preserve">Board </w:t>
      </w:r>
      <w:r w:rsidR="00F77D1C" w:rsidRPr="00D61E94">
        <w:rPr>
          <w:rFonts w:ascii="Times New Roman" w:hAnsi="Times New Roman"/>
          <w:sz w:val="24"/>
          <w:szCs w:val="24"/>
          <w:lang w:eastAsia="zh-HK"/>
        </w:rPr>
        <w:t xml:space="preserve">to make </w:t>
      </w:r>
      <w:r w:rsidRPr="00D61E94">
        <w:rPr>
          <w:rFonts w:ascii="Times New Roman" w:hAnsi="Times New Roman"/>
          <w:sz w:val="24"/>
          <w:szCs w:val="24"/>
          <w:lang w:eastAsia="zh-HK"/>
        </w:rPr>
        <w:t xml:space="preserve">in the Appellant’s application for extension of time. The Board </w:t>
      </w:r>
      <w:r w:rsidR="006C2C77" w:rsidRPr="00D61E94">
        <w:rPr>
          <w:rFonts w:ascii="Times New Roman" w:hAnsi="Times New Roman"/>
          <w:sz w:val="24"/>
          <w:szCs w:val="24"/>
          <w:lang w:eastAsia="zh-HK"/>
        </w:rPr>
        <w:t>refuse</w:t>
      </w:r>
      <w:r w:rsidRPr="00D61E94">
        <w:rPr>
          <w:rFonts w:ascii="Times New Roman" w:hAnsi="Times New Roman"/>
          <w:sz w:val="24"/>
          <w:szCs w:val="24"/>
          <w:lang w:eastAsia="zh-HK"/>
        </w:rPr>
        <w:t>s</w:t>
      </w:r>
      <w:r w:rsidR="006C2C77" w:rsidRPr="00D61E94">
        <w:rPr>
          <w:rFonts w:ascii="Times New Roman" w:hAnsi="Times New Roman"/>
          <w:sz w:val="24"/>
          <w:szCs w:val="24"/>
          <w:lang w:eastAsia="zh-HK"/>
        </w:rPr>
        <w:t xml:space="preserve"> to exercise its discretion under section 66(1A) of the Ordinance </w:t>
      </w:r>
      <w:r w:rsidRPr="00D61E94">
        <w:rPr>
          <w:rFonts w:ascii="Times New Roman" w:hAnsi="Times New Roman"/>
          <w:sz w:val="24"/>
          <w:szCs w:val="24"/>
          <w:lang w:eastAsia="zh-HK"/>
        </w:rPr>
        <w:t xml:space="preserve">in favor of the Appellant </w:t>
      </w:r>
      <w:r w:rsidR="006C2C77" w:rsidRPr="00D61E94">
        <w:rPr>
          <w:rFonts w:ascii="Times New Roman" w:hAnsi="Times New Roman"/>
          <w:sz w:val="24"/>
          <w:szCs w:val="24"/>
          <w:lang w:eastAsia="zh-HK"/>
        </w:rPr>
        <w:t xml:space="preserve">to extend the time </w:t>
      </w:r>
      <w:r w:rsidRPr="00D61E94">
        <w:rPr>
          <w:rFonts w:ascii="Times New Roman" w:hAnsi="Times New Roman"/>
          <w:sz w:val="24"/>
          <w:szCs w:val="24"/>
          <w:lang w:eastAsia="zh-HK"/>
        </w:rPr>
        <w:t>for</w:t>
      </w:r>
      <w:r w:rsidR="006C2C77" w:rsidRPr="00D61E94">
        <w:rPr>
          <w:rFonts w:ascii="Times New Roman" w:hAnsi="Times New Roman"/>
          <w:sz w:val="24"/>
          <w:szCs w:val="24"/>
          <w:lang w:eastAsia="zh-HK"/>
        </w:rPr>
        <w:t xml:space="preserve"> the Appellant to file his notice of appeal under section 66(1) of the Ordinance.</w:t>
      </w:r>
    </w:p>
    <w:sectPr w:rsidR="00223563" w:rsidRPr="00690954" w:rsidSect="005E536F">
      <w:headerReference w:type="default" r:id="rId8"/>
      <w:footerReference w:type="default" r:id="rId9"/>
      <w:pgSz w:w="11907" w:h="16840" w:code="9"/>
      <w:pgMar w:top="1985" w:right="1588" w:bottom="1701" w:left="1588" w:header="1361" w:footer="947" w:gutter="0"/>
      <w:pgNumType w:start="4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0B5EE" w14:textId="77777777" w:rsidR="00A240F7" w:rsidRDefault="00A240F7" w:rsidP="006A1DC5">
      <w:pPr>
        <w:spacing w:after="0" w:line="240" w:lineRule="auto"/>
      </w:pPr>
      <w:r>
        <w:separator/>
      </w:r>
    </w:p>
  </w:endnote>
  <w:endnote w:type="continuationSeparator" w:id="0">
    <w:p w14:paraId="5FD68250" w14:textId="77777777" w:rsidR="00A240F7" w:rsidRDefault="00A240F7" w:rsidP="006A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5">
    <w:altName w:val="Arial Unicode MS"/>
    <w:charset w:val="88"/>
    <w:family w:val="script"/>
    <w:pitch w:val="fixed"/>
    <w:sig w:usb0="00000000" w:usb1="29FFFFFF" w:usb2="00000037" w:usb3="00000000" w:csb0="003F00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rFonts w:ascii="Times New Roman" w:hAnsi="Times New Roman"/>
        <w:sz w:val="20"/>
        <w:szCs w:val="20"/>
      </w:rPr>
    </w:sdtEndPr>
    <w:sdtContent>
      <w:p w14:paraId="78A2F564" w14:textId="566A4B4D" w:rsidR="006828AE" w:rsidRPr="00AC562C" w:rsidRDefault="006828AE" w:rsidP="006828AE">
        <w:pPr>
          <w:pStyle w:val="aa"/>
          <w:jc w:val="center"/>
          <w:rPr>
            <w:rFonts w:ascii="Times New Roman" w:hAnsi="Times New Roman"/>
            <w:sz w:val="20"/>
            <w:szCs w:val="20"/>
          </w:rPr>
        </w:pPr>
        <w:r w:rsidRPr="00AC562C">
          <w:rPr>
            <w:rFonts w:ascii="Times New Roman" w:hAnsi="Times New Roman"/>
            <w:sz w:val="20"/>
            <w:szCs w:val="20"/>
          </w:rPr>
          <w:fldChar w:fldCharType="begin"/>
        </w:r>
        <w:r w:rsidRPr="00AC562C">
          <w:rPr>
            <w:rFonts w:ascii="Times New Roman" w:hAnsi="Times New Roman"/>
            <w:sz w:val="20"/>
            <w:szCs w:val="20"/>
          </w:rPr>
          <w:instrText>PAGE   \* MERGEFORMAT</w:instrText>
        </w:r>
        <w:r w:rsidRPr="00AC562C">
          <w:rPr>
            <w:rFonts w:ascii="Times New Roman" w:hAnsi="Times New Roman"/>
            <w:sz w:val="20"/>
            <w:szCs w:val="20"/>
          </w:rPr>
          <w:fldChar w:fldCharType="separate"/>
        </w:r>
        <w:r w:rsidR="008A6E1A" w:rsidRPr="008A6E1A">
          <w:rPr>
            <w:rFonts w:ascii="Times New Roman" w:hAnsi="Times New Roman"/>
            <w:noProof/>
            <w:sz w:val="20"/>
            <w:szCs w:val="20"/>
            <w:lang w:val="zh-TW"/>
          </w:rPr>
          <w:t>411</w:t>
        </w:r>
        <w:r w:rsidRPr="00AC562C">
          <w:rPr>
            <w:rFonts w:ascii="Times New Roman" w:hAnsi="Times New Roman"/>
            <w:sz w:val="20"/>
            <w:szCs w:val="20"/>
          </w:rPr>
          <w:fldChar w:fldCharType="end"/>
        </w:r>
      </w:p>
    </w:sdtContent>
  </w:sdt>
  <w:p w14:paraId="1EAD0015" w14:textId="77777777" w:rsidR="006828AE" w:rsidRPr="0084510B" w:rsidRDefault="006828AE" w:rsidP="006828AE">
    <w:pPr>
      <w:pStyle w:val="aa"/>
      <w:tabs>
        <w:tab w:val="clear" w:pos="8640"/>
        <w:tab w:val="center" w:pos="4395"/>
        <w:tab w:val="right" w:pos="8647"/>
      </w:tabs>
      <w:rPr>
        <w:rFonts w:ascii="Times New Roman" w:hAnsi="Times New Roman"/>
        <w:color w:val="FF0000"/>
        <w:sz w:val="5"/>
        <w:szCs w:val="5"/>
      </w:rPr>
    </w:pPr>
  </w:p>
  <w:p w14:paraId="6DE8D7C1" w14:textId="77777777" w:rsidR="006828AE" w:rsidRPr="0084510B" w:rsidRDefault="006828AE" w:rsidP="006828AE">
    <w:pPr>
      <w:pStyle w:val="aa"/>
      <w:tabs>
        <w:tab w:val="clear" w:pos="8640"/>
        <w:tab w:val="center" w:pos="4395"/>
        <w:tab w:val="right" w:pos="8647"/>
      </w:tabs>
      <w:rPr>
        <w:rFonts w:ascii="Times New Roman" w:hAnsi="Times New Roman"/>
        <w:color w:val="FF0000"/>
        <w:sz w:val="6"/>
        <w:szCs w:val="6"/>
      </w:rPr>
    </w:pPr>
  </w:p>
  <w:p w14:paraId="18A9F4D0" w14:textId="77777777" w:rsidR="006828AE" w:rsidRPr="0084510B" w:rsidRDefault="006828AE" w:rsidP="006828AE">
    <w:pPr>
      <w:pStyle w:val="aa"/>
      <w:tabs>
        <w:tab w:val="clear" w:pos="8640"/>
        <w:tab w:val="center" w:pos="4395"/>
        <w:tab w:val="right" w:pos="8647"/>
      </w:tabs>
      <w:rPr>
        <w:rFonts w:ascii="Times New Roman" w:hAnsi="Times New Roman"/>
        <w:color w:val="FF0000"/>
        <w:sz w:val="6"/>
        <w:szCs w:val="6"/>
      </w:rPr>
    </w:pPr>
  </w:p>
  <w:p w14:paraId="7DE5659C" w14:textId="22A68F79" w:rsidR="009D7ACE" w:rsidRPr="00723994" w:rsidRDefault="006828AE" w:rsidP="006828AE">
    <w:pPr>
      <w:pStyle w:val="aa"/>
      <w:tabs>
        <w:tab w:val="clear" w:pos="4320"/>
        <w:tab w:val="center" w:pos="4395"/>
        <w:tab w:val="center" w:pos="4680"/>
        <w:tab w:val="right" w:pos="9360"/>
      </w:tabs>
      <w:rPr>
        <w:rFonts w:eastAsia="DengXian"/>
        <w:sz w:val="20"/>
        <w:szCs w:val="20"/>
        <w:lang w:val="en-HK"/>
      </w:rPr>
    </w:pPr>
    <w:r w:rsidRPr="00723994">
      <w:rPr>
        <w:rFonts w:ascii="Times New Roman" w:eastAsia="DengXian" w:hAnsi="Times New Roman"/>
        <w:sz w:val="20"/>
        <w:szCs w:val="20"/>
      </w:rPr>
      <w:tab/>
      <w:t>Verified Copy</w:t>
    </w:r>
    <w:r w:rsidRPr="00723994">
      <w:rPr>
        <w:rFonts w:ascii="Times New Roman" w:eastAsia="DengXian" w:hAnsi="Times New Roman"/>
        <w:sz w:val="20"/>
        <w:szCs w:val="20"/>
      </w:rPr>
      <w:tab/>
      <w:t xml:space="preserve">Last reviewed date: </w:t>
    </w:r>
    <w:r w:rsidR="00723994">
      <w:rPr>
        <w:rFonts w:ascii="Times New Roman" w:eastAsia="DengXian" w:hAnsi="Times New Roman"/>
        <w:sz w:val="20"/>
        <w:szCs w:val="20"/>
      </w:rPr>
      <w:t>October</w:t>
    </w:r>
    <w:r w:rsidRPr="00723994">
      <w:rPr>
        <w:rFonts w:ascii="Times New Roman" w:eastAsia="DengXian" w:hAnsi="Times New Roman"/>
        <w:sz w:val="20"/>
        <w:szCs w:val="20"/>
      </w:rPr>
      <w:t xml:space="preserve"> 20</w:t>
    </w:r>
    <w:r w:rsidR="00723994">
      <w:rPr>
        <w:rFonts w:ascii="Times New Roman" w:eastAsia="DengXian" w:hAnsi="Times New Roman"/>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BFEE2" w14:textId="77777777" w:rsidR="00A240F7" w:rsidRDefault="00A240F7" w:rsidP="006A1DC5">
      <w:pPr>
        <w:spacing w:after="0" w:line="240" w:lineRule="auto"/>
      </w:pPr>
      <w:r>
        <w:separator/>
      </w:r>
    </w:p>
  </w:footnote>
  <w:footnote w:type="continuationSeparator" w:id="0">
    <w:p w14:paraId="5108A388" w14:textId="77777777" w:rsidR="00A240F7" w:rsidRDefault="00A240F7" w:rsidP="006A1DC5">
      <w:pPr>
        <w:spacing w:after="0" w:line="240" w:lineRule="auto"/>
      </w:pPr>
      <w:r>
        <w:continuationSeparator/>
      </w:r>
    </w:p>
  </w:footnote>
  <w:footnote w:id="1">
    <w:p w14:paraId="48A55196" w14:textId="4820FF7E" w:rsidR="00586E8E" w:rsidRPr="00690954" w:rsidRDefault="00586E8E">
      <w:pPr>
        <w:pStyle w:val="a5"/>
        <w:rPr>
          <w:rFonts w:ascii="Times New Roman" w:hAnsi="Times New Roman"/>
        </w:rPr>
      </w:pPr>
      <w:r w:rsidRPr="00690954">
        <w:rPr>
          <w:rStyle w:val="a7"/>
          <w:rFonts w:ascii="Times New Roman" w:hAnsi="Times New Roman"/>
        </w:rPr>
        <w:footnoteRef/>
      </w:r>
      <w:r w:rsidRPr="00690954">
        <w:rPr>
          <w:rFonts w:ascii="Times New Roman" w:hAnsi="Times New Roman"/>
        </w:rPr>
        <w:t xml:space="preserve"> Referred to as </w:t>
      </w:r>
      <w:r w:rsidR="00690954">
        <w:rPr>
          <w:rFonts w:ascii="Times New Roman" w:hAnsi="Times New Roman"/>
        </w:rPr>
        <w:t>‘</w:t>
      </w:r>
      <w:r w:rsidRPr="00690954">
        <w:rPr>
          <w:rFonts w:ascii="Times New Roman" w:hAnsi="Times New Roman"/>
        </w:rPr>
        <w:t>there was a previous misunderstanding of the applicable law</w:t>
      </w:r>
      <w:r w:rsidR="0069095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5268" w14:textId="77777777" w:rsidR="00D61E94" w:rsidRPr="000B1574" w:rsidRDefault="00D61E94" w:rsidP="00D61E94">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sz w:val="24"/>
        <w:szCs w:val="24"/>
        <w:lang w:eastAsia="zh-HK"/>
      </w:rPr>
    </w:pPr>
    <w:r w:rsidRPr="000B1574">
      <w:rPr>
        <w:rFonts w:ascii="Times New Roman" w:eastAsia="細明體" w:hAnsi="Times New Roman"/>
        <w:sz w:val="24"/>
        <w:szCs w:val="24"/>
      </w:rPr>
      <w:t>(20</w:t>
    </w:r>
    <w:r w:rsidRPr="000B1574">
      <w:rPr>
        <w:rFonts w:ascii="Times New Roman" w:eastAsia="細明體" w:hAnsi="Times New Roman"/>
        <w:sz w:val="24"/>
        <w:szCs w:val="24"/>
        <w:lang w:eastAsia="zh-HK"/>
      </w:rPr>
      <w:t>21-22</w:t>
    </w:r>
    <w:r w:rsidRPr="000B1574">
      <w:rPr>
        <w:rFonts w:ascii="Times New Roman" w:eastAsia="細明體" w:hAnsi="Times New Roman"/>
        <w:sz w:val="24"/>
        <w:szCs w:val="24"/>
      </w:rPr>
      <w:t xml:space="preserve">) VOLUME </w:t>
    </w:r>
    <w:r w:rsidRPr="000B1574">
      <w:rPr>
        <w:rFonts w:ascii="Times New Roman" w:eastAsia="細明體" w:hAnsi="Times New Roman"/>
        <w:sz w:val="24"/>
        <w:szCs w:val="24"/>
        <w:lang w:eastAsia="zh-HK"/>
      </w:rPr>
      <w:t>36</w:t>
    </w:r>
    <w:r w:rsidRPr="000B1574">
      <w:rPr>
        <w:rFonts w:ascii="Times New Roman" w:eastAsia="細明體" w:hAnsi="Times New Roman"/>
        <w:sz w:val="24"/>
        <w:szCs w:val="24"/>
      </w:rPr>
      <w:t xml:space="preserve"> INLAND REVENUE BOARD OF REVIEW DECISIONS</w:t>
    </w:r>
  </w:p>
  <w:p w14:paraId="535F7F7A" w14:textId="69127992" w:rsidR="006828AE" w:rsidRPr="00723994" w:rsidRDefault="006828AE" w:rsidP="006828AE">
    <w:pPr>
      <w:pStyle w:val="a8"/>
      <w:widowControl w:val="0"/>
      <w:jc w:val="center"/>
      <w:rPr>
        <w:rFonts w:ascii="Times New Roman" w:hAnsi="Times New Roman"/>
        <w:kern w:val="2"/>
        <w:sz w:val="24"/>
        <w:szCs w:val="24"/>
      </w:rPr>
    </w:pPr>
    <w:r w:rsidRPr="00723994">
      <w:rPr>
        <w:rFonts w:ascii="Times New Roman" w:hAnsi="Times New Roman"/>
        <w:kern w:val="2"/>
        <w:sz w:val="24"/>
        <w:szCs w:val="24"/>
      </w:rPr>
      <w:t xml:space="preserve">(PUBLISHED IN </w:t>
    </w:r>
    <w:r w:rsidR="00723994">
      <w:rPr>
        <w:rFonts w:ascii="Times New Roman" w:hAnsi="Times New Roman"/>
        <w:kern w:val="2"/>
        <w:sz w:val="24"/>
        <w:szCs w:val="24"/>
      </w:rPr>
      <w:t>NOVEMBER 2022</w:t>
    </w:r>
    <w:r w:rsidRPr="00723994">
      <w:rPr>
        <w:rFonts w:ascii="Times New Roman" w:hAnsi="Times New Roman"/>
        <w:kern w:val="2"/>
        <w:sz w:val="24"/>
        <w:szCs w:val="24"/>
      </w:rPr>
      <w:t>)</w:t>
    </w:r>
  </w:p>
  <w:p w14:paraId="2725C9C1" w14:textId="4D067DBD" w:rsidR="00D61E94" w:rsidRPr="00723994" w:rsidRDefault="00D61E94" w:rsidP="006828AE">
    <w:pPr>
      <w:pStyle w:val="a8"/>
      <w:rPr>
        <w:rFonts w:eastAsia="DengXian"/>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F5"/>
    <w:multiLevelType w:val="hybridMultilevel"/>
    <w:tmpl w:val="41C214A0"/>
    <w:lvl w:ilvl="0" w:tplc="AA1217A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044EEC"/>
    <w:multiLevelType w:val="hybridMultilevel"/>
    <w:tmpl w:val="4AC86DF4"/>
    <w:lvl w:ilvl="0" w:tplc="E68C07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0248"/>
    <w:multiLevelType w:val="hybridMultilevel"/>
    <w:tmpl w:val="25128BF0"/>
    <w:lvl w:ilvl="0" w:tplc="25DA8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F6C76"/>
    <w:multiLevelType w:val="hybridMultilevel"/>
    <w:tmpl w:val="A98CEEA4"/>
    <w:lvl w:ilvl="0" w:tplc="186AD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5809"/>
    <w:multiLevelType w:val="hybridMultilevel"/>
    <w:tmpl w:val="7458C2BC"/>
    <w:lvl w:ilvl="0" w:tplc="42DC72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07B09"/>
    <w:multiLevelType w:val="hybridMultilevel"/>
    <w:tmpl w:val="1B422ACA"/>
    <w:lvl w:ilvl="0" w:tplc="32CE8FE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BB77507"/>
    <w:multiLevelType w:val="hybridMultilevel"/>
    <w:tmpl w:val="0C127AB2"/>
    <w:lvl w:ilvl="0" w:tplc="A38A5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93361"/>
    <w:multiLevelType w:val="hybridMultilevel"/>
    <w:tmpl w:val="9E28CBFA"/>
    <w:lvl w:ilvl="0" w:tplc="04942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E2307"/>
    <w:multiLevelType w:val="hybridMultilevel"/>
    <w:tmpl w:val="A30C99B0"/>
    <w:lvl w:ilvl="0" w:tplc="A4A85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37E3B"/>
    <w:multiLevelType w:val="hybridMultilevel"/>
    <w:tmpl w:val="D542F4BC"/>
    <w:lvl w:ilvl="0" w:tplc="8EAA7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5043F"/>
    <w:multiLevelType w:val="hybridMultilevel"/>
    <w:tmpl w:val="B78A9F76"/>
    <w:lvl w:ilvl="0" w:tplc="B5A06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D2A5E"/>
    <w:multiLevelType w:val="hybridMultilevel"/>
    <w:tmpl w:val="3E56BDD2"/>
    <w:lvl w:ilvl="0" w:tplc="39E67E86">
      <w:start w:val="1"/>
      <w:numFmt w:val="decimal"/>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F6F47FF4">
      <w:start w:val="1"/>
      <w:numFmt w:val="decimal"/>
      <w:lvlText w:val="(%3)"/>
      <w:lvlJc w:val="left"/>
      <w:pPr>
        <w:tabs>
          <w:tab w:val="num" w:pos="1920"/>
        </w:tabs>
        <w:ind w:left="1920" w:hanging="480"/>
      </w:pPr>
      <w:rPr>
        <w:rFonts w:hint="eastAsia"/>
      </w:r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BBBA5CEA">
      <w:start w:val="1"/>
      <w:numFmt w:val="lowerLetter"/>
      <w:lvlText w:val="(%6)"/>
      <w:lvlJc w:val="left"/>
      <w:pPr>
        <w:tabs>
          <w:tab w:val="num" w:pos="3240"/>
        </w:tabs>
        <w:ind w:left="3240" w:hanging="360"/>
      </w:pPr>
      <w:rPr>
        <w:rFonts w:hint="default"/>
      </w:r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A1E2022E">
      <w:start w:val="1"/>
      <w:numFmt w:val="lowerRoman"/>
      <w:lvlText w:val="(%9)"/>
      <w:lvlJc w:val="left"/>
      <w:pPr>
        <w:tabs>
          <w:tab w:val="num" w:pos="4800"/>
        </w:tabs>
        <w:ind w:left="4800" w:hanging="480"/>
      </w:pPr>
      <w:rPr>
        <w:rFonts w:hint="default"/>
      </w:rPr>
    </w:lvl>
  </w:abstractNum>
  <w:abstractNum w:abstractNumId="12" w15:restartNumberingAfterBreak="0">
    <w:nsid w:val="2E540A1E"/>
    <w:multiLevelType w:val="hybridMultilevel"/>
    <w:tmpl w:val="6D5E3AEA"/>
    <w:lvl w:ilvl="0" w:tplc="2EFCD18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30976050"/>
    <w:multiLevelType w:val="hybridMultilevel"/>
    <w:tmpl w:val="73A02C8C"/>
    <w:lvl w:ilvl="0" w:tplc="51A0D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F745D"/>
    <w:multiLevelType w:val="hybridMultilevel"/>
    <w:tmpl w:val="9EC80ACE"/>
    <w:lvl w:ilvl="0" w:tplc="AFA0321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55D624E"/>
    <w:multiLevelType w:val="hybridMultilevel"/>
    <w:tmpl w:val="A9049516"/>
    <w:lvl w:ilvl="0" w:tplc="00BC75F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35B4716F"/>
    <w:multiLevelType w:val="hybridMultilevel"/>
    <w:tmpl w:val="1C44B7A8"/>
    <w:lvl w:ilvl="0" w:tplc="E4EE05E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39594AD9"/>
    <w:multiLevelType w:val="hybridMultilevel"/>
    <w:tmpl w:val="C16E3336"/>
    <w:lvl w:ilvl="0" w:tplc="F50A209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3C430EDE"/>
    <w:multiLevelType w:val="hybridMultilevel"/>
    <w:tmpl w:val="D05A8348"/>
    <w:lvl w:ilvl="0" w:tplc="91A0163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418600CC"/>
    <w:multiLevelType w:val="hybridMultilevel"/>
    <w:tmpl w:val="FDA2C448"/>
    <w:lvl w:ilvl="0" w:tplc="E2509F4E">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0" w15:restartNumberingAfterBreak="0">
    <w:nsid w:val="44FB1BE9"/>
    <w:multiLevelType w:val="hybridMultilevel"/>
    <w:tmpl w:val="F3603634"/>
    <w:lvl w:ilvl="0" w:tplc="623068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F71ED"/>
    <w:multiLevelType w:val="hybridMultilevel"/>
    <w:tmpl w:val="F5F8BD92"/>
    <w:lvl w:ilvl="0" w:tplc="33A6B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C5140"/>
    <w:multiLevelType w:val="hybridMultilevel"/>
    <w:tmpl w:val="92369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E3630C"/>
    <w:multiLevelType w:val="hybridMultilevel"/>
    <w:tmpl w:val="CF0EF670"/>
    <w:lvl w:ilvl="0" w:tplc="CF6E516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5575278E"/>
    <w:multiLevelType w:val="hybridMultilevel"/>
    <w:tmpl w:val="B46E5338"/>
    <w:lvl w:ilvl="0" w:tplc="AA2AA1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E0793"/>
    <w:multiLevelType w:val="hybridMultilevel"/>
    <w:tmpl w:val="5C7EDA38"/>
    <w:lvl w:ilvl="0" w:tplc="5B6EF13E">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15:restartNumberingAfterBreak="0">
    <w:nsid w:val="5A857ADC"/>
    <w:multiLevelType w:val="hybridMultilevel"/>
    <w:tmpl w:val="675EE64E"/>
    <w:lvl w:ilvl="0" w:tplc="82243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D110F"/>
    <w:multiLevelType w:val="hybridMultilevel"/>
    <w:tmpl w:val="895C0812"/>
    <w:lvl w:ilvl="0" w:tplc="840C2CD0">
      <w:start w:val="3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B714ED"/>
    <w:multiLevelType w:val="hybridMultilevel"/>
    <w:tmpl w:val="3D122B52"/>
    <w:lvl w:ilvl="0" w:tplc="ECB0B3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C3C63"/>
    <w:multiLevelType w:val="hybridMultilevel"/>
    <w:tmpl w:val="C39489DC"/>
    <w:lvl w:ilvl="0" w:tplc="C1C08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44208"/>
    <w:multiLevelType w:val="hybridMultilevel"/>
    <w:tmpl w:val="876A7104"/>
    <w:lvl w:ilvl="0" w:tplc="3F96B4A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EE571DC"/>
    <w:multiLevelType w:val="hybridMultilevel"/>
    <w:tmpl w:val="9C804412"/>
    <w:lvl w:ilvl="0" w:tplc="BF2693A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6"/>
  </w:num>
  <w:num w:numId="2">
    <w:abstractNumId w:val="7"/>
  </w:num>
  <w:num w:numId="3">
    <w:abstractNumId w:val="30"/>
  </w:num>
  <w:num w:numId="4">
    <w:abstractNumId w:val="5"/>
  </w:num>
  <w:num w:numId="5">
    <w:abstractNumId w:val="8"/>
  </w:num>
  <w:num w:numId="6">
    <w:abstractNumId w:val="1"/>
  </w:num>
  <w:num w:numId="7">
    <w:abstractNumId w:val="31"/>
  </w:num>
  <w:num w:numId="8">
    <w:abstractNumId w:val="18"/>
  </w:num>
  <w:num w:numId="9">
    <w:abstractNumId w:val="0"/>
  </w:num>
  <w:num w:numId="10">
    <w:abstractNumId w:val="12"/>
  </w:num>
  <w:num w:numId="11">
    <w:abstractNumId w:val="17"/>
  </w:num>
  <w:num w:numId="12">
    <w:abstractNumId w:val="15"/>
  </w:num>
  <w:num w:numId="13">
    <w:abstractNumId w:val="19"/>
  </w:num>
  <w:num w:numId="14">
    <w:abstractNumId w:val="16"/>
  </w:num>
  <w:num w:numId="15">
    <w:abstractNumId w:val="23"/>
  </w:num>
  <w:num w:numId="16">
    <w:abstractNumId w:val="9"/>
  </w:num>
  <w:num w:numId="17">
    <w:abstractNumId w:val="13"/>
  </w:num>
  <w:num w:numId="18">
    <w:abstractNumId w:val="20"/>
  </w:num>
  <w:num w:numId="19">
    <w:abstractNumId w:val="27"/>
  </w:num>
  <w:num w:numId="20">
    <w:abstractNumId w:val="10"/>
  </w:num>
  <w:num w:numId="21">
    <w:abstractNumId w:val="4"/>
  </w:num>
  <w:num w:numId="22">
    <w:abstractNumId w:val="21"/>
  </w:num>
  <w:num w:numId="23">
    <w:abstractNumId w:val="3"/>
  </w:num>
  <w:num w:numId="24">
    <w:abstractNumId w:val="14"/>
  </w:num>
  <w:num w:numId="25">
    <w:abstractNumId w:val="25"/>
  </w:num>
  <w:num w:numId="26">
    <w:abstractNumId w:val="26"/>
  </w:num>
  <w:num w:numId="27">
    <w:abstractNumId w:val="28"/>
  </w:num>
  <w:num w:numId="28">
    <w:abstractNumId w:val="11"/>
  </w:num>
  <w:num w:numId="29">
    <w:abstractNumId w:val="2"/>
  </w:num>
  <w:num w:numId="30">
    <w:abstractNumId w:val="29"/>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formatting="1" w:enforcement="1" w:cryptProviderType="rsaAES" w:cryptAlgorithmClass="hash" w:cryptAlgorithmType="typeAny" w:cryptAlgorithmSid="14" w:cryptSpinCount="100000" w:hash="9lWy55Wmo5ZByS7IK4eGukwlOy8AcM2vjC3G+DrQbJM88Ys5YQ0RcByjkE/LaIbXX9smZKbGdcb5fqlaqR+nUQ==" w:salt="CgcHcDp9A0hfdX2/bYkMHA=="/>
  <w:defaultTabStop w:val="140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C5"/>
    <w:rsid w:val="0000165C"/>
    <w:rsid w:val="00036C32"/>
    <w:rsid w:val="00037B7C"/>
    <w:rsid w:val="00052C55"/>
    <w:rsid w:val="00054712"/>
    <w:rsid w:val="0007558E"/>
    <w:rsid w:val="00096FE2"/>
    <w:rsid w:val="000A00B4"/>
    <w:rsid w:val="000A449D"/>
    <w:rsid w:val="000C7D85"/>
    <w:rsid w:val="000D1514"/>
    <w:rsid w:val="000E4E05"/>
    <w:rsid w:val="00101BB0"/>
    <w:rsid w:val="00125223"/>
    <w:rsid w:val="00140CDE"/>
    <w:rsid w:val="00152DED"/>
    <w:rsid w:val="00166094"/>
    <w:rsid w:val="00184362"/>
    <w:rsid w:val="0019398F"/>
    <w:rsid w:val="001A1AEE"/>
    <w:rsid w:val="001A737A"/>
    <w:rsid w:val="001B0008"/>
    <w:rsid w:val="001B0197"/>
    <w:rsid w:val="001B2F21"/>
    <w:rsid w:val="001C1DCE"/>
    <w:rsid w:val="001C2078"/>
    <w:rsid w:val="001C3A14"/>
    <w:rsid w:val="001D1E87"/>
    <w:rsid w:val="001D75FD"/>
    <w:rsid w:val="00207B9F"/>
    <w:rsid w:val="00216930"/>
    <w:rsid w:val="00223563"/>
    <w:rsid w:val="0026378C"/>
    <w:rsid w:val="0026778C"/>
    <w:rsid w:val="0027035D"/>
    <w:rsid w:val="002737EB"/>
    <w:rsid w:val="00280E27"/>
    <w:rsid w:val="00285620"/>
    <w:rsid w:val="002933C2"/>
    <w:rsid w:val="00293E21"/>
    <w:rsid w:val="002A36D7"/>
    <w:rsid w:val="002B0D77"/>
    <w:rsid w:val="002C16B8"/>
    <w:rsid w:val="002F1CBC"/>
    <w:rsid w:val="002F287B"/>
    <w:rsid w:val="002F679D"/>
    <w:rsid w:val="00311724"/>
    <w:rsid w:val="00312CC4"/>
    <w:rsid w:val="0034330D"/>
    <w:rsid w:val="00351173"/>
    <w:rsid w:val="003568EE"/>
    <w:rsid w:val="00363447"/>
    <w:rsid w:val="003773DB"/>
    <w:rsid w:val="00385141"/>
    <w:rsid w:val="003A03E4"/>
    <w:rsid w:val="003A585F"/>
    <w:rsid w:val="003D3AE0"/>
    <w:rsid w:val="003D4E4F"/>
    <w:rsid w:val="003E52A3"/>
    <w:rsid w:val="00413DB3"/>
    <w:rsid w:val="004525A5"/>
    <w:rsid w:val="00460099"/>
    <w:rsid w:val="004630AF"/>
    <w:rsid w:val="004776B1"/>
    <w:rsid w:val="00486468"/>
    <w:rsid w:val="004A3E59"/>
    <w:rsid w:val="004A72DB"/>
    <w:rsid w:val="004C2928"/>
    <w:rsid w:val="004C3835"/>
    <w:rsid w:val="004C54E7"/>
    <w:rsid w:val="004C6680"/>
    <w:rsid w:val="004D5398"/>
    <w:rsid w:val="004D5D3E"/>
    <w:rsid w:val="004E669C"/>
    <w:rsid w:val="004F0A9F"/>
    <w:rsid w:val="0051494B"/>
    <w:rsid w:val="00523075"/>
    <w:rsid w:val="005240A4"/>
    <w:rsid w:val="00531B3A"/>
    <w:rsid w:val="005327D2"/>
    <w:rsid w:val="00545AE2"/>
    <w:rsid w:val="005475E9"/>
    <w:rsid w:val="00566472"/>
    <w:rsid w:val="00567BC2"/>
    <w:rsid w:val="005717DA"/>
    <w:rsid w:val="00573EBC"/>
    <w:rsid w:val="0058209D"/>
    <w:rsid w:val="00586E8E"/>
    <w:rsid w:val="00592C3B"/>
    <w:rsid w:val="005974C0"/>
    <w:rsid w:val="005A5418"/>
    <w:rsid w:val="005E536F"/>
    <w:rsid w:val="00607C13"/>
    <w:rsid w:val="00616267"/>
    <w:rsid w:val="006201FD"/>
    <w:rsid w:val="00621E75"/>
    <w:rsid w:val="006244E5"/>
    <w:rsid w:val="00625809"/>
    <w:rsid w:val="00637804"/>
    <w:rsid w:val="006512CF"/>
    <w:rsid w:val="00673DDA"/>
    <w:rsid w:val="006828AE"/>
    <w:rsid w:val="00690954"/>
    <w:rsid w:val="00691E1E"/>
    <w:rsid w:val="006A11C8"/>
    <w:rsid w:val="006A1DC5"/>
    <w:rsid w:val="006A3331"/>
    <w:rsid w:val="006C2C77"/>
    <w:rsid w:val="006C3F0D"/>
    <w:rsid w:val="006D3B23"/>
    <w:rsid w:val="006D6F25"/>
    <w:rsid w:val="006F7549"/>
    <w:rsid w:val="0071778B"/>
    <w:rsid w:val="00723994"/>
    <w:rsid w:val="0073421C"/>
    <w:rsid w:val="0073438F"/>
    <w:rsid w:val="00740E71"/>
    <w:rsid w:val="00744166"/>
    <w:rsid w:val="00746869"/>
    <w:rsid w:val="00751C18"/>
    <w:rsid w:val="007525B4"/>
    <w:rsid w:val="00773BCD"/>
    <w:rsid w:val="007824EA"/>
    <w:rsid w:val="007C1403"/>
    <w:rsid w:val="007D29A2"/>
    <w:rsid w:val="007E5C1F"/>
    <w:rsid w:val="007F5052"/>
    <w:rsid w:val="007F631C"/>
    <w:rsid w:val="0080477F"/>
    <w:rsid w:val="00806CFC"/>
    <w:rsid w:val="008129CD"/>
    <w:rsid w:val="00816F07"/>
    <w:rsid w:val="00846F62"/>
    <w:rsid w:val="008611FD"/>
    <w:rsid w:val="00863119"/>
    <w:rsid w:val="008760FB"/>
    <w:rsid w:val="008A374A"/>
    <w:rsid w:val="008A6C84"/>
    <w:rsid w:val="008A6E1A"/>
    <w:rsid w:val="008B1D57"/>
    <w:rsid w:val="008C300E"/>
    <w:rsid w:val="008C61D3"/>
    <w:rsid w:val="008D5396"/>
    <w:rsid w:val="008E18EA"/>
    <w:rsid w:val="008E357D"/>
    <w:rsid w:val="008E4D6C"/>
    <w:rsid w:val="008F30FD"/>
    <w:rsid w:val="00910023"/>
    <w:rsid w:val="00921574"/>
    <w:rsid w:val="009238D5"/>
    <w:rsid w:val="009254E4"/>
    <w:rsid w:val="00925A7D"/>
    <w:rsid w:val="00937168"/>
    <w:rsid w:val="00941F57"/>
    <w:rsid w:val="00942171"/>
    <w:rsid w:val="00950915"/>
    <w:rsid w:val="00960C46"/>
    <w:rsid w:val="00975136"/>
    <w:rsid w:val="0097705E"/>
    <w:rsid w:val="00987460"/>
    <w:rsid w:val="009A4A6A"/>
    <w:rsid w:val="009A6883"/>
    <w:rsid w:val="009B03B2"/>
    <w:rsid w:val="009B336E"/>
    <w:rsid w:val="009B5334"/>
    <w:rsid w:val="009C0E14"/>
    <w:rsid w:val="009C5655"/>
    <w:rsid w:val="009D2AA5"/>
    <w:rsid w:val="009D43D4"/>
    <w:rsid w:val="009D7ACE"/>
    <w:rsid w:val="009E737C"/>
    <w:rsid w:val="009F1928"/>
    <w:rsid w:val="009F30E1"/>
    <w:rsid w:val="009F5CB8"/>
    <w:rsid w:val="009F6E61"/>
    <w:rsid w:val="00A0180C"/>
    <w:rsid w:val="00A07815"/>
    <w:rsid w:val="00A07CE6"/>
    <w:rsid w:val="00A13C18"/>
    <w:rsid w:val="00A22A8A"/>
    <w:rsid w:val="00A240F7"/>
    <w:rsid w:val="00A26F7C"/>
    <w:rsid w:val="00A35E71"/>
    <w:rsid w:val="00A378C3"/>
    <w:rsid w:val="00A444F6"/>
    <w:rsid w:val="00A749E1"/>
    <w:rsid w:val="00A774E6"/>
    <w:rsid w:val="00A82F0C"/>
    <w:rsid w:val="00A83392"/>
    <w:rsid w:val="00A9489E"/>
    <w:rsid w:val="00AA1FF7"/>
    <w:rsid w:val="00AA600B"/>
    <w:rsid w:val="00AB2250"/>
    <w:rsid w:val="00AE3AB4"/>
    <w:rsid w:val="00B10908"/>
    <w:rsid w:val="00B17949"/>
    <w:rsid w:val="00B20151"/>
    <w:rsid w:val="00B3026D"/>
    <w:rsid w:val="00B46409"/>
    <w:rsid w:val="00B507A6"/>
    <w:rsid w:val="00B62843"/>
    <w:rsid w:val="00B64B92"/>
    <w:rsid w:val="00B65347"/>
    <w:rsid w:val="00B839F0"/>
    <w:rsid w:val="00B935AB"/>
    <w:rsid w:val="00B9440F"/>
    <w:rsid w:val="00BA3764"/>
    <w:rsid w:val="00BB1ED2"/>
    <w:rsid w:val="00BE3839"/>
    <w:rsid w:val="00BE7A06"/>
    <w:rsid w:val="00BF1F95"/>
    <w:rsid w:val="00C0159A"/>
    <w:rsid w:val="00C05A95"/>
    <w:rsid w:val="00C20149"/>
    <w:rsid w:val="00C23763"/>
    <w:rsid w:val="00C272D2"/>
    <w:rsid w:val="00C27790"/>
    <w:rsid w:val="00C32675"/>
    <w:rsid w:val="00C36634"/>
    <w:rsid w:val="00C436E4"/>
    <w:rsid w:val="00C43DC9"/>
    <w:rsid w:val="00C4689F"/>
    <w:rsid w:val="00C474A3"/>
    <w:rsid w:val="00C50E9A"/>
    <w:rsid w:val="00C66339"/>
    <w:rsid w:val="00C74A6B"/>
    <w:rsid w:val="00C80371"/>
    <w:rsid w:val="00C81D5B"/>
    <w:rsid w:val="00C94ED5"/>
    <w:rsid w:val="00C97A2C"/>
    <w:rsid w:val="00CA40E0"/>
    <w:rsid w:val="00CB4AE9"/>
    <w:rsid w:val="00CB54F2"/>
    <w:rsid w:val="00CD3A0E"/>
    <w:rsid w:val="00CD4FAB"/>
    <w:rsid w:val="00CE03E4"/>
    <w:rsid w:val="00CF4437"/>
    <w:rsid w:val="00CF7715"/>
    <w:rsid w:val="00D0784D"/>
    <w:rsid w:val="00D12076"/>
    <w:rsid w:val="00D20CD1"/>
    <w:rsid w:val="00D427A0"/>
    <w:rsid w:val="00D45733"/>
    <w:rsid w:val="00D46C2E"/>
    <w:rsid w:val="00D60EDE"/>
    <w:rsid w:val="00D61E94"/>
    <w:rsid w:val="00D73F20"/>
    <w:rsid w:val="00D81E47"/>
    <w:rsid w:val="00D9426F"/>
    <w:rsid w:val="00DA367E"/>
    <w:rsid w:val="00DA5559"/>
    <w:rsid w:val="00DA5747"/>
    <w:rsid w:val="00DB048D"/>
    <w:rsid w:val="00DB4AAC"/>
    <w:rsid w:val="00DB6B0E"/>
    <w:rsid w:val="00DC08D1"/>
    <w:rsid w:val="00DC2A77"/>
    <w:rsid w:val="00DC58FC"/>
    <w:rsid w:val="00DD2F87"/>
    <w:rsid w:val="00DD5713"/>
    <w:rsid w:val="00DE1C9A"/>
    <w:rsid w:val="00DF151E"/>
    <w:rsid w:val="00DF372A"/>
    <w:rsid w:val="00E254F8"/>
    <w:rsid w:val="00E32342"/>
    <w:rsid w:val="00E46AE2"/>
    <w:rsid w:val="00E50C55"/>
    <w:rsid w:val="00E70AD3"/>
    <w:rsid w:val="00EA69C9"/>
    <w:rsid w:val="00EB01B0"/>
    <w:rsid w:val="00EB0E07"/>
    <w:rsid w:val="00EB3C7D"/>
    <w:rsid w:val="00EB65C8"/>
    <w:rsid w:val="00EC0941"/>
    <w:rsid w:val="00EC28A2"/>
    <w:rsid w:val="00EE5459"/>
    <w:rsid w:val="00EF1A15"/>
    <w:rsid w:val="00EF3706"/>
    <w:rsid w:val="00EF6BE7"/>
    <w:rsid w:val="00F10E39"/>
    <w:rsid w:val="00F25CB8"/>
    <w:rsid w:val="00F369CF"/>
    <w:rsid w:val="00F45FCF"/>
    <w:rsid w:val="00F51C31"/>
    <w:rsid w:val="00F70904"/>
    <w:rsid w:val="00F77D1C"/>
    <w:rsid w:val="00F82D75"/>
    <w:rsid w:val="00F961E6"/>
    <w:rsid w:val="00FB4849"/>
    <w:rsid w:val="00FB510E"/>
    <w:rsid w:val="00FD26C6"/>
    <w:rsid w:val="00FD30EC"/>
    <w:rsid w:val="00FE554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71728"/>
  <w15:chartTrackingRefBased/>
  <w15:docId w15:val="{15AA320D-D4CE-4721-A300-18126F5A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C5"/>
    <w:pPr>
      <w:spacing w:after="200" w:line="276" w:lineRule="auto"/>
    </w:pPr>
    <w:rPr>
      <w:rFonts w:ascii="Calibri" w:eastAsia="新細明體"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DC5"/>
    <w:pPr>
      <w:ind w:left="720"/>
      <w:contextualSpacing/>
    </w:pPr>
  </w:style>
  <w:style w:type="table" w:styleId="a4">
    <w:name w:val="Table Grid"/>
    <w:basedOn w:val="a1"/>
    <w:uiPriority w:val="59"/>
    <w:rsid w:val="006A1DC5"/>
    <w:pP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A1DC5"/>
    <w:pPr>
      <w:spacing w:after="0" w:line="240" w:lineRule="auto"/>
    </w:pPr>
    <w:rPr>
      <w:sz w:val="20"/>
      <w:szCs w:val="20"/>
    </w:rPr>
  </w:style>
  <w:style w:type="character" w:customStyle="1" w:styleId="a6">
    <w:name w:val="註腳文字 字元"/>
    <w:basedOn w:val="a0"/>
    <w:link w:val="a5"/>
    <w:uiPriority w:val="99"/>
    <w:semiHidden/>
    <w:rsid w:val="006A1DC5"/>
    <w:rPr>
      <w:rFonts w:ascii="Calibri" w:eastAsia="新細明體" w:hAnsi="Calibri" w:cs="Times New Roman"/>
      <w:sz w:val="20"/>
      <w:szCs w:val="20"/>
      <w:lang w:eastAsia="zh-CN"/>
    </w:rPr>
  </w:style>
  <w:style w:type="character" w:styleId="a7">
    <w:name w:val="footnote reference"/>
    <w:basedOn w:val="a0"/>
    <w:uiPriority w:val="99"/>
    <w:semiHidden/>
    <w:unhideWhenUsed/>
    <w:rsid w:val="006A1DC5"/>
    <w:rPr>
      <w:vertAlign w:val="superscript"/>
    </w:rPr>
  </w:style>
  <w:style w:type="paragraph" w:styleId="a8">
    <w:name w:val="header"/>
    <w:basedOn w:val="a"/>
    <w:link w:val="a9"/>
    <w:unhideWhenUsed/>
    <w:rsid w:val="006A1DC5"/>
    <w:pPr>
      <w:tabs>
        <w:tab w:val="center" w:pos="4320"/>
        <w:tab w:val="right" w:pos="8640"/>
      </w:tabs>
      <w:spacing w:after="0" w:line="240" w:lineRule="auto"/>
    </w:pPr>
  </w:style>
  <w:style w:type="character" w:customStyle="1" w:styleId="a9">
    <w:name w:val="頁首 字元"/>
    <w:basedOn w:val="a0"/>
    <w:link w:val="a8"/>
    <w:rsid w:val="006A1DC5"/>
    <w:rPr>
      <w:rFonts w:ascii="Calibri" w:eastAsia="新細明體" w:hAnsi="Calibri" w:cs="Times New Roman"/>
      <w:lang w:eastAsia="zh-CN"/>
    </w:rPr>
  </w:style>
  <w:style w:type="paragraph" w:styleId="aa">
    <w:name w:val="footer"/>
    <w:basedOn w:val="a"/>
    <w:link w:val="ab"/>
    <w:uiPriority w:val="99"/>
    <w:unhideWhenUsed/>
    <w:rsid w:val="006A1DC5"/>
    <w:pPr>
      <w:tabs>
        <w:tab w:val="center" w:pos="4320"/>
        <w:tab w:val="right" w:pos="8640"/>
      </w:tabs>
      <w:spacing w:after="0" w:line="240" w:lineRule="auto"/>
    </w:pPr>
  </w:style>
  <w:style w:type="character" w:customStyle="1" w:styleId="ab">
    <w:name w:val="頁尾 字元"/>
    <w:basedOn w:val="a0"/>
    <w:link w:val="aa"/>
    <w:uiPriority w:val="99"/>
    <w:rsid w:val="006A1DC5"/>
    <w:rPr>
      <w:rFonts w:ascii="Calibri" w:eastAsia="新細明體" w:hAnsi="Calibri" w:cs="Times New Roman"/>
      <w:lang w:eastAsia="zh-CN"/>
    </w:rPr>
  </w:style>
  <w:style w:type="paragraph" w:styleId="ac">
    <w:name w:val="Title"/>
    <w:basedOn w:val="a"/>
    <w:link w:val="ad"/>
    <w:qFormat/>
    <w:rsid w:val="009254E4"/>
    <w:pPr>
      <w:overflowPunct w:val="0"/>
      <w:autoSpaceDE w:val="0"/>
      <w:autoSpaceDN w:val="0"/>
      <w:adjustRightInd w:val="0"/>
      <w:spacing w:after="0" w:line="240" w:lineRule="auto"/>
      <w:jc w:val="center"/>
      <w:textAlignment w:val="baseline"/>
    </w:pPr>
    <w:rPr>
      <w:rFonts w:ascii="CG Times (W1)" w:eastAsia="細明體" w:hAnsi="CG Times (W1)"/>
      <w:b/>
      <w:sz w:val="24"/>
      <w:szCs w:val="20"/>
      <w:lang w:val="en-GB" w:eastAsia="zh-TW"/>
    </w:rPr>
  </w:style>
  <w:style w:type="character" w:customStyle="1" w:styleId="ad">
    <w:name w:val="標題 字元"/>
    <w:basedOn w:val="a0"/>
    <w:link w:val="ac"/>
    <w:rsid w:val="009254E4"/>
    <w:rPr>
      <w:rFonts w:ascii="CG Times (W1)" w:eastAsia="細明體" w:hAnsi="CG Times (W1)" w:cs="Times New Roman"/>
      <w:b/>
      <w:sz w:val="24"/>
      <w:szCs w:val="20"/>
      <w:lang w:val="en-GB"/>
    </w:rPr>
  </w:style>
  <w:style w:type="paragraph" w:styleId="ae">
    <w:name w:val="Balloon Text"/>
    <w:basedOn w:val="a"/>
    <w:link w:val="af"/>
    <w:uiPriority w:val="99"/>
    <w:semiHidden/>
    <w:unhideWhenUsed/>
    <w:rsid w:val="009F30E1"/>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F30E1"/>
    <w:rPr>
      <w:rFonts w:asciiTheme="majorHAnsi" w:eastAsiaTheme="majorEastAsia" w:hAnsiTheme="majorHAnsi" w:cstheme="majorBidi"/>
      <w:sz w:val="18"/>
      <w:szCs w:val="18"/>
      <w:lang w:eastAsia="zh-CN"/>
    </w:rPr>
  </w:style>
  <w:style w:type="paragraph" w:styleId="af0">
    <w:name w:val="Revision"/>
    <w:hidden/>
    <w:uiPriority w:val="99"/>
    <w:semiHidden/>
    <w:rsid w:val="005717DA"/>
    <w:pPr>
      <w:spacing w:after="0" w:line="240" w:lineRule="auto"/>
    </w:pPr>
    <w:rPr>
      <w:rFonts w:ascii="Calibri" w:eastAsia="新細明體" w:hAnsi="Calibri" w:cs="Times New Roman"/>
      <w:lang w:eastAsia="zh-CN"/>
    </w:rPr>
  </w:style>
  <w:style w:type="character" w:styleId="af1">
    <w:name w:val="annotation reference"/>
    <w:basedOn w:val="a0"/>
    <w:uiPriority w:val="99"/>
    <w:semiHidden/>
    <w:unhideWhenUsed/>
    <w:rsid w:val="00036C32"/>
    <w:rPr>
      <w:sz w:val="16"/>
      <w:szCs w:val="16"/>
    </w:rPr>
  </w:style>
  <w:style w:type="paragraph" w:styleId="af2">
    <w:name w:val="annotation text"/>
    <w:basedOn w:val="a"/>
    <w:link w:val="af3"/>
    <w:uiPriority w:val="99"/>
    <w:semiHidden/>
    <w:unhideWhenUsed/>
    <w:rsid w:val="00036C32"/>
    <w:pPr>
      <w:spacing w:line="240" w:lineRule="auto"/>
    </w:pPr>
    <w:rPr>
      <w:sz w:val="20"/>
      <w:szCs w:val="20"/>
    </w:rPr>
  </w:style>
  <w:style w:type="character" w:customStyle="1" w:styleId="af3">
    <w:name w:val="註解文字 字元"/>
    <w:basedOn w:val="a0"/>
    <w:link w:val="af2"/>
    <w:uiPriority w:val="99"/>
    <w:semiHidden/>
    <w:rsid w:val="00036C32"/>
    <w:rPr>
      <w:rFonts w:ascii="Calibri" w:eastAsia="新細明體" w:hAnsi="Calibri" w:cs="Times New Roman"/>
      <w:sz w:val="20"/>
      <w:szCs w:val="20"/>
      <w:lang w:eastAsia="zh-CN"/>
    </w:rPr>
  </w:style>
  <w:style w:type="paragraph" w:styleId="af4">
    <w:name w:val="annotation subject"/>
    <w:basedOn w:val="af2"/>
    <w:next w:val="af2"/>
    <w:link w:val="af5"/>
    <w:uiPriority w:val="99"/>
    <w:semiHidden/>
    <w:unhideWhenUsed/>
    <w:rsid w:val="00036C32"/>
    <w:rPr>
      <w:b/>
      <w:bCs/>
    </w:rPr>
  </w:style>
  <w:style w:type="character" w:customStyle="1" w:styleId="af5">
    <w:name w:val="註解主旨 字元"/>
    <w:basedOn w:val="af3"/>
    <w:link w:val="af4"/>
    <w:uiPriority w:val="99"/>
    <w:semiHidden/>
    <w:rsid w:val="00036C32"/>
    <w:rPr>
      <w:rFonts w:ascii="Calibri" w:eastAsia="新細明體"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3A2E-4654-4DA5-9187-6AFC092F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2576</Words>
  <Characters>14686</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8</cp:revision>
  <cp:lastPrinted>2022-11-01T07:34:00Z</cp:lastPrinted>
  <dcterms:created xsi:type="dcterms:W3CDTF">2022-09-20T07:50:00Z</dcterms:created>
  <dcterms:modified xsi:type="dcterms:W3CDTF">2022-11-01T07:36:00Z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